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30" w:rsidRPr="009621DE" w:rsidRDefault="00EA4B30" w:rsidP="00EA4B30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_GoBack"/>
      <w:bookmarkEnd w:id="0"/>
      <w:r w:rsidRPr="009621D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EA4B30" w:rsidRDefault="00EA4B30" w:rsidP="00F40F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F40F02" w:rsidRPr="009621DE" w:rsidRDefault="00F40F02" w:rsidP="00F40F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621D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LATVIJAS REPUBLIKAS MINISTRU KABINETS</w:t>
      </w:r>
    </w:p>
    <w:tbl>
      <w:tblPr>
        <w:tblW w:w="9207" w:type="dxa"/>
        <w:tblLayout w:type="fixed"/>
        <w:tblLook w:val="0000" w:firstRow="0" w:lastRow="0" w:firstColumn="0" w:lastColumn="0" w:noHBand="0" w:noVBand="0"/>
      </w:tblPr>
      <w:tblGrid>
        <w:gridCol w:w="4540"/>
        <w:gridCol w:w="2107"/>
        <w:gridCol w:w="2560"/>
      </w:tblGrid>
      <w:tr w:rsidR="00F40F02" w:rsidRPr="009621DE" w:rsidTr="00524D0F">
        <w:trPr>
          <w:cantSplit/>
          <w:trHeight w:val="1039"/>
        </w:trPr>
        <w:tc>
          <w:tcPr>
            <w:tcW w:w="4540" w:type="dxa"/>
          </w:tcPr>
          <w:p w:rsidR="00F40F02" w:rsidRPr="009621DE" w:rsidRDefault="00F40F02" w:rsidP="00C541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OLE_LINK5"/>
            <w:bookmarkStart w:id="2" w:name="OLE_LINK6"/>
            <w:bookmarkStart w:id="3" w:name="OLE_LINK4"/>
            <w:bookmarkStart w:id="4" w:name="OLE_LINK8"/>
            <w:bookmarkStart w:id="5" w:name="OLE_LINK1"/>
            <w:bookmarkStart w:id="6" w:name="OLE_LINK2"/>
            <w:bookmarkStart w:id="7" w:name="OLE_LINK3"/>
          </w:p>
          <w:p w:rsidR="00F40F02" w:rsidRPr="009621DE" w:rsidRDefault="00F40F02" w:rsidP="00C541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2013. gada “____” ____________</w:t>
            </w:r>
          </w:p>
          <w:p w:rsidR="00F40F02" w:rsidRPr="009621DE" w:rsidRDefault="00F40F02" w:rsidP="00C541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Rīgā</w:t>
            </w:r>
          </w:p>
        </w:tc>
        <w:tc>
          <w:tcPr>
            <w:tcW w:w="2107" w:type="dxa"/>
          </w:tcPr>
          <w:p w:rsidR="00F40F02" w:rsidRPr="009621DE" w:rsidRDefault="00F40F02" w:rsidP="00C541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</w:tcPr>
          <w:p w:rsidR="00F40F02" w:rsidRPr="009621DE" w:rsidRDefault="00F40F02" w:rsidP="00C541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0F02" w:rsidRPr="009621DE" w:rsidRDefault="00F40F02" w:rsidP="00C541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Noteikumi </w:t>
            </w:r>
            <w:proofErr w:type="spellStart"/>
            <w:r w:rsidRPr="00962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Nr</w:t>
            </w:r>
            <w:proofErr w:type="spellEnd"/>
            <w:r w:rsidRPr="00962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40F02" w:rsidRPr="009621DE" w:rsidRDefault="00F40F02" w:rsidP="00C541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962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prot</w:t>
            </w:r>
            <w:proofErr w:type="spellEnd"/>
            <w:r w:rsidRPr="00962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62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Nr</w:t>
            </w:r>
            <w:proofErr w:type="spellEnd"/>
            <w:r w:rsidRPr="00962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______)</w:t>
            </w:r>
          </w:p>
        </w:tc>
      </w:tr>
    </w:tbl>
    <w:p w:rsidR="00F40F02" w:rsidRPr="009621DE" w:rsidRDefault="00F40F02" w:rsidP="00F40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bookmarkEnd w:id="1"/>
    <w:bookmarkEnd w:id="2"/>
    <w:bookmarkEnd w:id="3"/>
    <w:bookmarkEnd w:id="4"/>
    <w:p w:rsidR="00F40F02" w:rsidRPr="009621DE" w:rsidRDefault="00F40F02" w:rsidP="00F40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962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Grozījumi Ministru kabineta 2011.gada 29.novembra noteikumos Nr.914 „Elektroenerģijas tirdzniecības un lietošanas noteikumi”</w:t>
      </w:r>
    </w:p>
    <w:p w:rsidR="00F40F02" w:rsidRPr="009621DE" w:rsidRDefault="00F40F02" w:rsidP="00F40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bookmarkEnd w:id="5"/>
    <w:bookmarkEnd w:id="6"/>
    <w:bookmarkEnd w:id="7"/>
    <w:p w:rsidR="00BD4B60" w:rsidRPr="00BD4B60" w:rsidRDefault="00BD4B60" w:rsidP="00BD4B60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 w:rsidRPr="00BD4B6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Izdoti saskaņā ar Elektroenerģijas tirgus likuma 32.panta piekto daļu, </w:t>
      </w:r>
    </w:p>
    <w:p w:rsidR="00BD4B60" w:rsidRPr="00BD4B60" w:rsidRDefault="00BD4B60" w:rsidP="00BD4B60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 w:rsidRPr="00BD4B6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33.panta otrās daļas 1.punktu, 34.panta pirmo daļu, 35.panta otro daļu un </w:t>
      </w:r>
    </w:p>
    <w:p w:rsidR="00BD4B60" w:rsidRDefault="00BD4B60" w:rsidP="00BD4B60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likuma „</w:t>
      </w:r>
      <w:r w:rsidRPr="00BD4B6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Par sabie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drisko pakalpojumu regulatoriem” </w:t>
      </w:r>
      <w:r w:rsidRPr="00BD4B6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22.panta piekto daļu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:rsidR="00F40F02" w:rsidRPr="009621DE" w:rsidRDefault="00F40F02" w:rsidP="008B1A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F40F02" w:rsidRPr="00BF05D9" w:rsidRDefault="008C62C1" w:rsidP="008B1AA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BF05D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Izdarīt Ministru kabineta 2011.gada 29.novembra noteikumos Nr.914 „Elektroenerģijas tirdzniecības un lietošanas noteikumi” („Latvijas Vēstnesis”, 14.12.2011. Nr.196 (4594); 30.08.2012., Nr.137 (4740); 19.09.2013., Nr.183 (4989)) sekojošus grozījumus:</w:t>
      </w:r>
    </w:p>
    <w:p w:rsidR="000955DF" w:rsidRPr="00165406" w:rsidRDefault="000955DF" w:rsidP="008B1AA1">
      <w:p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40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D1124" w:rsidRPr="00165406">
        <w:rPr>
          <w:rFonts w:ascii="Times New Roman" w:hAnsi="Times New Roman" w:cs="Times New Roman"/>
          <w:b/>
          <w:bCs/>
          <w:sz w:val="28"/>
          <w:szCs w:val="28"/>
        </w:rPr>
        <w:t>Papildināt</w:t>
      </w:r>
      <w:r w:rsidRPr="001654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1124" w:rsidRPr="00165406">
        <w:rPr>
          <w:rFonts w:ascii="Times New Roman" w:hAnsi="Times New Roman" w:cs="Times New Roman"/>
          <w:b/>
          <w:bCs/>
          <w:sz w:val="28"/>
          <w:szCs w:val="28"/>
        </w:rPr>
        <w:t xml:space="preserve">noteikumu izdošanas deleģējuma norādi ar </w:t>
      </w:r>
      <w:r w:rsidR="00652BD4" w:rsidRPr="00165406">
        <w:rPr>
          <w:rFonts w:ascii="Times New Roman" w:hAnsi="Times New Roman" w:cs="Times New Roman"/>
          <w:b/>
          <w:bCs/>
          <w:sz w:val="28"/>
          <w:szCs w:val="28"/>
        </w:rPr>
        <w:t xml:space="preserve">tekstu </w:t>
      </w:r>
      <w:r w:rsidR="005C5F4A" w:rsidRPr="00165406">
        <w:rPr>
          <w:rFonts w:ascii="Times New Roman" w:hAnsi="Times New Roman" w:cs="Times New Roman"/>
          <w:b/>
          <w:bCs/>
          <w:sz w:val="28"/>
          <w:szCs w:val="28"/>
        </w:rPr>
        <w:t xml:space="preserve">šādā redakcijā: </w:t>
      </w:r>
      <w:r w:rsidR="00652BD4" w:rsidRPr="00165406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652BD4" w:rsidRPr="00165406">
        <w:rPr>
          <w:rFonts w:ascii="Times New Roman" w:hAnsi="Times New Roman" w:cs="Times New Roman"/>
          <w:b/>
          <w:bCs/>
          <w:iCs/>
          <w:sz w:val="28"/>
          <w:szCs w:val="28"/>
        </w:rPr>
        <w:t>30.</w:t>
      </w:r>
      <w:r w:rsidR="00652BD4" w:rsidRPr="00165406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 xml:space="preserve">1 </w:t>
      </w:r>
      <w:r w:rsidR="00652BD4" w:rsidRPr="00165406">
        <w:rPr>
          <w:rFonts w:ascii="Times New Roman" w:hAnsi="Times New Roman" w:cs="Times New Roman"/>
          <w:b/>
          <w:bCs/>
          <w:iCs/>
          <w:sz w:val="28"/>
          <w:szCs w:val="28"/>
        </w:rPr>
        <w:t>panta ceturto daļu</w:t>
      </w:r>
      <w:r w:rsidR="005C5F4A" w:rsidRPr="00165406">
        <w:rPr>
          <w:rFonts w:ascii="Times New Roman" w:hAnsi="Times New Roman" w:cs="Times New Roman"/>
          <w:b/>
          <w:bCs/>
          <w:iCs/>
          <w:sz w:val="28"/>
          <w:szCs w:val="28"/>
        </w:rPr>
        <w:t>”</w:t>
      </w:r>
      <w:r w:rsidR="005C7F85" w:rsidRPr="0016540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BB7D40" w:rsidRDefault="00BB7D40" w:rsidP="00BB7D4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21DE">
        <w:rPr>
          <w:rFonts w:ascii="Times New Roman" w:hAnsi="Times New Roman" w:cs="Times New Roman"/>
          <w:b/>
          <w:bCs/>
          <w:sz w:val="28"/>
          <w:szCs w:val="28"/>
        </w:rPr>
        <w:t xml:space="preserve">2.Papildināt noteikumu </w:t>
      </w: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90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punktu </w:t>
      </w:r>
      <w:r w:rsidRPr="009621DE">
        <w:rPr>
          <w:rFonts w:ascii="Times New Roman" w:hAnsi="Times New Roman" w:cs="Times New Roman"/>
          <w:b/>
          <w:bCs/>
          <w:sz w:val="28"/>
          <w:szCs w:val="28"/>
        </w:rPr>
        <w:t xml:space="preserve">ar </w:t>
      </w:r>
      <w:r>
        <w:rPr>
          <w:rFonts w:ascii="Times New Roman" w:hAnsi="Times New Roman" w:cs="Times New Roman"/>
          <w:b/>
          <w:bCs/>
          <w:sz w:val="28"/>
          <w:szCs w:val="28"/>
        </w:rPr>
        <w:t>1.7</w:t>
      </w:r>
      <w:r w:rsidRPr="009621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90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1DE">
        <w:rPr>
          <w:rFonts w:ascii="Times New Roman" w:hAnsi="Times New Roman" w:cs="Times New Roman"/>
          <w:b/>
          <w:bCs/>
          <w:sz w:val="28"/>
          <w:szCs w:val="28"/>
        </w:rPr>
        <w:t>apakšpunktu šādā redakcijā:</w:t>
      </w:r>
    </w:p>
    <w:p w:rsidR="00BB7D40" w:rsidRPr="009621DE" w:rsidRDefault="00BB7D40" w:rsidP="00BB7D40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1DE">
        <w:rPr>
          <w:rFonts w:ascii="Times New Roman" w:hAnsi="Times New Roman" w:cs="Times New Roman"/>
          <w:bCs/>
          <w:sz w:val="28"/>
          <w:szCs w:val="28"/>
        </w:rPr>
        <w:t>„</w:t>
      </w:r>
      <w:r>
        <w:rPr>
          <w:rFonts w:ascii="Times New Roman" w:hAnsi="Times New Roman" w:cs="Times New Roman"/>
          <w:bCs/>
          <w:sz w:val="28"/>
          <w:szCs w:val="28"/>
        </w:rPr>
        <w:t>1.7.</w:t>
      </w:r>
      <w:r w:rsidRPr="009621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k</w:t>
      </w:r>
      <w:r w:rsidRPr="00BB7D40">
        <w:rPr>
          <w:rFonts w:ascii="Times New Roman" w:hAnsi="Times New Roman" w:cs="Times New Roman"/>
          <w:bCs/>
          <w:sz w:val="28"/>
          <w:szCs w:val="28"/>
        </w:rPr>
        <w:t>ārtību, kādā mājsaimniecības lietotājs vienojas ar sadales sistēmas operatoru par elektroenerģijas neto norēķinu sistēmas piemērošanu, un kārtību, kādā tā piemērojama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621DE">
        <w:rPr>
          <w:rFonts w:ascii="Times New Roman" w:hAnsi="Times New Roman" w:cs="Times New Roman"/>
          <w:bCs/>
          <w:sz w:val="28"/>
          <w:szCs w:val="28"/>
        </w:rPr>
        <w:t>”</w:t>
      </w:r>
    </w:p>
    <w:p w:rsidR="00D62030" w:rsidRPr="009621DE" w:rsidRDefault="00687DE2" w:rsidP="008B1AA1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4245C" w:rsidRPr="009621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D605F" w:rsidRPr="009621DE">
        <w:rPr>
          <w:rFonts w:ascii="Times New Roman" w:hAnsi="Times New Roman" w:cs="Times New Roman"/>
          <w:b/>
          <w:bCs/>
          <w:sz w:val="28"/>
          <w:szCs w:val="28"/>
        </w:rPr>
        <w:t xml:space="preserve">Papildināt noteikumu </w:t>
      </w:r>
      <w:r w:rsidR="00122300">
        <w:rPr>
          <w:rFonts w:ascii="Times New Roman" w:hAnsi="Times New Roman" w:cs="Times New Roman"/>
          <w:b/>
          <w:bCs/>
          <w:sz w:val="28"/>
          <w:szCs w:val="28"/>
        </w:rPr>
        <w:t xml:space="preserve">2. punktu ar </w:t>
      </w:r>
      <w:r w:rsidR="00B00ACF" w:rsidRPr="009621DE">
        <w:rPr>
          <w:rFonts w:ascii="Times New Roman" w:hAnsi="Times New Roman" w:cs="Times New Roman"/>
          <w:b/>
          <w:bCs/>
          <w:sz w:val="28"/>
          <w:szCs w:val="28"/>
        </w:rPr>
        <w:t>2.14</w:t>
      </w:r>
      <w:r w:rsidR="00B00ACF" w:rsidRPr="009621D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="00951FEC" w:rsidRPr="009621DE">
        <w:rPr>
          <w:rFonts w:ascii="Times New Roman" w:hAnsi="Times New Roman" w:cs="Times New Roman"/>
          <w:b/>
          <w:bCs/>
          <w:sz w:val="28"/>
          <w:szCs w:val="28"/>
        </w:rPr>
        <w:t>.apakš</w:t>
      </w:r>
      <w:r w:rsidR="00DD4F89" w:rsidRPr="009621DE">
        <w:rPr>
          <w:rFonts w:ascii="Times New Roman" w:hAnsi="Times New Roman" w:cs="Times New Roman"/>
          <w:b/>
          <w:bCs/>
          <w:sz w:val="28"/>
          <w:szCs w:val="28"/>
        </w:rPr>
        <w:t>punktu šādā redakcijā:</w:t>
      </w:r>
    </w:p>
    <w:p w:rsidR="00D62030" w:rsidRPr="009621DE" w:rsidRDefault="00DD4F89" w:rsidP="008B1AA1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1DE">
        <w:rPr>
          <w:rFonts w:ascii="Times New Roman" w:hAnsi="Times New Roman" w:cs="Times New Roman"/>
          <w:bCs/>
          <w:sz w:val="28"/>
          <w:szCs w:val="28"/>
        </w:rPr>
        <w:t>„2.14</w:t>
      </w:r>
      <w:r w:rsidR="00D62030" w:rsidRPr="009621DE">
        <w:rPr>
          <w:rFonts w:ascii="Times New Roman" w:hAnsi="Times New Roman" w:cs="Times New Roman"/>
          <w:bCs/>
          <w:sz w:val="28"/>
          <w:szCs w:val="28"/>
        </w:rPr>
        <w:t>.</w:t>
      </w:r>
      <w:r w:rsidR="009621DE" w:rsidRPr="009621D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D62030" w:rsidRPr="009621DE">
        <w:rPr>
          <w:rFonts w:ascii="Times New Roman" w:hAnsi="Times New Roman" w:cs="Times New Roman"/>
          <w:bCs/>
          <w:sz w:val="28"/>
          <w:szCs w:val="28"/>
        </w:rPr>
        <w:t xml:space="preserve"> neto patēriņš - elektroenerģijas apjoma starpība starp no elektrotīkla saņemto elektroenerģiju un elektrotīklā nodoto elektroenerģiju </w:t>
      </w:r>
      <w:r w:rsidRPr="009621DE">
        <w:rPr>
          <w:rFonts w:ascii="Times New Roman" w:hAnsi="Times New Roman" w:cs="Times New Roman"/>
          <w:bCs/>
          <w:sz w:val="28"/>
          <w:szCs w:val="28"/>
        </w:rPr>
        <w:t>viena norēķinu perioda ietvaros”</w:t>
      </w:r>
    </w:p>
    <w:p w:rsidR="00DD4F89" w:rsidRPr="009621DE" w:rsidRDefault="00687DE2" w:rsidP="008B1AA1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4245C" w:rsidRPr="009621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005E0" w:rsidRPr="009621DE">
        <w:rPr>
          <w:rFonts w:ascii="Times New Roman" w:hAnsi="Times New Roman" w:cs="Times New Roman"/>
          <w:b/>
          <w:bCs/>
          <w:sz w:val="28"/>
          <w:szCs w:val="28"/>
        </w:rPr>
        <w:t xml:space="preserve">Papildināt noteikumus </w:t>
      </w:r>
      <w:r w:rsidR="00DD4F89" w:rsidRPr="009621DE">
        <w:rPr>
          <w:rFonts w:ascii="Times New Roman" w:hAnsi="Times New Roman" w:cs="Times New Roman"/>
          <w:b/>
          <w:bCs/>
          <w:sz w:val="28"/>
          <w:szCs w:val="28"/>
        </w:rPr>
        <w:t xml:space="preserve">ar jaunu </w:t>
      </w:r>
      <w:r w:rsidR="00934BAA" w:rsidRPr="009621DE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="009621DE" w:rsidRPr="009621D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="00934BAA" w:rsidRPr="009621DE">
        <w:rPr>
          <w:rFonts w:ascii="Times New Roman" w:hAnsi="Times New Roman" w:cs="Times New Roman"/>
          <w:b/>
          <w:bCs/>
          <w:sz w:val="28"/>
          <w:szCs w:val="28"/>
        </w:rPr>
        <w:t>nodaļu šādā redakcijā:</w:t>
      </w:r>
    </w:p>
    <w:p w:rsidR="001C54F3" w:rsidRPr="009621DE" w:rsidRDefault="00F850F9" w:rsidP="008B1AA1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21DE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934BAA" w:rsidRPr="009621DE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="001C54F3" w:rsidRPr="009621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621DE" w:rsidRPr="009621D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="001C54F3" w:rsidRPr="009621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21DE">
        <w:rPr>
          <w:rFonts w:ascii="Times New Roman" w:hAnsi="Times New Roman" w:cs="Times New Roman"/>
          <w:b/>
          <w:bCs/>
          <w:sz w:val="28"/>
          <w:szCs w:val="28"/>
        </w:rPr>
        <w:t>Elektroenerģijas n</w:t>
      </w:r>
      <w:r w:rsidR="001C54F3" w:rsidRPr="009621DE">
        <w:rPr>
          <w:rFonts w:ascii="Times New Roman" w:hAnsi="Times New Roman" w:cs="Times New Roman"/>
          <w:b/>
          <w:bCs/>
          <w:sz w:val="28"/>
          <w:szCs w:val="28"/>
        </w:rPr>
        <w:t>eto norēķinu sistēma</w:t>
      </w:r>
    </w:p>
    <w:p w:rsidR="00D069BB" w:rsidRDefault="009621DE" w:rsidP="008B1AA1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35</w:t>
      </w:r>
      <w:r w:rsidRPr="006C4579">
        <w:rPr>
          <w:rFonts w:ascii="Times New Roman" w:hAnsi="Times New Roman" w:cs="Times New Roman"/>
          <w:bCs/>
          <w:sz w:val="28"/>
          <w:szCs w:val="28"/>
        </w:rPr>
        <w:t>.</w:t>
      </w:r>
      <w:r w:rsidRPr="009621D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6C4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FA9">
        <w:rPr>
          <w:rFonts w:ascii="Times New Roman" w:hAnsi="Times New Roman" w:cs="Times New Roman"/>
          <w:bCs/>
          <w:sz w:val="28"/>
          <w:szCs w:val="28"/>
        </w:rPr>
        <w:t xml:space="preserve">Vienošanās starp mājsaimniecības lietotāju un sadales sistēmas operatoru par </w:t>
      </w:r>
      <w:r w:rsidR="00E83FA9" w:rsidRPr="006C4579">
        <w:rPr>
          <w:rFonts w:ascii="Times New Roman" w:hAnsi="Times New Roman" w:cs="Times New Roman"/>
          <w:bCs/>
          <w:sz w:val="28"/>
          <w:szCs w:val="28"/>
        </w:rPr>
        <w:t xml:space="preserve">tiesībām izmantot elektroenerģijas neto norēķinu sistēmu </w:t>
      </w:r>
      <w:r w:rsidR="00E83FA9">
        <w:rPr>
          <w:rFonts w:ascii="Times New Roman" w:hAnsi="Times New Roman" w:cs="Times New Roman"/>
          <w:bCs/>
          <w:sz w:val="28"/>
          <w:szCs w:val="28"/>
        </w:rPr>
        <w:t xml:space="preserve">ir </w:t>
      </w:r>
      <w:r w:rsidR="0069092D" w:rsidRPr="0069092D">
        <w:rPr>
          <w:rFonts w:ascii="Times New Roman" w:hAnsi="Times New Roman" w:cs="Times New Roman"/>
          <w:bCs/>
          <w:sz w:val="28"/>
          <w:szCs w:val="28"/>
        </w:rPr>
        <w:t xml:space="preserve">elektroenerģijas pieslēguma līguma </w:t>
      </w:r>
      <w:r w:rsidR="0069092D">
        <w:rPr>
          <w:rFonts w:ascii="Times New Roman" w:hAnsi="Times New Roman" w:cs="Times New Roman"/>
          <w:bCs/>
          <w:sz w:val="28"/>
          <w:szCs w:val="28"/>
        </w:rPr>
        <w:t xml:space="preserve">vai </w:t>
      </w:r>
      <w:r w:rsidRPr="006C4579">
        <w:rPr>
          <w:rFonts w:ascii="Times New Roman" w:hAnsi="Times New Roman" w:cs="Times New Roman"/>
          <w:bCs/>
          <w:sz w:val="28"/>
          <w:szCs w:val="28"/>
        </w:rPr>
        <w:t xml:space="preserve">sistēmas pakalpojuma līguma sastāvdaļa. </w:t>
      </w:r>
    </w:p>
    <w:p w:rsidR="009621DE" w:rsidRPr="006C4579" w:rsidRDefault="00E83FA9" w:rsidP="008B1AA1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35.</w:t>
      </w:r>
      <w:r w:rsidRPr="00E83FA9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45217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9621DE" w:rsidRPr="006C4579">
        <w:rPr>
          <w:rFonts w:ascii="Times New Roman" w:hAnsi="Times New Roman" w:cs="Times New Roman"/>
          <w:bCs/>
          <w:sz w:val="28"/>
          <w:szCs w:val="28"/>
        </w:rPr>
        <w:t>Sadales sistēmas operators izstrādā un savā tīmekļa vietnē publicē vienotus nosacījumus elektroenerģijas neto norēķinu sistēmas piemērošanai.</w:t>
      </w:r>
    </w:p>
    <w:p w:rsidR="009621DE" w:rsidRPr="006C4579" w:rsidRDefault="009621DE" w:rsidP="009621DE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579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C4579">
        <w:rPr>
          <w:rFonts w:ascii="Times New Roman" w:hAnsi="Times New Roman" w:cs="Times New Roman"/>
          <w:bCs/>
          <w:sz w:val="28"/>
          <w:szCs w:val="28"/>
        </w:rPr>
        <w:t>.</w:t>
      </w:r>
      <w:r w:rsidR="00A51E5B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45217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A51E5B" w:rsidRPr="006C4579">
        <w:rPr>
          <w:rFonts w:ascii="Times New Roman" w:hAnsi="Times New Roman" w:cs="Times New Roman"/>
          <w:bCs/>
          <w:sz w:val="28"/>
          <w:szCs w:val="28"/>
        </w:rPr>
        <w:t xml:space="preserve">Sadales </w:t>
      </w:r>
      <w:r w:rsidRPr="006C4579">
        <w:rPr>
          <w:rFonts w:ascii="Times New Roman" w:hAnsi="Times New Roman" w:cs="Times New Roman"/>
          <w:bCs/>
          <w:sz w:val="28"/>
          <w:szCs w:val="28"/>
        </w:rPr>
        <w:t xml:space="preserve">sistēmas operators mājsaimniecības lietotājam, kuram atļauta elektroenerģijas neto norēķinu sistēma, uzstāda elektroenerģijas </w:t>
      </w:r>
      <w:proofErr w:type="spellStart"/>
      <w:r w:rsidRPr="006C4579">
        <w:rPr>
          <w:rFonts w:ascii="Times New Roman" w:hAnsi="Times New Roman" w:cs="Times New Roman"/>
          <w:bCs/>
          <w:sz w:val="28"/>
          <w:szCs w:val="28"/>
        </w:rPr>
        <w:t>komercuzskaites</w:t>
      </w:r>
      <w:proofErr w:type="spellEnd"/>
      <w:r w:rsidRPr="006C4579">
        <w:rPr>
          <w:rFonts w:ascii="Times New Roman" w:hAnsi="Times New Roman" w:cs="Times New Roman"/>
          <w:bCs/>
          <w:sz w:val="28"/>
          <w:szCs w:val="28"/>
        </w:rPr>
        <w:t xml:space="preserve"> mēraparātu, kas uzskaita no elektrotīkla saņemto elektroenerģiju un elektrotīklā nodoto elektroenerģiju.</w:t>
      </w:r>
    </w:p>
    <w:p w:rsidR="009621DE" w:rsidRPr="006C4579" w:rsidRDefault="009621DE" w:rsidP="009621DE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35</w:t>
      </w:r>
      <w:r w:rsidRPr="006C4579">
        <w:rPr>
          <w:rFonts w:ascii="Times New Roman" w:hAnsi="Times New Roman" w:cs="Times New Roman"/>
          <w:bCs/>
          <w:sz w:val="28"/>
          <w:szCs w:val="28"/>
        </w:rPr>
        <w:t>.</w:t>
      </w:r>
      <w:r w:rsidR="00A51E5B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="0045217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A51E5B" w:rsidRPr="006C4579">
        <w:rPr>
          <w:rFonts w:ascii="Times New Roman" w:hAnsi="Times New Roman" w:cs="Times New Roman"/>
          <w:bCs/>
          <w:sz w:val="28"/>
          <w:szCs w:val="28"/>
        </w:rPr>
        <w:t xml:space="preserve">Sadales </w:t>
      </w:r>
      <w:r w:rsidRPr="006C4579">
        <w:rPr>
          <w:rFonts w:ascii="Times New Roman" w:hAnsi="Times New Roman" w:cs="Times New Roman"/>
          <w:bCs/>
          <w:sz w:val="28"/>
          <w:szCs w:val="28"/>
        </w:rPr>
        <w:t xml:space="preserve">sistēmas operatoram ir tiesības veikt mājsaimniecības lietotāja, ar kuru ir noslēgta vienošanās par elektroenerģijas neto norēķinu sistēmas izmantošanu, </w:t>
      </w:r>
      <w:r w:rsidR="00A51E5B" w:rsidRPr="00A51E5B">
        <w:rPr>
          <w:rFonts w:ascii="Times New Roman" w:hAnsi="Times New Roman" w:cs="Times New Roman"/>
          <w:bCs/>
          <w:sz w:val="28"/>
          <w:szCs w:val="28"/>
        </w:rPr>
        <w:t>ele</w:t>
      </w:r>
      <w:r w:rsidR="00A51E5B">
        <w:rPr>
          <w:rFonts w:ascii="Times New Roman" w:hAnsi="Times New Roman" w:cs="Times New Roman"/>
          <w:bCs/>
          <w:sz w:val="28"/>
          <w:szCs w:val="28"/>
        </w:rPr>
        <w:t>ktroenerģijas ražošanas iekārtas</w:t>
      </w:r>
      <w:r w:rsidRPr="006C4579">
        <w:rPr>
          <w:rFonts w:ascii="Times New Roman" w:hAnsi="Times New Roman" w:cs="Times New Roman"/>
          <w:bCs/>
          <w:sz w:val="28"/>
          <w:szCs w:val="28"/>
        </w:rPr>
        <w:t xml:space="preserve"> apskati un veikt </w:t>
      </w:r>
      <w:r w:rsidR="00A51E5B" w:rsidRPr="00A51E5B">
        <w:rPr>
          <w:rFonts w:ascii="Times New Roman" w:hAnsi="Times New Roman" w:cs="Times New Roman"/>
          <w:bCs/>
          <w:sz w:val="28"/>
          <w:szCs w:val="28"/>
        </w:rPr>
        <w:t>ele</w:t>
      </w:r>
      <w:r w:rsidR="00A51E5B">
        <w:rPr>
          <w:rFonts w:ascii="Times New Roman" w:hAnsi="Times New Roman" w:cs="Times New Roman"/>
          <w:bCs/>
          <w:sz w:val="28"/>
          <w:szCs w:val="28"/>
        </w:rPr>
        <w:t xml:space="preserve">ktroenerģijas ražošanas iekārtas </w:t>
      </w:r>
      <w:r w:rsidRPr="006C4579">
        <w:rPr>
          <w:rFonts w:ascii="Times New Roman" w:hAnsi="Times New Roman" w:cs="Times New Roman"/>
          <w:bCs/>
          <w:sz w:val="28"/>
          <w:szCs w:val="28"/>
        </w:rPr>
        <w:t>aizsardzības iestatījumu pārbaudi tā</w:t>
      </w:r>
      <w:r w:rsidR="00A51E5B">
        <w:rPr>
          <w:rFonts w:ascii="Times New Roman" w:hAnsi="Times New Roman" w:cs="Times New Roman"/>
          <w:bCs/>
          <w:sz w:val="28"/>
          <w:szCs w:val="28"/>
        </w:rPr>
        <w:t>s</w:t>
      </w:r>
      <w:r w:rsidRPr="006C4579">
        <w:rPr>
          <w:rFonts w:ascii="Times New Roman" w:hAnsi="Times New Roman" w:cs="Times New Roman"/>
          <w:bCs/>
          <w:sz w:val="28"/>
          <w:szCs w:val="28"/>
        </w:rPr>
        <w:t xml:space="preserve"> ekspluatācijas laikā.</w:t>
      </w:r>
    </w:p>
    <w:p w:rsidR="00F14BC0" w:rsidRDefault="009621DE" w:rsidP="009621DE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57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C4579">
        <w:rPr>
          <w:rFonts w:ascii="Times New Roman" w:hAnsi="Times New Roman" w:cs="Times New Roman"/>
          <w:bCs/>
          <w:sz w:val="28"/>
          <w:szCs w:val="28"/>
        </w:rPr>
        <w:t>.</w:t>
      </w:r>
      <w:r w:rsidRPr="009621DE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="0045217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6C4579">
        <w:rPr>
          <w:rFonts w:ascii="Times New Roman" w:hAnsi="Times New Roman" w:cs="Times New Roman"/>
          <w:bCs/>
          <w:sz w:val="28"/>
          <w:szCs w:val="28"/>
        </w:rPr>
        <w:t xml:space="preserve">Mājsaimniecības lietotāja pienākums ir </w:t>
      </w:r>
      <w:r w:rsidR="000B4C4D">
        <w:rPr>
          <w:rFonts w:ascii="Times New Roman" w:hAnsi="Times New Roman" w:cs="Times New Roman"/>
          <w:bCs/>
          <w:sz w:val="28"/>
          <w:szCs w:val="28"/>
        </w:rPr>
        <w:t xml:space="preserve">saskaņā ar tirgotāja izrakstīto rēķinu </w:t>
      </w:r>
      <w:r w:rsidRPr="006C4579">
        <w:rPr>
          <w:rFonts w:ascii="Times New Roman" w:hAnsi="Times New Roman" w:cs="Times New Roman"/>
          <w:bCs/>
          <w:sz w:val="28"/>
          <w:szCs w:val="28"/>
        </w:rPr>
        <w:t xml:space="preserve">norēķināties </w:t>
      </w:r>
      <w:r w:rsidR="00CA0FF2" w:rsidRPr="006C4579">
        <w:rPr>
          <w:rFonts w:ascii="Times New Roman" w:hAnsi="Times New Roman" w:cs="Times New Roman"/>
          <w:bCs/>
          <w:sz w:val="28"/>
          <w:szCs w:val="28"/>
        </w:rPr>
        <w:t>par saņemto elektroenerģiju neto patēriņa apmērā</w:t>
      </w:r>
      <w:r w:rsidR="00CA0FF2">
        <w:rPr>
          <w:rFonts w:ascii="Times New Roman" w:hAnsi="Times New Roman" w:cs="Times New Roman"/>
          <w:bCs/>
          <w:sz w:val="28"/>
          <w:szCs w:val="28"/>
        </w:rPr>
        <w:t xml:space="preserve"> un </w:t>
      </w:r>
      <w:r w:rsidRPr="006C4579">
        <w:rPr>
          <w:rFonts w:ascii="Times New Roman" w:hAnsi="Times New Roman" w:cs="Times New Roman"/>
          <w:bCs/>
          <w:sz w:val="28"/>
          <w:szCs w:val="28"/>
        </w:rPr>
        <w:t>par saņemtajiem sistēmas pakalpojumiem un obligātā iepirkuma komponentēm par vis</w:t>
      </w:r>
      <w:r w:rsidR="001234E5">
        <w:rPr>
          <w:rFonts w:ascii="Times New Roman" w:hAnsi="Times New Roman" w:cs="Times New Roman"/>
          <w:bCs/>
          <w:sz w:val="28"/>
          <w:szCs w:val="28"/>
        </w:rPr>
        <w:t xml:space="preserve">u elektroenerģijas apjomu, kas </w:t>
      </w:r>
      <w:r w:rsidRPr="006C4579">
        <w:rPr>
          <w:rFonts w:ascii="Times New Roman" w:hAnsi="Times New Roman" w:cs="Times New Roman"/>
          <w:bCs/>
          <w:sz w:val="28"/>
          <w:szCs w:val="28"/>
        </w:rPr>
        <w:t>norēķinu periodā ir saņemta no elektrotīkla</w:t>
      </w:r>
      <w:r w:rsidR="00F14B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5406" w:rsidRDefault="009621DE" w:rsidP="009621DE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57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C4579">
        <w:rPr>
          <w:rFonts w:ascii="Times New Roman" w:hAnsi="Times New Roman" w:cs="Times New Roman"/>
          <w:bCs/>
          <w:sz w:val="28"/>
          <w:szCs w:val="28"/>
        </w:rPr>
        <w:t>.</w:t>
      </w:r>
      <w:r w:rsidRPr="009621DE">
        <w:rPr>
          <w:rFonts w:ascii="Times New Roman" w:hAnsi="Times New Roman" w:cs="Times New Roman"/>
          <w:bCs/>
          <w:sz w:val="28"/>
          <w:szCs w:val="28"/>
          <w:vertAlign w:val="superscript"/>
        </w:rPr>
        <w:t>6</w:t>
      </w:r>
      <w:r w:rsidRPr="006C4579">
        <w:rPr>
          <w:rFonts w:ascii="Times New Roman" w:hAnsi="Times New Roman" w:cs="Times New Roman"/>
          <w:bCs/>
          <w:sz w:val="28"/>
          <w:szCs w:val="28"/>
        </w:rPr>
        <w:t xml:space="preserve"> Ja neto patēriņš norēķinu periodā ir negatīvs, tad sadales sistēmas operators neto patēriņa apjomu ieskaita nākamajā norēķinu periodā, kā elektrotīklā nodoto elektroenerģiju, bet norēķinu periodā mājsaimniecības lietotāja neto patēriņš ir nulle. </w:t>
      </w:r>
    </w:p>
    <w:p w:rsidR="00B408BC" w:rsidRPr="009621DE" w:rsidRDefault="00EC0146" w:rsidP="009621D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005E0" w:rsidRPr="009621DE">
        <w:rPr>
          <w:rFonts w:ascii="Times New Roman" w:hAnsi="Times New Roman" w:cs="Times New Roman"/>
          <w:b/>
          <w:sz w:val="28"/>
          <w:szCs w:val="28"/>
        </w:rPr>
        <w:t>.</w:t>
      </w:r>
      <w:r w:rsidR="00420C59" w:rsidRPr="009621DE">
        <w:rPr>
          <w:rFonts w:ascii="Times New Roman" w:hAnsi="Times New Roman" w:cs="Times New Roman"/>
          <w:b/>
          <w:sz w:val="28"/>
          <w:szCs w:val="28"/>
        </w:rPr>
        <w:t>Izteikt</w:t>
      </w:r>
      <w:r w:rsidR="00D005E0" w:rsidRPr="009621DE">
        <w:rPr>
          <w:rFonts w:ascii="Times New Roman" w:hAnsi="Times New Roman" w:cs="Times New Roman"/>
          <w:b/>
          <w:sz w:val="28"/>
          <w:szCs w:val="28"/>
        </w:rPr>
        <w:t xml:space="preserve"> noteikumu</w:t>
      </w:r>
      <w:r w:rsidR="00420C59" w:rsidRPr="009621DE">
        <w:rPr>
          <w:rFonts w:ascii="Times New Roman" w:hAnsi="Times New Roman" w:cs="Times New Roman"/>
          <w:b/>
          <w:sz w:val="28"/>
          <w:szCs w:val="28"/>
        </w:rPr>
        <w:t xml:space="preserve"> 90. </w:t>
      </w:r>
      <w:r w:rsidR="005D605F" w:rsidRPr="009621DE">
        <w:rPr>
          <w:rFonts w:ascii="Times New Roman" w:hAnsi="Times New Roman" w:cs="Times New Roman"/>
          <w:b/>
          <w:sz w:val="28"/>
          <w:szCs w:val="28"/>
        </w:rPr>
        <w:t>punktu šādā redakcijā:</w:t>
      </w:r>
    </w:p>
    <w:p w:rsidR="009A7E2D" w:rsidRPr="009621DE" w:rsidRDefault="009A7E2D" w:rsidP="009621DE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2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90. Elektroenerģijas tirdzniecības piedāvājumos šo noteikumu 13.punktā minētajiem lietotājiem</w:t>
      </w:r>
      <w:r w:rsidR="006324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kuri vēlas kļūt par elektroenerģijas tirgus dalībniekiem,</w:t>
      </w:r>
      <w:r w:rsidRPr="00962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tirgotājs ietver šādu informāciju:</w:t>
      </w:r>
    </w:p>
    <w:p w:rsidR="00E54590" w:rsidRPr="009621DE" w:rsidRDefault="00613E96" w:rsidP="009621DE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2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90</w:t>
      </w:r>
      <w:r w:rsidR="00E54590" w:rsidRPr="00962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.1. elektroenerģijas tirdzniecības līguma darbības termiņš un līguma spēkā stāšanās datums; </w:t>
      </w:r>
    </w:p>
    <w:p w:rsidR="00E54590" w:rsidRPr="009621DE" w:rsidRDefault="00613E96" w:rsidP="009621DE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2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90</w:t>
      </w:r>
      <w:r w:rsidR="00E54590" w:rsidRPr="00962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.2. elektroenerģijas cena, norēķinu veids, maksa par pirmstermiņa līguma laušanu, ja tāda paredzēta, gadījumi, kad tirgotājam iespējams izteikt pretenzijas vai no viņa saņemt kompensācijas, jautājumu un pretenziju izskatīšanas  kārtība; </w:t>
      </w:r>
    </w:p>
    <w:p w:rsidR="002F248F" w:rsidRPr="009621DE" w:rsidRDefault="00613E96" w:rsidP="009621DE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2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90</w:t>
      </w:r>
      <w:r w:rsidR="002F248F" w:rsidRPr="00962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</w:t>
      </w:r>
      <w:r w:rsidR="003C32FF" w:rsidRPr="00962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A2907" w:rsidRPr="00962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par kopējām sagaidāmajām elektroenerģijas izmaksām par 100 kilovatstundām elektroenerģijas vai mēneša vidējo elektroenerģijas patēriņu</w:t>
      </w:r>
      <w:r w:rsidR="00A96733" w:rsidRPr="00962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izmaksu aprēķinā atsevišķi uzrādot elektroenerģijas cenu, maksu par sistēmas pakalpojumiem, obligātā iepirkuma komponentes, un pievienotās vērtības nodokli</w:t>
      </w:r>
      <w:r w:rsidR="00292385" w:rsidRPr="00962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CE17AE" w:rsidRDefault="00CE17AE" w:rsidP="009621DE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2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90.4. no atjaunojamiem energoresursiem saražotās elektroenerģijas īpatsvars tirgotāja iepriekšējā gadā pārdotajā elektroenerģijas apjomā. </w:t>
      </w:r>
    </w:p>
    <w:p w:rsidR="00B10642" w:rsidRPr="009621DE" w:rsidRDefault="00EC0146" w:rsidP="009621DE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B10642" w:rsidRPr="009621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.Izteikt noteikumu 91.</w:t>
      </w:r>
      <w:r w:rsidR="009621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B10642" w:rsidRPr="009621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.apakšpunktu šādā redakcijā:</w:t>
      </w:r>
    </w:p>
    <w:p w:rsidR="00D94C0C" w:rsidRPr="009621DE" w:rsidRDefault="00D94C0C" w:rsidP="009621DE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2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91.3. līgumā ietverami nosacījumi, kas atļauj lietotājam pārtraukt līguma darbību</w:t>
      </w:r>
      <w:r w:rsidR="00EC0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EC0146" w:rsidRPr="00EC0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kā arī nosaka paziņojuma par līgumu pārtraukšanu iesniegšanas kārtību</w:t>
      </w:r>
      <w:r w:rsidRPr="00962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Līgumā skaidri un nepārprotami jānorāda kompensācijas apmērs, kas lietotājam jāmaksā, pārtraucot līguma darbību šādā veidā, ja šāda kompensācija ir paredzēta.</w:t>
      </w:r>
    </w:p>
    <w:p w:rsidR="00D94C0C" w:rsidRPr="009621DE" w:rsidRDefault="00233981" w:rsidP="009621DE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7</w:t>
      </w:r>
      <w:r w:rsidR="00D94C0C" w:rsidRPr="009621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.Izteikt noteikumu 91.4.apakšpunktu šādā redakcijā</w:t>
      </w:r>
    </w:p>
    <w:p w:rsidR="00B10642" w:rsidRPr="009621DE" w:rsidRDefault="00D94C0C" w:rsidP="009621DE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2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91.4. līgumā ietverami nosacījumi, kas atļauj lietotājam atkāpties no noslēgtā elektroenerģijas tirdzniecības līguma</w:t>
      </w:r>
      <w:r w:rsidR="002812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962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par to paziņojot līdz </w:t>
      </w:r>
      <w:r w:rsidR="002812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esošā </w:t>
      </w:r>
      <w:r w:rsidRPr="00962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mēneša 20.datumam.</w:t>
      </w:r>
    </w:p>
    <w:p w:rsidR="00151E79" w:rsidRPr="009621DE" w:rsidRDefault="00233981" w:rsidP="009621D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32AEC" w:rsidRPr="009621DE">
        <w:rPr>
          <w:rFonts w:ascii="Times New Roman" w:hAnsi="Times New Roman" w:cs="Times New Roman"/>
          <w:b/>
          <w:sz w:val="28"/>
          <w:szCs w:val="28"/>
        </w:rPr>
        <w:t>.</w:t>
      </w:r>
      <w:r w:rsidR="00CF4D36" w:rsidRPr="009621DE">
        <w:rPr>
          <w:rFonts w:ascii="Times New Roman" w:hAnsi="Times New Roman" w:cs="Times New Roman"/>
          <w:b/>
          <w:sz w:val="28"/>
          <w:szCs w:val="28"/>
        </w:rPr>
        <w:t>Izteikt noteikumu 121.puntu šādā redakcijā:</w:t>
      </w:r>
    </w:p>
    <w:p w:rsidR="000C416A" w:rsidRPr="00335CA8" w:rsidRDefault="00520433" w:rsidP="009621DE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1DE">
        <w:rPr>
          <w:rFonts w:ascii="Times New Roman" w:hAnsi="Times New Roman" w:cs="Times New Roman"/>
          <w:sz w:val="28"/>
          <w:szCs w:val="28"/>
        </w:rPr>
        <w:t>121.</w:t>
      </w:r>
      <w:r w:rsidR="000C416A" w:rsidRPr="00335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Lietotāja izvēlētā tirgotāja pienākums ir informēt sistēmas operatoru par noslēgto vienošanos par elektroenerģijas tirdzniecību līdz </w:t>
      </w:r>
      <w:r w:rsidR="00233981" w:rsidRPr="00335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iepriekšējā </w:t>
      </w:r>
      <w:r w:rsidR="000C416A" w:rsidRPr="00335CA8">
        <w:rPr>
          <w:rFonts w:ascii="Times New Roman" w:hAnsi="Times New Roman" w:cs="Times New Roman"/>
          <w:color w:val="000000" w:themeColor="text1"/>
          <w:sz w:val="28"/>
          <w:szCs w:val="28"/>
        </w:rPr>
        <w:t>mēneša</w:t>
      </w:r>
      <w:r w:rsidR="00233981" w:rsidRPr="00335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pirms tirgotāja maiņas</w:t>
      </w:r>
      <w:r w:rsidR="000C416A" w:rsidRPr="00335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15.datumam, kā arī nekavējoties informēt sistēmas operatoru par šādas vienošanās laušanu.</w:t>
      </w:r>
    </w:p>
    <w:p w:rsidR="001A03D7" w:rsidRPr="00335CA8" w:rsidRDefault="00233981" w:rsidP="009621DE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5C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32AEC" w:rsidRPr="00335C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A03D7" w:rsidRPr="00335C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Papildināt noteikumus ar jaunu 121.</w:t>
      </w:r>
      <w:r w:rsidR="001A03D7" w:rsidRPr="00335CA8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1 </w:t>
      </w:r>
      <w:r w:rsidR="001A03D7" w:rsidRPr="00335C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punktu šādā redakcijā:</w:t>
      </w:r>
    </w:p>
    <w:p w:rsidR="001A03D7" w:rsidRPr="00335CA8" w:rsidRDefault="001A03D7" w:rsidP="009621DE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CA8">
        <w:rPr>
          <w:rFonts w:ascii="Times New Roman" w:hAnsi="Times New Roman" w:cs="Times New Roman"/>
          <w:color w:val="000000" w:themeColor="text1"/>
          <w:sz w:val="28"/>
          <w:szCs w:val="28"/>
        </w:rPr>
        <w:t>„121.</w:t>
      </w:r>
      <w:r w:rsidRPr="00335CA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335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Lietotāja izvēlētajam tirgotājam ir tiesības atsaukt šo noteikumu 121.punktā minēto tirgotāja maiņas paziņojumu līdz </w:t>
      </w:r>
      <w:r w:rsidR="00335CA8" w:rsidRPr="00335CA8">
        <w:rPr>
          <w:rFonts w:ascii="Times New Roman" w:hAnsi="Times New Roman" w:cs="Times New Roman"/>
          <w:color w:val="000000" w:themeColor="text1"/>
          <w:sz w:val="28"/>
          <w:szCs w:val="28"/>
        </w:rPr>
        <w:t>iepriekšējā mēneša pirms tirgotāja maiņas</w:t>
      </w:r>
      <w:r w:rsidRPr="00335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20. datumam.”</w:t>
      </w:r>
    </w:p>
    <w:p w:rsidR="00520433" w:rsidRPr="009621DE" w:rsidRDefault="00233981" w:rsidP="009621D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32AEC" w:rsidRPr="009621DE">
        <w:rPr>
          <w:rFonts w:ascii="Times New Roman" w:hAnsi="Times New Roman" w:cs="Times New Roman"/>
          <w:b/>
          <w:sz w:val="28"/>
          <w:szCs w:val="28"/>
        </w:rPr>
        <w:t>.</w:t>
      </w:r>
      <w:r w:rsidR="00520433" w:rsidRPr="009621DE">
        <w:rPr>
          <w:rFonts w:ascii="Times New Roman" w:hAnsi="Times New Roman" w:cs="Times New Roman"/>
          <w:b/>
          <w:sz w:val="28"/>
          <w:szCs w:val="28"/>
        </w:rPr>
        <w:t xml:space="preserve">Izteikt </w:t>
      </w:r>
      <w:r w:rsidR="00A32AEC" w:rsidRPr="009621DE">
        <w:rPr>
          <w:rFonts w:ascii="Times New Roman" w:hAnsi="Times New Roman" w:cs="Times New Roman"/>
          <w:b/>
          <w:sz w:val="28"/>
          <w:szCs w:val="28"/>
        </w:rPr>
        <w:t xml:space="preserve">noteikumu </w:t>
      </w:r>
      <w:r w:rsidR="00520433" w:rsidRPr="009621DE">
        <w:rPr>
          <w:rFonts w:ascii="Times New Roman" w:hAnsi="Times New Roman" w:cs="Times New Roman"/>
          <w:b/>
          <w:sz w:val="28"/>
          <w:szCs w:val="28"/>
        </w:rPr>
        <w:t>122.punktu šādā reda</w:t>
      </w:r>
      <w:r w:rsidR="0047671C" w:rsidRPr="009621DE">
        <w:rPr>
          <w:rFonts w:ascii="Times New Roman" w:hAnsi="Times New Roman" w:cs="Times New Roman"/>
          <w:b/>
          <w:sz w:val="28"/>
          <w:szCs w:val="28"/>
        </w:rPr>
        <w:t>kcijā:</w:t>
      </w:r>
    </w:p>
    <w:p w:rsidR="00520433" w:rsidRPr="009621DE" w:rsidRDefault="00520433" w:rsidP="009621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1DE">
        <w:rPr>
          <w:rFonts w:ascii="Times New Roman" w:hAnsi="Times New Roman" w:cs="Times New Roman"/>
          <w:sz w:val="28"/>
          <w:szCs w:val="28"/>
        </w:rPr>
        <w:t xml:space="preserve">122. </w:t>
      </w:r>
      <w:r w:rsidR="0047671C" w:rsidRPr="009621DE">
        <w:rPr>
          <w:rFonts w:ascii="Times New Roman" w:hAnsi="Times New Roman" w:cs="Times New Roman"/>
          <w:sz w:val="28"/>
          <w:szCs w:val="28"/>
        </w:rPr>
        <w:t xml:space="preserve">Sistēmas operators līdz </w:t>
      </w:r>
      <w:r w:rsidR="00233981">
        <w:rPr>
          <w:rFonts w:ascii="Times New Roman" w:hAnsi="Times New Roman" w:cs="Times New Roman"/>
          <w:sz w:val="28"/>
          <w:szCs w:val="28"/>
        </w:rPr>
        <w:t xml:space="preserve">iepriekšējā </w:t>
      </w:r>
      <w:r w:rsidR="0047671C" w:rsidRPr="009621DE">
        <w:rPr>
          <w:rFonts w:ascii="Times New Roman" w:hAnsi="Times New Roman" w:cs="Times New Roman"/>
          <w:sz w:val="28"/>
          <w:szCs w:val="28"/>
        </w:rPr>
        <w:t xml:space="preserve">mēneša </w:t>
      </w:r>
      <w:r w:rsidR="00233981">
        <w:rPr>
          <w:rFonts w:ascii="Times New Roman" w:hAnsi="Times New Roman" w:cs="Times New Roman"/>
          <w:sz w:val="28"/>
          <w:szCs w:val="28"/>
        </w:rPr>
        <w:t xml:space="preserve">pirms tirgotāja maiņas </w:t>
      </w:r>
      <w:r w:rsidR="0047671C" w:rsidRPr="009621DE">
        <w:rPr>
          <w:rFonts w:ascii="Times New Roman" w:hAnsi="Times New Roman" w:cs="Times New Roman"/>
          <w:sz w:val="28"/>
          <w:szCs w:val="28"/>
        </w:rPr>
        <w:t>25. datumam informē iepriekšējo tirgotāju par tirgotāja maiņu.</w:t>
      </w:r>
    </w:p>
    <w:p w:rsidR="0047671C" w:rsidRPr="009621DE" w:rsidRDefault="00CF0976" w:rsidP="009621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1DE">
        <w:rPr>
          <w:rFonts w:ascii="Times New Roman" w:hAnsi="Times New Roman" w:cs="Times New Roman"/>
          <w:sz w:val="28"/>
          <w:szCs w:val="28"/>
        </w:rPr>
        <w:t>10. Šie noteikumi</w:t>
      </w:r>
      <w:r w:rsidR="00ED30B5" w:rsidRPr="009621DE">
        <w:rPr>
          <w:rFonts w:ascii="Times New Roman" w:hAnsi="Times New Roman" w:cs="Times New Roman"/>
          <w:sz w:val="28"/>
          <w:szCs w:val="28"/>
        </w:rPr>
        <w:t xml:space="preserve"> stājas spēka 2014.gada 1.janvārī.</w:t>
      </w:r>
    </w:p>
    <w:p w:rsidR="0047671C" w:rsidRPr="009621DE" w:rsidRDefault="0047671C" w:rsidP="00794C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9621DE">
        <w:rPr>
          <w:rFonts w:ascii="Times New Roman" w:hAnsi="Times New Roman" w:cs="Times New Roman"/>
          <w:vanish/>
          <w:sz w:val="28"/>
          <w:szCs w:val="28"/>
        </w:rPr>
        <w:t>122</w:t>
      </w:r>
    </w:p>
    <w:p w:rsidR="000B72D3" w:rsidRPr="009621DE" w:rsidRDefault="000B72D3" w:rsidP="00A36B5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-415516"/>
      <w:bookmarkStart w:id="9" w:name="p122"/>
      <w:bookmarkEnd w:id="8"/>
      <w:bookmarkEnd w:id="9"/>
    </w:p>
    <w:p w:rsidR="009621DE" w:rsidRPr="000614F3" w:rsidRDefault="009621DE" w:rsidP="009621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0614F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Ministru prezidents                                                   </w:t>
      </w:r>
      <w:r w:rsidRPr="000614F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 w:rsidRPr="000614F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 w:rsidRPr="000614F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proofErr w:type="spellStart"/>
      <w:r w:rsidRPr="000614F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V.Dombrovskis</w:t>
      </w:r>
      <w:proofErr w:type="spellEnd"/>
    </w:p>
    <w:p w:rsidR="009621DE" w:rsidRPr="000614F3" w:rsidRDefault="009621DE" w:rsidP="009621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</w:p>
    <w:p w:rsidR="009621DE" w:rsidRPr="000614F3" w:rsidRDefault="009621DE" w:rsidP="009621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</w:p>
    <w:p w:rsidR="009621DE" w:rsidRPr="000614F3" w:rsidRDefault="009621DE" w:rsidP="009621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0614F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Iesniedzējs:</w:t>
      </w:r>
    </w:p>
    <w:p w:rsidR="009621DE" w:rsidRPr="000614F3" w:rsidRDefault="009621DE" w:rsidP="009621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0614F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ekonomikas ministrs</w:t>
      </w:r>
      <w:r w:rsidRPr="000614F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 w:rsidRPr="000614F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 w:rsidRPr="000614F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 w:rsidRPr="000614F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 w:rsidRPr="000614F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 w:rsidRPr="000614F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 w:rsidRPr="000614F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 w:rsidRPr="000614F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proofErr w:type="spellStart"/>
      <w:r w:rsidRPr="000614F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D.Pavļuts</w:t>
      </w:r>
      <w:proofErr w:type="spellEnd"/>
    </w:p>
    <w:p w:rsidR="009621DE" w:rsidRDefault="009621DE" w:rsidP="009621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</w:p>
    <w:p w:rsidR="009621DE" w:rsidRPr="000614F3" w:rsidRDefault="009621DE" w:rsidP="009621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</w:p>
    <w:p w:rsidR="009621DE" w:rsidRPr="000614F3" w:rsidRDefault="009621DE" w:rsidP="00962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14F3">
        <w:rPr>
          <w:rFonts w:ascii="Times New Roman" w:hAnsi="Times New Roman"/>
          <w:color w:val="000000"/>
          <w:sz w:val="28"/>
          <w:szCs w:val="28"/>
        </w:rPr>
        <w:t xml:space="preserve">Vīza: </w:t>
      </w:r>
    </w:p>
    <w:p w:rsidR="003861DE" w:rsidRDefault="003861DE" w:rsidP="00962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valsts sekretāra pienākumu izpildītājs,</w:t>
      </w:r>
    </w:p>
    <w:p w:rsidR="009621DE" w:rsidRPr="000614F3" w:rsidRDefault="003861DE" w:rsidP="009621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/>
          <w:color w:val="000000"/>
          <w:sz w:val="28"/>
          <w:szCs w:val="28"/>
        </w:rPr>
        <w:t>valsts sekretāra vietnieks</w:t>
      </w:r>
      <w:r w:rsidR="009621DE" w:rsidRPr="000614F3">
        <w:rPr>
          <w:rFonts w:ascii="Times New Roman" w:hAnsi="Times New Roman"/>
          <w:color w:val="000000"/>
          <w:sz w:val="28"/>
          <w:szCs w:val="28"/>
        </w:rPr>
        <w:tab/>
      </w:r>
      <w:r w:rsidR="009621DE" w:rsidRPr="000614F3">
        <w:rPr>
          <w:rFonts w:ascii="Times New Roman" w:hAnsi="Times New Roman"/>
          <w:color w:val="000000"/>
          <w:sz w:val="28"/>
          <w:szCs w:val="28"/>
        </w:rPr>
        <w:tab/>
      </w:r>
      <w:r w:rsidR="009621DE" w:rsidRPr="000614F3">
        <w:rPr>
          <w:rFonts w:ascii="Times New Roman" w:hAnsi="Times New Roman"/>
          <w:color w:val="000000"/>
          <w:sz w:val="28"/>
          <w:szCs w:val="28"/>
        </w:rPr>
        <w:tab/>
      </w:r>
      <w:r w:rsidR="009621DE" w:rsidRPr="000614F3">
        <w:rPr>
          <w:rFonts w:ascii="Times New Roman" w:hAnsi="Times New Roman"/>
          <w:color w:val="000000"/>
          <w:sz w:val="28"/>
          <w:szCs w:val="28"/>
        </w:rPr>
        <w:tab/>
      </w:r>
      <w:r w:rsidR="009621DE" w:rsidRPr="000614F3">
        <w:rPr>
          <w:rFonts w:ascii="Times New Roman" w:hAnsi="Times New Roman"/>
          <w:color w:val="000000"/>
          <w:sz w:val="28"/>
          <w:szCs w:val="28"/>
        </w:rPr>
        <w:tab/>
      </w:r>
      <w:r w:rsidR="009621DE" w:rsidRPr="000614F3">
        <w:rPr>
          <w:rFonts w:ascii="Times New Roman" w:hAnsi="Times New Roman"/>
          <w:color w:val="000000"/>
          <w:sz w:val="28"/>
          <w:szCs w:val="28"/>
        </w:rPr>
        <w:tab/>
      </w:r>
      <w:r w:rsidR="009621DE" w:rsidRPr="000614F3"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="009621DE" w:rsidRPr="000614F3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A.Liepiņš</w:t>
      </w:r>
    </w:p>
    <w:p w:rsidR="009621DE" w:rsidRPr="000614F3" w:rsidRDefault="009621DE" w:rsidP="009621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</w:p>
    <w:p w:rsidR="009621DE" w:rsidRPr="000614F3" w:rsidRDefault="009621DE" w:rsidP="009621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</w:p>
    <w:p w:rsidR="009621DE" w:rsidRPr="000614F3" w:rsidRDefault="009621DE" w:rsidP="009621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</w:p>
    <w:p w:rsidR="009621DE" w:rsidRPr="000614F3" w:rsidRDefault="009621DE" w:rsidP="009621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</w:p>
    <w:p w:rsidR="009621DE" w:rsidRPr="002579D1" w:rsidRDefault="009621DE" w:rsidP="009621D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color w:val="000000"/>
          <w:sz w:val="20"/>
          <w:szCs w:val="20"/>
        </w:rPr>
      </w:pPr>
    </w:p>
    <w:p w:rsidR="009621DE" w:rsidRPr="002579D1" w:rsidRDefault="009621DE" w:rsidP="009621D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color w:val="000000"/>
          <w:sz w:val="20"/>
          <w:szCs w:val="20"/>
        </w:rPr>
      </w:pPr>
    </w:p>
    <w:p w:rsidR="009621DE" w:rsidRPr="002579D1" w:rsidRDefault="00165406" w:rsidP="009621D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314302"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.12</w:t>
      </w:r>
      <w:r w:rsidR="009621DE" w:rsidRPr="002579D1">
        <w:rPr>
          <w:rFonts w:ascii="Times New Roman" w:hAnsi="Times New Roman"/>
          <w:color w:val="000000"/>
          <w:sz w:val="20"/>
          <w:szCs w:val="20"/>
        </w:rPr>
        <w:t xml:space="preserve">.2013. </w:t>
      </w:r>
      <w:r w:rsidR="00314302">
        <w:rPr>
          <w:rFonts w:ascii="Times New Roman" w:hAnsi="Times New Roman"/>
          <w:color w:val="000000"/>
          <w:sz w:val="20"/>
          <w:szCs w:val="20"/>
        </w:rPr>
        <w:t>09:01</w:t>
      </w:r>
    </w:p>
    <w:p w:rsidR="009621DE" w:rsidRDefault="009621DE" w:rsidP="009621D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fldChar w:fldCharType="begin"/>
      </w:r>
      <w:r>
        <w:rPr>
          <w:rFonts w:ascii="Times New Roman" w:hAnsi="Times New Roman"/>
          <w:color w:val="000000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314302">
        <w:rPr>
          <w:rFonts w:ascii="Times New Roman" w:hAnsi="Times New Roman"/>
          <w:noProof/>
          <w:color w:val="000000"/>
          <w:sz w:val="20"/>
          <w:szCs w:val="20"/>
        </w:rPr>
        <w:t>632</w:t>
      </w:r>
      <w:r>
        <w:rPr>
          <w:rFonts w:ascii="Times New Roman" w:hAnsi="Times New Roman"/>
          <w:color w:val="000000"/>
          <w:sz w:val="20"/>
          <w:szCs w:val="20"/>
        </w:rPr>
        <w:fldChar w:fldCharType="end"/>
      </w:r>
    </w:p>
    <w:p w:rsidR="009621DE" w:rsidRPr="002579D1" w:rsidRDefault="009621DE" w:rsidP="009621D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I.Niedrīte</w:t>
      </w:r>
      <w:r w:rsidRPr="002579D1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:rsidR="009621DE" w:rsidRPr="002579D1" w:rsidRDefault="009621DE" w:rsidP="009621D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color w:val="000000"/>
          <w:sz w:val="20"/>
          <w:szCs w:val="20"/>
        </w:rPr>
      </w:pPr>
      <w:r w:rsidRPr="002579D1">
        <w:rPr>
          <w:rFonts w:ascii="Times New Roman" w:hAnsi="Times New Roman"/>
          <w:color w:val="000000"/>
          <w:sz w:val="20"/>
          <w:szCs w:val="20"/>
        </w:rPr>
        <w:t>670131</w:t>
      </w:r>
      <w:r>
        <w:rPr>
          <w:rFonts w:ascii="Times New Roman" w:hAnsi="Times New Roman"/>
          <w:color w:val="000000"/>
          <w:sz w:val="20"/>
          <w:szCs w:val="20"/>
        </w:rPr>
        <w:t>68</w:t>
      </w:r>
    </w:p>
    <w:p w:rsidR="009621DE" w:rsidRPr="000614F3" w:rsidRDefault="00444822" w:rsidP="00C67211">
      <w:pPr>
        <w:pStyle w:val="Header"/>
        <w:tabs>
          <w:tab w:val="clear" w:pos="4153"/>
          <w:tab w:val="clear" w:pos="8306"/>
        </w:tabs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hyperlink r:id="rId9" w:history="1">
        <w:r w:rsidR="009621DE" w:rsidRPr="00D113E5">
          <w:rPr>
            <w:rStyle w:val="Hyperlink"/>
            <w:rFonts w:ascii="Times New Roman" w:hAnsi="Times New Roman"/>
            <w:sz w:val="20"/>
            <w:szCs w:val="20"/>
          </w:rPr>
          <w:t>Indra.Niedrite@em.gov.lv</w:t>
        </w:r>
      </w:hyperlink>
      <w:r w:rsidR="009621DE" w:rsidRPr="002579D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805E9" w:rsidRPr="009621DE" w:rsidRDefault="006805E9" w:rsidP="00A36B5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5E9" w:rsidRPr="009621DE" w:rsidRDefault="006805E9" w:rsidP="00A36B5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05E9" w:rsidRPr="009621DE" w:rsidSect="001C58A0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22" w:rsidRDefault="00444822" w:rsidP="009621DE">
      <w:pPr>
        <w:spacing w:after="0" w:line="240" w:lineRule="auto"/>
      </w:pPr>
      <w:r>
        <w:separator/>
      </w:r>
    </w:p>
  </w:endnote>
  <w:endnote w:type="continuationSeparator" w:id="0">
    <w:p w:rsidR="00444822" w:rsidRDefault="00444822" w:rsidP="0096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1DE" w:rsidRPr="00443A9B" w:rsidRDefault="009621DE" w:rsidP="009621DE">
    <w:pPr>
      <w:pStyle w:val="Title"/>
      <w:jc w:val="both"/>
    </w:pPr>
    <w:r>
      <w:rPr>
        <w:sz w:val="20"/>
        <w:szCs w:val="20"/>
      </w:rPr>
      <w:t>EMNot_</w:t>
    </w:r>
    <w:r w:rsidR="00314302">
      <w:rPr>
        <w:sz w:val="20"/>
        <w:szCs w:val="20"/>
      </w:rPr>
      <w:t>13</w:t>
    </w:r>
    <w:r w:rsidR="00165406">
      <w:rPr>
        <w:sz w:val="20"/>
        <w:szCs w:val="20"/>
      </w:rPr>
      <w:t>12</w:t>
    </w:r>
    <w:r>
      <w:rPr>
        <w:sz w:val="20"/>
        <w:szCs w:val="20"/>
      </w:rPr>
      <w:t>13_194</w:t>
    </w:r>
    <w:r w:rsidRPr="00D02B3D">
      <w:rPr>
        <w:sz w:val="20"/>
        <w:szCs w:val="20"/>
      </w:rPr>
      <w:t>; Ministru kabineta noteikumu projekts „</w:t>
    </w:r>
    <w:r w:rsidRPr="009621DE">
      <w:rPr>
        <w:sz w:val="20"/>
        <w:szCs w:val="20"/>
      </w:rPr>
      <w:t>Grozījumi Ministru kabineta 2011.gada 29.novembra noteikumos Nr.914 „Elektroenerģijas tirdzniecības un lietošana</w:t>
    </w:r>
    <w:r>
      <w:rPr>
        <w:sz w:val="20"/>
        <w:szCs w:val="20"/>
      </w:rPr>
      <w:t>s noteikumi</w:t>
    </w:r>
    <w:r w:rsidRPr="00D02B3D">
      <w:rPr>
        <w:sz w:val="20"/>
        <w:szCs w:val="20"/>
        <w:lang w:eastAsia="lv-LV"/>
      </w:rPr>
      <w:t>”</w:t>
    </w:r>
    <w:r>
      <w:rPr>
        <w:sz w:val="20"/>
        <w:szCs w:val="20"/>
        <w:lang w:eastAsia="lv-LV"/>
      </w:rPr>
      <w:t>”</w:t>
    </w:r>
  </w:p>
  <w:p w:rsidR="009621DE" w:rsidRPr="009621DE" w:rsidRDefault="009621DE" w:rsidP="009621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02" w:rsidRDefault="00314302" w:rsidP="00314302">
    <w:pPr>
      <w:pStyle w:val="Title"/>
      <w:jc w:val="both"/>
    </w:pPr>
    <w:r>
      <w:rPr>
        <w:sz w:val="20"/>
        <w:szCs w:val="20"/>
      </w:rPr>
      <w:t>EMNot_131213_194</w:t>
    </w:r>
    <w:r w:rsidRPr="00D02B3D">
      <w:rPr>
        <w:sz w:val="20"/>
        <w:szCs w:val="20"/>
      </w:rPr>
      <w:t>; Ministru kabineta noteikumu projekts „</w:t>
    </w:r>
    <w:r w:rsidRPr="009621DE">
      <w:rPr>
        <w:sz w:val="20"/>
        <w:szCs w:val="20"/>
      </w:rPr>
      <w:t>Grozījumi Ministru kabineta 2011.gada 29.novembra noteikumos Nr.914 „Elektroenerģijas tirdzniecības un lietošana</w:t>
    </w:r>
    <w:r>
      <w:rPr>
        <w:sz w:val="20"/>
        <w:szCs w:val="20"/>
      </w:rPr>
      <w:t>s noteikumi</w:t>
    </w:r>
    <w:r w:rsidRPr="00D02B3D">
      <w:rPr>
        <w:sz w:val="20"/>
        <w:szCs w:val="20"/>
        <w:lang w:eastAsia="lv-LV"/>
      </w:rPr>
      <w:t>”</w:t>
    </w:r>
    <w:r>
      <w:rPr>
        <w:sz w:val="20"/>
        <w:szCs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22" w:rsidRDefault="00444822" w:rsidP="009621DE">
      <w:pPr>
        <w:spacing w:after="0" w:line="240" w:lineRule="auto"/>
      </w:pPr>
      <w:r>
        <w:separator/>
      </w:r>
    </w:p>
  </w:footnote>
  <w:footnote w:type="continuationSeparator" w:id="0">
    <w:p w:rsidR="00444822" w:rsidRDefault="00444822" w:rsidP="0096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590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C58A0" w:rsidRPr="001C58A0" w:rsidRDefault="001C58A0">
        <w:pPr>
          <w:pStyle w:val="Header"/>
          <w:jc w:val="center"/>
          <w:rPr>
            <w:rFonts w:ascii="Times New Roman" w:hAnsi="Times New Roman" w:cs="Times New Roman"/>
          </w:rPr>
        </w:pPr>
        <w:r w:rsidRPr="001C58A0">
          <w:rPr>
            <w:rFonts w:ascii="Times New Roman" w:hAnsi="Times New Roman" w:cs="Times New Roman"/>
          </w:rPr>
          <w:fldChar w:fldCharType="begin"/>
        </w:r>
        <w:r w:rsidRPr="001C58A0">
          <w:rPr>
            <w:rFonts w:ascii="Times New Roman" w:hAnsi="Times New Roman" w:cs="Times New Roman"/>
          </w:rPr>
          <w:instrText xml:space="preserve"> PAGE   \* MERGEFORMAT </w:instrText>
        </w:r>
        <w:r w:rsidRPr="001C58A0">
          <w:rPr>
            <w:rFonts w:ascii="Times New Roman" w:hAnsi="Times New Roman" w:cs="Times New Roman"/>
          </w:rPr>
          <w:fldChar w:fldCharType="separate"/>
        </w:r>
        <w:r w:rsidR="00314302">
          <w:rPr>
            <w:rFonts w:ascii="Times New Roman" w:hAnsi="Times New Roman" w:cs="Times New Roman"/>
            <w:noProof/>
          </w:rPr>
          <w:t>3</w:t>
        </w:r>
        <w:r w:rsidRPr="001C58A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C58A0" w:rsidRDefault="001C58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E4FC0"/>
    <w:multiLevelType w:val="hybridMultilevel"/>
    <w:tmpl w:val="5B60F4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62186"/>
    <w:multiLevelType w:val="hybridMultilevel"/>
    <w:tmpl w:val="2BD4BB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B7"/>
    <w:rsid w:val="00000CAC"/>
    <w:rsid w:val="00026211"/>
    <w:rsid w:val="00037153"/>
    <w:rsid w:val="0004245C"/>
    <w:rsid w:val="0007587D"/>
    <w:rsid w:val="000955DF"/>
    <w:rsid w:val="000B4C4D"/>
    <w:rsid w:val="000B72D3"/>
    <w:rsid w:val="000C416A"/>
    <w:rsid w:val="000D3946"/>
    <w:rsid w:val="000E4E88"/>
    <w:rsid w:val="00103FB0"/>
    <w:rsid w:val="00122300"/>
    <w:rsid w:val="001234E5"/>
    <w:rsid w:val="00126421"/>
    <w:rsid w:val="00151E79"/>
    <w:rsid w:val="00152B1C"/>
    <w:rsid w:val="001555A5"/>
    <w:rsid w:val="00156288"/>
    <w:rsid w:val="00165406"/>
    <w:rsid w:val="00176436"/>
    <w:rsid w:val="001A03D7"/>
    <w:rsid w:val="001C54F3"/>
    <w:rsid w:val="001C58A0"/>
    <w:rsid w:val="001E4FA8"/>
    <w:rsid w:val="001E5A84"/>
    <w:rsid w:val="001E720B"/>
    <w:rsid w:val="0022006A"/>
    <w:rsid w:val="00224380"/>
    <w:rsid w:val="00233981"/>
    <w:rsid w:val="00253DD2"/>
    <w:rsid w:val="00281254"/>
    <w:rsid w:val="002905F3"/>
    <w:rsid w:val="00292385"/>
    <w:rsid w:val="002A5CE5"/>
    <w:rsid w:val="002B2375"/>
    <w:rsid w:val="002D183E"/>
    <w:rsid w:val="002D41B1"/>
    <w:rsid w:val="002E34A4"/>
    <w:rsid w:val="002F248F"/>
    <w:rsid w:val="00314302"/>
    <w:rsid w:val="00317E05"/>
    <w:rsid w:val="00333E15"/>
    <w:rsid w:val="003356BF"/>
    <w:rsid w:val="00335CA8"/>
    <w:rsid w:val="003408CD"/>
    <w:rsid w:val="00350820"/>
    <w:rsid w:val="00360A05"/>
    <w:rsid w:val="00366C59"/>
    <w:rsid w:val="003861DE"/>
    <w:rsid w:val="003872E3"/>
    <w:rsid w:val="003925AA"/>
    <w:rsid w:val="003B0ACA"/>
    <w:rsid w:val="003C32FF"/>
    <w:rsid w:val="003D7C96"/>
    <w:rsid w:val="00402306"/>
    <w:rsid w:val="00420C59"/>
    <w:rsid w:val="00444822"/>
    <w:rsid w:val="00452177"/>
    <w:rsid w:val="0047671C"/>
    <w:rsid w:val="00476AB1"/>
    <w:rsid w:val="00477E1B"/>
    <w:rsid w:val="004B45CF"/>
    <w:rsid w:val="004C2BAC"/>
    <w:rsid w:val="004C60DB"/>
    <w:rsid w:val="004D4248"/>
    <w:rsid w:val="004F64A9"/>
    <w:rsid w:val="00514A12"/>
    <w:rsid w:val="00520433"/>
    <w:rsid w:val="00524D0F"/>
    <w:rsid w:val="00525099"/>
    <w:rsid w:val="005338C2"/>
    <w:rsid w:val="00554CD7"/>
    <w:rsid w:val="00566180"/>
    <w:rsid w:val="005766AC"/>
    <w:rsid w:val="00591B27"/>
    <w:rsid w:val="005C5F4A"/>
    <w:rsid w:val="005C7F85"/>
    <w:rsid w:val="005D605F"/>
    <w:rsid w:val="005E2280"/>
    <w:rsid w:val="00613E96"/>
    <w:rsid w:val="0063247C"/>
    <w:rsid w:val="00632C78"/>
    <w:rsid w:val="00652BD4"/>
    <w:rsid w:val="006805E9"/>
    <w:rsid w:val="00684509"/>
    <w:rsid w:val="00687DE2"/>
    <w:rsid w:val="0069092D"/>
    <w:rsid w:val="006A44DE"/>
    <w:rsid w:val="006B7291"/>
    <w:rsid w:val="006B74A5"/>
    <w:rsid w:val="006C6AF7"/>
    <w:rsid w:val="006D0E89"/>
    <w:rsid w:val="006D1A68"/>
    <w:rsid w:val="00772613"/>
    <w:rsid w:val="00772F92"/>
    <w:rsid w:val="00794C5F"/>
    <w:rsid w:val="00794CF2"/>
    <w:rsid w:val="007A499C"/>
    <w:rsid w:val="007C0288"/>
    <w:rsid w:val="007E5A51"/>
    <w:rsid w:val="007F48A6"/>
    <w:rsid w:val="008033E0"/>
    <w:rsid w:val="00832D3D"/>
    <w:rsid w:val="00851275"/>
    <w:rsid w:val="00864B06"/>
    <w:rsid w:val="008914E1"/>
    <w:rsid w:val="008A3CD1"/>
    <w:rsid w:val="008B1AA1"/>
    <w:rsid w:val="008B4F8B"/>
    <w:rsid w:val="008C62C1"/>
    <w:rsid w:val="008D1124"/>
    <w:rsid w:val="008D6D7D"/>
    <w:rsid w:val="00903D1F"/>
    <w:rsid w:val="00934BAA"/>
    <w:rsid w:val="009432FC"/>
    <w:rsid w:val="00951FEC"/>
    <w:rsid w:val="009621DE"/>
    <w:rsid w:val="00975DFB"/>
    <w:rsid w:val="009A03C4"/>
    <w:rsid w:val="009A7E2D"/>
    <w:rsid w:val="009E7AD6"/>
    <w:rsid w:val="009F6202"/>
    <w:rsid w:val="00A07619"/>
    <w:rsid w:val="00A124B6"/>
    <w:rsid w:val="00A12CBD"/>
    <w:rsid w:val="00A130B7"/>
    <w:rsid w:val="00A155E0"/>
    <w:rsid w:val="00A16041"/>
    <w:rsid w:val="00A25E95"/>
    <w:rsid w:val="00A32AEC"/>
    <w:rsid w:val="00A36B52"/>
    <w:rsid w:val="00A51E5B"/>
    <w:rsid w:val="00A53EBD"/>
    <w:rsid w:val="00A65070"/>
    <w:rsid w:val="00A96733"/>
    <w:rsid w:val="00AA0A47"/>
    <w:rsid w:val="00AB7A06"/>
    <w:rsid w:val="00AD366A"/>
    <w:rsid w:val="00B00ACF"/>
    <w:rsid w:val="00B10642"/>
    <w:rsid w:val="00B408BC"/>
    <w:rsid w:val="00B835DA"/>
    <w:rsid w:val="00BB16CF"/>
    <w:rsid w:val="00BB7D40"/>
    <w:rsid w:val="00BD2A12"/>
    <w:rsid w:val="00BD4B60"/>
    <w:rsid w:val="00BF05D9"/>
    <w:rsid w:val="00C104C7"/>
    <w:rsid w:val="00C256E9"/>
    <w:rsid w:val="00C4039D"/>
    <w:rsid w:val="00C44B48"/>
    <w:rsid w:val="00C67211"/>
    <w:rsid w:val="00C67492"/>
    <w:rsid w:val="00CA0FF2"/>
    <w:rsid w:val="00CE17AE"/>
    <w:rsid w:val="00CF0976"/>
    <w:rsid w:val="00CF4D36"/>
    <w:rsid w:val="00D005E0"/>
    <w:rsid w:val="00D069BB"/>
    <w:rsid w:val="00D07E47"/>
    <w:rsid w:val="00D26AAA"/>
    <w:rsid w:val="00D44A7C"/>
    <w:rsid w:val="00D62030"/>
    <w:rsid w:val="00D94C0C"/>
    <w:rsid w:val="00DC4503"/>
    <w:rsid w:val="00DD4F89"/>
    <w:rsid w:val="00DF1CD9"/>
    <w:rsid w:val="00E30EA4"/>
    <w:rsid w:val="00E54590"/>
    <w:rsid w:val="00E752D8"/>
    <w:rsid w:val="00E77323"/>
    <w:rsid w:val="00E80F3A"/>
    <w:rsid w:val="00E83FA9"/>
    <w:rsid w:val="00E8544C"/>
    <w:rsid w:val="00EA0F7D"/>
    <w:rsid w:val="00EA2907"/>
    <w:rsid w:val="00EA4B30"/>
    <w:rsid w:val="00EA7315"/>
    <w:rsid w:val="00EC0146"/>
    <w:rsid w:val="00EC6E7D"/>
    <w:rsid w:val="00ED30B5"/>
    <w:rsid w:val="00ED6B10"/>
    <w:rsid w:val="00F14BC0"/>
    <w:rsid w:val="00F40492"/>
    <w:rsid w:val="00F40F02"/>
    <w:rsid w:val="00F47D36"/>
    <w:rsid w:val="00F64C8E"/>
    <w:rsid w:val="00F850F9"/>
    <w:rsid w:val="00F9233E"/>
    <w:rsid w:val="00FD6239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E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C5F"/>
    <w:pPr>
      <w:ind w:left="720"/>
      <w:contextualSpacing/>
    </w:pPr>
  </w:style>
  <w:style w:type="paragraph" w:styleId="Revision">
    <w:name w:val="Revision"/>
    <w:hidden/>
    <w:uiPriority w:val="99"/>
    <w:semiHidden/>
    <w:rsid w:val="006805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1DE"/>
  </w:style>
  <w:style w:type="paragraph" w:styleId="Footer">
    <w:name w:val="footer"/>
    <w:basedOn w:val="Normal"/>
    <w:link w:val="FooterChar"/>
    <w:uiPriority w:val="99"/>
    <w:unhideWhenUsed/>
    <w:rsid w:val="00962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1DE"/>
  </w:style>
  <w:style w:type="paragraph" w:styleId="Title">
    <w:name w:val="Title"/>
    <w:basedOn w:val="Normal"/>
    <w:link w:val="TitleChar"/>
    <w:qFormat/>
    <w:rsid w:val="009621D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621DE"/>
    <w:rPr>
      <w:rFonts w:ascii="Times New Roman" w:eastAsia="Times New Roman" w:hAnsi="Times New Roman" w:cs="Times New Roman"/>
      <w:sz w:val="32"/>
      <w:szCs w:val="24"/>
    </w:rPr>
  </w:style>
  <w:style w:type="paragraph" w:customStyle="1" w:styleId="tv2131">
    <w:name w:val="tv2131"/>
    <w:basedOn w:val="Normal"/>
    <w:rsid w:val="009A03C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B7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D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E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C5F"/>
    <w:pPr>
      <w:ind w:left="720"/>
      <w:contextualSpacing/>
    </w:pPr>
  </w:style>
  <w:style w:type="paragraph" w:styleId="Revision">
    <w:name w:val="Revision"/>
    <w:hidden/>
    <w:uiPriority w:val="99"/>
    <w:semiHidden/>
    <w:rsid w:val="006805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1DE"/>
  </w:style>
  <w:style w:type="paragraph" w:styleId="Footer">
    <w:name w:val="footer"/>
    <w:basedOn w:val="Normal"/>
    <w:link w:val="FooterChar"/>
    <w:uiPriority w:val="99"/>
    <w:unhideWhenUsed/>
    <w:rsid w:val="00962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1DE"/>
  </w:style>
  <w:style w:type="paragraph" w:styleId="Title">
    <w:name w:val="Title"/>
    <w:basedOn w:val="Normal"/>
    <w:link w:val="TitleChar"/>
    <w:qFormat/>
    <w:rsid w:val="009621D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621DE"/>
    <w:rPr>
      <w:rFonts w:ascii="Times New Roman" w:eastAsia="Times New Roman" w:hAnsi="Times New Roman" w:cs="Times New Roman"/>
      <w:sz w:val="32"/>
      <w:szCs w:val="24"/>
    </w:rPr>
  </w:style>
  <w:style w:type="paragraph" w:customStyle="1" w:styleId="tv2131">
    <w:name w:val="tv2131"/>
    <w:basedOn w:val="Normal"/>
    <w:rsid w:val="009A03C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B7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395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59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48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420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2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202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dra.Niedrite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9930-B1E1-4259-861B-851FF06B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5049</Characters>
  <Application>Microsoft Office Word</Application>
  <DocSecurity>0</DocSecurity>
  <Lines>126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29.novembra noteikumos Nr.914 „Elektroenerģijas tirdzniecības un lietošanas noteikumi”</vt:lpstr>
    </vt:vector>
  </TitlesOfParts>
  <Company>LR Ekonomikas ministrija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29.novembra noteikumos Nr.914 „Elektroenerģijas tirdzniecības un lietošanas noteikumi”</dc:title>
  <dc:subject>MK noteikumu projekts</dc:subject>
  <dc:creator>Indra.Niedrite@em.gov.lv</dc:creator>
  <cp:lastModifiedBy>Indra Niedrīte</cp:lastModifiedBy>
  <cp:revision>3</cp:revision>
  <dcterms:created xsi:type="dcterms:W3CDTF">2013-12-13T07:00:00Z</dcterms:created>
  <dcterms:modified xsi:type="dcterms:W3CDTF">2013-12-13T07:01:00Z</dcterms:modified>
</cp:coreProperties>
</file>