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34" w:rsidRDefault="002C3234" w:rsidP="002C3234">
      <w:pPr>
        <w:pStyle w:val="NormalWeb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2C3234" w:rsidRDefault="002C3234" w:rsidP="002C3234">
      <w:pPr>
        <w:pStyle w:val="Heading2"/>
      </w:pPr>
      <w:r>
        <w:t>LATVIJAS REPUBLIKAS MINISTRU KABINETS</w:t>
      </w:r>
    </w:p>
    <w:p w:rsidR="002C3234" w:rsidRDefault="00171B4F" w:rsidP="002C3234">
      <w:pPr>
        <w:rPr>
          <w:sz w:val="28"/>
        </w:rPr>
      </w:pPr>
      <w:r>
        <w:rPr>
          <w:sz w:val="28"/>
        </w:rPr>
        <w:t>2011</w:t>
      </w:r>
      <w:r w:rsidR="002C3234">
        <w:rPr>
          <w:sz w:val="28"/>
        </w:rPr>
        <w:t>.gada ___. _______</w:t>
      </w:r>
      <w:r w:rsidR="002C3234">
        <w:rPr>
          <w:sz w:val="28"/>
        </w:rPr>
        <w:tab/>
      </w:r>
      <w:r w:rsidR="002C3234">
        <w:rPr>
          <w:sz w:val="28"/>
        </w:rPr>
        <w:tab/>
      </w:r>
      <w:r w:rsidR="002C3234">
        <w:rPr>
          <w:sz w:val="28"/>
        </w:rPr>
        <w:tab/>
      </w:r>
      <w:r w:rsidR="002C3234">
        <w:rPr>
          <w:sz w:val="28"/>
        </w:rPr>
        <w:tab/>
      </w:r>
      <w:r w:rsidR="002C3234">
        <w:rPr>
          <w:sz w:val="28"/>
        </w:rPr>
        <w:tab/>
      </w:r>
      <w:r w:rsidR="00D41432">
        <w:rPr>
          <w:sz w:val="28"/>
        </w:rPr>
        <w:t xml:space="preserve">            </w:t>
      </w:r>
      <w:r w:rsidR="002C3234">
        <w:rPr>
          <w:sz w:val="28"/>
        </w:rPr>
        <w:t>Noteikumi Nr.____</w:t>
      </w:r>
    </w:p>
    <w:p w:rsidR="002C3234" w:rsidRDefault="002C3234" w:rsidP="002C3234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41432">
        <w:rPr>
          <w:sz w:val="28"/>
        </w:rPr>
        <w:t xml:space="preserve">            </w:t>
      </w:r>
      <w:r>
        <w:rPr>
          <w:sz w:val="28"/>
        </w:rPr>
        <w:t>(prot.Nr.___,___.§)</w:t>
      </w:r>
    </w:p>
    <w:p w:rsidR="007D665C" w:rsidRDefault="007D665C" w:rsidP="002C3234">
      <w:pPr>
        <w:jc w:val="center"/>
        <w:rPr>
          <w:b/>
          <w:bCs/>
          <w:sz w:val="28"/>
          <w:szCs w:val="28"/>
        </w:rPr>
      </w:pPr>
    </w:p>
    <w:p w:rsidR="002C3234" w:rsidRPr="00BA14FB" w:rsidRDefault="0014513B" w:rsidP="00BA14FB">
      <w:pPr>
        <w:jc w:val="center"/>
        <w:rPr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5"/>
      <w:bookmarkStart w:id="5" w:name="OLE_LINK6"/>
      <w:bookmarkStart w:id="6" w:name="OLE_LINK7"/>
      <w:bookmarkStart w:id="7" w:name="OLE_LINK8"/>
      <w:r w:rsidRPr="00BA14FB">
        <w:rPr>
          <w:b/>
          <w:bCs/>
          <w:sz w:val="28"/>
          <w:szCs w:val="28"/>
        </w:rPr>
        <w:t>Grozījum</w:t>
      </w:r>
      <w:r w:rsidR="00EC5CFB">
        <w:rPr>
          <w:b/>
          <w:bCs/>
          <w:sz w:val="28"/>
          <w:szCs w:val="28"/>
        </w:rPr>
        <w:t>i</w:t>
      </w:r>
      <w:r w:rsidR="00473CCD" w:rsidRPr="00BA14FB">
        <w:rPr>
          <w:b/>
          <w:bCs/>
          <w:sz w:val="28"/>
          <w:szCs w:val="28"/>
        </w:rPr>
        <w:t xml:space="preserve"> Ministru kabineta 20</w:t>
      </w:r>
      <w:r w:rsidRPr="00BA14FB">
        <w:rPr>
          <w:b/>
          <w:bCs/>
          <w:sz w:val="28"/>
          <w:szCs w:val="28"/>
        </w:rPr>
        <w:t>10</w:t>
      </w:r>
      <w:r w:rsidR="00EC5CFB">
        <w:rPr>
          <w:b/>
          <w:bCs/>
          <w:sz w:val="28"/>
          <w:szCs w:val="28"/>
        </w:rPr>
        <w:t>.gada 13</w:t>
      </w:r>
      <w:r w:rsidR="002C3234" w:rsidRPr="00BA14FB">
        <w:rPr>
          <w:b/>
          <w:bCs/>
          <w:sz w:val="28"/>
          <w:szCs w:val="28"/>
        </w:rPr>
        <w:t>.</w:t>
      </w:r>
      <w:r w:rsidR="00EC5CFB">
        <w:rPr>
          <w:b/>
          <w:bCs/>
          <w:sz w:val="28"/>
          <w:szCs w:val="28"/>
        </w:rPr>
        <w:t>aprīļa</w:t>
      </w:r>
      <w:r w:rsidR="002C3234" w:rsidRPr="00BA14FB">
        <w:rPr>
          <w:b/>
          <w:bCs/>
          <w:sz w:val="28"/>
          <w:szCs w:val="28"/>
        </w:rPr>
        <w:t xml:space="preserve"> noteikumos Nr.</w:t>
      </w:r>
      <w:r w:rsidRPr="00BA14FB">
        <w:rPr>
          <w:b/>
          <w:bCs/>
          <w:sz w:val="28"/>
          <w:szCs w:val="28"/>
        </w:rPr>
        <w:t>3</w:t>
      </w:r>
      <w:r w:rsidR="00EC5CFB">
        <w:rPr>
          <w:b/>
          <w:bCs/>
          <w:sz w:val="28"/>
          <w:szCs w:val="28"/>
        </w:rPr>
        <w:t>78</w:t>
      </w:r>
      <w:r w:rsidR="002C3234" w:rsidRPr="00BA14FB">
        <w:rPr>
          <w:b/>
          <w:bCs/>
          <w:sz w:val="28"/>
          <w:szCs w:val="28"/>
        </w:rPr>
        <w:t xml:space="preserve"> „</w:t>
      </w:r>
      <w:bookmarkEnd w:id="0"/>
      <w:bookmarkEnd w:id="1"/>
      <w:r w:rsidR="00BA14FB" w:rsidRPr="00BA14FB">
        <w:rPr>
          <w:b/>
          <w:bCs/>
          <w:sz w:val="28"/>
          <w:szCs w:val="28"/>
        </w:rPr>
        <w:t xml:space="preserve">Noteikumi par </w:t>
      </w:r>
      <w:r w:rsidR="00EC5CFB">
        <w:rPr>
          <w:b/>
          <w:bCs/>
          <w:sz w:val="28"/>
          <w:szCs w:val="28"/>
        </w:rPr>
        <w:t>kapitālsabiedrību sarakstu</w:t>
      </w:r>
      <w:r w:rsidR="002C3234" w:rsidRPr="00BA14FB">
        <w:rPr>
          <w:b/>
          <w:bCs/>
          <w:sz w:val="28"/>
          <w:szCs w:val="28"/>
        </w:rPr>
        <w:t>”</w:t>
      </w:r>
    </w:p>
    <w:bookmarkEnd w:id="2"/>
    <w:bookmarkEnd w:id="3"/>
    <w:bookmarkEnd w:id="4"/>
    <w:bookmarkEnd w:id="5"/>
    <w:bookmarkEnd w:id="6"/>
    <w:bookmarkEnd w:id="7"/>
    <w:p w:rsidR="0014513B" w:rsidRDefault="0014513B" w:rsidP="0014513B">
      <w:pPr>
        <w:pStyle w:val="naislab"/>
        <w:spacing w:before="0" w:after="0"/>
      </w:pPr>
    </w:p>
    <w:p w:rsidR="0014513B" w:rsidRDefault="0014513B" w:rsidP="0014513B">
      <w:pPr>
        <w:pStyle w:val="naislab"/>
        <w:spacing w:before="0" w:after="0"/>
      </w:pPr>
    </w:p>
    <w:p w:rsidR="00BA14FB" w:rsidRPr="00BA14FB" w:rsidRDefault="002B4B36" w:rsidP="00BA14FB">
      <w:pPr>
        <w:pStyle w:val="naislab"/>
        <w:spacing w:before="0" w:after="0"/>
        <w:rPr>
          <w:sz w:val="28"/>
          <w:szCs w:val="28"/>
        </w:rPr>
      </w:pPr>
      <w:r>
        <w:t xml:space="preserve"> </w:t>
      </w:r>
      <w:r w:rsidR="00BA14FB" w:rsidRPr="00BA14FB">
        <w:rPr>
          <w:sz w:val="28"/>
          <w:szCs w:val="28"/>
        </w:rPr>
        <w:t>Izdoti saskaņā ar likuma</w:t>
      </w:r>
    </w:p>
    <w:p w:rsidR="00EC5CFB" w:rsidRDefault="00BA14FB" w:rsidP="00BA14FB">
      <w:pPr>
        <w:pStyle w:val="naislab"/>
        <w:spacing w:before="0" w:after="0"/>
        <w:rPr>
          <w:sz w:val="28"/>
          <w:szCs w:val="28"/>
        </w:rPr>
      </w:pPr>
      <w:r w:rsidRPr="00BA14FB">
        <w:rPr>
          <w:sz w:val="28"/>
          <w:szCs w:val="28"/>
        </w:rPr>
        <w:t>"Par valsts un pašvaldību kapitāla</w:t>
      </w:r>
    </w:p>
    <w:p w:rsidR="00BA14FB" w:rsidRPr="00BA14FB" w:rsidRDefault="00BA14FB" w:rsidP="00EC5CFB">
      <w:pPr>
        <w:pStyle w:val="naislab"/>
        <w:spacing w:before="0" w:after="0"/>
        <w:rPr>
          <w:sz w:val="28"/>
          <w:szCs w:val="28"/>
        </w:rPr>
      </w:pPr>
      <w:r w:rsidRPr="00BA14FB">
        <w:rPr>
          <w:sz w:val="28"/>
          <w:szCs w:val="28"/>
        </w:rPr>
        <w:t xml:space="preserve">daļām </w:t>
      </w:r>
      <w:r w:rsidR="00EC5CFB">
        <w:rPr>
          <w:sz w:val="28"/>
          <w:szCs w:val="28"/>
        </w:rPr>
        <w:t xml:space="preserve"> </w:t>
      </w:r>
      <w:r w:rsidRPr="00BA14FB">
        <w:rPr>
          <w:sz w:val="28"/>
          <w:szCs w:val="28"/>
        </w:rPr>
        <w:t>un kapitālsabiedrībām"</w:t>
      </w:r>
    </w:p>
    <w:p w:rsidR="00EC5CFB" w:rsidRDefault="00BA14FB" w:rsidP="002B08BC">
      <w:pPr>
        <w:pStyle w:val="naislab"/>
        <w:spacing w:before="0" w:after="0"/>
        <w:rPr>
          <w:sz w:val="28"/>
          <w:szCs w:val="28"/>
        </w:rPr>
      </w:pPr>
      <w:r w:rsidRPr="00BA14FB">
        <w:rPr>
          <w:sz w:val="28"/>
          <w:szCs w:val="28"/>
        </w:rPr>
        <w:t>pārejas noteikumu 45., 46. un 47.punktu</w:t>
      </w:r>
    </w:p>
    <w:p w:rsidR="00EC5CFB" w:rsidRDefault="00EC5CFB" w:rsidP="002C3234">
      <w:pPr>
        <w:pStyle w:val="Header"/>
        <w:tabs>
          <w:tab w:val="left" w:pos="720"/>
        </w:tabs>
        <w:jc w:val="both"/>
        <w:rPr>
          <w:sz w:val="28"/>
          <w:szCs w:val="28"/>
        </w:rPr>
      </w:pPr>
    </w:p>
    <w:p w:rsidR="00857278" w:rsidRDefault="00171B4F" w:rsidP="002C3234">
      <w:pPr>
        <w:pStyle w:val="Header"/>
        <w:tabs>
          <w:tab w:val="left" w:pos="720"/>
        </w:tabs>
        <w:jc w:val="both"/>
        <w:rPr>
          <w:sz w:val="28"/>
          <w:szCs w:val="28"/>
        </w:rPr>
      </w:pPr>
      <w:r w:rsidRPr="00EC5CFB">
        <w:rPr>
          <w:sz w:val="28"/>
          <w:szCs w:val="28"/>
        </w:rPr>
        <w:t xml:space="preserve">Izdarīt Ministru kabineta </w:t>
      </w:r>
      <w:r w:rsidR="0014513B" w:rsidRPr="00EC5CFB">
        <w:rPr>
          <w:sz w:val="28"/>
          <w:szCs w:val="28"/>
        </w:rPr>
        <w:t>2010</w:t>
      </w:r>
      <w:r w:rsidR="002C3234" w:rsidRPr="00EC5CFB">
        <w:rPr>
          <w:sz w:val="28"/>
          <w:szCs w:val="28"/>
        </w:rPr>
        <w:t xml:space="preserve">.gada </w:t>
      </w:r>
      <w:r w:rsidR="00EC5CFB" w:rsidRPr="00EC5CFB">
        <w:rPr>
          <w:sz w:val="28"/>
          <w:szCs w:val="28"/>
        </w:rPr>
        <w:t>13</w:t>
      </w:r>
      <w:r w:rsidR="002C3234" w:rsidRPr="00EC5CFB">
        <w:rPr>
          <w:sz w:val="28"/>
          <w:szCs w:val="28"/>
        </w:rPr>
        <w:t>.</w:t>
      </w:r>
      <w:r w:rsidR="00EC5CFB" w:rsidRPr="00EC5CFB">
        <w:rPr>
          <w:sz w:val="28"/>
          <w:szCs w:val="28"/>
        </w:rPr>
        <w:t>aprīļa</w:t>
      </w:r>
      <w:r w:rsidR="002C3234" w:rsidRPr="00EC5CFB">
        <w:rPr>
          <w:sz w:val="28"/>
          <w:szCs w:val="28"/>
        </w:rPr>
        <w:t xml:space="preserve"> noteikumos Nr.</w:t>
      </w:r>
      <w:r w:rsidR="0014513B" w:rsidRPr="00EC5CFB">
        <w:rPr>
          <w:sz w:val="28"/>
          <w:szCs w:val="28"/>
        </w:rPr>
        <w:t>3</w:t>
      </w:r>
      <w:r w:rsidR="00EC5CFB" w:rsidRPr="00EC5CFB">
        <w:rPr>
          <w:sz w:val="28"/>
          <w:szCs w:val="28"/>
        </w:rPr>
        <w:t>78</w:t>
      </w:r>
      <w:r w:rsidR="002C3234" w:rsidRPr="00EC5CFB">
        <w:rPr>
          <w:sz w:val="28"/>
          <w:szCs w:val="28"/>
        </w:rPr>
        <w:t xml:space="preserve"> „</w:t>
      </w:r>
      <w:r w:rsidR="00EC5CFB" w:rsidRPr="00EC5CFB">
        <w:rPr>
          <w:bCs/>
          <w:sz w:val="28"/>
          <w:szCs w:val="28"/>
        </w:rPr>
        <w:t>Noteikumi par kapitālsabiedrību sarakstu</w:t>
      </w:r>
      <w:r w:rsidR="00473CCD" w:rsidRPr="00EC5CFB">
        <w:rPr>
          <w:sz w:val="28"/>
          <w:szCs w:val="28"/>
        </w:rPr>
        <w:t>” (La</w:t>
      </w:r>
      <w:r w:rsidR="0014513B" w:rsidRPr="00EC5CFB">
        <w:rPr>
          <w:sz w:val="28"/>
          <w:szCs w:val="28"/>
        </w:rPr>
        <w:t>tvijas Vēstnesis, 2010</w:t>
      </w:r>
      <w:r w:rsidR="00D41432" w:rsidRPr="00EC5CFB">
        <w:rPr>
          <w:sz w:val="28"/>
          <w:szCs w:val="28"/>
        </w:rPr>
        <w:t xml:space="preserve">, </w:t>
      </w:r>
      <w:r w:rsidR="00BA14FB" w:rsidRPr="00EC5CFB">
        <w:rPr>
          <w:sz w:val="28"/>
          <w:szCs w:val="28"/>
        </w:rPr>
        <w:t xml:space="preserve">71. </w:t>
      </w:r>
      <w:r w:rsidR="0014513B" w:rsidRPr="00EC5CFB">
        <w:rPr>
          <w:sz w:val="28"/>
          <w:szCs w:val="28"/>
        </w:rPr>
        <w:t>nr.) šādu</w:t>
      </w:r>
      <w:r w:rsidR="006912DB">
        <w:rPr>
          <w:sz w:val="28"/>
          <w:szCs w:val="28"/>
        </w:rPr>
        <w:t>s</w:t>
      </w:r>
      <w:r w:rsidR="0014513B" w:rsidRPr="00EC5CFB">
        <w:rPr>
          <w:sz w:val="28"/>
          <w:szCs w:val="28"/>
        </w:rPr>
        <w:t xml:space="preserve"> grozījumu</w:t>
      </w:r>
      <w:r w:rsidR="00EC5CFB">
        <w:rPr>
          <w:sz w:val="28"/>
          <w:szCs w:val="28"/>
        </w:rPr>
        <w:t>s:</w:t>
      </w:r>
    </w:p>
    <w:p w:rsidR="002B08BC" w:rsidRDefault="002B08BC" w:rsidP="002C3234">
      <w:pPr>
        <w:pStyle w:val="Header"/>
        <w:tabs>
          <w:tab w:val="left" w:pos="720"/>
        </w:tabs>
        <w:jc w:val="both"/>
        <w:rPr>
          <w:sz w:val="28"/>
          <w:szCs w:val="28"/>
        </w:rPr>
      </w:pPr>
    </w:p>
    <w:p w:rsidR="00EC5CFB" w:rsidRPr="002B08BC" w:rsidRDefault="00EC5CFB" w:rsidP="002C3234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  <w:r w:rsidRPr="002B08BC">
        <w:rPr>
          <w:b/>
          <w:sz w:val="28"/>
          <w:szCs w:val="28"/>
        </w:rPr>
        <w:t>1.Izteikt 2.2.apkšpunktu šādā redakcijā:</w:t>
      </w:r>
    </w:p>
    <w:p w:rsidR="00EC5CFB" w:rsidRDefault="00EC5CFB" w:rsidP="002C3234">
      <w:pPr>
        <w:pStyle w:val="Header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„2.2. kapitālsabiedrību grupa „Latvenergo” (akciju sabiedrība „Latvenergo”, akciju sabiedrība „Sadales tīkls”, akciju sabiedrība „Latvijas elektriskie tīkli”).”</w:t>
      </w:r>
    </w:p>
    <w:p w:rsidR="002D1393" w:rsidRDefault="00EC5CFB" w:rsidP="002B08BC">
      <w:pPr>
        <w:spacing w:before="120"/>
        <w:rPr>
          <w:sz w:val="28"/>
          <w:szCs w:val="28"/>
        </w:rPr>
      </w:pPr>
      <w:r w:rsidRPr="002B08BC">
        <w:rPr>
          <w:b/>
          <w:sz w:val="28"/>
          <w:szCs w:val="28"/>
        </w:rPr>
        <w:t>2. Papildināt noteikumus ar  2.11. apakšpunktu šādā redakcijā:</w:t>
      </w:r>
      <w:r>
        <w:rPr>
          <w:sz w:val="28"/>
          <w:szCs w:val="28"/>
        </w:rPr>
        <w:br/>
        <w:t>„2.11. akciju sabiedrība „Augstsprieguma tīkls”</w:t>
      </w:r>
      <w:r w:rsidR="006912DB">
        <w:rPr>
          <w:sz w:val="28"/>
          <w:szCs w:val="28"/>
        </w:rPr>
        <w:t>.</w:t>
      </w:r>
    </w:p>
    <w:p w:rsidR="00675DDD" w:rsidRDefault="00675DDD" w:rsidP="00726321">
      <w:pPr>
        <w:rPr>
          <w:sz w:val="28"/>
          <w:szCs w:val="28"/>
        </w:rPr>
      </w:pPr>
    </w:p>
    <w:p w:rsidR="0036039C" w:rsidRDefault="0036039C" w:rsidP="00726321">
      <w:pPr>
        <w:rPr>
          <w:sz w:val="28"/>
          <w:szCs w:val="28"/>
        </w:rPr>
      </w:pPr>
    </w:p>
    <w:p w:rsidR="0036039C" w:rsidRDefault="0036039C" w:rsidP="00726321">
      <w:pPr>
        <w:rPr>
          <w:sz w:val="28"/>
          <w:szCs w:val="28"/>
        </w:rPr>
      </w:pPr>
    </w:p>
    <w:p w:rsidR="00726321" w:rsidRDefault="00726321" w:rsidP="00726321">
      <w:pPr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V. </w:t>
      </w:r>
      <w:proofErr w:type="spellStart"/>
      <w:r>
        <w:rPr>
          <w:sz w:val="28"/>
          <w:szCs w:val="28"/>
        </w:rPr>
        <w:t>Dombrovskis</w:t>
      </w:r>
      <w:proofErr w:type="spellEnd"/>
    </w:p>
    <w:p w:rsidR="00726321" w:rsidRDefault="00726321" w:rsidP="00726321">
      <w:pPr>
        <w:pStyle w:val="BalloonText"/>
        <w:rPr>
          <w:rFonts w:ascii="Times New Roman" w:hAnsi="Times New Roman" w:cs="Times New Roman"/>
          <w:szCs w:val="28"/>
        </w:rPr>
      </w:pPr>
    </w:p>
    <w:p w:rsidR="00726321" w:rsidRPr="00726321" w:rsidRDefault="00726321" w:rsidP="00726321">
      <w:pPr>
        <w:pStyle w:val="NormalWeb"/>
        <w:spacing w:before="0" w:beforeAutospacing="0" w:after="0" w:afterAutospacing="0"/>
        <w:rPr>
          <w:b w:val="0"/>
          <w:sz w:val="28"/>
          <w:szCs w:val="28"/>
        </w:rPr>
      </w:pPr>
      <w:r w:rsidRPr="00726321">
        <w:rPr>
          <w:b w:val="0"/>
          <w:sz w:val="28"/>
          <w:szCs w:val="28"/>
        </w:rPr>
        <w:t>Ekonomikas ministrs</w:t>
      </w:r>
      <w:r w:rsidRPr="00726321">
        <w:rPr>
          <w:b w:val="0"/>
          <w:sz w:val="28"/>
          <w:szCs w:val="28"/>
        </w:rPr>
        <w:tab/>
      </w:r>
      <w:r w:rsidRPr="00726321">
        <w:rPr>
          <w:b w:val="0"/>
          <w:sz w:val="28"/>
          <w:szCs w:val="28"/>
        </w:rPr>
        <w:tab/>
      </w:r>
      <w:r w:rsidRPr="00726321">
        <w:rPr>
          <w:b w:val="0"/>
          <w:sz w:val="28"/>
          <w:szCs w:val="28"/>
        </w:rPr>
        <w:tab/>
      </w:r>
      <w:r w:rsidRPr="00726321">
        <w:rPr>
          <w:b w:val="0"/>
          <w:sz w:val="28"/>
          <w:szCs w:val="28"/>
        </w:rPr>
        <w:tab/>
      </w:r>
      <w:r w:rsidRPr="00726321">
        <w:rPr>
          <w:b w:val="0"/>
          <w:sz w:val="28"/>
          <w:szCs w:val="28"/>
        </w:rPr>
        <w:tab/>
      </w:r>
      <w:r w:rsidRPr="00726321">
        <w:rPr>
          <w:b w:val="0"/>
          <w:sz w:val="28"/>
          <w:szCs w:val="28"/>
        </w:rPr>
        <w:tab/>
        <w:t xml:space="preserve">       A. Kampars</w:t>
      </w:r>
    </w:p>
    <w:p w:rsidR="00726321" w:rsidRDefault="00726321" w:rsidP="00726321">
      <w:pPr>
        <w:pStyle w:val="BalloonText"/>
        <w:rPr>
          <w:rFonts w:ascii="Times New Roman" w:hAnsi="Times New Roman" w:cs="Times New Roman"/>
          <w:szCs w:val="28"/>
        </w:rPr>
      </w:pPr>
    </w:p>
    <w:p w:rsidR="00726321" w:rsidRDefault="00726321" w:rsidP="00726321">
      <w:pPr>
        <w:rPr>
          <w:sz w:val="28"/>
          <w:szCs w:val="28"/>
        </w:rPr>
      </w:pPr>
      <w:r>
        <w:rPr>
          <w:sz w:val="28"/>
          <w:szCs w:val="28"/>
        </w:rPr>
        <w:t>Iesniedzējs: 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A. Kampars</w:t>
      </w:r>
    </w:p>
    <w:p w:rsidR="00726321" w:rsidRDefault="00726321" w:rsidP="00726321">
      <w:pPr>
        <w:pStyle w:val="BalloonText"/>
        <w:rPr>
          <w:rFonts w:ascii="Times New Roman" w:hAnsi="Times New Roman" w:cs="Times New Roman"/>
          <w:szCs w:val="28"/>
        </w:rPr>
      </w:pPr>
    </w:p>
    <w:p w:rsidR="00726321" w:rsidRDefault="00726321" w:rsidP="0072632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sekretārs                                                                 J.Pūce</w:t>
      </w:r>
    </w:p>
    <w:p w:rsidR="00726321" w:rsidRPr="00573D63" w:rsidRDefault="00726321" w:rsidP="00573D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726321" w:rsidRPr="002F1958" w:rsidRDefault="000B5AE8" w:rsidP="00726321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14</w:t>
      </w:r>
      <w:r w:rsidR="00675DDD">
        <w:rPr>
          <w:sz w:val="20"/>
          <w:szCs w:val="20"/>
        </w:rPr>
        <w:t>.04</w:t>
      </w:r>
      <w:r w:rsidR="00D33952">
        <w:rPr>
          <w:sz w:val="20"/>
          <w:szCs w:val="20"/>
        </w:rPr>
        <w:t>.2011</w:t>
      </w:r>
      <w:r w:rsidR="00726321">
        <w:rPr>
          <w:sz w:val="20"/>
          <w:szCs w:val="20"/>
        </w:rPr>
        <w:t>.</w:t>
      </w:r>
      <w:r w:rsidR="00726321" w:rsidRPr="002F1958">
        <w:rPr>
          <w:sz w:val="20"/>
          <w:szCs w:val="20"/>
        </w:rPr>
        <w:t xml:space="preserve"> </w:t>
      </w:r>
      <w:r w:rsidR="005C3F62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2F20BB">
        <w:rPr>
          <w:sz w:val="20"/>
          <w:szCs w:val="20"/>
        </w:rPr>
        <w:t>:</w:t>
      </w:r>
      <w:r>
        <w:rPr>
          <w:sz w:val="20"/>
          <w:szCs w:val="20"/>
        </w:rPr>
        <w:t>06</w:t>
      </w:r>
    </w:p>
    <w:p w:rsidR="00726321" w:rsidRPr="002F1958" w:rsidRDefault="0036039C" w:rsidP="00726321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115</w:t>
      </w:r>
    </w:p>
    <w:p w:rsidR="00726321" w:rsidRDefault="00726321" w:rsidP="00726321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J.Bunkovskis</w:t>
      </w:r>
    </w:p>
    <w:p w:rsidR="00726321" w:rsidRPr="002F1958" w:rsidRDefault="00726321" w:rsidP="00726321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67013170</w:t>
      </w:r>
      <w:r w:rsidRPr="002F1958">
        <w:rPr>
          <w:sz w:val="20"/>
          <w:szCs w:val="20"/>
        </w:rPr>
        <w:t xml:space="preserve">, </w:t>
      </w:r>
      <w:r>
        <w:rPr>
          <w:sz w:val="20"/>
          <w:szCs w:val="20"/>
        </w:rPr>
        <w:t>janis</w:t>
      </w:r>
      <w:r w:rsidRPr="002F1958">
        <w:rPr>
          <w:sz w:val="20"/>
          <w:szCs w:val="20"/>
        </w:rPr>
        <w:t>.</w:t>
      </w:r>
      <w:r>
        <w:rPr>
          <w:sz w:val="20"/>
          <w:szCs w:val="20"/>
        </w:rPr>
        <w:t>bunkovskis</w:t>
      </w:r>
      <w:r w:rsidRPr="002F1958">
        <w:rPr>
          <w:sz w:val="20"/>
          <w:szCs w:val="20"/>
        </w:rPr>
        <w:t>@em.gov.lv</w:t>
      </w:r>
    </w:p>
    <w:p w:rsidR="009B2456" w:rsidRDefault="009B2456"/>
    <w:sectPr w:rsidR="009B2456" w:rsidSect="00D4143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12" w:rsidRDefault="00600D12" w:rsidP="00726321">
      <w:r>
        <w:separator/>
      </w:r>
    </w:p>
  </w:endnote>
  <w:endnote w:type="continuationSeparator" w:id="0">
    <w:p w:rsidR="00600D12" w:rsidRDefault="00600D12" w:rsidP="0072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FB" w:rsidRPr="00EC5CFB" w:rsidRDefault="00205299" w:rsidP="00EC5CFB">
    <w:pPr>
      <w:jc w:val="both"/>
      <w:rPr>
        <w:sz w:val="20"/>
        <w:szCs w:val="20"/>
      </w:rPr>
    </w:pPr>
    <w:r w:rsidRPr="00EC5CFB">
      <w:rPr>
        <w:sz w:val="20"/>
        <w:szCs w:val="20"/>
      </w:rPr>
      <w:t>EMNot_</w:t>
    </w:r>
    <w:r w:rsidR="000B5AE8">
      <w:rPr>
        <w:sz w:val="20"/>
        <w:szCs w:val="20"/>
      </w:rPr>
      <w:t>14</w:t>
    </w:r>
    <w:r w:rsidR="00675DDD">
      <w:rPr>
        <w:sz w:val="20"/>
        <w:szCs w:val="20"/>
      </w:rPr>
      <w:t>04</w:t>
    </w:r>
    <w:r w:rsidR="006120A2" w:rsidRPr="00EC5CFB">
      <w:rPr>
        <w:sz w:val="20"/>
        <w:szCs w:val="20"/>
      </w:rPr>
      <w:t>11_</w:t>
    </w:r>
    <w:r w:rsidR="00EC5CFB">
      <w:rPr>
        <w:sz w:val="20"/>
        <w:szCs w:val="20"/>
      </w:rPr>
      <w:t>prēm</w:t>
    </w:r>
    <w:r w:rsidR="006B4E19" w:rsidRPr="00EC5CFB">
      <w:rPr>
        <w:sz w:val="20"/>
        <w:szCs w:val="20"/>
      </w:rPr>
      <w:t>_not</w:t>
    </w:r>
    <w:r w:rsidR="00726321" w:rsidRPr="00EC5CFB">
      <w:rPr>
        <w:sz w:val="20"/>
        <w:szCs w:val="20"/>
      </w:rPr>
      <w:t>; Ministru kabineta noteikumu projekts „</w:t>
    </w:r>
    <w:r w:rsidR="00EC5CFB" w:rsidRPr="00EC5CFB">
      <w:rPr>
        <w:bCs/>
        <w:sz w:val="20"/>
        <w:szCs w:val="20"/>
      </w:rPr>
      <w:t>Grozījumi Ministru kabineta 2010.gada 13.aprīļa noteikumos Nr.378 „Noteikumi par kapitālsabiedrību sarakstu””</w:t>
    </w:r>
  </w:p>
  <w:p w:rsidR="000154A7" w:rsidRPr="000154A7" w:rsidRDefault="000154A7" w:rsidP="000154A7">
    <w:pPr>
      <w:jc w:val="both"/>
      <w:rPr>
        <w:sz w:val="20"/>
        <w:szCs w:val="20"/>
      </w:rPr>
    </w:pPr>
  </w:p>
  <w:p w:rsidR="00726321" w:rsidRPr="000154A7" w:rsidRDefault="00726321" w:rsidP="000154A7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12" w:rsidRDefault="00600D12" w:rsidP="00726321">
      <w:r>
        <w:separator/>
      </w:r>
    </w:p>
  </w:footnote>
  <w:footnote w:type="continuationSeparator" w:id="0">
    <w:p w:rsidR="00600D12" w:rsidRDefault="00600D12" w:rsidP="00726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269"/>
    <w:multiLevelType w:val="hybridMultilevel"/>
    <w:tmpl w:val="69B22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9C2"/>
    <w:multiLevelType w:val="hybridMultilevel"/>
    <w:tmpl w:val="065EB6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1028E"/>
    <w:multiLevelType w:val="hybridMultilevel"/>
    <w:tmpl w:val="192AD2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4711"/>
    <w:multiLevelType w:val="hybridMultilevel"/>
    <w:tmpl w:val="50F670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66D4"/>
    <w:multiLevelType w:val="hybridMultilevel"/>
    <w:tmpl w:val="5FB63DF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A44AB3"/>
    <w:multiLevelType w:val="hybridMultilevel"/>
    <w:tmpl w:val="BFB05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71B6A"/>
    <w:multiLevelType w:val="hybridMultilevel"/>
    <w:tmpl w:val="E0AA9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77567"/>
    <w:multiLevelType w:val="multilevel"/>
    <w:tmpl w:val="87CC1A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2F6E7C"/>
    <w:multiLevelType w:val="hybridMultilevel"/>
    <w:tmpl w:val="2A14B5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2314E"/>
    <w:multiLevelType w:val="hybridMultilevel"/>
    <w:tmpl w:val="9A2AEBB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234"/>
    <w:rsid w:val="000154A7"/>
    <w:rsid w:val="00015CBF"/>
    <w:rsid w:val="00083C85"/>
    <w:rsid w:val="000B192F"/>
    <w:rsid w:val="000B5AE8"/>
    <w:rsid w:val="000C26C3"/>
    <w:rsid w:val="000E03CA"/>
    <w:rsid w:val="000E765C"/>
    <w:rsid w:val="000E7FE6"/>
    <w:rsid w:val="00125E3E"/>
    <w:rsid w:val="0013639F"/>
    <w:rsid w:val="0014513B"/>
    <w:rsid w:val="00171B4F"/>
    <w:rsid w:val="00191CFC"/>
    <w:rsid w:val="001A67E9"/>
    <w:rsid w:val="001D5AFC"/>
    <w:rsid w:val="001F2151"/>
    <w:rsid w:val="00203CFA"/>
    <w:rsid w:val="00205299"/>
    <w:rsid w:val="002800FF"/>
    <w:rsid w:val="002B08BC"/>
    <w:rsid w:val="002B4B36"/>
    <w:rsid w:val="002C3234"/>
    <w:rsid w:val="002D1393"/>
    <w:rsid w:val="002D48C2"/>
    <w:rsid w:val="002E27E5"/>
    <w:rsid w:val="002F20BB"/>
    <w:rsid w:val="00303EBB"/>
    <w:rsid w:val="0031317E"/>
    <w:rsid w:val="00356B72"/>
    <w:rsid w:val="0036039C"/>
    <w:rsid w:val="0036662A"/>
    <w:rsid w:val="003A75C5"/>
    <w:rsid w:val="003D33AC"/>
    <w:rsid w:val="00411C41"/>
    <w:rsid w:val="00423D42"/>
    <w:rsid w:val="0045240D"/>
    <w:rsid w:val="00473CCD"/>
    <w:rsid w:val="00482376"/>
    <w:rsid w:val="004E0B3A"/>
    <w:rsid w:val="00502C51"/>
    <w:rsid w:val="00561A7F"/>
    <w:rsid w:val="00573D63"/>
    <w:rsid w:val="00586FE3"/>
    <w:rsid w:val="005B5478"/>
    <w:rsid w:val="005C3F62"/>
    <w:rsid w:val="005F642E"/>
    <w:rsid w:val="00600D12"/>
    <w:rsid w:val="006120A2"/>
    <w:rsid w:val="006441A8"/>
    <w:rsid w:val="00644524"/>
    <w:rsid w:val="006473E5"/>
    <w:rsid w:val="006667A3"/>
    <w:rsid w:val="00675DDD"/>
    <w:rsid w:val="00685DCB"/>
    <w:rsid w:val="006912DB"/>
    <w:rsid w:val="006929EF"/>
    <w:rsid w:val="006B4E19"/>
    <w:rsid w:val="006B7E61"/>
    <w:rsid w:val="006D7CEB"/>
    <w:rsid w:val="00726321"/>
    <w:rsid w:val="007522F0"/>
    <w:rsid w:val="00762799"/>
    <w:rsid w:val="00763C6E"/>
    <w:rsid w:val="007815B3"/>
    <w:rsid w:val="007900C6"/>
    <w:rsid w:val="00790CB3"/>
    <w:rsid w:val="007A5BF6"/>
    <w:rsid w:val="007D665C"/>
    <w:rsid w:val="00840328"/>
    <w:rsid w:val="00852217"/>
    <w:rsid w:val="00857278"/>
    <w:rsid w:val="0085776F"/>
    <w:rsid w:val="00870C1E"/>
    <w:rsid w:val="00872894"/>
    <w:rsid w:val="008A110C"/>
    <w:rsid w:val="008E3A31"/>
    <w:rsid w:val="00986390"/>
    <w:rsid w:val="00996703"/>
    <w:rsid w:val="009B2456"/>
    <w:rsid w:val="009C0949"/>
    <w:rsid w:val="009C78D5"/>
    <w:rsid w:val="009E4AC3"/>
    <w:rsid w:val="009F4BB7"/>
    <w:rsid w:val="00A2792F"/>
    <w:rsid w:val="00A60BAC"/>
    <w:rsid w:val="00A61724"/>
    <w:rsid w:val="00A846C1"/>
    <w:rsid w:val="00AC4447"/>
    <w:rsid w:val="00AE2642"/>
    <w:rsid w:val="00AF22D1"/>
    <w:rsid w:val="00B55C69"/>
    <w:rsid w:val="00B700A1"/>
    <w:rsid w:val="00B85D26"/>
    <w:rsid w:val="00BA14FB"/>
    <w:rsid w:val="00BB790F"/>
    <w:rsid w:val="00C324B4"/>
    <w:rsid w:val="00C70506"/>
    <w:rsid w:val="00C7210C"/>
    <w:rsid w:val="00C769A4"/>
    <w:rsid w:val="00C82600"/>
    <w:rsid w:val="00CA20CD"/>
    <w:rsid w:val="00CA6F07"/>
    <w:rsid w:val="00CA799E"/>
    <w:rsid w:val="00CB4B66"/>
    <w:rsid w:val="00CE447B"/>
    <w:rsid w:val="00CE5645"/>
    <w:rsid w:val="00CE6D42"/>
    <w:rsid w:val="00CF2A59"/>
    <w:rsid w:val="00CF772D"/>
    <w:rsid w:val="00D137CE"/>
    <w:rsid w:val="00D24480"/>
    <w:rsid w:val="00D33952"/>
    <w:rsid w:val="00D41432"/>
    <w:rsid w:val="00D46DEB"/>
    <w:rsid w:val="00D7322B"/>
    <w:rsid w:val="00D73B8B"/>
    <w:rsid w:val="00D81AE7"/>
    <w:rsid w:val="00DC1575"/>
    <w:rsid w:val="00DD4645"/>
    <w:rsid w:val="00DE0E3F"/>
    <w:rsid w:val="00DE23B2"/>
    <w:rsid w:val="00E80798"/>
    <w:rsid w:val="00EC5CFB"/>
    <w:rsid w:val="00EC60A1"/>
    <w:rsid w:val="00EC73B8"/>
    <w:rsid w:val="00EF1C6E"/>
    <w:rsid w:val="00F04206"/>
    <w:rsid w:val="00F06385"/>
    <w:rsid w:val="00F16B50"/>
    <w:rsid w:val="00F21609"/>
    <w:rsid w:val="00F51D67"/>
    <w:rsid w:val="00F86E9E"/>
    <w:rsid w:val="00FA04F7"/>
    <w:rsid w:val="00FA440A"/>
    <w:rsid w:val="00FB1355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34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3234"/>
    <w:pPr>
      <w:keepNext/>
      <w:tabs>
        <w:tab w:val="left" w:pos="567"/>
        <w:tab w:val="left" w:pos="993"/>
      </w:tabs>
      <w:spacing w:before="360" w:after="120" w:line="360" w:lineRule="auto"/>
      <w:jc w:val="center"/>
      <w:outlineLvl w:val="1"/>
    </w:pPr>
    <w:rPr>
      <w:b/>
      <w: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C3234"/>
    <w:rPr>
      <w:rFonts w:eastAsia="Times New Roman"/>
      <w:bCs w:val="0"/>
      <w:caps/>
      <w:sz w:val="32"/>
      <w:szCs w:val="20"/>
    </w:rPr>
  </w:style>
  <w:style w:type="character" w:customStyle="1" w:styleId="NormalWebChar">
    <w:name w:val="Normal (Web) Char"/>
    <w:basedOn w:val="DefaultParagraphFont"/>
    <w:link w:val="NormalWeb"/>
    <w:semiHidden/>
    <w:locked/>
    <w:rsid w:val="002C3234"/>
    <w:rPr>
      <w:szCs w:val="24"/>
    </w:rPr>
  </w:style>
  <w:style w:type="paragraph" w:styleId="NormalWeb">
    <w:name w:val="Normal (Web)"/>
    <w:basedOn w:val="Normal"/>
    <w:link w:val="NormalWebChar"/>
    <w:semiHidden/>
    <w:unhideWhenUsed/>
    <w:rsid w:val="002C3234"/>
    <w:pPr>
      <w:spacing w:before="100" w:beforeAutospacing="1" w:after="100" w:afterAutospacing="1"/>
    </w:pPr>
    <w:rPr>
      <w:rFonts w:eastAsia="Calibri"/>
      <w:b/>
      <w:bCs/>
    </w:rPr>
  </w:style>
  <w:style w:type="paragraph" w:styleId="Header">
    <w:name w:val="header"/>
    <w:basedOn w:val="Normal"/>
    <w:link w:val="HeaderChar"/>
    <w:unhideWhenUsed/>
    <w:rsid w:val="002C32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3234"/>
    <w:rPr>
      <w:rFonts w:eastAsia="Times New Roman"/>
      <w:b w:val="0"/>
      <w:bCs w:val="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63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321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26321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6321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726321"/>
    <w:pPr>
      <w:spacing w:before="100" w:beforeAutospacing="1" w:after="100" w:afterAutospacing="1"/>
    </w:pPr>
    <w:rPr>
      <w:lang w:eastAsia="lv-LV"/>
    </w:rPr>
  </w:style>
  <w:style w:type="paragraph" w:customStyle="1" w:styleId="naislab">
    <w:name w:val="naislab"/>
    <w:basedOn w:val="Normal"/>
    <w:rsid w:val="00726321"/>
    <w:pPr>
      <w:spacing w:before="75" w:after="75"/>
      <w:jc w:val="right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0E03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0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13.aprīļa noteikumos Nr.378 „Noteikumi par kapitālsabiedrību saraktu”</vt:lpstr>
    </vt:vector>
  </TitlesOfParts>
  <Company>LR Ekonomikas ministrija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13.aprīļa noteikumos Nr.378 „Noteikumi par kapitālsabiedrību sarakstu”</dc:title>
  <dc:subject>MK noteikumu projekts</dc:subject>
  <dc:creator>Jānis Bunkovskis</dc:creator>
  <cp:keywords/>
  <dc:description>janis.bunkovskis@em.gov.lv
67013170</dc:description>
  <cp:lastModifiedBy>BunkovskisJ</cp:lastModifiedBy>
  <cp:revision>5</cp:revision>
  <cp:lastPrinted>2011-03-03T08:10:00Z</cp:lastPrinted>
  <dcterms:created xsi:type="dcterms:W3CDTF">2011-04-05T07:19:00Z</dcterms:created>
  <dcterms:modified xsi:type="dcterms:W3CDTF">2011-04-14T08:06:00Z</dcterms:modified>
</cp:coreProperties>
</file>