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6" w:rsidRPr="00176DD8" w:rsidRDefault="009978F6" w:rsidP="00521A53">
      <w:pPr>
        <w:tabs>
          <w:tab w:val="left" w:pos="2552"/>
        </w:tabs>
        <w:spacing w:after="0" w:line="240" w:lineRule="auto"/>
        <w:rPr>
          <w:rFonts w:ascii="Times New Roman" w:hAnsi="Times New Roman" w:cs="Times New Roman"/>
          <w:sz w:val="26"/>
          <w:szCs w:val="26"/>
        </w:rPr>
      </w:pPr>
      <w:r w:rsidRPr="00176DD8">
        <w:rPr>
          <w:rFonts w:ascii="Times New Roman" w:hAnsi="Times New Roman" w:cs="Times New Roman"/>
          <w:sz w:val="26"/>
          <w:szCs w:val="26"/>
        </w:rPr>
        <w:t>2012.gada ___.______</w:t>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t>Noteikumi Nr.</w:t>
      </w:r>
    </w:p>
    <w:p w:rsidR="009978F6" w:rsidRPr="00176DD8" w:rsidRDefault="009978F6" w:rsidP="00521A53">
      <w:pPr>
        <w:spacing w:after="0" w:line="240" w:lineRule="auto"/>
        <w:rPr>
          <w:rFonts w:ascii="Times New Roman" w:hAnsi="Times New Roman" w:cs="Times New Roman"/>
          <w:sz w:val="26"/>
          <w:szCs w:val="26"/>
        </w:rPr>
      </w:pPr>
      <w:r w:rsidRPr="00176DD8">
        <w:rPr>
          <w:rFonts w:ascii="Times New Roman" w:hAnsi="Times New Roman" w:cs="Times New Roman"/>
          <w:sz w:val="26"/>
          <w:szCs w:val="26"/>
        </w:rPr>
        <w:t>Rīgā</w:t>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r>
      <w:r w:rsidRPr="00176DD8">
        <w:rPr>
          <w:rFonts w:ascii="Times New Roman" w:hAnsi="Times New Roman" w:cs="Times New Roman"/>
          <w:sz w:val="26"/>
          <w:szCs w:val="26"/>
        </w:rPr>
        <w:tab/>
        <w:t>(prot. Nr. _______  .§)</w:t>
      </w:r>
    </w:p>
    <w:p w:rsidR="009978F6" w:rsidRPr="00176DD8" w:rsidRDefault="009978F6" w:rsidP="00521A53">
      <w:pPr>
        <w:spacing w:after="0" w:line="240" w:lineRule="auto"/>
        <w:rPr>
          <w:rFonts w:ascii="Times New Roman" w:hAnsi="Times New Roman" w:cs="Times New Roman"/>
          <w:sz w:val="26"/>
          <w:szCs w:val="26"/>
        </w:rPr>
      </w:pPr>
    </w:p>
    <w:p w:rsidR="009978F6" w:rsidRPr="00176DD8" w:rsidRDefault="003C3DCD" w:rsidP="00521A53">
      <w:pPr>
        <w:spacing w:after="0" w:line="240" w:lineRule="auto"/>
        <w:jc w:val="center"/>
        <w:rPr>
          <w:rFonts w:ascii="Times New Roman" w:eastAsia="Times New Roman" w:hAnsi="Times New Roman" w:cs="Times New Roman"/>
          <w:b/>
          <w:sz w:val="26"/>
          <w:szCs w:val="26"/>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176DD8">
        <w:rPr>
          <w:rFonts w:ascii="Times New Roman" w:eastAsia="Times New Roman" w:hAnsi="Times New Roman" w:cs="Times New Roman"/>
          <w:b/>
          <w:sz w:val="26"/>
          <w:szCs w:val="26"/>
          <w:lang w:eastAsia="lv-LV"/>
        </w:rPr>
        <w:t xml:space="preserve">Grozījumi </w:t>
      </w:r>
      <w:r w:rsidR="00CF7887" w:rsidRPr="00176DD8">
        <w:rPr>
          <w:rFonts w:ascii="Times New Roman" w:eastAsia="Times New Roman" w:hAnsi="Times New Roman" w:cs="Times New Roman"/>
          <w:b/>
          <w:sz w:val="26"/>
          <w:szCs w:val="26"/>
          <w:lang w:eastAsia="lv-LV"/>
        </w:rPr>
        <w:t xml:space="preserve">Ministru </w:t>
      </w:r>
      <w:r w:rsidR="00683A1D" w:rsidRPr="00176DD8">
        <w:rPr>
          <w:rFonts w:ascii="Times New Roman" w:eastAsia="Times New Roman" w:hAnsi="Times New Roman" w:cs="Times New Roman"/>
          <w:b/>
          <w:sz w:val="26"/>
          <w:szCs w:val="26"/>
          <w:lang w:eastAsia="lv-LV"/>
        </w:rPr>
        <w:t>k</w:t>
      </w:r>
      <w:r w:rsidR="00CF7887" w:rsidRPr="00176DD8">
        <w:rPr>
          <w:rFonts w:ascii="Times New Roman" w:eastAsia="Times New Roman" w:hAnsi="Times New Roman" w:cs="Times New Roman"/>
          <w:b/>
          <w:sz w:val="26"/>
          <w:szCs w:val="26"/>
          <w:lang w:eastAsia="lv-LV"/>
        </w:rPr>
        <w:t>abineta 20</w:t>
      </w:r>
      <w:r w:rsidR="00683A1D" w:rsidRPr="00176DD8">
        <w:rPr>
          <w:rFonts w:ascii="Times New Roman" w:eastAsia="Times New Roman" w:hAnsi="Times New Roman" w:cs="Times New Roman"/>
          <w:b/>
          <w:sz w:val="26"/>
          <w:szCs w:val="26"/>
          <w:lang w:eastAsia="lv-LV"/>
        </w:rPr>
        <w:t>09</w:t>
      </w:r>
      <w:r w:rsidR="00CF7887" w:rsidRPr="00176DD8">
        <w:rPr>
          <w:rFonts w:ascii="Times New Roman" w:eastAsia="Times New Roman" w:hAnsi="Times New Roman" w:cs="Times New Roman"/>
          <w:b/>
          <w:sz w:val="26"/>
          <w:szCs w:val="26"/>
          <w:lang w:eastAsia="lv-LV"/>
        </w:rPr>
        <w:t>.gada</w:t>
      </w:r>
      <w:r w:rsidR="003D214E" w:rsidRPr="00176DD8">
        <w:rPr>
          <w:rFonts w:ascii="Times New Roman" w:eastAsia="Times New Roman" w:hAnsi="Times New Roman" w:cs="Times New Roman"/>
          <w:b/>
          <w:sz w:val="26"/>
          <w:szCs w:val="26"/>
          <w:lang w:eastAsia="lv-LV"/>
        </w:rPr>
        <w:t xml:space="preserve"> 1</w:t>
      </w:r>
      <w:r w:rsidR="00683A1D" w:rsidRPr="00176DD8">
        <w:rPr>
          <w:rFonts w:ascii="Times New Roman" w:eastAsia="Times New Roman" w:hAnsi="Times New Roman" w:cs="Times New Roman"/>
          <w:b/>
          <w:sz w:val="26"/>
          <w:szCs w:val="26"/>
          <w:lang w:eastAsia="lv-LV"/>
        </w:rPr>
        <w:t>7</w:t>
      </w:r>
      <w:r w:rsidR="00CF7887" w:rsidRPr="00176DD8">
        <w:rPr>
          <w:rFonts w:ascii="Times New Roman" w:eastAsia="Times New Roman" w:hAnsi="Times New Roman" w:cs="Times New Roman"/>
          <w:b/>
          <w:sz w:val="26"/>
          <w:szCs w:val="26"/>
          <w:lang w:eastAsia="lv-LV"/>
        </w:rPr>
        <w:t>.</w:t>
      </w:r>
      <w:r w:rsidR="00683A1D" w:rsidRPr="00176DD8">
        <w:rPr>
          <w:rFonts w:ascii="Times New Roman" w:eastAsia="Times New Roman" w:hAnsi="Times New Roman" w:cs="Times New Roman"/>
          <w:b/>
          <w:sz w:val="26"/>
          <w:szCs w:val="26"/>
          <w:lang w:eastAsia="lv-LV"/>
        </w:rPr>
        <w:t>jūnija</w:t>
      </w:r>
      <w:r w:rsidR="00CF7887" w:rsidRPr="00176DD8">
        <w:rPr>
          <w:rFonts w:ascii="Times New Roman" w:eastAsia="Times New Roman" w:hAnsi="Times New Roman" w:cs="Times New Roman"/>
          <w:b/>
          <w:sz w:val="26"/>
          <w:szCs w:val="26"/>
          <w:lang w:eastAsia="lv-LV"/>
        </w:rPr>
        <w:t xml:space="preserve"> noteikumos </w:t>
      </w:r>
      <w:r w:rsidR="00380B2B" w:rsidRPr="00176DD8">
        <w:rPr>
          <w:rFonts w:ascii="Times New Roman" w:eastAsia="Times New Roman" w:hAnsi="Times New Roman" w:cs="Times New Roman"/>
          <w:b/>
          <w:sz w:val="26"/>
          <w:szCs w:val="26"/>
          <w:lang w:eastAsia="lv-LV"/>
        </w:rPr>
        <w:t>Nr.</w:t>
      </w:r>
      <w:r w:rsidR="00683A1D" w:rsidRPr="00176DD8">
        <w:rPr>
          <w:rFonts w:ascii="Times New Roman" w:eastAsia="Times New Roman" w:hAnsi="Times New Roman" w:cs="Times New Roman"/>
          <w:b/>
          <w:sz w:val="26"/>
          <w:szCs w:val="26"/>
          <w:lang w:eastAsia="lv-LV"/>
        </w:rPr>
        <w:t>582</w:t>
      </w:r>
      <w:r w:rsidR="00380B2B" w:rsidRPr="00176DD8">
        <w:rPr>
          <w:rFonts w:ascii="Times New Roman" w:eastAsia="Times New Roman" w:hAnsi="Times New Roman" w:cs="Times New Roman"/>
          <w:b/>
          <w:sz w:val="26"/>
          <w:szCs w:val="26"/>
          <w:lang w:eastAsia="lv-LV"/>
        </w:rPr>
        <w:t xml:space="preserve"> „</w:t>
      </w:r>
      <w:r w:rsidR="009978F6" w:rsidRPr="00176DD8">
        <w:rPr>
          <w:rFonts w:ascii="Times New Roman" w:eastAsia="Times New Roman" w:hAnsi="Times New Roman" w:cs="Times New Roman"/>
          <w:b/>
          <w:sz w:val="26"/>
          <w:szCs w:val="26"/>
          <w:lang w:eastAsia="lv-LV"/>
        </w:rPr>
        <w:t>Not</w:t>
      </w:r>
      <w:r w:rsidR="00380B2B" w:rsidRPr="00176DD8">
        <w:rPr>
          <w:rFonts w:ascii="Times New Roman" w:eastAsia="Times New Roman" w:hAnsi="Times New Roman" w:cs="Times New Roman"/>
          <w:b/>
          <w:sz w:val="26"/>
          <w:szCs w:val="26"/>
          <w:lang w:eastAsia="lv-LV"/>
        </w:rPr>
        <w:t>eikumi par darbības programmas „</w:t>
      </w:r>
      <w:r w:rsidR="009978F6" w:rsidRPr="00176DD8">
        <w:rPr>
          <w:rFonts w:ascii="Times New Roman" w:eastAsia="Times New Roman" w:hAnsi="Times New Roman" w:cs="Times New Roman"/>
          <w:b/>
          <w:sz w:val="26"/>
          <w:szCs w:val="26"/>
          <w:lang w:eastAsia="lv-LV"/>
        </w:rPr>
        <w:t>Uzņēmējdarbība un inovācijas</w:t>
      </w:r>
      <w:r w:rsidR="002940F3" w:rsidRPr="00176DD8">
        <w:rPr>
          <w:rFonts w:ascii="Times New Roman" w:eastAsia="Times New Roman" w:hAnsi="Times New Roman" w:cs="Times New Roman"/>
          <w:b/>
          <w:sz w:val="26"/>
          <w:szCs w:val="26"/>
          <w:lang w:eastAsia="lv-LV"/>
        </w:rPr>
        <w:t>”</w:t>
      </w:r>
      <w:r w:rsidR="009978F6" w:rsidRPr="00176DD8">
        <w:rPr>
          <w:rFonts w:ascii="Times New Roman" w:eastAsia="Times New Roman" w:hAnsi="Times New Roman" w:cs="Times New Roman"/>
          <w:b/>
          <w:sz w:val="26"/>
          <w:szCs w:val="26"/>
          <w:lang w:eastAsia="lv-LV"/>
        </w:rPr>
        <w:t xml:space="preserve"> papildinājuma 2.</w:t>
      </w:r>
      <w:r w:rsidR="00683A1D" w:rsidRPr="00176DD8">
        <w:rPr>
          <w:rFonts w:ascii="Times New Roman" w:eastAsia="Times New Roman" w:hAnsi="Times New Roman" w:cs="Times New Roman"/>
          <w:b/>
          <w:sz w:val="26"/>
          <w:szCs w:val="26"/>
          <w:lang w:eastAsia="lv-LV"/>
        </w:rPr>
        <w:t>3</w:t>
      </w:r>
      <w:r w:rsidR="009978F6" w:rsidRPr="00176DD8">
        <w:rPr>
          <w:rFonts w:ascii="Times New Roman" w:eastAsia="Times New Roman" w:hAnsi="Times New Roman" w:cs="Times New Roman"/>
          <w:b/>
          <w:sz w:val="26"/>
          <w:szCs w:val="26"/>
          <w:lang w:eastAsia="lv-LV"/>
        </w:rPr>
        <w:t>.</w:t>
      </w:r>
      <w:r w:rsidR="00683A1D" w:rsidRPr="00176DD8">
        <w:rPr>
          <w:rFonts w:ascii="Times New Roman" w:eastAsia="Times New Roman" w:hAnsi="Times New Roman" w:cs="Times New Roman"/>
          <w:b/>
          <w:sz w:val="26"/>
          <w:szCs w:val="26"/>
          <w:lang w:eastAsia="lv-LV"/>
        </w:rPr>
        <w:t>1</w:t>
      </w:r>
      <w:r w:rsidR="009978F6" w:rsidRPr="00176DD8">
        <w:rPr>
          <w:rFonts w:ascii="Times New Roman" w:eastAsia="Times New Roman" w:hAnsi="Times New Roman" w:cs="Times New Roman"/>
          <w:b/>
          <w:sz w:val="26"/>
          <w:szCs w:val="26"/>
          <w:lang w:eastAsia="lv-LV"/>
        </w:rPr>
        <w:t>.</w:t>
      </w:r>
      <w:r w:rsidR="00683A1D" w:rsidRPr="00176DD8">
        <w:rPr>
          <w:rFonts w:ascii="Times New Roman" w:eastAsia="Times New Roman" w:hAnsi="Times New Roman" w:cs="Times New Roman"/>
          <w:b/>
          <w:sz w:val="26"/>
          <w:szCs w:val="26"/>
          <w:lang w:eastAsia="lv-LV"/>
        </w:rPr>
        <w:t>1</w:t>
      </w:r>
      <w:r w:rsidR="009978F6" w:rsidRPr="00176DD8">
        <w:rPr>
          <w:rFonts w:ascii="Times New Roman" w:eastAsia="Times New Roman" w:hAnsi="Times New Roman" w:cs="Times New Roman"/>
          <w:b/>
          <w:sz w:val="26"/>
          <w:szCs w:val="26"/>
          <w:lang w:eastAsia="lv-LV"/>
        </w:rPr>
        <w:t>.</w:t>
      </w:r>
      <w:r w:rsidR="00683A1D" w:rsidRPr="00176DD8">
        <w:rPr>
          <w:rFonts w:ascii="Times New Roman" w:eastAsia="Times New Roman" w:hAnsi="Times New Roman" w:cs="Times New Roman"/>
          <w:b/>
          <w:sz w:val="26"/>
          <w:szCs w:val="26"/>
          <w:lang w:eastAsia="lv-LV"/>
        </w:rPr>
        <w:t>1.apakš</w:t>
      </w:r>
      <w:r w:rsidR="009978F6" w:rsidRPr="00176DD8">
        <w:rPr>
          <w:rFonts w:ascii="Times New Roman" w:eastAsia="Times New Roman" w:hAnsi="Times New Roman" w:cs="Times New Roman"/>
          <w:b/>
          <w:sz w:val="26"/>
          <w:szCs w:val="26"/>
          <w:lang w:eastAsia="lv-LV"/>
        </w:rPr>
        <w:t xml:space="preserve">aktivitātes </w:t>
      </w:r>
      <w:r w:rsidR="00DE7A5F" w:rsidRPr="00176DD8">
        <w:rPr>
          <w:rFonts w:ascii="Times New Roman" w:eastAsia="Times New Roman" w:hAnsi="Times New Roman" w:cs="Times New Roman"/>
          <w:b/>
          <w:sz w:val="26"/>
          <w:szCs w:val="26"/>
          <w:lang w:eastAsia="lv-LV"/>
        </w:rPr>
        <w:t>„</w:t>
      </w:r>
      <w:r w:rsidR="00683A1D" w:rsidRPr="00176DD8">
        <w:rPr>
          <w:rFonts w:ascii="Times New Roman" w:eastAsia="Times New Roman" w:hAnsi="Times New Roman" w:cs="Times New Roman"/>
          <w:b/>
          <w:sz w:val="26"/>
          <w:szCs w:val="26"/>
          <w:lang w:eastAsia="lv-LV"/>
        </w:rPr>
        <w:t>Ārējo tirgu apgūšana – ārējais mārketings</w:t>
      </w:r>
      <w:r w:rsidR="00DE7A5F" w:rsidRPr="00176DD8">
        <w:rPr>
          <w:rFonts w:ascii="Times New Roman" w:eastAsia="Times New Roman" w:hAnsi="Times New Roman" w:cs="Times New Roman"/>
          <w:b/>
          <w:sz w:val="26"/>
          <w:szCs w:val="26"/>
          <w:lang w:eastAsia="lv-LV"/>
        </w:rPr>
        <w:t>”</w:t>
      </w:r>
      <w:bookmarkEnd w:id="0"/>
      <w:bookmarkEnd w:id="1"/>
      <w:r w:rsidR="003D214E" w:rsidRPr="00176DD8">
        <w:rPr>
          <w:rFonts w:ascii="Times New Roman" w:eastAsia="Times New Roman" w:hAnsi="Times New Roman" w:cs="Times New Roman"/>
          <w:b/>
          <w:sz w:val="26"/>
          <w:szCs w:val="26"/>
          <w:lang w:eastAsia="lv-LV"/>
        </w:rPr>
        <w:t xml:space="preserve"> </w:t>
      </w:r>
      <w:r w:rsidR="00683A1D" w:rsidRPr="00176DD8">
        <w:rPr>
          <w:rFonts w:ascii="Times New Roman" w:eastAsia="Times New Roman" w:hAnsi="Times New Roman" w:cs="Times New Roman"/>
          <w:b/>
          <w:sz w:val="26"/>
          <w:szCs w:val="26"/>
          <w:lang w:eastAsia="lv-LV"/>
        </w:rPr>
        <w:t>sesto un turpmākajām kārtām</w:t>
      </w:r>
      <w:r w:rsidR="003D214E" w:rsidRPr="00176DD8">
        <w:rPr>
          <w:rFonts w:ascii="Times New Roman" w:eastAsia="Times New Roman" w:hAnsi="Times New Roman" w:cs="Times New Roman"/>
          <w:b/>
          <w:sz w:val="26"/>
          <w:szCs w:val="26"/>
          <w:lang w:eastAsia="lv-LV"/>
        </w:rPr>
        <w:t>”</w:t>
      </w:r>
    </w:p>
    <w:p w:rsidR="00A73867" w:rsidRPr="00176DD8" w:rsidRDefault="00A73867" w:rsidP="00521A53">
      <w:pPr>
        <w:spacing w:after="0" w:line="240" w:lineRule="auto"/>
        <w:jc w:val="center"/>
        <w:rPr>
          <w:rFonts w:ascii="Times New Roman" w:eastAsia="Times New Roman" w:hAnsi="Times New Roman" w:cs="Times New Roman"/>
          <w:b/>
          <w:sz w:val="26"/>
          <w:szCs w:val="26"/>
          <w:lang w:eastAsia="lv-LV"/>
        </w:rPr>
      </w:pPr>
    </w:p>
    <w:bookmarkEnd w:id="2"/>
    <w:bookmarkEnd w:id="3"/>
    <w:bookmarkEnd w:id="4"/>
    <w:bookmarkEnd w:id="5"/>
    <w:bookmarkEnd w:id="6"/>
    <w:bookmarkEnd w:id="7"/>
    <w:p w:rsidR="009978F6" w:rsidRPr="00176DD8" w:rsidRDefault="009978F6" w:rsidP="00521A53">
      <w:pPr>
        <w:pStyle w:val="naislab"/>
        <w:spacing w:before="0" w:after="0"/>
        <w:rPr>
          <w:sz w:val="26"/>
          <w:szCs w:val="26"/>
        </w:rPr>
      </w:pPr>
      <w:r w:rsidRPr="00176DD8">
        <w:rPr>
          <w:sz w:val="26"/>
          <w:szCs w:val="26"/>
        </w:rPr>
        <w:t>Izdoti saskaņā ar</w:t>
      </w:r>
    </w:p>
    <w:p w:rsidR="009978F6" w:rsidRPr="00176DD8" w:rsidRDefault="009978F6" w:rsidP="00521A53">
      <w:pPr>
        <w:pStyle w:val="naislab"/>
        <w:spacing w:before="0" w:after="0"/>
        <w:rPr>
          <w:sz w:val="26"/>
          <w:szCs w:val="26"/>
        </w:rPr>
      </w:pPr>
      <w:r w:rsidRPr="00176DD8">
        <w:rPr>
          <w:sz w:val="26"/>
          <w:szCs w:val="26"/>
        </w:rPr>
        <w:t>Eiropas Savienības struktūrfondu un</w:t>
      </w:r>
    </w:p>
    <w:p w:rsidR="009978F6" w:rsidRPr="00176DD8" w:rsidRDefault="009978F6" w:rsidP="00521A53">
      <w:pPr>
        <w:pStyle w:val="naislab"/>
        <w:spacing w:before="0" w:after="0"/>
        <w:rPr>
          <w:sz w:val="26"/>
          <w:szCs w:val="26"/>
        </w:rPr>
      </w:pPr>
      <w:r w:rsidRPr="00176DD8">
        <w:rPr>
          <w:sz w:val="26"/>
          <w:szCs w:val="26"/>
        </w:rPr>
        <w:t>Kohēzijas fonda vadības likuma</w:t>
      </w:r>
    </w:p>
    <w:p w:rsidR="009978F6" w:rsidRPr="00176DD8" w:rsidRDefault="009978F6" w:rsidP="00521A53">
      <w:pPr>
        <w:pStyle w:val="naislab"/>
        <w:spacing w:before="0" w:after="0"/>
        <w:rPr>
          <w:sz w:val="26"/>
          <w:szCs w:val="26"/>
        </w:rPr>
      </w:pPr>
      <w:r w:rsidRPr="00176DD8">
        <w:rPr>
          <w:sz w:val="26"/>
          <w:szCs w:val="26"/>
        </w:rPr>
        <w:t>18.panta 10.punktu</w:t>
      </w:r>
    </w:p>
    <w:p w:rsidR="009978F6" w:rsidRPr="00176DD8" w:rsidRDefault="009978F6" w:rsidP="00521A53">
      <w:pPr>
        <w:pStyle w:val="naislab"/>
        <w:spacing w:before="0" w:after="0"/>
        <w:jc w:val="left"/>
        <w:rPr>
          <w:sz w:val="26"/>
          <w:szCs w:val="26"/>
        </w:rPr>
      </w:pPr>
    </w:p>
    <w:p w:rsidR="00380B2B" w:rsidRPr="00176DD8" w:rsidRDefault="009978F6" w:rsidP="00521A53">
      <w:pPr>
        <w:pStyle w:val="naislab"/>
        <w:spacing w:before="0" w:after="0"/>
        <w:jc w:val="both"/>
        <w:rPr>
          <w:sz w:val="26"/>
          <w:szCs w:val="26"/>
        </w:rPr>
      </w:pPr>
      <w:r w:rsidRPr="00176DD8">
        <w:rPr>
          <w:sz w:val="26"/>
          <w:szCs w:val="26"/>
        </w:rPr>
        <w:tab/>
        <w:t xml:space="preserve">Izdarīt Ministru </w:t>
      </w:r>
      <w:r w:rsidR="00683A1D" w:rsidRPr="00176DD8">
        <w:rPr>
          <w:sz w:val="26"/>
          <w:szCs w:val="26"/>
        </w:rPr>
        <w:t>k</w:t>
      </w:r>
      <w:r w:rsidRPr="00176DD8">
        <w:rPr>
          <w:sz w:val="26"/>
          <w:szCs w:val="26"/>
        </w:rPr>
        <w:t xml:space="preserve">abineta </w:t>
      </w:r>
      <w:r w:rsidR="00683A1D" w:rsidRPr="00176DD8">
        <w:rPr>
          <w:sz w:val="26"/>
          <w:szCs w:val="26"/>
        </w:rPr>
        <w:t>2009.gada 17.jūnija noteikumos Nr.582 „Noteikumi par darbības programmas „Uzņēmējdarbība un inovācijas” papildinājuma 2.3.1.1.1.apakšaktivitātes „Ārējo tirgu apgūšana – ārējais mārketings” sesto un turpmākajām kārtām”</w:t>
      </w:r>
      <w:r w:rsidR="003D214E" w:rsidRPr="00176DD8">
        <w:rPr>
          <w:sz w:val="26"/>
          <w:szCs w:val="26"/>
        </w:rPr>
        <w:t xml:space="preserve"> </w:t>
      </w:r>
      <w:r w:rsidR="00380B2B" w:rsidRPr="00176DD8">
        <w:rPr>
          <w:sz w:val="26"/>
          <w:szCs w:val="26"/>
        </w:rPr>
        <w:t>(Latvijas Vēstnesis, 20</w:t>
      </w:r>
      <w:r w:rsidR="00683A1D" w:rsidRPr="00176DD8">
        <w:rPr>
          <w:sz w:val="26"/>
          <w:szCs w:val="26"/>
        </w:rPr>
        <w:t>09</w:t>
      </w:r>
      <w:r w:rsidR="00380B2B" w:rsidRPr="00176DD8">
        <w:rPr>
          <w:sz w:val="26"/>
          <w:szCs w:val="26"/>
        </w:rPr>
        <w:t>, 1</w:t>
      </w:r>
      <w:r w:rsidR="00683A1D" w:rsidRPr="00176DD8">
        <w:rPr>
          <w:sz w:val="26"/>
          <w:szCs w:val="26"/>
        </w:rPr>
        <w:t>98</w:t>
      </w:r>
      <w:r w:rsidR="003D214E" w:rsidRPr="00176DD8">
        <w:rPr>
          <w:sz w:val="26"/>
          <w:szCs w:val="26"/>
        </w:rPr>
        <w:t>.nr</w:t>
      </w:r>
      <w:r w:rsidR="00683A1D" w:rsidRPr="00176DD8">
        <w:rPr>
          <w:sz w:val="26"/>
          <w:szCs w:val="26"/>
        </w:rPr>
        <w:t>.</w:t>
      </w:r>
      <w:r w:rsidR="00027118" w:rsidRPr="00176DD8">
        <w:rPr>
          <w:sz w:val="26"/>
          <w:szCs w:val="26"/>
        </w:rPr>
        <w:t>; 2010, 158.nr.; 2012, 32.nr.</w:t>
      </w:r>
      <w:r w:rsidR="005E348C" w:rsidRPr="00176DD8">
        <w:rPr>
          <w:sz w:val="26"/>
          <w:szCs w:val="26"/>
        </w:rPr>
        <w:t>) šādu</w:t>
      </w:r>
      <w:r w:rsidR="00647902" w:rsidRPr="00176DD8">
        <w:rPr>
          <w:sz w:val="26"/>
          <w:szCs w:val="26"/>
        </w:rPr>
        <w:t>s</w:t>
      </w:r>
      <w:r w:rsidR="00380B2B" w:rsidRPr="00176DD8">
        <w:rPr>
          <w:sz w:val="26"/>
          <w:szCs w:val="26"/>
        </w:rPr>
        <w:t xml:space="preserve"> grozījumu</w:t>
      </w:r>
      <w:r w:rsidR="00647902" w:rsidRPr="00176DD8">
        <w:rPr>
          <w:sz w:val="26"/>
          <w:szCs w:val="26"/>
        </w:rPr>
        <w:t>s</w:t>
      </w:r>
      <w:r w:rsidR="00380B2B" w:rsidRPr="00176DD8">
        <w:rPr>
          <w:sz w:val="26"/>
          <w:szCs w:val="26"/>
        </w:rPr>
        <w:t>:</w:t>
      </w:r>
    </w:p>
    <w:p w:rsidR="00647902" w:rsidRPr="00176DD8" w:rsidRDefault="00647902" w:rsidP="00521A53">
      <w:pPr>
        <w:pStyle w:val="naislab"/>
        <w:numPr>
          <w:ilvl w:val="0"/>
          <w:numId w:val="4"/>
        </w:numPr>
        <w:spacing w:before="0" w:after="0"/>
        <w:jc w:val="both"/>
        <w:rPr>
          <w:sz w:val="26"/>
          <w:szCs w:val="26"/>
        </w:rPr>
      </w:pPr>
      <w:r w:rsidRPr="00176DD8">
        <w:rPr>
          <w:sz w:val="26"/>
          <w:szCs w:val="26"/>
        </w:rPr>
        <w:t>izteikt 9.punktu šādā redakcijā:</w:t>
      </w:r>
    </w:p>
    <w:p w:rsidR="00DF2C76" w:rsidRPr="00176DD8" w:rsidRDefault="00A73867" w:rsidP="00521A53">
      <w:pPr>
        <w:pStyle w:val="naislab"/>
        <w:spacing w:before="0" w:after="0"/>
        <w:jc w:val="both"/>
        <w:rPr>
          <w:sz w:val="26"/>
          <w:szCs w:val="26"/>
        </w:rPr>
      </w:pPr>
      <w:r w:rsidRPr="00176DD8">
        <w:rPr>
          <w:sz w:val="26"/>
          <w:szCs w:val="26"/>
        </w:rPr>
        <w:t>„</w:t>
      </w:r>
      <w:r w:rsidR="005E348C" w:rsidRPr="00176DD8">
        <w:rPr>
          <w:sz w:val="26"/>
          <w:szCs w:val="26"/>
        </w:rPr>
        <w:t>9</w:t>
      </w:r>
      <w:r w:rsidRPr="00176DD8">
        <w:rPr>
          <w:sz w:val="26"/>
          <w:szCs w:val="26"/>
        </w:rPr>
        <w:t xml:space="preserve">. </w:t>
      </w:r>
      <w:r w:rsidR="005E348C" w:rsidRPr="00176DD8">
        <w:rPr>
          <w:sz w:val="26"/>
          <w:szCs w:val="26"/>
        </w:rPr>
        <w:t>Apakšaktivitātes ietvaros īstenotos projektus līdzfinansē no Eiropas Reģionālās attīstības fonda un finansējuma saņēmēja līdzekļiem. Apakšaktivitātes ietvaros pieejamais Eiropas Reģionālās attīstības fonda finansējums ir 9 933 911 latu.”</w:t>
      </w:r>
      <w:r w:rsidR="00647902" w:rsidRPr="00176DD8">
        <w:rPr>
          <w:sz w:val="26"/>
          <w:szCs w:val="26"/>
        </w:rPr>
        <w:t>;</w:t>
      </w:r>
    </w:p>
    <w:p w:rsidR="00647902" w:rsidRPr="00176DD8" w:rsidRDefault="00647902" w:rsidP="00521A53">
      <w:pPr>
        <w:pStyle w:val="naislab"/>
        <w:spacing w:before="0" w:after="0"/>
        <w:jc w:val="both"/>
        <w:rPr>
          <w:sz w:val="26"/>
          <w:szCs w:val="26"/>
        </w:rPr>
      </w:pPr>
    </w:p>
    <w:p w:rsidR="001F33ED" w:rsidRPr="00176DD8" w:rsidRDefault="001F33ED" w:rsidP="00521A53">
      <w:pPr>
        <w:pStyle w:val="naislab"/>
        <w:numPr>
          <w:ilvl w:val="0"/>
          <w:numId w:val="4"/>
        </w:numPr>
        <w:spacing w:before="0" w:after="0"/>
        <w:jc w:val="both"/>
        <w:rPr>
          <w:sz w:val="26"/>
          <w:szCs w:val="26"/>
        </w:rPr>
      </w:pPr>
      <w:r w:rsidRPr="00176DD8">
        <w:rPr>
          <w:sz w:val="26"/>
          <w:szCs w:val="26"/>
        </w:rPr>
        <w:t>izteikt 20.1.apakšpunktu šādā redakcijā:</w:t>
      </w:r>
    </w:p>
    <w:p w:rsidR="001F33ED" w:rsidRPr="00176DD8" w:rsidRDefault="001F33ED" w:rsidP="00521A53">
      <w:pPr>
        <w:pStyle w:val="naislab"/>
        <w:spacing w:before="0" w:after="0"/>
        <w:jc w:val="both"/>
        <w:rPr>
          <w:sz w:val="26"/>
          <w:szCs w:val="26"/>
        </w:rPr>
      </w:pPr>
      <w:r w:rsidRPr="00176DD8">
        <w:rPr>
          <w:sz w:val="26"/>
          <w:szCs w:val="26"/>
        </w:rPr>
        <w:t>„20.1. projekta iesniedzējs</w:t>
      </w:r>
      <w:r w:rsidR="00E9081E" w:rsidRPr="00176DD8">
        <w:rPr>
          <w:sz w:val="26"/>
          <w:szCs w:val="26"/>
        </w:rPr>
        <w:t xml:space="preserve"> vai partneris</w:t>
      </w:r>
      <w:r w:rsidRPr="00176DD8">
        <w:rPr>
          <w:sz w:val="26"/>
          <w:szCs w:val="26"/>
        </w:rPr>
        <w:t xml:space="preserve"> nav nonācis finansiālās grūtībās un nav konstatēts, ka: </w:t>
      </w:r>
    </w:p>
    <w:p w:rsidR="001F33ED" w:rsidRPr="00176DD8" w:rsidRDefault="001F33ED" w:rsidP="00521A53">
      <w:pPr>
        <w:pStyle w:val="naislab"/>
        <w:spacing w:before="0" w:after="0"/>
        <w:jc w:val="both"/>
        <w:rPr>
          <w:sz w:val="26"/>
          <w:szCs w:val="26"/>
        </w:rPr>
      </w:pPr>
    </w:p>
    <w:p w:rsidR="001F33ED" w:rsidRPr="00176DD8" w:rsidRDefault="001F33ED" w:rsidP="00521A53">
      <w:pPr>
        <w:pStyle w:val="naislab"/>
        <w:spacing w:before="0" w:after="0"/>
        <w:jc w:val="both"/>
        <w:rPr>
          <w:sz w:val="26"/>
          <w:szCs w:val="26"/>
        </w:rPr>
      </w:pPr>
      <w:r w:rsidRPr="00176DD8">
        <w:rPr>
          <w:sz w:val="26"/>
          <w:szCs w:val="26"/>
        </w:rPr>
        <w:t>20.1.1. tam ar tiesas spriedumu ir pasludināts maksātnespējas process vai ar tiesas spriedumu tiek īstenots tiesiskās aizsardzības process, vai ar tiesas lēmumu tiek īstenots ārpustiesas tiesiskās aizsardzības process, tam uzsākta bankrota procedūra, piem</w:t>
      </w:r>
      <w:r w:rsidR="00E9081E" w:rsidRPr="00176DD8">
        <w:rPr>
          <w:sz w:val="26"/>
          <w:szCs w:val="26"/>
        </w:rPr>
        <w:t>ērota sanācija vai mierizlīgums</w:t>
      </w:r>
      <w:r w:rsidRPr="00176DD8">
        <w:rPr>
          <w:sz w:val="26"/>
          <w:szCs w:val="26"/>
        </w:rPr>
        <w:t xml:space="preserve"> </w:t>
      </w:r>
      <w:r w:rsidR="00E9081E" w:rsidRPr="00176DD8">
        <w:rPr>
          <w:sz w:val="26"/>
          <w:szCs w:val="26"/>
        </w:rPr>
        <w:t xml:space="preserve">vai </w:t>
      </w:r>
      <w:r w:rsidRPr="00176DD8">
        <w:rPr>
          <w:sz w:val="26"/>
          <w:szCs w:val="26"/>
        </w:rPr>
        <w:t xml:space="preserve">tā saimnieciskā darbība ir izbeigta; </w:t>
      </w:r>
    </w:p>
    <w:p w:rsidR="001F33ED" w:rsidRPr="00176DD8" w:rsidRDefault="00863188" w:rsidP="00521A53">
      <w:pPr>
        <w:pStyle w:val="naislab"/>
        <w:spacing w:before="0" w:after="0"/>
        <w:jc w:val="both"/>
        <w:rPr>
          <w:sz w:val="26"/>
          <w:szCs w:val="26"/>
        </w:rPr>
      </w:pPr>
      <w:r w:rsidRPr="00176DD8">
        <w:rPr>
          <w:sz w:val="26"/>
          <w:szCs w:val="26"/>
        </w:rPr>
        <w:t xml:space="preserve">20.1.2. </w:t>
      </w:r>
      <w:r w:rsidR="00E9081E" w:rsidRPr="00176DD8">
        <w:rPr>
          <w:sz w:val="26"/>
          <w:szCs w:val="26"/>
        </w:rPr>
        <w:t xml:space="preserve">tā </w:t>
      </w:r>
      <w:r w:rsidR="001F33ED" w:rsidRPr="00176DD8">
        <w:rPr>
          <w:sz w:val="26"/>
          <w:szCs w:val="26"/>
        </w:rPr>
        <w:t xml:space="preserve">zaudējumi pārsniedz pusi no pamatkapitāla un pēdējo 12 mēnešu laikā -  ceturtdaļu no pamatkapitāla, un konstatējamas šo noteikumu 20.1.4. apakšpunktā minētās pazīmes; </w:t>
      </w:r>
    </w:p>
    <w:p w:rsidR="001F33ED" w:rsidRPr="00176DD8" w:rsidRDefault="001F33ED" w:rsidP="00521A53">
      <w:pPr>
        <w:pStyle w:val="naislab"/>
        <w:spacing w:before="0" w:after="0"/>
        <w:jc w:val="both"/>
        <w:rPr>
          <w:sz w:val="26"/>
          <w:szCs w:val="26"/>
        </w:rPr>
      </w:pPr>
      <w:r w:rsidRPr="00176DD8">
        <w:rPr>
          <w:sz w:val="26"/>
          <w:szCs w:val="26"/>
        </w:rPr>
        <w:t xml:space="preserve">20.1.3. saskaņā ar pēdējo divu noslēgto finanšu gadu pārskatiem  un  pēdējo pieejamo operatīvo pārskatu uz projekta iesnieguma iesniegšanas brīdi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20.1.4. apakšpunktā minētās pazīmes; </w:t>
      </w:r>
    </w:p>
    <w:p w:rsidR="001F33ED" w:rsidRPr="00176DD8" w:rsidRDefault="001F33ED" w:rsidP="00521A53">
      <w:pPr>
        <w:pStyle w:val="naislab"/>
        <w:spacing w:before="0" w:after="0"/>
        <w:jc w:val="both"/>
        <w:rPr>
          <w:sz w:val="26"/>
          <w:szCs w:val="26"/>
        </w:rPr>
      </w:pPr>
      <w:r w:rsidRPr="00176DD8">
        <w:rPr>
          <w:sz w:val="26"/>
          <w:szCs w:val="26"/>
        </w:rPr>
        <w:t xml:space="preserve">20.1.4. tam nav iespēju nosegt zaudējumus no saviem līdzekļiem vai ar līdzekļiem, ko tas spēj iegūt no saviem biedriem, akcionāriem, dalībniekiem vai kreditoriem, un tas nespēj apturēt zaudējumus, kuri bez valsts iestāžu ārējās iejaukšanās </w:t>
      </w:r>
      <w:proofErr w:type="spellStart"/>
      <w:r w:rsidRPr="00176DD8">
        <w:rPr>
          <w:sz w:val="26"/>
          <w:szCs w:val="26"/>
        </w:rPr>
        <w:t>īstermiņā</w:t>
      </w:r>
      <w:proofErr w:type="spellEnd"/>
      <w:r w:rsidRPr="00176DD8">
        <w:rPr>
          <w:sz w:val="26"/>
          <w:szCs w:val="26"/>
        </w:rPr>
        <w:t xml:space="preserve"> vai vidējā termiņā gandrīz noteikti novedīs projekta iesniedzēju līdz nespējai turpināt darbību;”;</w:t>
      </w:r>
    </w:p>
    <w:p w:rsidR="001F33ED" w:rsidRPr="00176DD8" w:rsidRDefault="001F33ED" w:rsidP="00521A53">
      <w:pPr>
        <w:pStyle w:val="naislab"/>
        <w:spacing w:before="0" w:after="0"/>
        <w:jc w:val="both"/>
        <w:rPr>
          <w:sz w:val="26"/>
          <w:szCs w:val="26"/>
        </w:rPr>
      </w:pPr>
    </w:p>
    <w:p w:rsidR="00E9081E" w:rsidRPr="00176DD8" w:rsidRDefault="00E9081E" w:rsidP="00521A53">
      <w:pPr>
        <w:pStyle w:val="naislab"/>
        <w:numPr>
          <w:ilvl w:val="0"/>
          <w:numId w:val="4"/>
        </w:numPr>
        <w:spacing w:before="0" w:after="0"/>
        <w:jc w:val="both"/>
        <w:rPr>
          <w:sz w:val="26"/>
          <w:szCs w:val="26"/>
        </w:rPr>
      </w:pPr>
      <w:r w:rsidRPr="00176DD8">
        <w:rPr>
          <w:sz w:val="26"/>
          <w:szCs w:val="26"/>
        </w:rPr>
        <w:t>izteikt 25.6.apakšpunktu šādā redakcijā:</w:t>
      </w:r>
    </w:p>
    <w:p w:rsidR="00E9081E" w:rsidRPr="00176DD8" w:rsidRDefault="00E9081E" w:rsidP="00521A53">
      <w:pPr>
        <w:pStyle w:val="naislab"/>
        <w:spacing w:before="0" w:after="0"/>
        <w:jc w:val="both"/>
        <w:rPr>
          <w:sz w:val="26"/>
          <w:szCs w:val="26"/>
        </w:rPr>
      </w:pPr>
      <w:r w:rsidRPr="00176DD8">
        <w:rPr>
          <w:sz w:val="26"/>
          <w:szCs w:val="26"/>
        </w:rPr>
        <w:t xml:space="preserve">„25.6. komandējuma (darba brauciena) izmaksas ne vairāk kā trim darbiniekiem saskaņā ar normatīvo aktu par kārtību, kādā atlīdzināmi ar komandējumiem un darbinieku darba braucieniem saistītie izdevumi. Kopējā komandējuma dienu skaitā ieskaita darbības norises laiku un papildus ne vairāk kā trīs dienas. Ja projekta iesniegumu iesniedz partnerībā, kā arī šo noteikumu 10.2., 10.3., 10.4., 10.5., 10.6. un 10.7.apakšpunktā minētajā gadījumā, ierobežojums attiecas uz katru projektā iesaistīto partneri. Komandējuma (darba brauciena) attiecināmajās izmaksās ietilpst: </w:t>
      </w:r>
    </w:p>
    <w:p w:rsidR="00E9081E" w:rsidRPr="00176DD8" w:rsidRDefault="00E9081E" w:rsidP="00521A53">
      <w:pPr>
        <w:pStyle w:val="naislab"/>
        <w:spacing w:before="0" w:after="0"/>
        <w:jc w:val="both"/>
        <w:rPr>
          <w:sz w:val="26"/>
          <w:szCs w:val="26"/>
        </w:rPr>
      </w:pPr>
    </w:p>
    <w:p w:rsidR="00E9081E" w:rsidRPr="00176DD8" w:rsidRDefault="00E9081E" w:rsidP="00521A53">
      <w:pPr>
        <w:pStyle w:val="naislab"/>
        <w:spacing w:before="0" w:after="0"/>
        <w:jc w:val="both"/>
        <w:rPr>
          <w:sz w:val="26"/>
          <w:szCs w:val="26"/>
        </w:rPr>
      </w:pPr>
      <w:r w:rsidRPr="00176DD8">
        <w:rPr>
          <w:sz w:val="26"/>
          <w:szCs w:val="26"/>
        </w:rPr>
        <w:t xml:space="preserve">25.6.1. dienas nauda; </w:t>
      </w:r>
    </w:p>
    <w:p w:rsidR="00E9081E" w:rsidRPr="00176DD8" w:rsidRDefault="00E9081E" w:rsidP="00521A53">
      <w:pPr>
        <w:pStyle w:val="naislab"/>
        <w:spacing w:before="0" w:after="0"/>
        <w:jc w:val="both"/>
        <w:rPr>
          <w:sz w:val="26"/>
          <w:szCs w:val="26"/>
        </w:rPr>
      </w:pPr>
    </w:p>
    <w:p w:rsidR="00E9081E" w:rsidRPr="00176DD8" w:rsidRDefault="00E9081E" w:rsidP="00521A53">
      <w:pPr>
        <w:pStyle w:val="naislab"/>
        <w:spacing w:before="0" w:after="0"/>
        <w:jc w:val="both"/>
        <w:rPr>
          <w:sz w:val="26"/>
          <w:szCs w:val="26"/>
        </w:rPr>
      </w:pPr>
      <w:r w:rsidRPr="00176DD8">
        <w:rPr>
          <w:sz w:val="26"/>
          <w:szCs w:val="26"/>
        </w:rPr>
        <w:t xml:space="preserve">25.6.2. ar viesnīcas (naktsmītnes) pakalpojumu izmantošanu saistītie izdevumi   izņemot PVN  (tai skaitā pakalpojuma sniedzēja noteiktās papildu izmaksas, bez kurām pamatpakalpojumu nav iespējams iegādāties), ja pakalpojumi tiek iegādāti tieši no viesnīcas (naktsmītnes) sniedzēja, neizmantojot starpnieku pakalpojumus; </w:t>
      </w:r>
    </w:p>
    <w:p w:rsidR="00E9081E" w:rsidRPr="00176DD8" w:rsidRDefault="00E9081E" w:rsidP="00521A53">
      <w:pPr>
        <w:pStyle w:val="naislab"/>
        <w:spacing w:before="0" w:after="0"/>
        <w:jc w:val="both"/>
        <w:rPr>
          <w:sz w:val="26"/>
          <w:szCs w:val="26"/>
        </w:rPr>
      </w:pPr>
    </w:p>
    <w:p w:rsidR="00E9081E" w:rsidRPr="00176DD8" w:rsidRDefault="00E9081E" w:rsidP="00521A53">
      <w:pPr>
        <w:pStyle w:val="naislab"/>
        <w:spacing w:before="0" w:after="0"/>
        <w:jc w:val="both"/>
        <w:rPr>
          <w:sz w:val="26"/>
          <w:szCs w:val="26"/>
        </w:rPr>
      </w:pPr>
      <w:r w:rsidRPr="00176DD8">
        <w:rPr>
          <w:sz w:val="26"/>
          <w:szCs w:val="26"/>
        </w:rPr>
        <w:t xml:space="preserve">25.6.3.  izmaksas, kas saistītas ar ekonomiskās klases sabiedriskā transporta izmantošanu   izņemot PVN  (tai skaitā pakalpojuma sniedzēja noteiktās papildu izmaksas, bez kurām pamatpakalpojumu nav iespējams iegādāties)  līdz izstādes, tirdzniecības misijas, </w:t>
      </w:r>
      <w:proofErr w:type="spellStart"/>
      <w:r w:rsidRPr="00176DD8">
        <w:rPr>
          <w:sz w:val="26"/>
          <w:szCs w:val="26"/>
        </w:rPr>
        <w:t>kontaktbiržas</w:t>
      </w:r>
      <w:proofErr w:type="spellEnd"/>
      <w:r w:rsidRPr="00176DD8">
        <w:rPr>
          <w:sz w:val="26"/>
          <w:szCs w:val="26"/>
        </w:rPr>
        <w:t xml:space="preserve"> vai konferences norises vietai un atpakaļ līdz pastāvīgajai darba vietai, kā arī maksa par pārbraucieniem, ja projekta ietvaros plānotas vairākas izstādes, tirdzniecības misijas, </w:t>
      </w:r>
      <w:proofErr w:type="spellStart"/>
      <w:r w:rsidRPr="00176DD8">
        <w:rPr>
          <w:sz w:val="26"/>
          <w:szCs w:val="26"/>
        </w:rPr>
        <w:t>kontaktbiržas</w:t>
      </w:r>
      <w:proofErr w:type="spellEnd"/>
      <w:r w:rsidRPr="00176DD8">
        <w:rPr>
          <w:sz w:val="26"/>
          <w:szCs w:val="26"/>
        </w:rPr>
        <w:t xml:space="preserve"> vai konferences (ceļa (transporta) izdevumi). Ceļa (transporta) izdevumi ir attiecināmi, ja tie tiek iegādāti tieši no pakalpojuma sniedzēja (piemēram, aviokompānijas, dzelzceļa pārvadātāja), neizmantojot starpnieku pakalpojumus. Šo apakšpunktu nepiemēro valsts aģentūras "Latvijas Investīciju un attīstības aģentūra" organizētajās tirdzniecības misijās ārvalstīs, kurās piedalās valsts augstākās amatpersonas; </w:t>
      </w:r>
    </w:p>
    <w:p w:rsidR="00E9081E" w:rsidRPr="00176DD8" w:rsidRDefault="00E9081E" w:rsidP="00521A53">
      <w:pPr>
        <w:pStyle w:val="naislab"/>
        <w:spacing w:before="0" w:after="0"/>
        <w:jc w:val="both"/>
        <w:rPr>
          <w:sz w:val="26"/>
          <w:szCs w:val="26"/>
        </w:rPr>
      </w:pPr>
    </w:p>
    <w:p w:rsidR="00E9081E" w:rsidRPr="00176DD8" w:rsidRDefault="00E9081E" w:rsidP="00521A53">
      <w:pPr>
        <w:pStyle w:val="naislab"/>
        <w:spacing w:before="0" w:after="0"/>
        <w:jc w:val="both"/>
        <w:rPr>
          <w:sz w:val="26"/>
          <w:szCs w:val="26"/>
        </w:rPr>
      </w:pPr>
      <w:r w:rsidRPr="00176DD8">
        <w:rPr>
          <w:sz w:val="26"/>
          <w:szCs w:val="26"/>
        </w:rPr>
        <w:t>25.6.4. valsts aģentūras "Latvijas Investīciju un attīstības aģentūra" organizētajās tirdzniecības misijās ārvalstīs, kurās piedalās valsts augstākās amatpersonas, ir attiecināmas finansējuma saņēmēju lidojumu izmaksas un izmaksas, kas saistītas ar ekonomiskās klases sabiedriskā transporta izmantošanu izņemot PVN  (tai skaitā pakalpojuma sniedzēja noteiktās papildu izmaksas, bez kurām pamatpakalpojumu nav iespējams iegādāties) līdz tirdzniecības misijas norises vietai un atpakaļ līdz pastāvīgajai darba vietai, kā arī maksa par pārbraucieniem, ja projekta ietvaros plānotas vairākas tirdzniecības misijas (ceļa (transporta) izdevumi).”</w:t>
      </w:r>
      <w:r w:rsidR="00521A53">
        <w:rPr>
          <w:sz w:val="26"/>
          <w:szCs w:val="26"/>
        </w:rPr>
        <w:t>;</w:t>
      </w:r>
    </w:p>
    <w:p w:rsidR="00E9081E" w:rsidRPr="00176DD8" w:rsidRDefault="00E9081E" w:rsidP="00521A53">
      <w:pPr>
        <w:pStyle w:val="naislab"/>
        <w:spacing w:before="0" w:after="0"/>
        <w:jc w:val="both"/>
        <w:rPr>
          <w:sz w:val="26"/>
          <w:szCs w:val="26"/>
        </w:rPr>
      </w:pPr>
    </w:p>
    <w:p w:rsidR="00647902" w:rsidRPr="00176DD8" w:rsidRDefault="00647902" w:rsidP="00521A53">
      <w:pPr>
        <w:pStyle w:val="naislab"/>
        <w:numPr>
          <w:ilvl w:val="0"/>
          <w:numId w:val="4"/>
        </w:numPr>
        <w:spacing w:before="0" w:after="0"/>
        <w:jc w:val="both"/>
        <w:rPr>
          <w:sz w:val="26"/>
          <w:szCs w:val="26"/>
        </w:rPr>
      </w:pPr>
      <w:r w:rsidRPr="00176DD8">
        <w:rPr>
          <w:sz w:val="26"/>
          <w:szCs w:val="26"/>
        </w:rPr>
        <w:t>papildināt noteikumu 25</w:t>
      </w:r>
      <w:r w:rsidR="004E53A0">
        <w:rPr>
          <w:sz w:val="26"/>
          <w:szCs w:val="26"/>
        </w:rPr>
        <w:t>.</w:t>
      </w:r>
      <w:r w:rsidRPr="00176DD8">
        <w:rPr>
          <w:sz w:val="26"/>
          <w:szCs w:val="26"/>
        </w:rPr>
        <w:t>punktu ar 8.apakšpunktu</w:t>
      </w:r>
      <w:r w:rsidR="001F33ED" w:rsidRPr="00176DD8">
        <w:rPr>
          <w:sz w:val="26"/>
          <w:szCs w:val="26"/>
        </w:rPr>
        <w:t xml:space="preserve"> šādā redakcijā</w:t>
      </w:r>
      <w:r w:rsidRPr="00176DD8">
        <w:rPr>
          <w:sz w:val="26"/>
          <w:szCs w:val="26"/>
        </w:rPr>
        <w:t>:</w:t>
      </w:r>
    </w:p>
    <w:p w:rsidR="00647902" w:rsidRPr="00176DD8" w:rsidRDefault="00647902" w:rsidP="00521A53">
      <w:pPr>
        <w:pStyle w:val="naislab"/>
        <w:spacing w:before="0" w:after="0"/>
        <w:jc w:val="both"/>
        <w:rPr>
          <w:sz w:val="26"/>
          <w:szCs w:val="26"/>
        </w:rPr>
      </w:pPr>
      <w:r w:rsidRPr="00176DD8">
        <w:rPr>
          <w:sz w:val="26"/>
          <w:szCs w:val="26"/>
        </w:rPr>
        <w:t>„25.8.</w:t>
      </w:r>
      <w:r w:rsidR="001F33ED" w:rsidRPr="00176DD8">
        <w:t xml:space="preserve"> </w:t>
      </w:r>
      <w:r w:rsidR="001F33ED" w:rsidRPr="00176DD8">
        <w:rPr>
          <w:sz w:val="26"/>
          <w:szCs w:val="26"/>
        </w:rPr>
        <w:t>projekta attiecināmo izmaksu pievienotās vērtības nodoklis, ja projekta iesniedzējs to nevar atgūt atbilstoši normatīvajiem aktiem nodokļu politikas jomā</w:t>
      </w:r>
      <w:r w:rsidRPr="00176DD8">
        <w:rPr>
          <w:sz w:val="26"/>
          <w:szCs w:val="26"/>
        </w:rPr>
        <w:t>.”;</w:t>
      </w:r>
    </w:p>
    <w:p w:rsidR="00647902" w:rsidRPr="00176DD8" w:rsidRDefault="00647902" w:rsidP="00521A53">
      <w:pPr>
        <w:pStyle w:val="naislab"/>
        <w:spacing w:before="0" w:after="0"/>
        <w:jc w:val="both"/>
        <w:rPr>
          <w:sz w:val="26"/>
          <w:szCs w:val="26"/>
        </w:rPr>
      </w:pPr>
    </w:p>
    <w:p w:rsidR="00647902" w:rsidRPr="00176DD8" w:rsidRDefault="00647902" w:rsidP="00521A53">
      <w:pPr>
        <w:pStyle w:val="naislab"/>
        <w:numPr>
          <w:ilvl w:val="0"/>
          <w:numId w:val="4"/>
        </w:numPr>
        <w:spacing w:before="0" w:after="0"/>
        <w:jc w:val="both"/>
        <w:rPr>
          <w:sz w:val="26"/>
          <w:szCs w:val="26"/>
        </w:rPr>
      </w:pPr>
      <w:r w:rsidRPr="00176DD8">
        <w:rPr>
          <w:sz w:val="26"/>
          <w:szCs w:val="26"/>
        </w:rPr>
        <w:t>izteikt 26.punktu šādā redakcijā:</w:t>
      </w:r>
    </w:p>
    <w:p w:rsidR="001F33ED" w:rsidRPr="00176DD8" w:rsidRDefault="00C71126" w:rsidP="00521A53">
      <w:pPr>
        <w:pStyle w:val="naislab"/>
        <w:spacing w:before="0" w:after="0"/>
        <w:jc w:val="both"/>
        <w:rPr>
          <w:sz w:val="26"/>
          <w:szCs w:val="26"/>
        </w:rPr>
      </w:pPr>
      <w:r w:rsidRPr="00176DD8">
        <w:rPr>
          <w:sz w:val="26"/>
          <w:szCs w:val="26"/>
        </w:rPr>
        <w:t xml:space="preserve">„26. Kopējās projekta attiecināmās izmaksas nedrīkst pārsniegt 30 % no projekta iesniedzēja pēdējā noslēgtā gada konsolidētā apgrozījuma. Ja projekta iesniedzējs ir kooperatīvā sabiedrība, biedrība, nodibinājums, valsts vai pašvaldības iestāde, </w:t>
      </w:r>
      <w:r w:rsidRPr="00176DD8">
        <w:rPr>
          <w:sz w:val="26"/>
          <w:szCs w:val="26"/>
        </w:rPr>
        <w:lastRenderedPageBreak/>
        <w:t>pašvaldība vai ostu pārvalde vai projekta iesniegums iesniegts partnerībā, šo ierobežojumu rēķina no visu projektā iesaistīto kooperatīvo sabiedrību, biedrību, nodibinājumu, valsts vai pašvaldības iestāžu, pašvaldību, ostu pārvalžu vai komersantu pēdējā noslēgtā gada konsolidētā apgrozījuma summas. Ja projekta iesniedzējs ir reģistrēts Uzņēmumu reģistrā, biedrību un nodibinājumu reģistrā vai komerc</w:t>
      </w:r>
      <w:r w:rsidR="001F33ED" w:rsidRPr="00176DD8">
        <w:rPr>
          <w:sz w:val="26"/>
          <w:szCs w:val="26"/>
        </w:rPr>
        <w:t>reģistrā mazāk nekā trīs gadus</w:t>
      </w:r>
      <w:r w:rsidR="00EE2600" w:rsidRPr="00176DD8">
        <w:rPr>
          <w:sz w:val="26"/>
          <w:szCs w:val="26"/>
        </w:rPr>
        <w:t>,</w:t>
      </w:r>
      <w:r w:rsidR="001F33ED" w:rsidRPr="00176DD8">
        <w:rPr>
          <w:sz w:val="26"/>
          <w:szCs w:val="26"/>
        </w:rPr>
        <w:t xml:space="preserve"> </w:t>
      </w:r>
      <w:r w:rsidRPr="00176DD8">
        <w:rPr>
          <w:sz w:val="26"/>
          <w:szCs w:val="26"/>
        </w:rPr>
        <w:t>iesniegtā projekta kopējās</w:t>
      </w:r>
      <w:r w:rsidR="00EE2600" w:rsidRPr="00176DD8">
        <w:rPr>
          <w:sz w:val="26"/>
          <w:szCs w:val="26"/>
        </w:rPr>
        <w:t xml:space="preserve"> maksimāli</w:t>
      </w:r>
      <w:r w:rsidRPr="00176DD8">
        <w:rPr>
          <w:sz w:val="26"/>
          <w:szCs w:val="26"/>
        </w:rPr>
        <w:t xml:space="preserve"> attiecināmās izmaksas </w:t>
      </w:r>
      <w:r w:rsidR="00EE2600" w:rsidRPr="00176DD8">
        <w:rPr>
          <w:sz w:val="26"/>
          <w:szCs w:val="26"/>
        </w:rPr>
        <w:t>ir 4 000 latu, gadījumā ja 30 % no projekta iesniedzēja konsolidētā apgrozījuma ir mazāk par 4000 latiem.</w:t>
      </w:r>
      <w:r w:rsidR="00521A53">
        <w:rPr>
          <w:sz w:val="26"/>
          <w:szCs w:val="26"/>
        </w:rPr>
        <w:t>”;</w:t>
      </w:r>
    </w:p>
    <w:p w:rsidR="001F33ED" w:rsidRPr="00176DD8" w:rsidRDefault="001F33ED" w:rsidP="00521A53">
      <w:pPr>
        <w:pStyle w:val="naislab"/>
        <w:spacing w:before="0" w:after="0"/>
        <w:jc w:val="both"/>
        <w:rPr>
          <w:sz w:val="26"/>
          <w:szCs w:val="26"/>
        </w:rPr>
      </w:pPr>
    </w:p>
    <w:p w:rsidR="00A25893" w:rsidRPr="00176DD8" w:rsidRDefault="00A25893" w:rsidP="00521A53">
      <w:pPr>
        <w:pStyle w:val="naislab"/>
        <w:numPr>
          <w:ilvl w:val="0"/>
          <w:numId w:val="4"/>
        </w:numPr>
        <w:spacing w:before="0" w:after="0"/>
        <w:jc w:val="both"/>
        <w:rPr>
          <w:sz w:val="26"/>
          <w:szCs w:val="26"/>
        </w:rPr>
      </w:pPr>
      <w:r w:rsidRPr="00176DD8">
        <w:rPr>
          <w:sz w:val="26"/>
          <w:szCs w:val="26"/>
        </w:rPr>
        <w:t>izteikt 2.pielikuma 4.2.punktu šādā redakcijā:</w:t>
      </w:r>
    </w:p>
    <w:p w:rsidR="00A25893" w:rsidRPr="00176DD8" w:rsidRDefault="00A25893" w:rsidP="00521A53">
      <w:pPr>
        <w:pStyle w:val="naislab"/>
        <w:spacing w:before="0" w:after="0"/>
        <w:jc w:val="both"/>
        <w:rPr>
          <w:sz w:val="26"/>
          <w:szCs w:val="26"/>
        </w:rPr>
      </w:pPr>
      <w:r w:rsidRPr="00176DD8">
        <w:rPr>
          <w:sz w:val="26"/>
          <w:szCs w:val="26"/>
        </w:rPr>
        <w:t>„</w:t>
      </w:r>
    </w:p>
    <w:tbl>
      <w:tblPr>
        <w:tblW w:w="0" w:type="auto"/>
        <w:tblCellSpacing w:w="0" w:type="dxa"/>
        <w:tblInd w:w="2"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A0" w:firstRow="1" w:lastRow="0" w:firstColumn="1" w:lastColumn="0" w:noHBand="0" w:noVBand="0"/>
      </w:tblPr>
      <w:tblGrid>
        <w:gridCol w:w="5937"/>
        <w:gridCol w:w="1218"/>
        <w:gridCol w:w="1444"/>
      </w:tblGrid>
      <w:tr w:rsidR="00A25893" w:rsidRPr="00176DD8" w:rsidTr="00A25893">
        <w:trPr>
          <w:trHeight w:val="787"/>
          <w:tblCellSpacing w:w="0" w:type="dxa"/>
        </w:trPr>
        <w:tc>
          <w:tcPr>
            <w:tcW w:w="5937" w:type="dxa"/>
            <w:tcBorders>
              <w:top w:val="outset" w:sz="6" w:space="0" w:color="808080"/>
              <w:bottom w:val="outset" w:sz="6" w:space="0" w:color="808080"/>
              <w:right w:val="outset" w:sz="6" w:space="0" w:color="808080"/>
            </w:tcBorders>
            <w:shd w:val="clear" w:color="auto" w:fill="C0C0C0"/>
            <w:vAlign w:val="center"/>
          </w:tcPr>
          <w:p w:rsidR="00A25893" w:rsidRPr="00176DD8" w:rsidRDefault="00A25893"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sz w:val="24"/>
                <w:szCs w:val="24"/>
                <w:lang w:eastAsia="lv-LV"/>
              </w:rPr>
              <w:t> Projekta izmaksu pozīcijas</w:t>
            </w:r>
          </w:p>
        </w:tc>
        <w:tc>
          <w:tcPr>
            <w:tcW w:w="1218" w:type="dxa"/>
            <w:tcBorders>
              <w:top w:val="outset" w:sz="6" w:space="0" w:color="808080"/>
              <w:left w:val="outset" w:sz="6" w:space="0" w:color="808080"/>
              <w:bottom w:val="outset" w:sz="6" w:space="0" w:color="808080"/>
            </w:tcBorders>
            <w:shd w:val="clear" w:color="auto" w:fill="C0C0C0"/>
            <w:vAlign w:val="center"/>
          </w:tcPr>
          <w:p w:rsidR="00A25893" w:rsidRPr="00176DD8" w:rsidRDefault="00A25893"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sz w:val="24"/>
                <w:szCs w:val="24"/>
                <w:lang w:eastAsia="lv-LV"/>
              </w:rPr>
              <w:t> Izmaksas bez PVN (LVL)</w:t>
            </w:r>
          </w:p>
        </w:tc>
        <w:tc>
          <w:tcPr>
            <w:tcW w:w="970" w:type="dxa"/>
            <w:tcBorders>
              <w:top w:val="outset" w:sz="6" w:space="0" w:color="808080"/>
              <w:left w:val="outset" w:sz="6" w:space="0" w:color="808080"/>
              <w:bottom w:val="outset" w:sz="6" w:space="0" w:color="808080"/>
            </w:tcBorders>
            <w:shd w:val="clear" w:color="auto" w:fill="C0C0C0"/>
          </w:tcPr>
          <w:p w:rsidR="00A25893" w:rsidRPr="00176DD8" w:rsidRDefault="00A25893"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sz w:val="24"/>
                <w:szCs w:val="24"/>
                <w:lang w:eastAsia="lv-LV"/>
              </w:rPr>
              <w:t>Attiecināmais PVN* (LVL)</w:t>
            </w:r>
          </w:p>
        </w:tc>
      </w:tr>
      <w:tr w:rsidR="00A25893" w:rsidRPr="00176DD8" w:rsidTr="00A25893">
        <w:trPr>
          <w:trHeight w:val="249"/>
          <w:tblCellSpacing w:w="0" w:type="dxa"/>
        </w:trPr>
        <w:tc>
          <w:tcPr>
            <w:tcW w:w="5937" w:type="dxa"/>
            <w:tcBorders>
              <w:top w:val="outset" w:sz="6" w:space="0" w:color="808080"/>
              <w:bottom w:val="outset" w:sz="6" w:space="0" w:color="808080"/>
              <w:right w:val="outset" w:sz="6" w:space="0" w:color="808080"/>
            </w:tcBorders>
            <w:shd w:val="clear" w:color="auto" w:fill="C0C0C0"/>
          </w:tcPr>
          <w:p w:rsidR="00A25893" w:rsidRPr="00176DD8" w:rsidRDefault="00A25893"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sz w:val="24"/>
                <w:szCs w:val="24"/>
                <w:lang w:eastAsia="lv-LV"/>
              </w:rPr>
              <w:t xml:space="preserve"> ATTIECINĀMĀS IZMAKSAS </w:t>
            </w:r>
          </w:p>
        </w:tc>
        <w:tc>
          <w:tcPr>
            <w:tcW w:w="1218" w:type="dxa"/>
            <w:tcBorders>
              <w:top w:val="outset" w:sz="6" w:space="0" w:color="808080"/>
              <w:left w:val="outset" w:sz="6" w:space="0" w:color="808080"/>
              <w:bottom w:val="outset" w:sz="6" w:space="0" w:color="808080"/>
            </w:tcBorders>
            <w:shd w:val="clear" w:color="auto" w:fill="C0C0C0"/>
          </w:tcPr>
          <w:p w:rsidR="00A25893" w:rsidRPr="00176DD8" w:rsidRDefault="00A25893" w:rsidP="00521A53">
            <w:pPr>
              <w:spacing w:after="0" w:line="240" w:lineRule="auto"/>
              <w:jc w:val="center"/>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shd w:val="clear" w:color="auto" w:fill="C0C0C0"/>
          </w:tcPr>
          <w:p w:rsidR="00A25893" w:rsidRPr="00176DD8" w:rsidRDefault="00A25893" w:rsidP="00521A53">
            <w:pPr>
              <w:spacing w:after="0" w:line="240" w:lineRule="auto"/>
              <w:jc w:val="center"/>
              <w:rPr>
                <w:rFonts w:ascii="Times New Roman" w:eastAsia="Times New Roman" w:hAnsi="Times New Roman" w:cs="Times New Roman"/>
                <w:sz w:val="24"/>
                <w:szCs w:val="24"/>
                <w:lang w:eastAsia="lv-LV"/>
              </w:rPr>
            </w:pPr>
          </w:p>
        </w:tc>
      </w:tr>
      <w:tr w:rsidR="00A25893" w:rsidRPr="00176DD8" w:rsidTr="00A25893">
        <w:trPr>
          <w:trHeight w:val="260"/>
          <w:tblCellSpacing w:w="0" w:type="dxa"/>
        </w:trPr>
        <w:tc>
          <w:tcPr>
            <w:tcW w:w="5937" w:type="dxa"/>
            <w:tcBorders>
              <w:top w:val="outset" w:sz="6" w:space="0" w:color="808080"/>
              <w:bottom w:val="outset" w:sz="6" w:space="0" w:color="808080"/>
              <w:right w:val="outset" w:sz="6" w:space="0" w:color="808080"/>
            </w:tcBorders>
            <w:shd w:val="clear" w:color="auto" w:fill="BFBFBF"/>
          </w:tcPr>
          <w:p w:rsidR="00A25893" w:rsidRPr="00176DD8" w:rsidRDefault="00A25893" w:rsidP="00521A53">
            <w:pPr>
              <w:numPr>
                <w:ilvl w:val="0"/>
                <w:numId w:val="7"/>
              </w:numPr>
              <w:spacing w:after="0" w:line="240" w:lineRule="auto"/>
              <w:ind w:left="282" w:right="107" w:firstLine="0"/>
              <w:jc w:val="both"/>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b/>
                <w:bCs/>
                <w:lang w:eastAsia="lv-LV"/>
              </w:rPr>
              <w:t>Starptautiskās izstādes organizatora noteiktā reģistrācijas  maksa</w:t>
            </w:r>
          </w:p>
        </w:tc>
        <w:tc>
          <w:tcPr>
            <w:tcW w:w="1218" w:type="dxa"/>
            <w:tcBorders>
              <w:top w:val="outset" w:sz="6" w:space="0" w:color="808080"/>
              <w:left w:val="outset" w:sz="6" w:space="0" w:color="808080"/>
              <w:bottom w:val="outset" w:sz="6" w:space="0" w:color="808080"/>
            </w:tcBorders>
            <w:shd w:val="clear" w:color="auto" w:fill="BFBFBF"/>
          </w:tcPr>
          <w:p w:rsidR="00A25893" w:rsidRPr="00176DD8" w:rsidRDefault="00A25893" w:rsidP="00521A53">
            <w:pPr>
              <w:spacing w:after="0" w:line="240" w:lineRule="auto"/>
              <w:jc w:val="right"/>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shd w:val="clear" w:color="auto" w:fill="BFBFBF"/>
          </w:tcPr>
          <w:p w:rsidR="00A25893" w:rsidRPr="00176DD8" w:rsidRDefault="00A25893" w:rsidP="00521A53">
            <w:pPr>
              <w:spacing w:after="0" w:line="240" w:lineRule="auto"/>
              <w:jc w:val="right"/>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shd w:val="clear" w:color="auto" w:fill="auto"/>
          </w:tcPr>
          <w:p w:rsidR="00A25893" w:rsidRPr="00176DD8" w:rsidRDefault="00A25893" w:rsidP="00521A53">
            <w:pPr>
              <w:numPr>
                <w:ilvl w:val="0"/>
                <w:numId w:val="7"/>
              </w:numPr>
              <w:spacing w:after="0" w:line="240" w:lineRule="auto"/>
              <w:ind w:left="282" w:firstLine="0"/>
              <w:jc w:val="both"/>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color w:val="000000"/>
                <w:sz w:val="24"/>
                <w:szCs w:val="24"/>
                <w:shd w:val="clear" w:color="auto" w:fill="FFFFFF"/>
                <w:lang w:eastAsia="lv-LV"/>
              </w:rPr>
              <w:t xml:space="preserve">Tiešā organizatora noteiktā dalības maksa par piedalīšanos starptautiskajā izstādē, </w:t>
            </w:r>
            <w:proofErr w:type="spellStart"/>
            <w:r w:rsidRPr="00176DD8">
              <w:rPr>
                <w:rFonts w:ascii="Times New Roman" w:eastAsia="Times New Roman" w:hAnsi="Times New Roman" w:cs="Times New Roman"/>
                <w:b/>
                <w:color w:val="000000"/>
                <w:sz w:val="24"/>
                <w:szCs w:val="24"/>
                <w:shd w:val="clear" w:color="auto" w:fill="FFFFFF"/>
                <w:lang w:eastAsia="lv-LV"/>
              </w:rPr>
              <w:t>kontaktbiržā</w:t>
            </w:r>
            <w:proofErr w:type="spellEnd"/>
            <w:r w:rsidRPr="00176DD8">
              <w:rPr>
                <w:rFonts w:ascii="Times New Roman" w:eastAsia="Times New Roman" w:hAnsi="Times New Roman" w:cs="Times New Roman"/>
                <w:b/>
                <w:color w:val="000000"/>
                <w:sz w:val="24"/>
                <w:szCs w:val="24"/>
                <w:shd w:val="clear" w:color="auto" w:fill="FFFFFF"/>
                <w:lang w:eastAsia="lv-LV"/>
              </w:rPr>
              <w:t xml:space="preserve">, tirdzniecības misijā, kura notiek ārpus Latvijas teritorijas, </w:t>
            </w:r>
            <w:proofErr w:type="spellStart"/>
            <w:r w:rsidRPr="00176DD8">
              <w:rPr>
                <w:rFonts w:ascii="Times New Roman" w:eastAsia="Times New Roman" w:hAnsi="Times New Roman" w:cs="Times New Roman"/>
                <w:b/>
                <w:color w:val="000000"/>
                <w:sz w:val="24"/>
                <w:szCs w:val="24"/>
                <w:shd w:val="clear" w:color="auto" w:fill="FFFFFF"/>
                <w:lang w:eastAsia="lv-LV"/>
              </w:rPr>
              <w:t>t.sk</w:t>
            </w:r>
            <w:proofErr w:type="spellEnd"/>
            <w:r w:rsidRPr="00176DD8">
              <w:rPr>
                <w:rFonts w:ascii="Times New Roman" w:eastAsia="Times New Roman" w:hAnsi="Times New Roman" w:cs="Times New Roman"/>
                <w:b/>
                <w:color w:val="000000"/>
                <w:sz w:val="24"/>
                <w:szCs w:val="24"/>
                <w:shd w:val="clear" w:color="auto" w:fill="FFFFFF"/>
                <w:lang w:eastAsia="lv-LV"/>
              </w:rPr>
              <w:t xml:space="preserve">. tiešā organizatora noteiktā maksa par starptautiskās izstādes, </w:t>
            </w:r>
            <w:proofErr w:type="spellStart"/>
            <w:r w:rsidRPr="00176DD8">
              <w:rPr>
                <w:rFonts w:ascii="Times New Roman" w:eastAsia="Times New Roman" w:hAnsi="Times New Roman" w:cs="Times New Roman"/>
                <w:b/>
                <w:color w:val="000000"/>
                <w:sz w:val="24"/>
                <w:szCs w:val="24"/>
                <w:shd w:val="clear" w:color="auto" w:fill="FFFFFF"/>
                <w:lang w:eastAsia="lv-LV"/>
              </w:rPr>
              <w:t>kontaktbiržas</w:t>
            </w:r>
            <w:proofErr w:type="spellEnd"/>
            <w:r w:rsidRPr="00176DD8">
              <w:rPr>
                <w:rFonts w:ascii="Times New Roman" w:eastAsia="Times New Roman" w:hAnsi="Times New Roman" w:cs="Times New Roman"/>
                <w:b/>
                <w:color w:val="000000"/>
                <w:sz w:val="24"/>
                <w:szCs w:val="24"/>
                <w:shd w:val="clear" w:color="auto" w:fill="FFFFFF"/>
                <w:lang w:eastAsia="lv-LV"/>
              </w:rPr>
              <w:t xml:space="preserve">, tirdzniecības misijas organizēšanu </w:t>
            </w:r>
            <w:r w:rsidRPr="00176DD8">
              <w:rPr>
                <w:rFonts w:ascii="Times New Roman" w:eastAsia="Times New Roman" w:hAnsi="Times New Roman" w:cs="Times New Roman"/>
                <w:b/>
                <w:i/>
                <w:color w:val="000000"/>
                <w:sz w:val="24"/>
                <w:szCs w:val="24"/>
                <w:shd w:val="clear" w:color="auto" w:fill="FFFFFF"/>
                <w:lang w:eastAsia="lv-LV"/>
              </w:rPr>
              <w:t>(nedrīkst pārsniegt 2000 LVL vienam komersantam par vienu atbalstāmo darbību</w:t>
            </w:r>
            <w:r w:rsidRPr="00176DD8">
              <w:rPr>
                <w:rFonts w:ascii="Times New Roman" w:eastAsia="Times New Roman" w:hAnsi="Times New Roman" w:cs="Times New Roman"/>
                <w:b/>
                <w:bCs/>
                <w:i/>
                <w:iCs/>
                <w:lang w:eastAsia="lv-LV"/>
              </w:rPr>
              <w:t>)</w:t>
            </w:r>
          </w:p>
        </w:tc>
        <w:tc>
          <w:tcPr>
            <w:tcW w:w="1218" w:type="dxa"/>
            <w:tcBorders>
              <w:top w:val="outset" w:sz="6" w:space="0" w:color="808080"/>
              <w:left w:val="outset" w:sz="6" w:space="0" w:color="808080"/>
              <w:bottom w:val="outset" w:sz="6" w:space="0" w:color="808080"/>
            </w:tcBorders>
            <w:shd w:val="clear" w:color="auto" w:fill="auto"/>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shd w:val="clear" w:color="auto" w:fill="C0C0C0"/>
          </w:tcPr>
          <w:p w:rsidR="00A25893" w:rsidRPr="00176DD8" w:rsidRDefault="00A25893" w:rsidP="00521A53">
            <w:pPr>
              <w:numPr>
                <w:ilvl w:val="0"/>
                <w:numId w:val="7"/>
              </w:numPr>
              <w:spacing w:after="0" w:line="240" w:lineRule="auto"/>
              <w:ind w:left="282" w:firstLine="0"/>
              <w:jc w:val="both"/>
              <w:rPr>
                <w:rFonts w:ascii="Times New Roman" w:eastAsia="Times New Roman" w:hAnsi="Times New Roman" w:cs="Times New Roman"/>
                <w:sz w:val="24"/>
                <w:szCs w:val="24"/>
                <w:lang w:eastAsia="lv-LV"/>
              </w:rPr>
            </w:pPr>
            <w:r w:rsidRPr="00176DD8">
              <w:rPr>
                <w:rFonts w:ascii="Times New Roman" w:eastAsia="Times New Roman" w:hAnsi="Times New Roman" w:cs="Times New Roman"/>
                <w:b/>
                <w:bCs/>
                <w:lang w:eastAsia="lv-LV"/>
              </w:rPr>
              <w:t xml:space="preserve">Organizatora noteiktā dalības maksa par piedalīšanos konferencē, kas notiek ārvalstīs </w:t>
            </w:r>
            <w:r w:rsidRPr="00176DD8">
              <w:rPr>
                <w:rFonts w:ascii="Times New Roman" w:eastAsia="Times New Roman" w:hAnsi="Times New Roman" w:cs="Times New Roman"/>
                <w:b/>
                <w:bCs/>
                <w:i/>
                <w:iCs/>
                <w:lang w:eastAsia="lv-LV"/>
              </w:rPr>
              <w:t>(nedrīkst pārsniegt 1000 LVL vienai konferencei (semināram))</w:t>
            </w:r>
          </w:p>
        </w:tc>
        <w:tc>
          <w:tcPr>
            <w:tcW w:w="1218" w:type="dxa"/>
            <w:tcBorders>
              <w:top w:val="outset" w:sz="6" w:space="0" w:color="808080"/>
              <w:left w:val="outset" w:sz="6" w:space="0" w:color="808080"/>
              <w:bottom w:val="outset" w:sz="6" w:space="0" w:color="808080"/>
            </w:tcBorders>
            <w:shd w:val="clear" w:color="auto" w:fill="C0C0C0"/>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shd w:val="clear" w:color="auto" w:fill="C0C0C0"/>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numPr>
                <w:ilvl w:val="0"/>
                <w:numId w:val="7"/>
              </w:numPr>
              <w:spacing w:after="0" w:line="240" w:lineRule="auto"/>
              <w:ind w:left="282" w:firstLine="0"/>
              <w:jc w:val="both"/>
              <w:rPr>
                <w:rFonts w:ascii="Times New Roman" w:eastAsia="Times New Roman" w:hAnsi="Times New Roman" w:cs="Times New Roman"/>
                <w:i/>
                <w:iCs/>
                <w:sz w:val="24"/>
                <w:szCs w:val="24"/>
                <w:lang w:eastAsia="lv-LV"/>
              </w:rPr>
            </w:pPr>
            <w:r w:rsidRPr="00176DD8">
              <w:rPr>
                <w:rFonts w:ascii="Times New Roman" w:eastAsia="Times New Roman" w:hAnsi="Times New Roman" w:cs="Times New Roman"/>
                <w:b/>
                <w:bCs/>
                <w:lang w:eastAsia="lv-LV"/>
              </w:rPr>
              <w:t xml:space="preserve">Organizatora noteiktā maksa par informācijas izvietošanu izstādes, tirdzniecības misijas, </w:t>
            </w:r>
            <w:proofErr w:type="spellStart"/>
            <w:r w:rsidRPr="00176DD8">
              <w:rPr>
                <w:rFonts w:ascii="Times New Roman" w:eastAsia="Times New Roman" w:hAnsi="Times New Roman" w:cs="Times New Roman"/>
                <w:b/>
                <w:bCs/>
                <w:lang w:eastAsia="lv-LV"/>
              </w:rPr>
              <w:t>kontaktbiržas</w:t>
            </w:r>
            <w:proofErr w:type="spellEnd"/>
            <w:r w:rsidRPr="00176DD8">
              <w:rPr>
                <w:rFonts w:ascii="Times New Roman" w:eastAsia="Times New Roman" w:hAnsi="Times New Roman" w:cs="Times New Roman"/>
                <w:b/>
                <w:bCs/>
                <w:lang w:eastAsia="lv-LV"/>
              </w:rPr>
              <w:t xml:space="preserve"> vai konferences katalogā</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shd w:val="clear" w:color="auto" w:fill="C0C0C0"/>
          </w:tcPr>
          <w:p w:rsidR="00A25893" w:rsidRPr="00176DD8" w:rsidRDefault="00A25893" w:rsidP="00521A53">
            <w:pPr>
              <w:numPr>
                <w:ilvl w:val="0"/>
                <w:numId w:val="7"/>
              </w:numPr>
              <w:spacing w:after="0" w:line="240" w:lineRule="auto"/>
              <w:ind w:left="282" w:firstLine="0"/>
              <w:jc w:val="both"/>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Starptautiskās izstādes vai konferences (semināra) organizatora noteiktā nomas maksa par stenda konstrukciju un ekspozīcijas laukumu </w:t>
            </w:r>
            <w:r w:rsidRPr="00176DD8">
              <w:rPr>
                <w:rFonts w:ascii="Times New Roman" w:eastAsia="Times New Roman" w:hAnsi="Times New Roman" w:cs="Times New Roman"/>
                <w:b/>
                <w:bCs/>
                <w:i/>
                <w:iCs/>
                <w:lang w:eastAsia="lv-LV"/>
              </w:rPr>
              <w:t>(komersantam ne vairāk kā 6500 LVL vienai izstādei vai konferencei (semināram), pārējiem ne vairāk kā 13 000 LVL vienai izstādei vai konferencei (semināram))</w:t>
            </w:r>
          </w:p>
        </w:tc>
        <w:tc>
          <w:tcPr>
            <w:tcW w:w="1218" w:type="dxa"/>
            <w:tcBorders>
              <w:top w:val="outset" w:sz="6" w:space="0" w:color="808080"/>
              <w:left w:val="outset" w:sz="6" w:space="0" w:color="808080"/>
              <w:bottom w:val="outset" w:sz="6" w:space="0" w:color="808080"/>
            </w:tcBorders>
            <w:shd w:val="clear" w:color="auto" w:fill="C0C0C0"/>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shd w:val="clear" w:color="auto" w:fill="C0C0C0"/>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shd w:val="pct20" w:color="auto" w:fill="auto"/>
          </w:tcPr>
          <w:p w:rsidR="00A25893" w:rsidRPr="00176DD8" w:rsidRDefault="00A25893" w:rsidP="00521A53">
            <w:pPr>
              <w:numPr>
                <w:ilvl w:val="0"/>
                <w:numId w:val="7"/>
              </w:numPr>
              <w:spacing w:after="0" w:line="240" w:lineRule="auto"/>
              <w:ind w:left="282" w:firstLine="0"/>
              <w:jc w:val="both"/>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Komandējuma (darba brauciena) izmaksas ne vairāk kā 3 darbiniekiem no viena komersanta vai biedra</w:t>
            </w:r>
          </w:p>
        </w:tc>
        <w:tc>
          <w:tcPr>
            <w:tcW w:w="1218" w:type="dxa"/>
            <w:tcBorders>
              <w:top w:val="outset" w:sz="6" w:space="0" w:color="808080"/>
              <w:left w:val="outset" w:sz="6" w:space="0" w:color="808080"/>
              <w:bottom w:val="outset" w:sz="6" w:space="0" w:color="808080"/>
            </w:tcBorders>
            <w:shd w:val="pct20" w:color="auto" w:fill="auto"/>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shd w:val="pct20" w:color="auto" w:fill="auto"/>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ind w:left="707"/>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 xml:space="preserve">6.1. Dienas nauda; </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ind w:left="707"/>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6.2. Izdevumi par viesnīcu (naktsmītni), ieskaitot brokastu izdevumus viesnīcā</w:t>
            </w:r>
            <w:r w:rsidRPr="00176DD8">
              <w:rPr>
                <w:rFonts w:ascii="Times New Roman" w:eastAsia="Times New Roman" w:hAnsi="Times New Roman" w:cs="Times New Roman"/>
                <w:b/>
                <w:bCs/>
                <w:lang w:eastAsia="lv-LV"/>
              </w:rPr>
              <w:t xml:space="preserve"> </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b/>
                <w:bCs/>
                <w:i/>
                <w:iCs/>
                <w:sz w:val="24"/>
                <w:szCs w:val="24"/>
                <w:lang w:eastAsia="lv-LV"/>
              </w:rPr>
              <w:t> Kopā (6.1. +6.2.):</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shd w:val="pct20" w:color="auto" w:fill="auto"/>
          </w:tcPr>
          <w:p w:rsidR="00A25893" w:rsidRPr="00176DD8" w:rsidRDefault="00A25893" w:rsidP="00521A53">
            <w:pPr>
              <w:numPr>
                <w:ilvl w:val="0"/>
                <w:numId w:val="7"/>
              </w:numPr>
              <w:spacing w:after="0" w:line="240" w:lineRule="auto"/>
              <w:ind w:left="282" w:firstLine="0"/>
              <w:jc w:val="both"/>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Ekonomiskās klases sabiedriskā transporta izmaksas līdz izstādes, tirdzniecības misijas, </w:t>
            </w:r>
            <w:proofErr w:type="spellStart"/>
            <w:r w:rsidRPr="00176DD8">
              <w:rPr>
                <w:rFonts w:ascii="Times New Roman" w:eastAsia="Times New Roman" w:hAnsi="Times New Roman" w:cs="Times New Roman"/>
                <w:b/>
                <w:bCs/>
                <w:lang w:eastAsia="lv-LV"/>
              </w:rPr>
              <w:t>kontaktbiržas</w:t>
            </w:r>
            <w:proofErr w:type="spellEnd"/>
            <w:r w:rsidRPr="00176DD8">
              <w:rPr>
                <w:rFonts w:ascii="Times New Roman" w:eastAsia="Times New Roman" w:hAnsi="Times New Roman" w:cs="Times New Roman"/>
                <w:b/>
                <w:bCs/>
                <w:lang w:eastAsia="lv-LV"/>
              </w:rPr>
              <w:t xml:space="preserve"> vai konferences norises vietai un atpakaļ līdz pastāvīgai darba vietai, kā arī pārbraucieni, ja projekta ietvaros plānotas vairākas izstādes, tirdzniecības misijas, </w:t>
            </w:r>
            <w:proofErr w:type="spellStart"/>
            <w:r w:rsidRPr="00176DD8">
              <w:rPr>
                <w:rFonts w:ascii="Times New Roman" w:eastAsia="Times New Roman" w:hAnsi="Times New Roman" w:cs="Times New Roman"/>
                <w:b/>
                <w:bCs/>
                <w:lang w:eastAsia="lv-LV"/>
              </w:rPr>
              <w:t>kontaktbiržas</w:t>
            </w:r>
            <w:proofErr w:type="spellEnd"/>
            <w:r w:rsidRPr="00176DD8">
              <w:rPr>
                <w:rFonts w:ascii="Times New Roman" w:eastAsia="Times New Roman" w:hAnsi="Times New Roman" w:cs="Times New Roman"/>
                <w:b/>
                <w:bCs/>
                <w:lang w:eastAsia="lv-LV"/>
              </w:rPr>
              <w:t xml:space="preserve"> vai konferences ceļa (transporta) izdevumi.</w:t>
            </w:r>
            <w:r w:rsidRPr="00176DD8">
              <w:rPr>
                <w:rFonts w:ascii="Times New Roman" w:eastAsia="Times New Roman" w:hAnsi="Times New Roman" w:cs="Times New Roman"/>
                <w:lang w:eastAsia="lv-LV"/>
              </w:rPr>
              <w:t xml:space="preserve"> </w:t>
            </w:r>
          </w:p>
        </w:tc>
        <w:tc>
          <w:tcPr>
            <w:tcW w:w="1218" w:type="dxa"/>
            <w:tcBorders>
              <w:top w:val="outset" w:sz="6" w:space="0" w:color="808080"/>
              <w:left w:val="outset" w:sz="6" w:space="0" w:color="808080"/>
              <w:bottom w:val="outset" w:sz="6" w:space="0" w:color="808080"/>
            </w:tcBorders>
            <w:shd w:val="pct20" w:color="auto" w:fill="auto"/>
          </w:tcPr>
          <w:p w:rsidR="00A25893" w:rsidRPr="00176DD8" w:rsidRDefault="00A25893"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sz w:val="24"/>
                <w:szCs w:val="24"/>
                <w:lang w:eastAsia="lv-LV"/>
              </w:rPr>
              <w:t>  </w:t>
            </w:r>
          </w:p>
        </w:tc>
        <w:tc>
          <w:tcPr>
            <w:tcW w:w="970" w:type="dxa"/>
            <w:tcBorders>
              <w:top w:val="outset" w:sz="6" w:space="0" w:color="808080"/>
              <w:left w:val="outset" w:sz="6" w:space="0" w:color="808080"/>
              <w:bottom w:val="outset" w:sz="6" w:space="0" w:color="808080"/>
            </w:tcBorders>
            <w:shd w:val="pct20" w:color="auto" w:fill="auto"/>
          </w:tcPr>
          <w:p w:rsidR="00A25893" w:rsidRPr="00176DD8" w:rsidRDefault="00A25893" w:rsidP="00521A53">
            <w:pPr>
              <w:spacing w:after="0" w:line="240" w:lineRule="auto"/>
              <w:rPr>
                <w:rFonts w:ascii="Times New Roman" w:eastAsia="Times New Roman" w:hAnsi="Times New Roman" w:cs="Times New Roman"/>
                <w:b/>
                <w:bCs/>
                <w:sz w:val="24"/>
                <w:szCs w:val="24"/>
                <w:lang w:eastAsia="lv-LV"/>
              </w:rPr>
            </w:pPr>
          </w:p>
        </w:tc>
      </w:tr>
      <w:tr w:rsidR="00A25893" w:rsidRPr="00176DD8" w:rsidTr="00A25893">
        <w:trPr>
          <w:trHeight w:val="668"/>
          <w:tblCellSpacing w:w="0" w:type="dxa"/>
        </w:trPr>
        <w:tc>
          <w:tcPr>
            <w:tcW w:w="5937" w:type="dxa"/>
            <w:tcBorders>
              <w:top w:val="outset" w:sz="6" w:space="0" w:color="808080"/>
              <w:bottom w:val="outset" w:sz="6" w:space="0" w:color="808080"/>
              <w:right w:val="outset" w:sz="6" w:space="0" w:color="808080"/>
            </w:tcBorders>
            <w:shd w:val="clear" w:color="auto" w:fill="BFBFBF"/>
          </w:tcPr>
          <w:p w:rsidR="00A25893" w:rsidRPr="00176DD8" w:rsidRDefault="00A25893" w:rsidP="00521A53">
            <w:pPr>
              <w:numPr>
                <w:ilvl w:val="0"/>
                <w:numId w:val="7"/>
              </w:numPr>
              <w:spacing w:after="0" w:line="240" w:lineRule="auto"/>
              <w:ind w:left="282" w:firstLine="0"/>
              <w:jc w:val="both"/>
              <w:rPr>
                <w:rFonts w:ascii="Times New Roman" w:eastAsia="Times New Roman" w:hAnsi="Times New Roman" w:cs="Times New Roman"/>
                <w:sz w:val="24"/>
                <w:szCs w:val="24"/>
                <w:lang w:eastAsia="lv-LV"/>
              </w:rPr>
            </w:pPr>
            <w:r w:rsidRPr="00176DD8">
              <w:rPr>
                <w:rFonts w:ascii="Times New Roman" w:eastAsia="Times New Roman" w:hAnsi="Times New Roman" w:cs="Times New Roman"/>
                <w:b/>
                <w:bCs/>
                <w:lang w:eastAsia="lv-LV"/>
              </w:rPr>
              <w:lastRenderedPageBreak/>
              <w:t xml:space="preserve">Nomas maksa par konferenču (semināru), telpu īri un nepieciešamo tehnisko (audio vizuālās iekārtas) aprīkojumu līdz  2 500 latiem vienai konferencei (semināram). </w:t>
            </w:r>
            <w:r w:rsidRPr="00176DD8">
              <w:rPr>
                <w:rFonts w:ascii="Times New Roman" w:eastAsia="Times New Roman" w:hAnsi="Times New Roman" w:cs="Times New Roman"/>
                <w:b/>
                <w:bCs/>
                <w:i/>
                <w:iCs/>
                <w:lang w:eastAsia="lv-LV"/>
              </w:rPr>
              <w:t>(Var iekļaut tikai aktivitātes Ministru Kabineta noteikumu 21.3.apakšpunktā minētās biedrības))</w:t>
            </w:r>
          </w:p>
        </w:tc>
        <w:tc>
          <w:tcPr>
            <w:tcW w:w="1218" w:type="dxa"/>
            <w:tcBorders>
              <w:top w:val="outset" w:sz="6" w:space="0" w:color="808080"/>
              <w:left w:val="outset" w:sz="6" w:space="0" w:color="808080"/>
              <w:bottom w:val="outset" w:sz="6" w:space="0" w:color="808080"/>
            </w:tcBorders>
            <w:shd w:val="clear" w:color="auto" w:fill="BFBFBF"/>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shd w:val="clear" w:color="auto" w:fill="BFBFBF"/>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ind w:left="707"/>
              <w:jc w:val="both"/>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9.1.Telpu īre</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ind w:left="707"/>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lang w:eastAsia="lv-LV"/>
              </w:rPr>
              <w:t xml:space="preserve">9.2. Audio vizuālā aprīkojuma īre </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shd w:val="clear" w:color="auto" w:fill="BFBFBF"/>
          </w:tcPr>
          <w:p w:rsidR="00A25893" w:rsidRPr="00176DD8" w:rsidRDefault="00A25893" w:rsidP="00521A53">
            <w:pPr>
              <w:numPr>
                <w:ilvl w:val="1"/>
                <w:numId w:val="8"/>
              </w:numPr>
              <w:spacing w:after="0" w:line="240" w:lineRule="auto"/>
              <w:ind w:left="282" w:firstLine="0"/>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Mārketinga pasākumi līdz 1 000 latiem vienai konferencei (semināram).</w:t>
            </w:r>
            <w:r w:rsidRPr="00176DD8">
              <w:rPr>
                <w:rFonts w:ascii="Times New Roman" w:eastAsia="Times New Roman" w:hAnsi="Times New Roman" w:cs="Times New Roman"/>
                <w:b/>
                <w:bCs/>
                <w:i/>
                <w:iCs/>
                <w:lang w:eastAsia="lv-LV"/>
              </w:rPr>
              <w:t xml:space="preserve"> (Var iekļaut tikai aktivitātes Ministru Kabineta noteikumu 21.3.apakšpunktā minētās biedrības))</w:t>
            </w:r>
          </w:p>
        </w:tc>
        <w:tc>
          <w:tcPr>
            <w:tcW w:w="1218" w:type="dxa"/>
            <w:tcBorders>
              <w:top w:val="outset" w:sz="6" w:space="0" w:color="808080"/>
              <w:left w:val="outset" w:sz="6" w:space="0" w:color="808080"/>
              <w:bottom w:val="outset" w:sz="6" w:space="0" w:color="808080"/>
            </w:tcBorders>
            <w:shd w:val="clear" w:color="auto" w:fill="BFBFBF"/>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shd w:val="clear" w:color="auto" w:fill="BFBFBF"/>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8A7E54" w:rsidRPr="00176DD8" w:rsidTr="00A25893">
        <w:trPr>
          <w:tblCellSpacing w:w="0" w:type="dxa"/>
        </w:trPr>
        <w:tc>
          <w:tcPr>
            <w:tcW w:w="5937" w:type="dxa"/>
            <w:tcBorders>
              <w:top w:val="outset" w:sz="6" w:space="0" w:color="808080"/>
              <w:bottom w:val="outset" w:sz="6" w:space="0" w:color="808080"/>
              <w:right w:val="outset" w:sz="6" w:space="0" w:color="808080"/>
            </w:tcBorders>
          </w:tcPr>
          <w:p w:rsidR="008A7E54" w:rsidRPr="00176DD8" w:rsidRDefault="00FF377A" w:rsidP="00521A53">
            <w:pPr>
              <w:spacing w:after="0" w:line="240" w:lineRule="auto"/>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 xml:space="preserve">    Kopā (1.+2.+3.+…):</w:t>
            </w:r>
          </w:p>
        </w:tc>
        <w:tc>
          <w:tcPr>
            <w:tcW w:w="1218" w:type="dxa"/>
            <w:tcBorders>
              <w:top w:val="outset" w:sz="6" w:space="0" w:color="808080"/>
              <w:left w:val="outset" w:sz="6" w:space="0" w:color="808080"/>
              <w:bottom w:val="outset" w:sz="6" w:space="0" w:color="808080"/>
            </w:tcBorders>
          </w:tcPr>
          <w:p w:rsidR="008A7E54" w:rsidRPr="00176DD8" w:rsidRDefault="008A7E54"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tcPr>
          <w:p w:rsidR="008A7E54" w:rsidRPr="00176DD8" w:rsidRDefault="008A7E54"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I  Kopējās projekta attiecināmās izmaksas</w:t>
            </w:r>
            <w:r w:rsidR="00FF377A" w:rsidRPr="00176DD8">
              <w:rPr>
                <w:rFonts w:ascii="Times New Roman" w:eastAsia="Times New Roman" w:hAnsi="Times New Roman" w:cs="Times New Roman"/>
                <w:b/>
                <w:bCs/>
                <w:lang w:eastAsia="lv-LV"/>
              </w:rPr>
              <w:t xml:space="preserve"> (Izmaksas + PVN)</w:t>
            </w:r>
            <w:r w:rsidRPr="00176DD8">
              <w:rPr>
                <w:rFonts w:ascii="Times New Roman" w:eastAsia="Times New Roman" w:hAnsi="Times New Roman" w:cs="Times New Roman"/>
                <w:b/>
                <w:bCs/>
                <w:lang w:eastAsia="lv-LV"/>
              </w:rPr>
              <w:t>:</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8A7E54" w:rsidP="00521A53">
            <w:pPr>
              <w:spacing w:after="0" w:line="240" w:lineRule="auto"/>
              <w:jc w:val="center"/>
              <w:rPr>
                <w:rFonts w:ascii="Times New Roman" w:eastAsia="Times New Roman" w:hAnsi="Times New Roman" w:cs="Times New Roman"/>
                <w:b/>
                <w:sz w:val="24"/>
                <w:szCs w:val="24"/>
                <w:lang w:eastAsia="lv-LV"/>
              </w:rPr>
            </w:pPr>
            <w:r w:rsidRPr="00176DD8">
              <w:rPr>
                <w:rFonts w:ascii="Times New Roman" w:eastAsia="Times New Roman" w:hAnsi="Times New Roman" w:cs="Times New Roman"/>
                <w:b/>
                <w:sz w:val="24"/>
                <w:szCs w:val="24"/>
                <w:lang w:eastAsia="lv-LV"/>
              </w:rPr>
              <w:t>X</w:t>
            </w: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jc w:val="both"/>
              <w:rPr>
                <w:rFonts w:ascii="Times New Roman" w:eastAsia="Calibri" w:hAnsi="Times New Roman" w:cs="Times New Roman"/>
                <w:color w:val="000000"/>
                <w:lang w:eastAsia="lv-LV"/>
              </w:rPr>
            </w:pPr>
            <w:r w:rsidRPr="00176DD8">
              <w:rPr>
                <w:rFonts w:ascii="Times New Roman" w:eastAsia="Calibri" w:hAnsi="Times New Roman" w:cs="Times New Roman"/>
                <w:color w:val="000000"/>
                <w:lang w:eastAsia="lv-LV"/>
              </w:rPr>
              <w:t xml:space="preserve"> Finansējuma apjoms (50% no kopējām projekta attiecināmajām izmaksām- dalībai izstādēs, tirdzniecības misijās, </w:t>
            </w:r>
            <w:proofErr w:type="spellStart"/>
            <w:r w:rsidRPr="00176DD8">
              <w:rPr>
                <w:rFonts w:ascii="Times New Roman" w:eastAsia="Calibri" w:hAnsi="Times New Roman" w:cs="Times New Roman"/>
                <w:color w:val="000000"/>
                <w:lang w:eastAsia="lv-LV"/>
              </w:rPr>
              <w:t>kontaktbiržās</w:t>
            </w:r>
            <w:proofErr w:type="spellEnd"/>
            <w:r w:rsidRPr="00176DD8">
              <w:rPr>
                <w:rFonts w:ascii="Times New Roman" w:eastAsia="Calibri" w:hAnsi="Times New Roman" w:cs="Times New Roman"/>
                <w:color w:val="000000"/>
                <w:lang w:eastAsia="lv-LV"/>
              </w:rPr>
              <w:t>, konferencēs; 75% no kopējām projekta attiecināmajām izmaksām- biedrību organizētām konferencēm (semināriem))</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shd w:val="pct15" w:color="auto" w:fill="auto"/>
          </w:tcPr>
          <w:p w:rsidR="00A25893" w:rsidRPr="00176DD8" w:rsidRDefault="00A25893"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NEATTIECINĀMĀS IZMAKSAS</w:t>
            </w:r>
          </w:p>
        </w:tc>
        <w:tc>
          <w:tcPr>
            <w:tcW w:w="1218" w:type="dxa"/>
            <w:tcBorders>
              <w:top w:val="outset" w:sz="6" w:space="0" w:color="808080"/>
              <w:left w:val="outset" w:sz="6" w:space="0" w:color="808080"/>
              <w:bottom w:val="outset" w:sz="6" w:space="0" w:color="808080"/>
            </w:tcBorders>
            <w:shd w:val="pct15" w:color="auto" w:fill="auto"/>
          </w:tcPr>
          <w:p w:rsidR="00A25893" w:rsidRPr="00176DD8" w:rsidRDefault="00A25893" w:rsidP="00521A53">
            <w:pPr>
              <w:spacing w:after="0" w:line="240" w:lineRule="auto"/>
              <w:jc w:val="center"/>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shd w:val="pct15" w:color="auto" w:fill="auto"/>
          </w:tcPr>
          <w:p w:rsidR="00A25893" w:rsidRPr="00176DD8" w:rsidRDefault="00A25893" w:rsidP="00521A53">
            <w:pPr>
              <w:spacing w:after="0" w:line="240" w:lineRule="auto"/>
              <w:jc w:val="center"/>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lang w:eastAsia="lv-LV"/>
              </w:rPr>
              <w:t xml:space="preserve">  </w:t>
            </w:r>
            <w:r w:rsidRPr="00176DD8">
              <w:rPr>
                <w:rFonts w:ascii="Times New Roman" w:eastAsia="Times New Roman" w:hAnsi="Times New Roman" w:cs="Times New Roman"/>
                <w:b/>
                <w:bCs/>
                <w:lang w:eastAsia="lv-LV"/>
              </w:rPr>
              <w:t>PVN attiecināmajām izmaksām</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 1.1.</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 …</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lang w:eastAsia="lv-LV"/>
              </w:rPr>
              <w:t>1. </w:t>
            </w:r>
            <w:r w:rsidRPr="00176DD8">
              <w:rPr>
                <w:rFonts w:ascii="Times New Roman" w:eastAsia="Times New Roman" w:hAnsi="Times New Roman" w:cs="Times New Roman"/>
                <w:b/>
                <w:bCs/>
                <w:i/>
                <w:iCs/>
                <w:lang w:eastAsia="lv-LV"/>
              </w:rPr>
              <w:t>Kopā (1.1. +…):</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Citas neattiecināmās izmaksas ar PVN</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 2.1.</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 ….</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lang w:eastAsia="lv-LV"/>
              </w:rPr>
              <w:t>2. </w:t>
            </w:r>
            <w:r w:rsidRPr="00176DD8">
              <w:rPr>
                <w:rFonts w:ascii="Times New Roman" w:eastAsia="Times New Roman" w:hAnsi="Times New Roman" w:cs="Times New Roman"/>
                <w:b/>
                <w:bCs/>
                <w:i/>
                <w:iCs/>
                <w:lang w:eastAsia="lv-LV"/>
              </w:rPr>
              <w:t>Kopā (2.1. +…):</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II Kopējās projekta neattiecināmās izmaksas </w:t>
            </w:r>
            <w:r w:rsidRPr="00176DD8">
              <w:rPr>
                <w:rFonts w:ascii="Times New Roman" w:eastAsia="Times New Roman" w:hAnsi="Times New Roman" w:cs="Times New Roman"/>
                <w:b/>
                <w:bCs/>
                <w:i/>
                <w:iCs/>
                <w:lang w:eastAsia="lv-LV"/>
              </w:rPr>
              <w:t>(1.+2.)</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sz w:val="24"/>
                <w:szCs w:val="24"/>
                <w:lang w:eastAsia="lv-LV"/>
              </w:rPr>
              <w:t>  </w:t>
            </w:r>
          </w:p>
        </w:tc>
        <w:tc>
          <w:tcPr>
            <w:tcW w:w="970" w:type="dxa"/>
            <w:tcBorders>
              <w:top w:val="outset" w:sz="6" w:space="0" w:color="808080"/>
              <w:left w:val="outset" w:sz="6" w:space="0" w:color="808080"/>
              <w:bottom w:val="outset" w:sz="6" w:space="0" w:color="808080"/>
            </w:tcBorders>
          </w:tcPr>
          <w:p w:rsidR="00A25893" w:rsidRPr="00176DD8" w:rsidRDefault="00FF377A" w:rsidP="00521A53">
            <w:pPr>
              <w:spacing w:after="0" w:line="240" w:lineRule="auto"/>
              <w:jc w:val="center"/>
              <w:rPr>
                <w:rFonts w:ascii="Times New Roman" w:eastAsia="Times New Roman" w:hAnsi="Times New Roman" w:cs="Times New Roman"/>
                <w:b/>
                <w:sz w:val="24"/>
                <w:szCs w:val="24"/>
                <w:lang w:eastAsia="lv-LV"/>
              </w:rPr>
            </w:pPr>
            <w:r w:rsidRPr="00176DD8">
              <w:rPr>
                <w:rFonts w:ascii="Times New Roman" w:eastAsia="Times New Roman" w:hAnsi="Times New Roman" w:cs="Times New Roman"/>
                <w:b/>
                <w:sz w:val="24"/>
                <w:szCs w:val="24"/>
                <w:lang w:eastAsia="lv-LV"/>
              </w:rPr>
              <w:t>X</w:t>
            </w:r>
          </w:p>
        </w:tc>
      </w:tr>
      <w:tr w:rsidR="00A25893" w:rsidRPr="00176DD8" w:rsidTr="00A25893">
        <w:trPr>
          <w:tblCellSpacing w:w="0" w:type="dxa"/>
        </w:trPr>
        <w:tc>
          <w:tcPr>
            <w:tcW w:w="5937" w:type="dxa"/>
            <w:tcBorders>
              <w:top w:val="outset" w:sz="6" w:space="0" w:color="808080"/>
              <w:bottom w:val="outset" w:sz="6" w:space="0" w:color="808080"/>
              <w:right w:val="outset" w:sz="6" w:space="0" w:color="808080"/>
            </w:tcBorders>
          </w:tcPr>
          <w:p w:rsidR="00A25893" w:rsidRPr="00176DD8" w:rsidRDefault="00A25893"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III Kopējās projekta izmaksas ar PVN </w:t>
            </w:r>
            <w:r w:rsidRPr="00176DD8">
              <w:rPr>
                <w:rFonts w:ascii="Times New Roman" w:eastAsia="Times New Roman" w:hAnsi="Times New Roman" w:cs="Times New Roman"/>
                <w:b/>
                <w:bCs/>
                <w:i/>
                <w:iCs/>
                <w:lang w:eastAsia="lv-LV"/>
              </w:rPr>
              <w:t>(I + II)</w:t>
            </w:r>
          </w:p>
        </w:tc>
        <w:tc>
          <w:tcPr>
            <w:tcW w:w="1218"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c>
          <w:tcPr>
            <w:tcW w:w="970" w:type="dxa"/>
            <w:tcBorders>
              <w:top w:val="outset" w:sz="6" w:space="0" w:color="808080"/>
              <w:left w:val="outset" w:sz="6" w:space="0" w:color="808080"/>
              <w:bottom w:val="outset" w:sz="6" w:space="0" w:color="808080"/>
            </w:tcBorders>
          </w:tcPr>
          <w:p w:rsidR="00A25893" w:rsidRPr="00176DD8" w:rsidRDefault="00A25893" w:rsidP="00521A53">
            <w:pPr>
              <w:spacing w:after="0" w:line="240" w:lineRule="auto"/>
              <w:rPr>
                <w:rFonts w:ascii="Times New Roman" w:eastAsia="Times New Roman" w:hAnsi="Times New Roman" w:cs="Times New Roman"/>
                <w:sz w:val="24"/>
                <w:szCs w:val="24"/>
                <w:lang w:eastAsia="lv-LV"/>
              </w:rPr>
            </w:pPr>
          </w:p>
        </w:tc>
      </w:tr>
    </w:tbl>
    <w:p w:rsidR="00A25893" w:rsidRPr="00176DD8" w:rsidRDefault="00A25893" w:rsidP="00521A53">
      <w:pPr>
        <w:pStyle w:val="naislab"/>
        <w:spacing w:before="0" w:after="0"/>
        <w:jc w:val="both"/>
        <w:rPr>
          <w:sz w:val="26"/>
          <w:szCs w:val="26"/>
        </w:rPr>
      </w:pPr>
      <w:r w:rsidRPr="00176DD8">
        <w:rPr>
          <w:sz w:val="26"/>
          <w:szCs w:val="26"/>
        </w:rPr>
        <w:t>”</w:t>
      </w:r>
      <w:r w:rsidR="00521A53">
        <w:rPr>
          <w:sz w:val="26"/>
          <w:szCs w:val="26"/>
        </w:rPr>
        <w:t>;</w:t>
      </w:r>
    </w:p>
    <w:p w:rsidR="00A25893" w:rsidRPr="00176DD8" w:rsidRDefault="00A25893" w:rsidP="00521A53">
      <w:pPr>
        <w:pStyle w:val="naislab"/>
        <w:spacing w:before="0" w:after="0"/>
        <w:jc w:val="both"/>
        <w:rPr>
          <w:sz w:val="26"/>
          <w:szCs w:val="26"/>
        </w:rPr>
      </w:pPr>
    </w:p>
    <w:p w:rsidR="001F33ED" w:rsidRPr="00521A53" w:rsidRDefault="00FC0C90" w:rsidP="00521A53">
      <w:pPr>
        <w:pStyle w:val="naislab"/>
        <w:numPr>
          <w:ilvl w:val="0"/>
          <w:numId w:val="4"/>
        </w:numPr>
        <w:spacing w:before="0" w:after="0"/>
        <w:jc w:val="both"/>
        <w:rPr>
          <w:sz w:val="26"/>
          <w:szCs w:val="26"/>
        </w:rPr>
      </w:pPr>
      <w:r w:rsidRPr="00176DD8">
        <w:rPr>
          <w:sz w:val="26"/>
          <w:szCs w:val="26"/>
        </w:rPr>
        <w:t xml:space="preserve">izteikt 2.pielikuma </w:t>
      </w:r>
      <w:r w:rsidR="001F33ED" w:rsidRPr="00176DD8">
        <w:rPr>
          <w:sz w:val="26"/>
          <w:szCs w:val="26"/>
        </w:rPr>
        <w:t xml:space="preserve">4.3.punktu </w:t>
      </w:r>
      <w:r w:rsidRPr="00176DD8">
        <w:rPr>
          <w:sz w:val="26"/>
          <w:szCs w:val="26"/>
        </w:rPr>
        <w:t>šādā redakcijā:</w:t>
      </w:r>
    </w:p>
    <w:p w:rsidR="001F33ED" w:rsidRPr="00176DD8" w:rsidRDefault="00FC285D" w:rsidP="00521A53">
      <w:pPr>
        <w:pStyle w:val="naislab"/>
        <w:spacing w:before="0" w:after="0"/>
        <w:jc w:val="both"/>
        <w:rPr>
          <w:sz w:val="26"/>
          <w:szCs w:val="26"/>
        </w:rPr>
      </w:pPr>
      <w:r w:rsidRPr="00176DD8">
        <w:rPr>
          <w:sz w:val="26"/>
          <w:szCs w:val="26"/>
        </w:rPr>
        <w:t>„</w:t>
      </w:r>
    </w:p>
    <w:tbl>
      <w:tblPr>
        <w:tblW w:w="0" w:type="auto"/>
        <w:tblLook w:val="00A0" w:firstRow="1" w:lastRow="0" w:firstColumn="1" w:lastColumn="0" w:noHBand="0" w:noVBand="0"/>
      </w:tblPr>
      <w:tblGrid>
        <w:gridCol w:w="3716"/>
        <w:gridCol w:w="1284"/>
        <w:gridCol w:w="1512"/>
        <w:gridCol w:w="1332"/>
        <w:gridCol w:w="1443"/>
      </w:tblGrid>
      <w:tr w:rsidR="00FD1259" w:rsidRPr="00176DD8" w:rsidTr="00DF5F84">
        <w:trPr>
          <w:trHeight w:val="1060"/>
        </w:trPr>
        <w:tc>
          <w:tcPr>
            <w:tcW w:w="0" w:type="auto"/>
            <w:tcBorders>
              <w:top w:val="single" w:sz="4" w:space="0" w:color="auto"/>
              <w:left w:val="single" w:sz="4" w:space="0" w:color="auto"/>
              <w:bottom w:val="nil"/>
              <w:right w:val="single" w:sz="4" w:space="0" w:color="auto"/>
            </w:tcBorders>
            <w:shd w:val="clear" w:color="000000" w:fill="969696"/>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Projekta izmaksu pozīcijas</w:t>
            </w:r>
          </w:p>
        </w:tc>
        <w:tc>
          <w:tcPr>
            <w:tcW w:w="0" w:type="auto"/>
            <w:tcBorders>
              <w:top w:val="single" w:sz="4" w:space="0" w:color="auto"/>
              <w:left w:val="nil"/>
              <w:bottom w:val="nil"/>
              <w:right w:val="single" w:sz="4" w:space="0" w:color="auto"/>
            </w:tcBorders>
            <w:shd w:val="clear" w:color="000000" w:fill="969696"/>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Summa (LVL, neieskaitot</w:t>
            </w:r>
          </w:p>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PVN)</w:t>
            </w:r>
          </w:p>
        </w:tc>
        <w:tc>
          <w:tcPr>
            <w:tcW w:w="669" w:type="dxa"/>
            <w:tcBorders>
              <w:top w:val="single" w:sz="4" w:space="0" w:color="auto"/>
              <w:left w:val="nil"/>
              <w:bottom w:val="nil"/>
              <w:right w:val="single" w:sz="4" w:space="0" w:color="auto"/>
            </w:tcBorders>
            <w:shd w:val="clear" w:color="000000" w:fill="969696"/>
            <w:vAlign w:val="center"/>
          </w:tcPr>
          <w:p w:rsidR="00DF5F84" w:rsidRPr="00176DD8" w:rsidRDefault="00FD1259" w:rsidP="00521A53">
            <w:pPr>
              <w:spacing w:after="0" w:line="240" w:lineRule="auto"/>
              <w:jc w:val="center"/>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 xml:space="preserve">Attiecināmais </w:t>
            </w:r>
            <w:r w:rsidR="00DF5F84" w:rsidRPr="00176DD8">
              <w:rPr>
                <w:rFonts w:ascii="Times New Roman" w:eastAsia="Times New Roman" w:hAnsi="Times New Roman" w:cs="Times New Roman"/>
                <w:b/>
                <w:bCs/>
                <w:lang w:eastAsia="lv-LV"/>
              </w:rPr>
              <w:t>PVN</w:t>
            </w:r>
            <w:r w:rsidR="00FC285D" w:rsidRPr="00176DD8">
              <w:rPr>
                <w:rFonts w:ascii="Times New Roman" w:eastAsia="Times New Roman" w:hAnsi="Times New Roman" w:cs="Times New Roman"/>
                <w:b/>
                <w:bCs/>
                <w:lang w:eastAsia="lv-LV"/>
              </w:rPr>
              <w:t xml:space="preserve">* </w:t>
            </w:r>
            <w:r w:rsidRPr="00176DD8">
              <w:rPr>
                <w:rFonts w:ascii="Times New Roman" w:eastAsia="Times New Roman" w:hAnsi="Times New Roman" w:cs="Times New Roman"/>
                <w:b/>
                <w:bCs/>
                <w:lang w:eastAsia="lv-LV"/>
              </w:rPr>
              <w:t>(LVL)</w:t>
            </w:r>
          </w:p>
        </w:tc>
        <w:tc>
          <w:tcPr>
            <w:tcW w:w="0" w:type="auto"/>
            <w:tcBorders>
              <w:top w:val="single" w:sz="4" w:space="0" w:color="auto"/>
              <w:left w:val="single" w:sz="4" w:space="0" w:color="auto"/>
              <w:bottom w:val="nil"/>
              <w:right w:val="single" w:sz="4" w:space="0" w:color="auto"/>
            </w:tcBorders>
            <w:shd w:val="clear" w:color="000000" w:fill="969696"/>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Darījuma dokumenta </w:t>
            </w:r>
            <w:proofErr w:type="spellStart"/>
            <w:r w:rsidRPr="00176DD8">
              <w:rPr>
                <w:rFonts w:ascii="Times New Roman" w:eastAsia="Times New Roman" w:hAnsi="Times New Roman" w:cs="Times New Roman"/>
                <w:b/>
                <w:bCs/>
                <w:lang w:eastAsia="lv-LV"/>
              </w:rPr>
              <w:t>Nr</w:t>
            </w:r>
            <w:proofErr w:type="spellEnd"/>
            <w:r w:rsidRPr="00176DD8">
              <w:rPr>
                <w:rFonts w:ascii="Times New Roman" w:eastAsia="Times New Roman" w:hAnsi="Times New Roman" w:cs="Times New Roman"/>
                <w:b/>
                <w:bCs/>
                <w:lang w:eastAsia="lv-LV"/>
              </w:rPr>
              <w:t>.,</w:t>
            </w:r>
          </w:p>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datums *</w:t>
            </w:r>
            <w:r w:rsidR="00FC285D" w:rsidRPr="00176DD8">
              <w:rPr>
                <w:rFonts w:ascii="Times New Roman" w:eastAsia="Times New Roman" w:hAnsi="Times New Roman" w:cs="Times New Roman"/>
                <w:b/>
                <w:bCs/>
                <w:lang w:eastAsia="lv-LV"/>
              </w:rPr>
              <w:t>*</w:t>
            </w:r>
          </w:p>
        </w:tc>
        <w:tc>
          <w:tcPr>
            <w:tcW w:w="0" w:type="auto"/>
            <w:tcBorders>
              <w:top w:val="single" w:sz="4" w:space="0" w:color="auto"/>
              <w:left w:val="nil"/>
              <w:bottom w:val="nil"/>
              <w:right w:val="single" w:sz="4" w:space="0" w:color="auto"/>
            </w:tcBorders>
            <w:shd w:val="clear" w:color="000000" w:fill="969696"/>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Maksājuma dokumenta numurs, datums</w:t>
            </w:r>
          </w:p>
        </w:tc>
      </w:tr>
      <w:tr w:rsidR="00FD1259" w:rsidRPr="00176DD8" w:rsidTr="00DF5F84">
        <w:trPr>
          <w:trHeight w:val="330"/>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1</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2</w:t>
            </w:r>
          </w:p>
        </w:tc>
        <w:tc>
          <w:tcPr>
            <w:tcW w:w="669" w:type="dxa"/>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lang w:eastAsia="lv-LV"/>
              </w:rPr>
            </w:pPr>
            <w:r w:rsidRPr="00176DD8">
              <w:rPr>
                <w:rFonts w:ascii="Times New Roman" w:eastAsia="Times New Roman" w:hAnsi="Times New Roman" w:cs="Times New Roman"/>
                <w:lang w:eastAsia="lv-LV"/>
              </w:rPr>
              <w:t>3</w:t>
            </w:r>
          </w:p>
        </w:tc>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4</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5</w:t>
            </w:r>
          </w:p>
        </w:tc>
      </w:tr>
      <w:tr w:rsidR="00FD1259" w:rsidRPr="00176DD8" w:rsidTr="00DF5F84">
        <w:trPr>
          <w:trHeight w:val="360"/>
        </w:trPr>
        <w:tc>
          <w:tcPr>
            <w:tcW w:w="0" w:type="auto"/>
            <w:tcBorders>
              <w:top w:val="nil"/>
              <w:left w:val="single" w:sz="4" w:space="0" w:color="auto"/>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ATTIECINĀMĀS IZMAKSAS</w:t>
            </w:r>
          </w:p>
        </w:tc>
        <w:tc>
          <w:tcPr>
            <w:tcW w:w="0" w:type="auto"/>
            <w:tcBorders>
              <w:top w:val="nil"/>
              <w:left w:val="nil"/>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shd w:val="clear" w:color="000000" w:fill="C0C0C0"/>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single" w:sz="4" w:space="0" w:color="auto"/>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nil"/>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b/>
                <w:bCs/>
                <w:i/>
                <w:iCs/>
                <w:lang w:eastAsia="lv-LV"/>
              </w:rPr>
            </w:pPr>
            <w:r w:rsidRPr="00176DD8">
              <w:rPr>
                <w:rFonts w:ascii="Times New Roman" w:eastAsia="Times New Roman" w:hAnsi="Times New Roman" w:cs="Times New Roman"/>
                <w:b/>
                <w:bCs/>
                <w:lang w:eastAsia="lv-LV"/>
              </w:rPr>
              <w:t>Starptautiskās izstādes organizatora noteiktā reģistrācijas  maksa</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 xml:space="preserve">Tiešā organizatora noteiktā dalības maksa par piedalīšanos starptautiskajā izstādē, </w:t>
            </w:r>
            <w:proofErr w:type="spellStart"/>
            <w:r w:rsidRPr="00176DD8">
              <w:rPr>
                <w:rFonts w:ascii="Times New Roman" w:eastAsia="Times New Roman" w:hAnsi="Times New Roman" w:cs="Times New Roman"/>
                <w:b/>
                <w:bCs/>
                <w:lang w:eastAsia="lv-LV"/>
              </w:rPr>
              <w:t>kontaktbiržā</w:t>
            </w:r>
            <w:proofErr w:type="spellEnd"/>
            <w:r w:rsidRPr="00176DD8">
              <w:rPr>
                <w:rFonts w:ascii="Times New Roman" w:eastAsia="Times New Roman" w:hAnsi="Times New Roman" w:cs="Times New Roman"/>
                <w:b/>
                <w:bCs/>
                <w:lang w:eastAsia="lv-LV"/>
              </w:rPr>
              <w:t xml:space="preserve">, tirdzniecības misijā, kura notiek ārpus Latvijas teritorijas, </w:t>
            </w:r>
            <w:proofErr w:type="spellStart"/>
            <w:r w:rsidRPr="00176DD8">
              <w:rPr>
                <w:rFonts w:ascii="Times New Roman" w:eastAsia="Times New Roman" w:hAnsi="Times New Roman" w:cs="Times New Roman"/>
                <w:b/>
                <w:bCs/>
                <w:lang w:eastAsia="lv-LV"/>
              </w:rPr>
              <w:t>t.sk</w:t>
            </w:r>
            <w:proofErr w:type="spellEnd"/>
            <w:r w:rsidRPr="00176DD8">
              <w:rPr>
                <w:rFonts w:ascii="Times New Roman" w:eastAsia="Times New Roman" w:hAnsi="Times New Roman" w:cs="Times New Roman"/>
                <w:b/>
                <w:bCs/>
                <w:lang w:eastAsia="lv-LV"/>
              </w:rPr>
              <w:t xml:space="preserve">. tiešā organizatora noteiktā maksa par starptautiskās izstādes, </w:t>
            </w:r>
            <w:proofErr w:type="spellStart"/>
            <w:r w:rsidRPr="00176DD8">
              <w:rPr>
                <w:rFonts w:ascii="Times New Roman" w:eastAsia="Times New Roman" w:hAnsi="Times New Roman" w:cs="Times New Roman"/>
                <w:b/>
                <w:bCs/>
                <w:lang w:eastAsia="lv-LV"/>
              </w:rPr>
              <w:t>kontaktbiržas</w:t>
            </w:r>
            <w:proofErr w:type="spellEnd"/>
            <w:r w:rsidRPr="00176DD8">
              <w:rPr>
                <w:rFonts w:ascii="Times New Roman" w:eastAsia="Times New Roman" w:hAnsi="Times New Roman" w:cs="Times New Roman"/>
                <w:b/>
                <w:bCs/>
                <w:lang w:eastAsia="lv-LV"/>
              </w:rPr>
              <w:t xml:space="preserve">, </w:t>
            </w:r>
            <w:r w:rsidRPr="00176DD8">
              <w:rPr>
                <w:rFonts w:ascii="Times New Roman" w:eastAsia="Times New Roman" w:hAnsi="Times New Roman" w:cs="Times New Roman"/>
                <w:b/>
                <w:bCs/>
                <w:lang w:eastAsia="lv-LV"/>
              </w:rPr>
              <w:lastRenderedPageBreak/>
              <w:t xml:space="preserve">tirdzniecības misijas organizēšanu </w:t>
            </w:r>
            <w:r w:rsidRPr="00176DD8">
              <w:rPr>
                <w:rFonts w:ascii="Times New Roman" w:eastAsia="Times New Roman" w:hAnsi="Times New Roman" w:cs="Times New Roman"/>
                <w:b/>
                <w:bCs/>
                <w:i/>
                <w:iCs/>
                <w:lang w:eastAsia="lv-LV"/>
              </w:rPr>
              <w:t>(nedrīkst pārsniegt 2000 LVL vienam komersantam par vienu atbalstāmo darbību)</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lang w:eastAsia="lv-LV"/>
              </w:rPr>
            </w:pPr>
            <w:r w:rsidRPr="00176DD8">
              <w:rPr>
                <w:rFonts w:ascii="Times New Roman" w:eastAsia="Times New Roman" w:hAnsi="Times New Roman" w:cs="Times New Roman"/>
                <w:b/>
                <w:bCs/>
                <w:lang w:eastAsia="lv-LV"/>
              </w:rPr>
              <w:lastRenderedPageBreak/>
              <w:t xml:space="preserve">Organizatora noteiktā dalības maksa par piedalīšanos konferencē, kas notiek ārvalstīs </w:t>
            </w:r>
            <w:r w:rsidRPr="00176DD8">
              <w:rPr>
                <w:rFonts w:ascii="Times New Roman" w:eastAsia="Times New Roman" w:hAnsi="Times New Roman" w:cs="Times New Roman"/>
                <w:b/>
                <w:bCs/>
                <w:i/>
                <w:iCs/>
                <w:lang w:eastAsia="lv-LV"/>
              </w:rPr>
              <w:t>(nedrīkst pārsniegt 1000 LVL vienai konferencei (semināram)</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i/>
                <w:iCs/>
                <w:lang w:eastAsia="lv-LV"/>
              </w:rPr>
            </w:pPr>
            <w:r w:rsidRPr="00176DD8">
              <w:rPr>
                <w:rFonts w:ascii="Times New Roman" w:eastAsia="Times New Roman" w:hAnsi="Times New Roman" w:cs="Times New Roman"/>
                <w:b/>
                <w:bCs/>
                <w:lang w:eastAsia="lv-LV"/>
              </w:rPr>
              <w:t xml:space="preserve">Organizatora noteiktā maksa par informācijas izvietošanu izstādes, tirdzniecības misijas, </w:t>
            </w:r>
            <w:proofErr w:type="spellStart"/>
            <w:r w:rsidRPr="00176DD8">
              <w:rPr>
                <w:rFonts w:ascii="Times New Roman" w:eastAsia="Times New Roman" w:hAnsi="Times New Roman" w:cs="Times New Roman"/>
                <w:b/>
                <w:bCs/>
                <w:lang w:eastAsia="lv-LV"/>
              </w:rPr>
              <w:t>kontaktbiržas</w:t>
            </w:r>
            <w:proofErr w:type="spellEnd"/>
            <w:r w:rsidRPr="00176DD8">
              <w:rPr>
                <w:rFonts w:ascii="Times New Roman" w:eastAsia="Times New Roman" w:hAnsi="Times New Roman" w:cs="Times New Roman"/>
                <w:b/>
                <w:bCs/>
                <w:lang w:eastAsia="lv-LV"/>
              </w:rPr>
              <w:t xml:space="preserve"> vai konferences katalogā</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 xml:space="preserve">Starptautiskās izstādes vai konferences (semināra) organizatora noteiktā nomas maksa par stenda konstrukciju un ekspozīcijas laukumu </w:t>
            </w:r>
            <w:r w:rsidRPr="00176DD8">
              <w:rPr>
                <w:rFonts w:ascii="Times New Roman" w:eastAsia="Times New Roman" w:hAnsi="Times New Roman" w:cs="Times New Roman"/>
                <w:b/>
                <w:bCs/>
                <w:i/>
                <w:iCs/>
                <w:lang w:eastAsia="lv-LV"/>
              </w:rPr>
              <w:t>(komersantam ne vairāk kā 6500 LVL vienai izstādei vai konferencei (semināram), pārējiem ne vairāk kā 13 000 LVL vienai izstādei vai konferencei (semināram))</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lang w:eastAsia="lv-LV"/>
              </w:rPr>
            </w:pPr>
          </w:p>
        </w:tc>
      </w:tr>
      <w:tr w:rsidR="00FD1259" w:rsidRPr="00176DD8" w:rsidTr="00DF5F8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Komandējuma (darba brauciena) izmaksas ne vairāk kā 3 darbiniekiem no viena komersanta vai biedra:</w:t>
            </w:r>
          </w:p>
        </w:tc>
        <w:tc>
          <w:tcPr>
            <w:tcW w:w="0" w:type="auto"/>
            <w:tcBorders>
              <w:top w:val="single" w:sz="4" w:space="0" w:color="auto"/>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single" w:sz="4" w:space="0" w:color="auto"/>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single" w:sz="4" w:space="0" w:color="auto"/>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single" w:sz="4" w:space="0" w:color="auto"/>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6.1. Dienas nauda;</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6.2. Izdevumi par viesnīcu (naktsmītni), ieskaitot brokastu izdevumus viesnīcā</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b/>
                <w:bCs/>
                <w:i/>
                <w:iCs/>
                <w:lang w:eastAsia="lv-LV"/>
              </w:rPr>
              <w:t>Kopā (6.1. +6.2.):</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Ekonomiskās klases sabiedriskā transporta izmaksas līdz izstādes, tirdzniecības misijas, </w:t>
            </w:r>
            <w:proofErr w:type="spellStart"/>
            <w:r w:rsidRPr="00176DD8">
              <w:rPr>
                <w:rFonts w:ascii="Times New Roman" w:eastAsia="Times New Roman" w:hAnsi="Times New Roman" w:cs="Times New Roman"/>
                <w:b/>
                <w:bCs/>
                <w:lang w:eastAsia="lv-LV"/>
              </w:rPr>
              <w:t>kontaktbiržas</w:t>
            </w:r>
            <w:proofErr w:type="spellEnd"/>
            <w:r w:rsidRPr="00176DD8">
              <w:rPr>
                <w:rFonts w:ascii="Times New Roman" w:eastAsia="Times New Roman" w:hAnsi="Times New Roman" w:cs="Times New Roman"/>
                <w:b/>
                <w:bCs/>
                <w:lang w:eastAsia="lv-LV"/>
              </w:rPr>
              <w:t xml:space="preserve"> vai konferences norises vietai un atpakaļ līdz pastāvīgai darba vietai, kā arī pārbraucieni, ja projekta ietvaros plānotas vairākas izstādes, tirdzniecības misijas, </w:t>
            </w:r>
            <w:proofErr w:type="spellStart"/>
            <w:r w:rsidRPr="00176DD8">
              <w:rPr>
                <w:rFonts w:ascii="Times New Roman" w:eastAsia="Times New Roman" w:hAnsi="Times New Roman" w:cs="Times New Roman"/>
                <w:b/>
                <w:bCs/>
                <w:lang w:eastAsia="lv-LV"/>
              </w:rPr>
              <w:t>kontaktbiržas</w:t>
            </w:r>
            <w:proofErr w:type="spellEnd"/>
            <w:r w:rsidRPr="00176DD8">
              <w:rPr>
                <w:rFonts w:ascii="Times New Roman" w:eastAsia="Times New Roman" w:hAnsi="Times New Roman" w:cs="Times New Roman"/>
                <w:b/>
                <w:bCs/>
                <w:lang w:eastAsia="lv-LV"/>
              </w:rPr>
              <w:t xml:space="preserve"> vai konferences ceļa (transporta) izdevumi.</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numPr>
                <w:ilvl w:val="0"/>
                <w:numId w:val="5"/>
              </w:numPr>
              <w:spacing w:after="0" w:line="240" w:lineRule="auto"/>
              <w:ind w:left="284" w:firstLine="0"/>
              <w:jc w:val="both"/>
              <w:rPr>
                <w:rFonts w:ascii="Times New Roman" w:eastAsia="Times New Roman" w:hAnsi="Times New Roman" w:cs="Times New Roman"/>
                <w:sz w:val="24"/>
                <w:szCs w:val="24"/>
                <w:lang w:eastAsia="lv-LV"/>
              </w:rPr>
            </w:pPr>
            <w:r w:rsidRPr="00176DD8">
              <w:rPr>
                <w:rFonts w:ascii="Times New Roman" w:eastAsia="Times New Roman" w:hAnsi="Times New Roman" w:cs="Times New Roman"/>
                <w:b/>
                <w:bCs/>
                <w:lang w:eastAsia="lv-LV"/>
              </w:rPr>
              <w:t xml:space="preserve">Nomas maksa par konferenču (semināru), telpu īri un nepieciešamo tehnisko (audio vizuālās iekārtas) aprīkojumu līdz  2 500 latiem vienai konferencei (semināram). </w:t>
            </w:r>
            <w:r w:rsidRPr="00176DD8">
              <w:rPr>
                <w:rFonts w:ascii="Times New Roman" w:eastAsia="Times New Roman" w:hAnsi="Times New Roman" w:cs="Times New Roman"/>
                <w:b/>
                <w:bCs/>
                <w:i/>
                <w:iCs/>
                <w:lang w:eastAsia="lv-LV"/>
              </w:rPr>
              <w:t xml:space="preserve">(Var iekļaut tikai aktivitātes Ministru Kabineta noteikumu 21.3.apakšpunktā minētās </w:t>
            </w:r>
            <w:r w:rsidRPr="00176DD8">
              <w:rPr>
                <w:rFonts w:ascii="Times New Roman" w:eastAsia="Times New Roman" w:hAnsi="Times New Roman" w:cs="Times New Roman"/>
                <w:b/>
                <w:bCs/>
                <w:i/>
                <w:iCs/>
                <w:lang w:eastAsia="lv-LV"/>
              </w:rPr>
              <w:lastRenderedPageBreak/>
              <w:t>biedrības))</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tabs>
                <w:tab w:val="left" w:pos="0"/>
                <w:tab w:val="left" w:pos="284"/>
              </w:tabs>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lastRenderedPageBreak/>
              <w:t>9.1.Telpu īre</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r>
      <w:tr w:rsidR="00FD1259" w:rsidRPr="00176DD8" w:rsidTr="00DF5F84">
        <w:trPr>
          <w:trHeight w:val="330"/>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lang w:eastAsia="lv-LV"/>
              </w:rPr>
              <w:t>9.2. Audio vizuālā aprīkojuma īre</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r>
      <w:tr w:rsidR="00FD1259" w:rsidRPr="00176DD8" w:rsidTr="00DF5F84">
        <w:trPr>
          <w:trHeight w:val="330"/>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b/>
                <w:bCs/>
                <w:i/>
                <w:iCs/>
                <w:lang w:eastAsia="lv-LV"/>
              </w:rPr>
              <w:t>Kopā (9.1+9.2.):</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30"/>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ind w:left="284"/>
              <w:jc w:val="both"/>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b/>
                <w:bCs/>
                <w:lang w:eastAsia="lv-LV"/>
              </w:rPr>
              <w:t>9.3. Mārketinga pasākumi līdz 1 000 latiem vienai konferencei (semināram)</w:t>
            </w:r>
            <w:r w:rsidRPr="00176DD8">
              <w:rPr>
                <w:rFonts w:ascii="Times New Roman" w:eastAsia="Times New Roman" w:hAnsi="Times New Roman" w:cs="Times New Roman"/>
                <w:b/>
                <w:bCs/>
                <w:i/>
                <w:iCs/>
                <w:lang w:eastAsia="lv-LV"/>
              </w:rPr>
              <w:t xml:space="preserve"> (var iekļaut tikai aktivitātes Ministru Kabineta noteikumu 21.3.apakšpunktā minētās biedrības))</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r>
      <w:tr w:rsidR="00AD5EAA" w:rsidRPr="00176DD8" w:rsidTr="00FF377A">
        <w:trPr>
          <w:trHeight w:val="315"/>
        </w:trPr>
        <w:tc>
          <w:tcPr>
            <w:tcW w:w="0" w:type="auto"/>
            <w:tcBorders>
              <w:top w:val="nil"/>
              <w:left w:val="single" w:sz="4" w:space="0" w:color="auto"/>
              <w:bottom w:val="single" w:sz="4" w:space="0" w:color="auto"/>
              <w:right w:val="single" w:sz="4" w:space="0" w:color="auto"/>
            </w:tcBorders>
            <w:vAlign w:val="bottom"/>
          </w:tcPr>
          <w:p w:rsidR="00AD5EAA" w:rsidRPr="00176DD8" w:rsidRDefault="00AD5EAA" w:rsidP="00521A53">
            <w:pPr>
              <w:spacing w:after="0" w:line="240" w:lineRule="auto"/>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Kopā (1.+2.+3.+…):</w:t>
            </w:r>
          </w:p>
        </w:tc>
        <w:tc>
          <w:tcPr>
            <w:tcW w:w="0" w:type="auto"/>
            <w:tcBorders>
              <w:top w:val="nil"/>
              <w:left w:val="nil"/>
              <w:bottom w:val="single" w:sz="4" w:space="0" w:color="auto"/>
              <w:right w:val="single" w:sz="4" w:space="0" w:color="auto"/>
            </w:tcBorders>
            <w:vAlign w:val="bottom"/>
          </w:tcPr>
          <w:p w:rsidR="00AD5EAA" w:rsidRPr="00176DD8" w:rsidRDefault="00AD5EAA"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vAlign w:val="bottom"/>
          </w:tcPr>
          <w:p w:rsidR="00AD5EAA" w:rsidRPr="00176DD8" w:rsidRDefault="00AD5EAA"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AD5EAA" w:rsidRPr="00176DD8" w:rsidRDefault="00AD5EAA" w:rsidP="00521A53">
            <w:pPr>
              <w:spacing w:after="0" w:line="240" w:lineRule="auto"/>
              <w:jc w:val="center"/>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AD5EAA" w:rsidRPr="00176DD8" w:rsidRDefault="00AD5EAA" w:rsidP="00521A53">
            <w:pPr>
              <w:spacing w:after="0" w:line="240" w:lineRule="auto"/>
              <w:jc w:val="center"/>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X</w:t>
            </w:r>
          </w:p>
        </w:tc>
      </w:tr>
      <w:tr w:rsidR="00FD1259" w:rsidRPr="00176DD8" w:rsidTr="00FF377A">
        <w:trPr>
          <w:trHeight w:val="315"/>
        </w:trPr>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b/>
                <w:bCs/>
                <w:lang w:eastAsia="lv-LV"/>
              </w:rPr>
              <w:t>I  Kopējās projekta finansējuma izmaksas</w:t>
            </w:r>
            <w:r w:rsidR="00FF377A" w:rsidRPr="00176DD8">
              <w:rPr>
                <w:rFonts w:ascii="Times New Roman" w:eastAsia="Times New Roman" w:hAnsi="Times New Roman" w:cs="Times New Roman"/>
                <w:b/>
                <w:bCs/>
                <w:lang w:eastAsia="lv-LV"/>
              </w:rPr>
              <w:t xml:space="preserve"> (Summa + Attiecināmais PVN)</w:t>
            </w:r>
            <w:r w:rsidRPr="00176DD8">
              <w:rPr>
                <w:rFonts w:ascii="Times New Roman" w:eastAsia="Times New Roman" w:hAnsi="Times New Roman" w:cs="Times New Roman"/>
                <w:b/>
                <w:bCs/>
                <w:lang w:eastAsia="lv-LV"/>
              </w:rPr>
              <w:t>:</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vAlign w:val="bottom"/>
          </w:tcPr>
          <w:p w:rsidR="00DF5F84" w:rsidRPr="00176DD8" w:rsidRDefault="00FF377A" w:rsidP="00521A53">
            <w:pPr>
              <w:spacing w:after="0" w:line="240" w:lineRule="auto"/>
              <w:jc w:val="center"/>
              <w:rPr>
                <w:rFonts w:ascii="Times New Roman" w:eastAsia="Times New Roman" w:hAnsi="Times New Roman" w:cs="Times New Roman"/>
                <w:b/>
                <w:bCs/>
                <w:lang w:eastAsia="lv-LV"/>
              </w:rPr>
            </w:pPr>
            <w:r w:rsidRPr="00176DD8">
              <w:rPr>
                <w:rFonts w:ascii="Times New Roman" w:eastAsia="Times New Roman" w:hAnsi="Times New Roman" w:cs="Times New Roman"/>
                <w:b/>
                <w:bCs/>
                <w:lang w:eastAsia="lv-LV"/>
              </w:rPr>
              <w:t>X</w:t>
            </w: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45"/>
        </w:trPr>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 xml:space="preserve">Finansējuma apjoms (50% no kopējām projekta attiecināmajām izmaksām- dalībai izstādēs, tirdzniecības misijās, </w:t>
            </w:r>
            <w:proofErr w:type="spellStart"/>
            <w:r w:rsidRPr="00176DD8">
              <w:rPr>
                <w:rFonts w:ascii="Times New Roman" w:eastAsia="Times New Roman" w:hAnsi="Times New Roman" w:cs="Times New Roman"/>
                <w:lang w:eastAsia="lv-LV"/>
              </w:rPr>
              <w:t>kontaktbiržās</w:t>
            </w:r>
            <w:proofErr w:type="spellEnd"/>
            <w:r w:rsidRPr="00176DD8">
              <w:rPr>
                <w:rFonts w:ascii="Times New Roman" w:eastAsia="Times New Roman" w:hAnsi="Times New Roman" w:cs="Times New Roman"/>
                <w:lang w:eastAsia="lv-LV"/>
              </w:rPr>
              <w:t>, konferencēs; 75% no kopējām projekta attiecināmajām izmaksām- biedrību organizētām konferencēm (semināriem))</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ATBALSTA SUMMA</w:t>
            </w:r>
          </w:p>
        </w:tc>
        <w:tc>
          <w:tcPr>
            <w:tcW w:w="0" w:type="auto"/>
            <w:tcBorders>
              <w:top w:val="nil"/>
              <w:left w:val="nil"/>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shd w:val="clear" w:color="000000" w:fill="C0C0C0"/>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shd w:val="clear" w:color="000000" w:fill="C0C0C0"/>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NEATTIECINĀMĀS IZMAKSAS</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PVN attiecināmajām izmaksām</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1.1.</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lang w:eastAsia="lv-LV"/>
              </w:rPr>
              <w:t>1. </w:t>
            </w:r>
            <w:r w:rsidRPr="00176DD8">
              <w:rPr>
                <w:rFonts w:ascii="Times New Roman" w:eastAsia="Times New Roman" w:hAnsi="Times New Roman" w:cs="Times New Roman"/>
                <w:b/>
                <w:bCs/>
                <w:i/>
                <w:iCs/>
                <w:lang w:eastAsia="lv-LV"/>
              </w:rPr>
              <w:t>Kopā (1.1.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single" w:sz="4" w:space="0" w:color="auto"/>
              <w:left w:val="single" w:sz="4" w:space="0" w:color="auto"/>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single" w:sz="4" w:space="0" w:color="auto"/>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single" w:sz="4" w:space="0" w:color="auto"/>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Citas neattiecināmās izmaksas ar PVN</w:t>
            </w:r>
            <w:r w:rsidR="00FD1259" w:rsidRPr="00176DD8">
              <w:rPr>
                <w:rFonts w:ascii="Times New Roman" w:eastAsia="Times New Roman" w:hAnsi="Times New Roman" w:cs="Times New Roman"/>
                <w:b/>
                <w:bCs/>
                <w:vertAlign w:val="superscript"/>
                <w:lang w:eastAsia="lv-LV"/>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single" w:sz="4" w:space="0" w:color="auto"/>
              <w:left w:val="single" w:sz="4" w:space="0" w:color="auto"/>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single" w:sz="4" w:space="0" w:color="auto"/>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single" w:sz="4" w:space="0" w:color="auto"/>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2.1.</w:t>
            </w:r>
          </w:p>
        </w:tc>
        <w:tc>
          <w:tcPr>
            <w:tcW w:w="0" w:type="auto"/>
            <w:tcBorders>
              <w:top w:val="single" w:sz="4" w:space="0" w:color="auto"/>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single" w:sz="4" w:space="0" w:color="auto"/>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single" w:sz="4" w:space="0" w:color="auto"/>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single" w:sz="4" w:space="0" w:color="auto"/>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630"/>
        </w:trPr>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rPr>
                <w:rFonts w:ascii="Times New Roman" w:eastAsia="Times New Roman" w:hAnsi="Times New Roman" w:cs="Times New Roman"/>
                <w:sz w:val="24"/>
                <w:szCs w:val="24"/>
                <w:lang w:eastAsia="lv-LV"/>
              </w:rPr>
            </w:pPr>
            <w:r w:rsidRPr="00176DD8">
              <w:rPr>
                <w:rFonts w:ascii="Times New Roman" w:eastAsia="Times New Roman" w:hAnsi="Times New Roman" w:cs="Times New Roman"/>
                <w:lang w:eastAsia="lv-LV"/>
              </w:rPr>
              <w:t>….</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noWrap/>
            <w:vAlign w:val="bottom"/>
          </w:tcPr>
          <w:p w:rsidR="00DF5F84" w:rsidRPr="00176DD8" w:rsidRDefault="00DF5F84" w:rsidP="00521A53">
            <w:pPr>
              <w:spacing w:after="0" w:line="240" w:lineRule="auto"/>
              <w:rPr>
                <w:rFonts w:ascii="Times New Roman" w:eastAsia="Times New Roman" w:hAnsi="Times New Roman" w:cs="Times New Roman"/>
                <w:b/>
                <w:bCs/>
                <w:i/>
                <w:iCs/>
                <w:sz w:val="24"/>
                <w:szCs w:val="24"/>
                <w:lang w:eastAsia="lv-LV"/>
              </w:rPr>
            </w:pPr>
            <w:r w:rsidRPr="00176DD8">
              <w:rPr>
                <w:rFonts w:ascii="Times New Roman" w:eastAsia="Times New Roman" w:hAnsi="Times New Roman" w:cs="Times New Roman"/>
                <w:lang w:eastAsia="lv-LV"/>
              </w:rPr>
              <w:t>2. </w:t>
            </w:r>
            <w:r w:rsidRPr="00176DD8">
              <w:rPr>
                <w:rFonts w:ascii="Times New Roman" w:eastAsia="Times New Roman" w:hAnsi="Times New Roman" w:cs="Times New Roman"/>
                <w:b/>
                <w:bCs/>
                <w:i/>
                <w:iCs/>
                <w:lang w:eastAsia="lv-LV"/>
              </w:rPr>
              <w:t>Kopā (2.1. +…):</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noWrap/>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noWrap/>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II Kopējās projekta neattiecināmās izmaksas </w:t>
            </w:r>
            <w:r w:rsidRPr="00176DD8">
              <w:rPr>
                <w:rFonts w:ascii="Times New Roman" w:eastAsia="Times New Roman" w:hAnsi="Times New Roman" w:cs="Times New Roman"/>
                <w:b/>
                <w:bCs/>
                <w:i/>
                <w:iCs/>
                <w:lang w:eastAsia="lv-LV"/>
              </w:rPr>
              <w:t>(1.+2.)</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r w:rsidR="00FD1259" w:rsidRPr="00176DD8" w:rsidTr="00DF5F84">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 xml:space="preserve">III Kopējās projekta izmaksas ar PVN </w:t>
            </w:r>
            <w:r w:rsidRPr="00176DD8">
              <w:rPr>
                <w:rFonts w:ascii="Times New Roman" w:eastAsia="Times New Roman" w:hAnsi="Times New Roman" w:cs="Times New Roman"/>
                <w:b/>
                <w:bCs/>
                <w:i/>
                <w:iCs/>
                <w:lang w:eastAsia="lv-LV"/>
              </w:rPr>
              <w:t>(I + II)</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i/>
                <w:iCs/>
                <w:sz w:val="24"/>
                <w:szCs w:val="24"/>
                <w:lang w:eastAsia="lv-LV"/>
              </w:rPr>
            </w:pPr>
          </w:p>
        </w:tc>
        <w:tc>
          <w:tcPr>
            <w:tcW w:w="669" w:type="dxa"/>
            <w:tcBorders>
              <w:top w:val="nil"/>
              <w:left w:val="nil"/>
              <w:bottom w:val="single" w:sz="4" w:space="0" w:color="auto"/>
              <w:right w:val="single" w:sz="4" w:space="0" w:color="auto"/>
            </w:tcBorders>
            <w:shd w:val="clear" w:color="000000" w:fill="FFFFFF"/>
          </w:tcPr>
          <w:p w:rsidR="00DF5F84" w:rsidRPr="00176DD8" w:rsidRDefault="00DF5F84" w:rsidP="00521A53">
            <w:pPr>
              <w:spacing w:after="0" w:line="240" w:lineRule="auto"/>
              <w:jc w:val="center"/>
              <w:rPr>
                <w:rFonts w:ascii="Times New Roman" w:eastAsia="Times New Roman" w:hAnsi="Times New Roman" w:cs="Times New Roman"/>
                <w:b/>
                <w:bCs/>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c>
          <w:tcPr>
            <w:tcW w:w="0" w:type="auto"/>
            <w:tcBorders>
              <w:top w:val="nil"/>
              <w:left w:val="nil"/>
              <w:bottom w:val="single" w:sz="4" w:space="0" w:color="auto"/>
              <w:right w:val="single" w:sz="4" w:space="0" w:color="auto"/>
            </w:tcBorders>
            <w:shd w:val="clear" w:color="000000" w:fill="FFFFFF"/>
            <w:vAlign w:val="bottom"/>
          </w:tcPr>
          <w:p w:rsidR="00DF5F84" w:rsidRPr="00176DD8" w:rsidRDefault="00DF5F84" w:rsidP="00521A53">
            <w:pPr>
              <w:spacing w:after="0" w:line="240" w:lineRule="auto"/>
              <w:jc w:val="center"/>
              <w:rPr>
                <w:rFonts w:ascii="Times New Roman" w:eastAsia="Times New Roman" w:hAnsi="Times New Roman" w:cs="Times New Roman"/>
                <w:b/>
                <w:bCs/>
                <w:sz w:val="24"/>
                <w:szCs w:val="24"/>
                <w:lang w:eastAsia="lv-LV"/>
              </w:rPr>
            </w:pPr>
            <w:r w:rsidRPr="00176DD8">
              <w:rPr>
                <w:rFonts w:ascii="Times New Roman" w:eastAsia="Times New Roman" w:hAnsi="Times New Roman" w:cs="Times New Roman"/>
                <w:b/>
                <w:bCs/>
                <w:lang w:eastAsia="lv-LV"/>
              </w:rPr>
              <w:t>X</w:t>
            </w:r>
          </w:p>
        </w:tc>
      </w:tr>
    </w:tbl>
    <w:p w:rsidR="001F33ED" w:rsidRDefault="00FC285D" w:rsidP="00521A53">
      <w:pPr>
        <w:spacing w:after="0" w:line="240" w:lineRule="auto"/>
        <w:rPr>
          <w:rFonts w:ascii="Times New Roman" w:hAnsi="Times New Roman" w:cs="Times New Roman"/>
          <w:sz w:val="26"/>
          <w:szCs w:val="26"/>
        </w:rPr>
      </w:pPr>
      <w:r w:rsidRPr="00176DD8">
        <w:rPr>
          <w:rFonts w:ascii="Times New Roman" w:hAnsi="Times New Roman" w:cs="Times New Roman"/>
          <w:sz w:val="20"/>
          <w:szCs w:val="20"/>
        </w:rPr>
        <w:t>*</w:t>
      </w:r>
      <w:r w:rsidR="00DF5F84" w:rsidRPr="00176DD8">
        <w:rPr>
          <w:rFonts w:ascii="Times New Roman" w:hAnsi="Times New Roman" w:cs="Times New Roman"/>
          <w:sz w:val="20"/>
          <w:szCs w:val="20"/>
        </w:rPr>
        <w:t>-PVN jāuzrāda atbilstoši Ministru kabineta noteikumiem Nr.952</w:t>
      </w:r>
      <w:r w:rsidR="00FD1259" w:rsidRPr="00176DD8">
        <w:rPr>
          <w:rFonts w:ascii="Times New Roman" w:hAnsi="Times New Roman" w:cs="Times New Roman"/>
          <w:sz w:val="20"/>
          <w:szCs w:val="20"/>
        </w:rPr>
        <w:t xml:space="preserve"> „</w:t>
      </w:r>
      <w:r w:rsidR="00DF5F84" w:rsidRPr="00176DD8">
        <w:rPr>
          <w:rFonts w:ascii="Times New Roman" w:eastAsia="Times New Roman" w:hAnsi="Times New Roman" w:cs="Times New Roman"/>
          <w:sz w:val="20"/>
          <w:szCs w:val="20"/>
          <w:lang w:eastAsia="lv-LV"/>
        </w:rPr>
        <w:t>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FD1259" w:rsidRPr="00176DD8">
        <w:rPr>
          <w:rFonts w:ascii="Times New Roman" w:eastAsia="Times New Roman" w:hAnsi="Times New Roman" w:cs="Times New Roman"/>
          <w:sz w:val="20"/>
          <w:szCs w:val="20"/>
          <w:lang w:eastAsia="lv-LV"/>
        </w:rPr>
        <w:t>”. Ja projekta ietvaros ir iespējams atgūt PVN, to nevar uzradīt kā attiecināmo izmaksu.</w:t>
      </w:r>
      <w:r w:rsidRPr="00176DD8">
        <w:rPr>
          <w:rFonts w:ascii="Times New Roman" w:hAnsi="Times New Roman" w:cs="Times New Roman"/>
          <w:sz w:val="26"/>
          <w:szCs w:val="26"/>
        </w:rPr>
        <w:t>”</w:t>
      </w:r>
    </w:p>
    <w:p w:rsidR="00521A53" w:rsidRPr="00176DD8" w:rsidRDefault="00521A53" w:rsidP="00521A53">
      <w:pPr>
        <w:spacing w:after="0" w:line="240" w:lineRule="auto"/>
        <w:rPr>
          <w:rFonts w:ascii="Times New Roman" w:hAnsi="Times New Roman" w:cs="Times New Roman"/>
          <w:sz w:val="26"/>
          <w:szCs w:val="26"/>
        </w:rPr>
      </w:pPr>
    </w:p>
    <w:p w:rsidR="00FC285D" w:rsidRPr="00176DD8" w:rsidRDefault="00FC285D" w:rsidP="00521A53">
      <w:pPr>
        <w:pStyle w:val="naislab"/>
        <w:numPr>
          <w:ilvl w:val="0"/>
          <w:numId w:val="4"/>
        </w:numPr>
        <w:spacing w:before="0" w:after="0"/>
        <w:jc w:val="both"/>
        <w:rPr>
          <w:sz w:val="26"/>
          <w:szCs w:val="26"/>
        </w:rPr>
      </w:pPr>
      <w:r w:rsidRPr="00176DD8">
        <w:rPr>
          <w:sz w:val="26"/>
          <w:szCs w:val="26"/>
        </w:rPr>
        <w:t>izteikt 2.pielikuma 7.sadaļas pēdēj</w:t>
      </w:r>
      <w:r w:rsidR="00A35DC0" w:rsidRPr="00176DD8">
        <w:rPr>
          <w:sz w:val="26"/>
          <w:szCs w:val="26"/>
        </w:rPr>
        <w:t>ās</w:t>
      </w:r>
      <w:r w:rsidRPr="00176DD8">
        <w:rPr>
          <w:sz w:val="26"/>
          <w:szCs w:val="26"/>
        </w:rPr>
        <w:t xml:space="preserve"> </w:t>
      </w:r>
      <w:r w:rsidR="00A35DC0" w:rsidRPr="00176DD8">
        <w:rPr>
          <w:sz w:val="26"/>
          <w:szCs w:val="26"/>
        </w:rPr>
        <w:t>divas rindkopas</w:t>
      </w:r>
      <w:r w:rsidRPr="00176DD8">
        <w:rPr>
          <w:sz w:val="26"/>
          <w:szCs w:val="26"/>
        </w:rPr>
        <w:t xml:space="preserve"> šādā redakcijā:</w:t>
      </w:r>
    </w:p>
    <w:p w:rsidR="00A35DC0" w:rsidRPr="00176DD8" w:rsidRDefault="00FC285D" w:rsidP="00521A53">
      <w:pPr>
        <w:spacing w:after="0"/>
        <w:jc w:val="both"/>
        <w:rPr>
          <w:rFonts w:ascii="Times New Roman" w:eastAsia="Times New Roman" w:hAnsi="Times New Roman" w:cs="Times New Roman"/>
          <w:sz w:val="26"/>
          <w:szCs w:val="26"/>
          <w:lang w:eastAsia="lv-LV"/>
        </w:rPr>
      </w:pPr>
      <w:r w:rsidRPr="00176DD8">
        <w:rPr>
          <w:rFonts w:ascii="Times New Roman" w:hAnsi="Times New Roman" w:cs="Times New Roman"/>
          <w:sz w:val="26"/>
          <w:szCs w:val="26"/>
        </w:rPr>
        <w:t>„</w:t>
      </w:r>
      <w:r w:rsidR="00A35DC0" w:rsidRPr="00176DD8">
        <w:rPr>
          <w:rFonts w:ascii="Times New Roman" w:eastAsia="Times New Roman" w:hAnsi="Times New Roman" w:cs="Times New Roman"/>
          <w:sz w:val="26"/>
          <w:szCs w:val="26"/>
          <w:lang w:eastAsia="lv-LV"/>
        </w:rPr>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A35DC0" w:rsidRPr="00176DD8" w:rsidTr="008A7E54">
        <w:tc>
          <w:tcPr>
            <w:tcW w:w="2160" w:type="dxa"/>
            <w:tcMar>
              <w:top w:w="0" w:type="dxa"/>
              <w:left w:w="108" w:type="dxa"/>
              <w:bottom w:w="0" w:type="dxa"/>
              <w:right w:w="108" w:type="dxa"/>
            </w:tcMar>
          </w:tcPr>
          <w:p w:rsidR="00A35DC0" w:rsidRPr="00176DD8" w:rsidRDefault="00A35DC0" w:rsidP="00521A53">
            <w:pPr>
              <w:spacing w:after="0" w:line="240" w:lineRule="auto"/>
              <w:rPr>
                <w:rFonts w:ascii="Times New Roman" w:eastAsia="Times New Roman" w:hAnsi="Times New Roman" w:cs="Times New Roman"/>
                <w:sz w:val="26"/>
                <w:szCs w:val="26"/>
                <w:lang w:eastAsia="lv-LV"/>
              </w:rPr>
            </w:pPr>
            <w:r w:rsidRPr="00176DD8">
              <w:rPr>
                <w:rFonts w:ascii="Times New Roman" w:eastAsia="Times New Roman" w:hAnsi="Times New Roman" w:cs="Times New Roman"/>
                <w:sz w:val="26"/>
                <w:szCs w:val="26"/>
                <w:lang w:eastAsia="lv-LV"/>
              </w:rPr>
              <w:t>Vārds, uzvārds</w:t>
            </w:r>
          </w:p>
        </w:tc>
        <w:tc>
          <w:tcPr>
            <w:tcW w:w="7020" w:type="dxa"/>
            <w:tcBorders>
              <w:top w:val="nil"/>
              <w:left w:val="nil"/>
              <w:bottom w:val="single" w:sz="8" w:space="0" w:color="auto"/>
              <w:right w:val="nil"/>
            </w:tcBorders>
            <w:tcMar>
              <w:top w:w="0" w:type="dxa"/>
              <w:left w:w="108" w:type="dxa"/>
              <w:bottom w:w="0" w:type="dxa"/>
              <w:right w:w="108" w:type="dxa"/>
            </w:tcMar>
          </w:tcPr>
          <w:p w:rsidR="00A35DC0" w:rsidRPr="00176DD8" w:rsidRDefault="00A35DC0" w:rsidP="00521A53">
            <w:pPr>
              <w:spacing w:after="0" w:line="240" w:lineRule="auto"/>
              <w:jc w:val="both"/>
              <w:rPr>
                <w:rFonts w:ascii="Times New Roman" w:eastAsia="Times New Roman" w:hAnsi="Times New Roman" w:cs="Times New Roman"/>
                <w:sz w:val="26"/>
                <w:szCs w:val="26"/>
                <w:lang w:eastAsia="lv-LV"/>
              </w:rPr>
            </w:pPr>
          </w:p>
        </w:tc>
      </w:tr>
      <w:tr w:rsidR="00A35DC0" w:rsidRPr="00176DD8" w:rsidTr="008A7E54">
        <w:tc>
          <w:tcPr>
            <w:tcW w:w="2160" w:type="dxa"/>
            <w:tcMar>
              <w:top w:w="0" w:type="dxa"/>
              <w:left w:w="108" w:type="dxa"/>
              <w:bottom w:w="0" w:type="dxa"/>
              <w:right w:w="108" w:type="dxa"/>
            </w:tcMar>
          </w:tcPr>
          <w:p w:rsidR="00A35DC0" w:rsidRPr="00176DD8" w:rsidRDefault="00A35DC0" w:rsidP="00521A53">
            <w:pPr>
              <w:spacing w:after="0" w:line="240" w:lineRule="auto"/>
              <w:rPr>
                <w:rFonts w:ascii="Times New Roman" w:eastAsia="Times New Roman" w:hAnsi="Times New Roman" w:cs="Times New Roman"/>
                <w:sz w:val="26"/>
                <w:szCs w:val="26"/>
                <w:lang w:eastAsia="lv-LV"/>
              </w:rPr>
            </w:pPr>
            <w:r w:rsidRPr="00176DD8">
              <w:rPr>
                <w:rFonts w:ascii="Times New Roman" w:eastAsia="Times New Roman" w:hAnsi="Times New Roman" w:cs="Times New Roman"/>
                <w:sz w:val="26"/>
                <w:szCs w:val="26"/>
                <w:lang w:eastAsia="lv-LV"/>
              </w:rPr>
              <w:t>Datums un vieta</w:t>
            </w:r>
          </w:p>
        </w:tc>
        <w:tc>
          <w:tcPr>
            <w:tcW w:w="7020" w:type="dxa"/>
            <w:tcBorders>
              <w:top w:val="nil"/>
              <w:left w:val="nil"/>
              <w:bottom w:val="single" w:sz="8" w:space="0" w:color="auto"/>
              <w:right w:val="nil"/>
            </w:tcBorders>
            <w:tcMar>
              <w:top w:w="0" w:type="dxa"/>
              <w:left w:w="108" w:type="dxa"/>
              <w:bottom w:w="0" w:type="dxa"/>
              <w:right w:w="108" w:type="dxa"/>
            </w:tcMar>
          </w:tcPr>
          <w:p w:rsidR="00A35DC0" w:rsidRPr="00176DD8" w:rsidRDefault="00A35DC0" w:rsidP="00521A53">
            <w:pPr>
              <w:spacing w:after="0" w:line="240" w:lineRule="auto"/>
              <w:ind w:firstLine="720"/>
              <w:jc w:val="both"/>
              <w:rPr>
                <w:rFonts w:ascii="Times New Roman" w:eastAsia="Times New Roman" w:hAnsi="Times New Roman" w:cs="Times New Roman"/>
                <w:sz w:val="26"/>
                <w:szCs w:val="26"/>
                <w:lang w:eastAsia="lv-LV"/>
              </w:rPr>
            </w:pPr>
          </w:p>
        </w:tc>
      </w:tr>
      <w:tr w:rsidR="00A35DC0" w:rsidRPr="00176DD8" w:rsidTr="008A7E54">
        <w:tc>
          <w:tcPr>
            <w:tcW w:w="2160" w:type="dxa"/>
            <w:tcMar>
              <w:top w:w="0" w:type="dxa"/>
              <w:left w:w="108" w:type="dxa"/>
              <w:bottom w:w="0" w:type="dxa"/>
              <w:right w:w="108" w:type="dxa"/>
            </w:tcMar>
          </w:tcPr>
          <w:p w:rsidR="00A35DC0" w:rsidRPr="00176DD8" w:rsidRDefault="00A35DC0" w:rsidP="00521A53">
            <w:pPr>
              <w:spacing w:after="0" w:line="240" w:lineRule="auto"/>
              <w:rPr>
                <w:rFonts w:ascii="Times New Roman" w:eastAsia="Times New Roman" w:hAnsi="Times New Roman" w:cs="Times New Roman"/>
                <w:sz w:val="26"/>
                <w:szCs w:val="26"/>
                <w:lang w:eastAsia="lv-LV"/>
              </w:rPr>
            </w:pPr>
            <w:r w:rsidRPr="00176DD8">
              <w:rPr>
                <w:rFonts w:ascii="Times New Roman" w:eastAsia="Times New Roman" w:hAnsi="Times New Roman" w:cs="Times New Roman"/>
                <w:sz w:val="26"/>
                <w:szCs w:val="26"/>
                <w:lang w:eastAsia="lv-LV"/>
              </w:rPr>
              <w:t>Paraksts**</w:t>
            </w:r>
          </w:p>
        </w:tc>
        <w:tc>
          <w:tcPr>
            <w:tcW w:w="7020" w:type="dxa"/>
            <w:tcBorders>
              <w:top w:val="nil"/>
              <w:left w:val="nil"/>
              <w:bottom w:val="single" w:sz="8" w:space="0" w:color="auto"/>
              <w:right w:val="nil"/>
            </w:tcBorders>
            <w:tcMar>
              <w:top w:w="0" w:type="dxa"/>
              <w:left w:w="108" w:type="dxa"/>
              <w:bottom w:w="0" w:type="dxa"/>
              <w:right w:w="108" w:type="dxa"/>
            </w:tcMar>
          </w:tcPr>
          <w:p w:rsidR="00A35DC0" w:rsidRPr="00176DD8" w:rsidRDefault="00A35DC0" w:rsidP="00521A53">
            <w:pPr>
              <w:spacing w:after="0" w:line="240" w:lineRule="auto"/>
              <w:ind w:firstLine="720"/>
              <w:jc w:val="both"/>
              <w:rPr>
                <w:rFonts w:ascii="Times New Roman" w:eastAsia="Times New Roman" w:hAnsi="Times New Roman" w:cs="Times New Roman"/>
                <w:sz w:val="26"/>
                <w:szCs w:val="26"/>
                <w:lang w:eastAsia="lv-LV"/>
              </w:rPr>
            </w:pPr>
          </w:p>
        </w:tc>
      </w:tr>
    </w:tbl>
    <w:p w:rsidR="00A35DC0" w:rsidRPr="00176DD8" w:rsidRDefault="00A35DC0" w:rsidP="00521A53">
      <w:pPr>
        <w:spacing w:after="0" w:line="240" w:lineRule="auto"/>
        <w:rPr>
          <w:rFonts w:ascii="Times New Roman" w:hAnsi="Times New Roman" w:cs="Times New Roman"/>
          <w:sz w:val="26"/>
          <w:szCs w:val="26"/>
        </w:rPr>
      </w:pPr>
    </w:p>
    <w:p w:rsidR="00FC285D" w:rsidRPr="003D73EF" w:rsidRDefault="00FC285D" w:rsidP="00521A53">
      <w:pPr>
        <w:spacing w:after="0" w:line="240" w:lineRule="auto"/>
        <w:rPr>
          <w:rFonts w:ascii="Times New Roman" w:hAnsi="Times New Roman" w:cs="Times New Roman"/>
          <w:sz w:val="26"/>
          <w:szCs w:val="26"/>
        </w:rPr>
      </w:pPr>
      <w:r w:rsidRPr="00176DD8">
        <w:rPr>
          <w:rFonts w:ascii="Times New Roman" w:hAnsi="Times New Roman" w:cs="Times New Roman"/>
          <w:sz w:val="26"/>
          <w:szCs w:val="26"/>
        </w:rPr>
        <w:lastRenderedPageBreak/>
        <w:t xml:space="preserve">** Dokumenta </w:t>
      </w:r>
      <w:r w:rsidRPr="003D73EF">
        <w:rPr>
          <w:rFonts w:ascii="Times New Roman" w:hAnsi="Times New Roman" w:cs="Times New Roman"/>
          <w:sz w:val="26"/>
          <w:szCs w:val="26"/>
        </w:rPr>
        <w:t>rekvizītus "paraksts" un "datums" neaizpilda, ja elektroniskais dokuments ir noformēts atbilstoši elektronisko dokumentu noformēšanai normatīvajos aktos noteiktajām prasībām.”.</w:t>
      </w:r>
    </w:p>
    <w:p w:rsidR="00FC285D" w:rsidRPr="003D73EF" w:rsidRDefault="00FC285D" w:rsidP="00521A53">
      <w:pPr>
        <w:spacing w:after="0" w:line="240" w:lineRule="auto"/>
        <w:rPr>
          <w:rFonts w:ascii="Times New Roman" w:eastAsia="Times New Roman" w:hAnsi="Times New Roman" w:cs="Times New Roman"/>
          <w:sz w:val="20"/>
          <w:szCs w:val="20"/>
          <w:lang w:eastAsia="lv-LV"/>
        </w:rPr>
      </w:pP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521A53" w:rsidRPr="00A42286" w:rsidRDefault="003D73EF" w:rsidP="00A42286">
      <w:pPr>
        <w:pStyle w:val="ListParagraph"/>
        <w:numPr>
          <w:ilvl w:val="0"/>
          <w:numId w:val="4"/>
        </w:numPr>
        <w:spacing w:after="0" w:line="240" w:lineRule="auto"/>
        <w:rPr>
          <w:rFonts w:ascii="Times New Roman" w:eastAsia="Times New Roman" w:hAnsi="Times New Roman" w:cs="Times New Roman"/>
          <w:sz w:val="26"/>
          <w:szCs w:val="26"/>
          <w:lang w:eastAsia="lv-LV"/>
        </w:rPr>
      </w:pPr>
      <w:r w:rsidRPr="00A42286">
        <w:rPr>
          <w:rFonts w:ascii="Times New Roman" w:eastAsia="Times New Roman" w:hAnsi="Times New Roman" w:cs="Times New Roman"/>
          <w:sz w:val="26"/>
          <w:szCs w:val="26"/>
          <w:lang w:eastAsia="lv-LV"/>
        </w:rPr>
        <w:t>noteikt, ka noteikumu grozījumi stājas spēkā 2013.gada 1.janvārī.</w:t>
      </w: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521A53" w:rsidRPr="003D73EF" w:rsidRDefault="00521A53" w:rsidP="00521A53">
      <w:pPr>
        <w:spacing w:after="0" w:line="240" w:lineRule="auto"/>
        <w:rPr>
          <w:rFonts w:ascii="Times New Roman" w:eastAsia="Times New Roman" w:hAnsi="Times New Roman" w:cs="Times New Roman"/>
          <w:sz w:val="20"/>
          <w:szCs w:val="20"/>
          <w:lang w:eastAsia="lv-LV"/>
        </w:rPr>
      </w:pPr>
    </w:p>
    <w:p w:rsidR="00C576B4" w:rsidRPr="00176DD8" w:rsidRDefault="00C576B4" w:rsidP="00521A53">
      <w:pPr>
        <w:tabs>
          <w:tab w:val="right" w:pos="9071"/>
        </w:tabs>
        <w:spacing w:after="0"/>
        <w:jc w:val="both"/>
        <w:rPr>
          <w:rFonts w:ascii="Times New Roman" w:eastAsia="Times New Roman" w:hAnsi="Times New Roman" w:cs="Times New Roman"/>
          <w:sz w:val="26"/>
          <w:szCs w:val="26"/>
          <w:lang w:eastAsia="lv-LV"/>
        </w:rPr>
      </w:pPr>
      <w:r w:rsidRPr="003D73EF">
        <w:rPr>
          <w:rFonts w:ascii="Times New Roman" w:eastAsia="Times New Roman" w:hAnsi="Times New Roman" w:cs="Times New Roman"/>
          <w:sz w:val="26"/>
          <w:szCs w:val="26"/>
          <w:lang w:eastAsia="lv-LV"/>
        </w:rPr>
        <w:t>Ministru prezidents</w:t>
      </w:r>
      <w:r w:rsidR="00F3781F" w:rsidRPr="00176DD8">
        <w:rPr>
          <w:rFonts w:ascii="Times New Roman" w:eastAsia="Times New Roman" w:hAnsi="Times New Roman" w:cs="Times New Roman"/>
          <w:sz w:val="26"/>
          <w:szCs w:val="26"/>
          <w:lang w:eastAsia="lv-LV"/>
        </w:rPr>
        <w:tab/>
      </w:r>
      <w:proofErr w:type="spellStart"/>
      <w:r w:rsidRPr="00176DD8">
        <w:rPr>
          <w:rFonts w:ascii="Times New Roman" w:eastAsia="Times New Roman" w:hAnsi="Times New Roman" w:cs="Times New Roman"/>
          <w:sz w:val="26"/>
          <w:szCs w:val="26"/>
          <w:lang w:eastAsia="lv-LV"/>
        </w:rPr>
        <w:t>V.Dombrovskis</w:t>
      </w:r>
      <w:proofErr w:type="spellEnd"/>
    </w:p>
    <w:p w:rsidR="00EF381B" w:rsidRDefault="00EF381B" w:rsidP="00521A53">
      <w:pPr>
        <w:spacing w:after="0" w:line="240" w:lineRule="auto"/>
        <w:jc w:val="both"/>
        <w:rPr>
          <w:rFonts w:ascii="Times New Roman" w:eastAsia="Times New Roman" w:hAnsi="Times New Roman" w:cs="Times New Roman"/>
          <w:sz w:val="26"/>
          <w:szCs w:val="26"/>
          <w:lang w:eastAsia="lv-LV"/>
        </w:rPr>
      </w:pPr>
    </w:p>
    <w:p w:rsidR="00521A53" w:rsidRDefault="00521A53" w:rsidP="00521A53">
      <w:pPr>
        <w:spacing w:after="0" w:line="240" w:lineRule="auto"/>
        <w:jc w:val="both"/>
        <w:rPr>
          <w:rFonts w:ascii="Times New Roman" w:eastAsia="Times New Roman" w:hAnsi="Times New Roman" w:cs="Times New Roman"/>
          <w:sz w:val="26"/>
          <w:szCs w:val="26"/>
          <w:lang w:eastAsia="lv-LV"/>
        </w:rPr>
      </w:pPr>
    </w:p>
    <w:p w:rsidR="00521A53" w:rsidRDefault="00521A53" w:rsidP="00521A53">
      <w:pPr>
        <w:spacing w:after="0" w:line="240" w:lineRule="auto"/>
        <w:jc w:val="both"/>
        <w:rPr>
          <w:rFonts w:ascii="Times New Roman" w:eastAsia="Times New Roman" w:hAnsi="Times New Roman" w:cs="Times New Roman"/>
          <w:sz w:val="26"/>
          <w:szCs w:val="26"/>
          <w:lang w:eastAsia="lv-LV"/>
        </w:rPr>
      </w:pPr>
    </w:p>
    <w:p w:rsidR="00521A53" w:rsidRPr="00176DD8" w:rsidRDefault="00521A53" w:rsidP="00521A53">
      <w:pPr>
        <w:spacing w:after="0" w:line="240" w:lineRule="auto"/>
        <w:jc w:val="both"/>
        <w:rPr>
          <w:rFonts w:ascii="Times New Roman" w:eastAsia="Times New Roman" w:hAnsi="Times New Roman" w:cs="Times New Roman"/>
          <w:sz w:val="26"/>
          <w:szCs w:val="26"/>
          <w:lang w:eastAsia="lv-LV"/>
        </w:rPr>
      </w:pPr>
    </w:p>
    <w:p w:rsidR="00C576B4" w:rsidRPr="00176DD8" w:rsidRDefault="00C576B4" w:rsidP="00521A53">
      <w:pPr>
        <w:tabs>
          <w:tab w:val="right" w:pos="9071"/>
        </w:tabs>
        <w:spacing w:after="0" w:line="240" w:lineRule="auto"/>
        <w:jc w:val="both"/>
        <w:rPr>
          <w:rFonts w:ascii="Times New Roman" w:eastAsia="Times New Roman" w:hAnsi="Times New Roman" w:cs="Times New Roman"/>
          <w:sz w:val="26"/>
          <w:szCs w:val="26"/>
          <w:lang w:eastAsia="lv-LV"/>
        </w:rPr>
      </w:pPr>
      <w:r w:rsidRPr="00176DD8">
        <w:rPr>
          <w:rFonts w:ascii="Times New Roman" w:eastAsia="Times New Roman" w:hAnsi="Times New Roman" w:cs="Times New Roman"/>
          <w:sz w:val="26"/>
          <w:szCs w:val="26"/>
          <w:lang w:eastAsia="lv-LV"/>
        </w:rPr>
        <w:t>Ekonomikas ministrs</w:t>
      </w:r>
      <w:r w:rsidR="00F3781F" w:rsidRPr="00176DD8">
        <w:rPr>
          <w:rFonts w:ascii="Times New Roman" w:eastAsia="Times New Roman" w:hAnsi="Times New Roman" w:cs="Times New Roman"/>
          <w:sz w:val="26"/>
          <w:szCs w:val="26"/>
          <w:lang w:eastAsia="lv-LV"/>
        </w:rPr>
        <w:tab/>
      </w:r>
      <w:proofErr w:type="spellStart"/>
      <w:r w:rsidRPr="00176DD8">
        <w:rPr>
          <w:rFonts w:ascii="Times New Roman" w:eastAsia="Times New Roman" w:hAnsi="Times New Roman" w:cs="Times New Roman"/>
          <w:sz w:val="26"/>
          <w:szCs w:val="26"/>
          <w:lang w:eastAsia="lv-LV"/>
        </w:rPr>
        <w:t>D.Pavļuts</w:t>
      </w:r>
      <w:proofErr w:type="spellEnd"/>
    </w:p>
    <w:p w:rsidR="00EF381B" w:rsidRPr="00176DD8" w:rsidRDefault="00EF381B" w:rsidP="00521A53">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EF381B" w:rsidRDefault="00EF381B" w:rsidP="00521A53">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521A53" w:rsidRDefault="00521A53" w:rsidP="00521A53">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521A53" w:rsidRDefault="00521A53" w:rsidP="00521A53">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521A53" w:rsidRPr="00176DD8" w:rsidRDefault="00521A53" w:rsidP="00521A53">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C576B4" w:rsidRPr="00176DD8" w:rsidRDefault="00C576B4" w:rsidP="00521A53">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r w:rsidRPr="00176DD8">
        <w:rPr>
          <w:rFonts w:ascii="Times New Roman" w:eastAsia="Times New Roman" w:hAnsi="Times New Roman" w:cs="Times New Roman"/>
          <w:sz w:val="26"/>
          <w:szCs w:val="26"/>
          <w:lang w:eastAsia="lv-LV"/>
        </w:rPr>
        <w:t>Iesniedzējs:</w:t>
      </w:r>
    </w:p>
    <w:p w:rsidR="00C576B4" w:rsidRPr="00176DD8" w:rsidRDefault="00C576B4" w:rsidP="00521A53">
      <w:pPr>
        <w:tabs>
          <w:tab w:val="right" w:pos="9071"/>
        </w:tabs>
        <w:spacing w:after="0" w:line="240" w:lineRule="auto"/>
        <w:jc w:val="both"/>
        <w:rPr>
          <w:rFonts w:ascii="Times New Roman" w:eastAsia="Times New Roman" w:hAnsi="Times New Roman" w:cs="Times New Roman"/>
          <w:sz w:val="26"/>
          <w:szCs w:val="26"/>
          <w:lang w:eastAsia="lv-LV"/>
        </w:rPr>
      </w:pPr>
      <w:r w:rsidRPr="00176DD8">
        <w:rPr>
          <w:rFonts w:ascii="Times New Roman" w:eastAsia="Times New Roman" w:hAnsi="Times New Roman" w:cs="Times New Roman"/>
          <w:sz w:val="26"/>
          <w:szCs w:val="26"/>
          <w:lang w:eastAsia="lv-LV"/>
        </w:rPr>
        <w:t>Ekonomikas ministrs</w:t>
      </w:r>
      <w:r w:rsidR="00F3781F" w:rsidRPr="00176DD8">
        <w:rPr>
          <w:rFonts w:ascii="Times New Roman" w:eastAsia="Times New Roman" w:hAnsi="Times New Roman" w:cs="Times New Roman"/>
          <w:sz w:val="26"/>
          <w:szCs w:val="26"/>
          <w:lang w:eastAsia="lv-LV"/>
        </w:rPr>
        <w:tab/>
      </w:r>
      <w:proofErr w:type="spellStart"/>
      <w:r w:rsidRPr="00176DD8">
        <w:rPr>
          <w:rFonts w:ascii="Times New Roman" w:eastAsia="Times New Roman" w:hAnsi="Times New Roman" w:cs="Times New Roman"/>
          <w:sz w:val="26"/>
          <w:szCs w:val="26"/>
          <w:lang w:eastAsia="lv-LV"/>
        </w:rPr>
        <w:t>D.Pavļuts</w:t>
      </w:r>
      <w:proofErr w:type="spellEnd"/>
    </w:p>
    <w:p w:rsidR="00C576B4" w:rsidRPr="00176DD8" w:rsidRDefault="00C576B4" w:rsidP="00521A53">
      <w:pPr>
        <w:keepLines/>
        <w:widowControl w:val="0"/>
        <w:spacing w:after="0" w:line="240" w:lineRule="auto"/>
        <w:jc w:val="center"/>
        <w:rPr>
          <w:rFonts w:ascii="Times New Roman" w:eastAsia="Times New Roman" w:hAnsi="Times New Roman" w:cs="Times New Roman"/>
          <w:sz w:val="26"/>
          <w:szCs w:val="26"/>
          <w:lang w:eastAsia="lv-LV"/>
        </w:rPr>
      </w:pPr>
    </w:p>
    <w:p w:rsidR="00C576B4" w:rsidRPr="00176DD8" w:rsidRDefault="00C576B4" w:rsidP="00521A53">
      <w:pPr>
        <w:keepLines/>
        <w:widowControl w:val="0"/>
        <w:spacing w:after="0" w:line="240" w:lineRule="auto"/>
        <w:rPr>
          <w:rFonts w:ascii="Times New Roman" w:eastAsia="Times New Roman" w:hAnsi="Times New Roman" w:cs="Times New Roman"/>
          <w:sz w:val="26"/>
          <w:szCs w:val="26"/>
          <w:lang w:eastAsia="lv-LV"/>
        </w:rPr>
      </w:pPr>
    </w:p>
    <w:p w:rsidR="00EF381B" w:rsidRDefault="00EF381B" w:rsidP="00521A53">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521A53" w:rsidRPr="00176DD8" w:rsidRDefault="00521A53" w:rsidP="00521A53">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C576B4" w:rsidRPr="00176DD8" w:rsidRDefault="00C576B4" w:rsidP="00521A53">
      <w:pPr>
        <w:keepLines/>
        <w:widowControl w:val="0"/>
        <w:tabs>
          <w:tab w:val="right" w:pos="9071"/>
        </w:tabs>
        <w:spacing w:after="0" w:line="240" w:lineRule="auto"/>
        <w:rPr>
          <w:rFonts w:ascii="Times New Roman" w:eastAsia="Times New Roman" w:hAnsi="Times New Roman" w:cs="Times New Roman"/>
          <w:sz w:val="26"/>
          <w:szCs w:val="26"/>
          <w:lang w:eastAsia="lv-LV"/>
        </w:rPr>
      </w:pPr>
      <w:r w:rsidRPr="00176DD8">
        <w:rPr>
          <w:rFonts w:ascii="Times New Roman" w:eastAsia="Times New Roman" w:hAnsi="Times New Roman" w:cs="Times New Roman"/>
          <w:sz w:val="26"/>
          <w:szCs w:val="26"/>
          <w:lang w:eastAsia="lv-LV"/>
        </w:rPr>
        <w:t>Vīza: Valsts sekretārs</w:t>
      </w:r>
      <w:r w:rsidR="00F3781F" w:rsidRPr="00176DD8">
        <w:rPr>
          <w:rFonts w:ascii="Times New Roman" w:eastAsia="Times New Roman" w:hAnsi="Times New Roman" w:cs="Times New Roman"/>
          <w:sz w:val="26"/>
          <w:szCs w:val="26"/>
          <w:lang w:eastAsia="lv-LV"/>
        </w:rPr>
        <w:tab/>
      </w:r>
      <w:r w:rsidRPr="00176DD8">
        <w:rPr>
          <w:rFonts w:ascii="Times New Roman" w:eastAsia="Times New Roman" w:hAnsi="Times New Roman" w:cs="Times New Roman"/>
          <w:sz w:val="26"/>
          <w:szCs w:val="26"/>
          <w:lang w:eastAsia="lv-LV"/>
        </w:rPr>
        <w:t>J.Pūce</w:t>
      </w:r>
    </w:p>
    <w:p w:rsidR="00C576B4" w:rsidRDefault="00C576B4" w:rsidP="00521A53">
      <w:pPr>
        <w:keepLines/>
        <w:widowControl w:val="0"/>
        <w:tabs>
          <w:tab w:val="left" w:pos="7938"/>
        </w:tabs>
        <w:spacing w:after="0" w:line="240" w:lineRule="auto"/>
        <w:rPr>
          <w:rFonts w:ascii="Times New Roman" w:eastAsia="Times New Roman" w:hAnsi="Times New Roman" w:cs="Times New Roman"/>
          <w:sz w:val="26"/>
          <w:szCs w:val="26"/>
          <w:lang w:eastAsia="lv-LV"/>
        </w:rPr>
      </w:pPr>
    </w:p>
    <w:p w:rsidR="00521A53" w:rsidRDefault="00521A53" w:rsidP="00521A53">
      <w:pPr>
        <w:keepLines/>
        <w:widowControl w:val="0"/>
        <w:tabs>
          <w:tab w:val="left" w:pos="7938"/>
        </w:tabs>
        <w:spacing w:after="0" w:line="240" w:lineRule="auto"/>
        <w:rPr>
          <w:rFonts w:ascii="Times New Roman" w:eastAsia="Times New Roman" w:hAnsi="Times New Roman" w:cs="Times New Roman"/>
          <w:sz w:val="26"/>
          <w:szCs w:val="26"/>
          <w:lang w:eastAsia="lv-LV"/>
        </w:rPr>
      </w:pPr>
    </w:p>
    <w:p w:rsidR="00521A53" w:rsidRDefault="00521A53" w:rsidP="00521A53">
      <w:pPr>
        <w:keepLines/>
        <w:widowControl w:val="0"/>
        <w:tabs>
          <w:tab w:val="left" w:pos="7938"/>
        </w:tabs>
        <w:spacing w:after="0" w:line="240" w:lineRule="auto"/>
        <w:rPr>
          <w:rFonts w:ascii="Times New Roman" w:eastAsia="Times New Roman" w:hAnsi="Times New Roman" w:cs="Times New Roman"/>
          <w:sz w:val="26"/>
          <w:szCs w:val="26"/>
          <w:lang w:eastAsia="lv-LV"/>
        </w:rPr>
      </w:pPr>
    </w:p>
    <w:p w:rsidR="00521A53" w:rsidRDefault="00521A53" w:rsidP="00521A53">
      <w:pPr>
        <w:keepLines/>
        <w:widowControl w:val="0"/>
        <w:tabs>
          <w:tab w:val="left" w:pos="7938"/>
        </w:tabs>
        <w:spacing w:after="0" w:line="240" w:lineRule="auto"/>
        <w:rPr>
          <w:rFonts w:ascii="Times New Roman" w:eastAsia="Times New Roman" w:hAnsi="Times New Roman" w:cs="Times New Roman"/>
          <w:sz w:val="26"/>
          <w:szCs w:val="26"/>
          <w:lang w:eastAsia="lv-LV"/>
        </w:rPr>
      </w:pPr>
    </w:p>
    <w:p w:rsidR="00521A53" w:rsidRDefault="00521A53" w:rsidP="00521A53">
      <w:pPr>
        <w:keepLines/>
        <w:widowControl w:val="0"/>
        <w:tabs>
          <w:tab w:val="left" w:pos="7938"/>
        </w:tabs>
        <w:spacing w:after="0" w:line="240" w:lineRule="auto"/>
        <w:rPr>
          <w:rFonts w:ascii="Times New Roman" w:eastAsia="Times New Roman" w:hAnsi="Times New Roman" w:cs="Times New Roman"/>
          <w:sz w:val="26"/>
          <w:szCs w:val="26"/>
          <w:lang w:eastAsia="lv-LV"/>
        </w:rPr>
      </w:pPr>
    </w:p>
    <w:p w:rsidR="00521A53" w:rsidRPr="00176DD8" w:rsidRDefault="00521A53" w:rsidP="00521A53">
      <w:pPr>
        <w:keepLines/>
        <w:widowControl w:val="0"/>
        <w:tabs>
          <w:tab w:val="left" w:pos="7938"/>
        </w:tabs>
        <w:spacing w:after="0" w:line="240" w:lineRule="auto"/>
        <w:rPr>
          <w:rFonts w:ascii="Times New Roman" w:eastAsia="Times New Roman" w:hAnsi="Times New Roman" w:cs="Times New Roman"/>
          <w:sz w:val="26"/>
          <w:szCs w:val="26"/>
          <w:lang w:eastAsia="lv-LV"/>
        </w:rPr>
      </w:pPr>
    </w:p>
    <w:p w:rsidR="00F3781F" w:rsidRPr="00176DD8" w:rsidRDefault="00F3781F" w:rsidP="00521A53">
      <w:pPr>
        <w:spacing w:after="0" w:line="240" w:lineRule="auto"/>
        <w:jc w:val="both"/>
        <w:rPr>
          <w:rFonts w:ascii="Times New Roman" w:eastAsia="Times New Roman" w:hAnsi="Times New Roman" w:cs="Times New Roman"/>
          <w:sz w:val="20"/>
          <w:szCs w:val="20"/>
          <w:lang w:eastAsia="lv-LV"/>
        </w:rPr>
      </w:pPr>
    </w:p>
    <w:p w:rsidR="003E4F1B" w:rsidRDefault="00B203B4" w:rsidP="00521A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2012.11.21. 14:48</w:t>
      </w:r>
      <w:bookmarkStart w:id="8" w:name="_GoBack"/>
      <w:bookmarkEnd w:id="8"/>
    </w:p>
    <w:p w:rsidR="00151EEF" w:rsidRPr="00176DD8" w:rsidRDefault="00151EEF" w:rsidP="00521A53">
      <w:pPr>
        <w:widowControl w:val="0"/>
        <w:spacing w:after="0" w:line="240" w:lineRule="auto"/>
        <w:jc w:val="both"/>
        <w:rPr>
          <w:rFonts w:ascii="Times New Roman" w:eastAsia="Times New Roman" w:hAnsi="Times New Roman" w:cs="Times New Roman"/>
          <w:sz w:val="20"/>
          <w:szCs w:val="20"/>
        </w:rPr>
      </w:pPr>
      <w:r w:rsidRPr="00176DD8">
        <w:rPr>
          <w:rFonts w:ascii="Times New Roman" w:eastAsia="Times New Roman" w:hAnsi="Times New Roman" w:cs="Times New Roman"/>
          <w:sz w:val="26"/>
          <w:szCs w:val="20"/>
          <w:lang w:val="en-AU"/>
        </w:rPr>
        <w:fldChar w:fldCharType="begin"/>
      </w:r>
      <w:r w:rsidRPr="00176DD8">
        <w:rPr>
          <w:rFonts w:ascii="Times New Roman" w:eastAsia="Times New Roman" w:hAnsi="Times New Roman" w:cs="Times New Roman"/>
          <w:sz w:val="26"/>
          <w:szCs w:val="20"/>
          <w:lang w:val="en-AU"/>
        </w:rPr>
        <w:instrText xml:space="preserve"> NUMWORDS   \* MERGEFORMAT </w:instrText>
      </w:r>
      <w:r w:rsidRPr="00176DD8">
        <w:rPr>
          <w:rFonts w:ascii="Times New Roman" w:eastAsia="Times New Roman" w:hAnsi="Times New Roman" w:cs="Times New Roman"/>
          <w:sz w:val="26"/>
          <w:szCs w:val="20"/>
          <w:lang w:val="en-AU"/>
        </w:rPr>
        <w:fldChar w:fldCharType="separate"/>
      </w:r>
      <w:r w:rsidR="00B203B4" w:rsidRPr="00B203B4">
        <w:rPr>
          <w:rFonts w:ascii="Times New Roman" w:eastAsia="Times New Roman" w:hAnsi="Times New Roman" w:cs="Times New Roman"/>
          <w:noProof/>
          <w:sz w:val="20"/>
          <w:szCs w:val="20"/>
        </w:rPr>
        <w:t>1575</w:t>
      </w:r>
      <w:r w:rsidRPr="00176DD8">
        <w:rPr>
          <w:rFonts w:ascii="Times New Roman" w:eastAsia="Times New Roman" w:hAnsi="Times New Roman" w:cs="Times New Roman"/>
          <w:noProof/>
          <w:sz w:val="20"/>
          <w:szCs w:val="20"/>
        </w:rPr>
        <w:fldChar w:fldCharType="end"/>
      </w:r>
    </w:p>
    <w:p w:rsidR="003E4F1B" w:rsidRDefault="003E4F1B" w:rsidP="003E4F1B">
      <w:pPr>
        <w:widowControl w:val="0"/>
        <w:spacing w:after="0" w:line="240" w:lineRule="auto"/>
        <w:jc w:val="both"/>
        <w:rPr>
          <w:rFonts w:ascii="Times New Roman" w:eastAsia="Times New Roman" w:hAnsi="Times New Roman" w:cs="Times New Roman"/>
          <w:sz w:val="20"/>
          <w:szCs w:val="20"/>
        </w:rPr>
      </w:pPr>
      <w:r w:rsidRPr="003E4F1B">
        <w:rPr>
          <w:rFonts w:ascii="Times New Roman" w:eastAsia="Times New Roman" w:hAnsi="Times New Roman" w:cs="Times New Roman"/>
          <w:sz w:val="20"/>
          <w:szCs w:val="20"/>
        </w:rPr>
        <w:t>Gatis Silovs</w:t>
      </w:r>
    </w:p>
    <w:p w:rsidR="00A132D5" w:rsidRPr="00FC285D" w:rsidRDefault="003E4F1B" w:rsidP="003E4F1B">
      <w:pPr>
        <w:widowControl w:val="0"/>
        <w:spacing w:after="0" w:line="240" w:lineRule="auto"/>
        <w:jc w:val="both"/>
        <w:rPr>
          <w:rFonts w:ascii="Times New Roman" w:eastAsia="Times New Roman" w:hAnsi="Times New Roman" w:cs="Times New Roman"/>
          <w:sz w:val="20"/>
          <w:szCs w:val="20"/>
        </w:rPr>
      </w:pPr>
      <w:r w:rsidRPr="003E4F1B">
        <w:rPr>
          <w:rFonts w:ascii="Times New Roman" w:eastAsia="Times New Roman" w:hAnsi="Times New Roman" w:cs="Times New Roman"/>
          <w:sz w:val="20"/>
          <w:szCs w:val="20"/>
        </w:rPr>
        <w:t>67013209, Gatis.Silovs@em.gov.lv</w:t>
      </w:r>
    </w:p>
    <w:sectPr w:rsidR="00A132D5" w:rsidRPr="00FC285D" w:rsidSect="009978F6">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1E" w:rsidRDefault="00E9081E" w:rsidP="00EB0F43">
      <w:pPr>
        <w:spacing w:after="0" w:line="240" w:lineRule="auto"/>
      </w:pPr>
      <w:r>
        <w:separator/>
      </w:r>
    </w:p>
  </w:endnote>
  <w:endnote w:type="continuationSeparator" w:id="0">
    <w:p w:rsidR="00E9081E" w:rsidRDefault="00E9081E" w:rsidP="00E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1E" w:rsidRPr="00EB0F43" w:rsidRDefault="00E9081E" w:rsidP="00A73867">
    <w:pPr>
      <w:pStyle w:val="Footer"/>
      <w:jc w:val="both"/>
      <w:rPr>
        <w:rFonts w:ascii="Times New Roman" w:hAnsi="Times New Roman" w:cs="Times New Roman"/>
        <w:sz w:val="20"/>
      </w:rPr>
    </w:pPr>
    <w:r w:rsidRPr="002A617A">
      <w:rPr>
        <w:rFonts w:ascii="Times New Roman" w:eastAsia="Calibri" w:hAnsi="Times New Roman" w:cs="Times New Roman"/>
        <w:sz w:val="20"/>
        <w:szCs w:val="20"/>
        <w:lang w:val="en-AU"/>
      </w:rPr>
      <w:fldChar w:fldCharType="begin"/>
    </w:r>
    <w:r w:rsidRPr="002A617A">
      <w:rPr>
        <w:rFonts w:ascii="Times New Roman" w:eastAsia="Calibri" w:hAnsi="Times New Roman" w:cs="Times New Roman"/>
        <w:sz w:val="20"/>
        <w:szCs w:val="20"/>
        <w:lang w:val="en-AU"/>
      </w:rPr>
      <w:instrText xml:space="preserve"> FILENAME   \* MERGEFORMAT </w:instrText>
    </w:r>
    <w:r w:rsidRPr="002A617A">
      <w:rPr>
        <w:rFonts w:ascii="Times New Roman" w:eastAsia="Calibri" w:hAnsi="Times New Roman" w:cs="Times New Roman"/>
        <w:sz w:val="20"/>
        <w:szCs w:val="20"/>
        <w:lang w:val="en-AU"/>
      </w:rPr>
      <w:fldChar w:fldCharType="separate"/>
    </w:r>
    <w:r w:rsidR="004E53A0">
      <w:rPr>
        <w:rFonts w:ascii="Times New Roman" w:eastAsia="Calibri" w:hAnsi="Times New Roman" w:cs="Times New Roman"/>
        <w:noProof/>
        <w:sz w:val="20"/>
        <w:szCs w:val="20"/>
        <w:lang w:val="en-AU"/>
      </w:rPr>
      <w:t>EMNot_211112_groz582</w:t>
    </w:r>
    <w:r w:rsidRPr="002A617A">
      <w:rPr>
        <w:rFonts w:ascii="Times New Roman" w:eastAsia="Calibri" w:hAnsi="Times New Roman" w:cs="Times New Roman"/>
        <w:noProof/>
        <w:sz w:val="20"/>
        <w:szCs w:val="20"/>
        <w:lang w:val="en-AU"/>
      </w:rPr>
      <w:fldChar w:fldCharType="end"/>
    </w:r>
    <w:r w:rsidRPr="00EB0F43">
      <w:rPr>
        <w:rFonts w:ascii="Times New Roman" w:hAnsi="Times New Roman" w:cs="Times New Roman"/>
        <w:sz w:val="20"/>
      </w:rPr>
      <w:t>;</w:t>
    </w:r>
    <w:r w:rsidRPr="005E348C">
      <w:t xml:space="preserve"> </w:t>
    </w:r>
    <w:r w:rsidRPr="005E348C">
      <w:rPr>
        <w:rFonts w:ascii="Times New Roman" w:hAnsi="Times New Roman" w:cs="Times New Roman"/>
        <w:sz w:val="20"/>
      </w:rPr>
      <w:t>Grozījum</w:t>
    </w:r>
    <w:r>
      <w:rPr>
        <w:rFonts w:ascii="Times New Roman" w:hAnsi="Times New Roman" w:cs="Times New Roman"/>
        <w:sz w:val="20"/>
      </w:rPr>
      <w:t>i</w:t>
    </w:r>
    <w:r w:rsidRPr="005E348C">
      <w:rPr>
        <w:rFonts w:ascii="Times New Roman" w:hAnsi="Times New Roman" w:cs="Times New Roman"/>
        <w:sz w:val="20"/>
      </w:rPr>
      <w:t xml:space="preserve"> Ministru kabineta 2009.gada 17.jūnija noteikumos Nr.582 „Noteikumi par darbības programmas „Uzņēmējdarbība un inovācijas” papildinājuma 2.3.1.1.1.apakšaktivitātes „Ārējo tirgu apgūšana – ārējais mārketings” sesto un turpmākajām 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1E" w:rsidRDefault="00E9081E" w:rsidP="00EB0F43">
      <w:pPr>
        <w:spacing w:after="0" w:line="240" w:lineRule="auto"/>
      </w:pPr>
      <w:r>
        <w:separator/>
      </w:r>
    </w:p>
  </w:footnote>
  <w:footnote w:type="continuationSeparator" w:id="0">
    <w:p w:rsidR="00E9081E" w:rsidRDefault="00E9081E" w:rsidP="00EB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C2"/>
    <w:multiLevelType w:val="hybridMultilevel"/>
    <w:tmpl w:val="D1228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2F5B653F"/>
    <w:multiLevelType w:val="hybridMultilevel"/>
    <w:tmpl w:val="D9B0C112"/>
    <w:lvl w:ilvl="0" w:tplc="D7B60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742784"/>
    <w:multiLevelType w:val="hybridMultilevel"/>
    <w:tmpl w:val="2D3CC374"/>
    <w:lvl w:ilvl="0" w:tplc="0F7A238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5">
    <w:nsid w:val="3CAA0548"/>
    <w:multiLevelType w:val="hybridMultilevel"/>
    <w:tmpl w:val="8B5CB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BC4B88"/>
    <w:multiLevelType w:val="hybridMultilevel"/>
    <w:tmpl w:val="F60CD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4E1CA9"/>
    <w:multiLevelType w:val="hybridMultilevel"/>
    <w:tmpl w:val="7964892E"/>
    <w:lvl w:ilvl="0" w:tplc="D84800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E12515E"/>
    <w:multiLevelType w:val="hybridMultilevel"/>
    <w:tmpl w:val="6624F394"/>
    <w:lvl w:ilvl="0" w:tplc="0D8862EA">
      <w:start w:val="1"/>
      <w:numFmt w:val="decimal"/>
      <w:lvlText w:val="%1."/>
      <w:lvlJc w:val="left"/>
      <w:pPr>
        <w:ind w:left="644" w:hanging="360"/>
      </w:pPr>
      <w:rPr>
        <w:rFonts w:cs="Times New Roman"/>
        <w:b/>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9">
    <w:nsid w:val="64B967AA"/>
    <w:multiLevelType w:val="hybridMultilevel"/>
    <w:tmpl w:val="7916D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CA63BF3"/>
    <w:multiLevelType w:val="multilevel"/>
    <w:tmpl w:val="2968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7"/>
  </w:num>
  <w:num w:numId="5">
    <w:abstractNumId w:val="1"/>
  </w:num>
  <w:num w:numId="6">
    <w:abstractNumId w:val="6"/>
  </w:num>
  <w:num w:numId="7">
    <w:abstractNumId w:val="8"/>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F6"/>
    <w:rsid w:val="00016A7A"/>
    <w:rsid w:val="00027118"/>
    <w:rsid w:val="000353F4"/>
    <w:rsid w:val="00055C06"/>
    <w:rsid w:val="00086618"/>
    <w:rsid w:val="000F743D"/>
    <w:rsid w:val="00106FB9"/>
    <w:rsid w:val="001366E6"/>
    <w:rsid w:val="00146C43"/>
    <w:rsid w:val="00151EEF"/>
    <w:rsid w:val="00176DD8"/>
    <w:rsid w:val="00181DB3"/>
    <w:rsid w:val="001B0252"/>
    <w:rsid w:val="001E0ED9"/>
    <w:rsid w:val="001F33ED"/>
    <w:rsid w:val="00211FC1"/>
    <w:rsid w:val="002272F8"/>
    <w:rsid w:val="00235C2D"/>
    <w:rsid w:val="00250020"/>
    <w:rsid w:val="00254565"/>
    <w:rsid w:val="002940F3"/>
    <w:rsid w:val="002A3B58"/>
    <w:rsid w:val="00350B2F"/>
    <w:rsid w:val="003513F6"/>
    <w:rsid w:val="003716ED"/>
    <w:rsid w:val="00380B2B"/>
    <w:rsid w:val="003C3DCD"/>
    <w:rsid w:val="003D214E"/>
    <w:rsid w:val="003D73EF"/>
    <w:rsid w:val="003E4F1B"/>
    <w:rsid w:val="004A184D"/>
    <w:rsid w:val="004A587D"/>
    <w:rsid w:val="004B0B3D"/>
    <w:rsid w:val="004E53A0"/>
    <w:rsid w:val="004F7F32"/>
    <w:rsid w:val="00521A53"/>
    <w:rsid w:val="005A7566"/>
    <w:rsid w:val="005D22C0"/>
    <w:rsid w:val="005E348C"/>
    <w:rsid w:val="00601A17"/>
    <w:rsid w:val="00601E10"/>
    <w:rsid w:val="006259AC"/>
    <w:rsid w:val="00647902"/>
    <w:rsid w:val="00671916"/>
    <w:rsid w:val="006736F7"/>
    <w:rsid w:val="00682D83"/>
    <w:rsid w:val="00683A1D"/>
    <w:rsid w:val="006E2706"/>
    <w:rsid w:val="00715164"/>
    <w:rsid w:val="00767F7A"/>
    <w:rsid w:val="007B1643"/>
    <w:rsid w:val="007D6837"/>
    <w:rsid w:val="007E0C75"/>
    <w:rsid w:val="00863188"/>
    <w:rsid w:val="00875C1C"/>
    <w:rsid w:val="008A7E54"/>
    <w:rsid w:val="008B2859"/>
    <w:rsid w:val="008C5EA3"/>
    <w:rsid w:val="008F10ED"/>
    <w:rsid w:val="009978F6"/>
    <w:rsid w:val="009D2CAE"/>
    <w:rsid w:val="009F470E"/>
    <w:rsid w:val="00A132D5"/>
    <w:rsid w:val="00A25893"/>
    <w:rsid w:val="00A30590"/>
    <w:rsid w:val="00A35DC0"/>
    <w:rsid w:val="00A42286"/>
    <w:rsid w:val="00A63DD2"/>
    <w:rsid w:val="00A73867"/>
    <w:rsid w:val="00AD5EAA"/>
    <w:rsid w:val="00B203B4"/>
    <w:rsid w:val="00B33443"/>
    <w:rsid w:val="00B96674"/>
    <w:rsid w:val="00C04CA2"/>
    <w:rsid w:val="00C04DDE"/>
    <w:rsid w:val="00C13E72"/>
    <w:rsid w:val="00C32C25"/>
    <w:rsid w:val="00C576B4"/>
    <w:rsid w:val="00C61253"/>
    <w:rsid w:val="00C62BF2"/>
    <w:rsid w:val="00C71126"/>
    <w:rsid w:val="00CB3388"/>
    <w:rsid w:val="00CB4481"/>
    <w:rsid w:val="00CD2481"/>
    <w:rsid w:val="00CE1C75"/>
    <w:rsid w:val="00CF7887"/>
    <w:rsid w:val="00D41A32"/>
    <w:rsid w:val="00DE58F3"/>
    <w:rsid w:val="00DE7A5F"/>
    <w:rsid w:val="00DF2C76"/>
    <w:rsid w:val="00DF5F84"/>
    <w:rsid w:val="00E03F07"/>
    <w:rsid w:val="00E07CF8"/>
    <w:rsid w:val="00E64AE3"/>
    <w:rsid w:val="00E9081E"/>
    <w:rsid w:val="00E90BF1"/>
    <w:rsid w:val="00EB0F43"/>
    <w:rsid w:val="00EE2600"/>
    <w:rsid w:val="00EE4624"/>
    <w:rsid w:val="00EF381B"/>
    <w:rsid w:val="00EF6381"/>
    <w:rsid w:val="00F03E09"/>
    <w:rsid w:val="00F11174"/>
    <w:rsid w:val="00F3781F"/>
    <w:rsid w:val="00F872BB"/>
    <w:rsid w:val="00FA6DEA"/>
    <w:rsid w:val="00FC0C90"/>
    <w:rsid w:val="00FC285D"/>
    <w:rsid w:val="00FD1259"/>
    <w:rsid w:val="00FF37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 w:type="character" w:customStyle="1" w:styleId="apple-style-span">
    <w:name w:val="apple-style-span"/>
    <w:basedOn w:val="DefaultParagraphFont"/>
    <w:rsid w:val="003D7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 w:type="character" w:customStyle="1" w:styleId="apple-style-span">
    <w:name w:val="apple-style-span"/>
    <w:basedOn w:val="DefaultParagraphFont"/>
    <w:rsid w:val="003D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9992">
      <w:bodyDiv w:val="1"/>
      <w:marLeft w:val="0"/>
      <w:marRight w:val="0"/>
      <w:marTop w:val="0"/>
      <w:marBottom w:val="0"/>
      <w:divBdr>
        <w:top w:val="none" w:sz="0" w:space="0" w:color="auto"/>
        <w:left w:val="none" w:sz="0" w:space="0" w:color="auto"/>
        <w:bottom w:val="none" w:sz="0" w:space="0" w:color="auto"/>
        <w:right w:val="none" w:sz="0" w:space="0" w:color="auto"/>
      </w:divBdr>
    </w:div>
    <w:div w:id="824324721">
      <w:bodyDiv w:val="1"/>
      <w:marLeft w:val="45"/>
      <w:marRight w:val="45"/>
      <w:marTop w:val="90"/>
      <w:marBottom w:val="90"/>
      <w:divBdr>
        <w:top w:val="none" w:sz="0" w:space="0" w:color="auto"/>
        <w:left w:val="none" w:sz="0" w:space="0" w:color="auto"/>
        <w:bottom w:val="none" w:sz="0" w:space="0" w:color="auto"/>
        <w:right w:val="none" w:sz="0" w:space="0" w:color="auto"/>
      </w:divBdr>
      <w:divsChild>
        <w:div w:id="1750274760">
          <w:marLeft w:val="0"/>
          <w:marRight w:val="0"/>
          <w:marTop w:val="480"/>
          <w:marBottom w:val="240"/>
          <w:divBdr>
            <w:top w:val="none" w:sz="0" w:space="0" w:color="auto"/>
            <w:left w:val="none" w:sz="0" w:space="0" w:color="auto"/>
            <w:bottom w:val="none" w:sz="0" w:space="0" w:color="auto"/>
            <w:right w:val="none" w:sz="0" w:space="0" w:color="auto"/>
          </w:divBdr>
        </w:div>
        <w:div w:id="224149734">
          <w:marLeft w:val="0"/>
          <w:marRight w:val="0"/>
          <w:marTop w:val="0"/>
          <w:marBottom w:val="567"/>
          <w:divBdr>
            <w:top w:val="none" w:sz="0" w:space="0" w:color="auto"/>
            <w:left w:val="none" w:sz="0" w:space="0" w:color="auto"/>
            <w:bottom w:val="none" w:sz="0" w:space="0" w:color="auto"/>
            <w:right w:val="none" w:sz="0" w:space="0" w:color="auto"/>
          </w:divBdr>
        </w:div>
        <w:div w:id="158495437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6529-97AC-4DDD-932A-FF77DD83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1613</Words>
  <Characters>11476</Characters>
  <Application>Microsoft Office Word</Application>
  <DocSecurity>0</DocSecurity>
  <Lines>573</Lines>
  <Paragraphs>189</Paragraphs>
  <ScaleCrop>false</ScaleCrop>
  <HeadingPairs>
    <vt:vector size="2" baseType="variant">
      <vt:variant>
        <vt:lpstr>Title</vt:lpstr>
      </vt:variant>
      <vt:variant>
        <vt:i4>1</vt:i4>
      </vt:variant>
    </vt:vector>
  </HeadingPairs>
  <TitlesOfParts>
    <vt:vector size="1" baseType="lpstr">
      <vt:lpstr>Grozījumi Ministru kabineta 2009.gada 17.jūnija noteikumos Nr.582 „Noteikumi par darbības programmas „Uzņēmējdarbība un inovācijas” papildinājuma 2.3.1.1.1.apakšaktivitātes „Ārējo tirgu apgūšana – ārējais mārketings” sesto un turpmākajām kārtām”</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17.jūnija noteikumos Nr.582 „Noteikumi par darbības programmas „Uzņēmējdarbība un inovācijas” papildinājuma 2.3.1.1.1.apakšaktivitātes „Ārējo tirgu apgūšana – ārējais mārketings” sesto un turpmākajām kārtām”</dc:title>
  <dc:subject>Ministru kabineta noteikumu projekts</dc:subject>
  <dc:creator>Gatis Silovs</dc:creator>
  <dc:description>67013209, Gatis.Silovs@em.gov.lv</dc:description>
  <cp:lastModifiedBy>Mārtiņš Zvejnieks</cp:lastModifiedBy>
  <cp:revision>49</cp:revision>
  <dcterms:created xsi:type="dcterms:W3CDTF">2012-05-14T10:28:00Z</dcterms:created>
  <dcterms:modified xsi:type="dcterms:W3CDTF">2012-11-21T12:48:00Z</dcterms:modified>
</cp:coreProperties>
</file>