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F6" w:rsidRPr="0026610E" w:rsidRDefault="009978F6" w:rsidP="00F56CED">
      <w:pPr>
        <w:tabs>
          <w:tab w:val="left" w:pos="2552"/>
        </w:tabs>
        <w:spacing w:after="0" w:line="240" w:lineRule="auto"/>
        <w:rPr>
          <w:rFonts w:ascii="Times New Roman" w:hAnsi="Times New Roman" w:cs="Times New Roman"/>
          <w:sz w:val="26"/>
          <w:szCs w:val="26"/>
        </w:rPr>
      </w:pPr>
      <w:r w:rsidRPr="0026610E">
        <w:rPr>
          <w:rFonts w:ascii="Times New Roman" w:hAnsi="Times New Roman" w:cs="Times New Roman"/>
          <w:sz w:val="26"/>
          <w:szCs w:val="26"/>
        </w:rPr>
        <w:t>2012.gada ___.______</w:t>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t>Noteikumi Nr.</w:t>
      </w:r>
    </w:p>
    <w:p w:rsidR="009978F6" w:rsidRPr="0026610E" w:rsidRDefault="009978F6" w:rsidP="00F56CED">
      <w:pPr>
        <w:spacing w:after="0" w:line="240" w:lineRule="auto"/>
        <w:rPr>
          <w:rFonts w:ascii="Times New Roman" w:hAnsi="Times New Roman" w:cs="Times New Roman"/>
          <w:sz w:val="26"/>
          <w:szCs w:val="26"/>
        </w:rPr>
      </w:pPr>
      <w:r w:rsidRPr="0026610E">
        <w:rPr>
          <w:rFonts w:ascii="Times New Roman" w:hAnsi="Times New Roman" w:cs="Times New Roman"/>
          <w:sz w:val="26"/>
          <w:szCs w:val="26"/>
        </w:rPr>
        <w:t>Rīgā</w:t>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r>
      <w:r w:rsidRPr="0026610E">
        <w:rPr>
          <w:rFonts w:ascii="Times New Roman" w:hAnsi="Times New Roman" w:cs="Times New Roman"/>
          <w:sz w:val="26"/>
          <w:szCs w:val="26"/>
        </w:rPr>
        <w:tab/>
        <w:t>(prot. Nr. _______  .§)</w:t>
      </w:r>
    </w:p>
    <w:p w:rsidR="009978F6" w:rsidRPr="0026610E" w:rsidRDefault="009978F6" w:rsidP="00F56CED">
      <w:pPr>
        <w:spacing w:after="0" w:line="240" w:lineRule="auto"/>
        <w:rPr>
          <w:rFonts w:ascii="Times New Roman" w:hAnsi="Times New Roman" w:cs="Times New Roman"/>
          <w:sz w:val="26"/>
          <w:szCs w:val="26"/>
        </w:rPr>
      </w:pPr>
    </w:p>
    <w:p w:rsidR="009978F6" w:rsidRPr="0026610E" w:rsidRDefault="00CF7887" w:rsidP="00F56CED">
      <w:pPr>
        <w:spacing w:after="0" w:line="240" w:lineRule="auto"/>
        <w:jc w:val="center"/>
        <w:rPr>
          <w:rFonts w:ascii="Times New Roman" w:eastAsia="Times New Roman" w:hAnsi="Times New Roman" w:cs="Times New Roman"/>
          <w:b/>
          <w:sz w:val="26"/>
          <w:szCs w:val="26"/>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26610E">
        <w:rPr>
          <w:rFonts w:ascii="Times New Roman" w:eastAsia="Times New Roman" w:hAnsi="Times New Roman" w:cs="Times New Roman"/>
          <w:b/>
          <w:sz w:val="26"/>
          <w:szCs w:val="26"/>
          <w:lang w:eastAsia="lv-LV"/>
        </w:rPr>
        <w:t xml:space="preserve">Grozījumi Ministru </w:t>
      </w:r>
      <w:r w:rsidR="00561E66" w:rsidRPr="0026610E">
        <w:rPr>
          <w:rFonts w:ascii="Times New Roman" w:eastAsia="Times New Roman" w:hAnsi="Times New Roman" w:cs="Times New Roman"/>
          <w:b/>
          <w:sz w:val="26"/>
          <w:szCs w:val="26"/>
          <w:lang w:eastAsia="lv-LV"/>
        </w:rPr>
        <w:t>k</w:t>
      </w:r>
      <w:r w:rsidRPr="0026610E">
        <w:rPr>
          <w:rFonts w:ascii="Times New Roman" w:eastAsia="Times New Roman" w:hAnsi="Times New Roman" w:cs="Times New Roman"/>
          <w:b/>
          <w:sz w:val="26"/>
          <w:szCs w:val="26"/>
          <w:lang w:eastAsia="lv-LV"/>
        </w:rPr>
        <w:t>abineta 2010.gada 21.</w:t>
      </w:r>
      <w:r w:rsidR="002940F3" w:rsidRPr="0026610E">
        <w:rPr>
          <w:rFonts w:ascii="Times New Roman" w:eastAsia="Times New Roman" w:hAnsi="Times New Roman" w:cs="Times New Roman"/>
          <w:b/>
          <w:sz w:val="26"/>
          <w:szCs w:val="26"/>
          <w:lang w:eastAsia="lv-LV"/>
        </w:rPr>
        <w:t>s</w:t>
      </w:r>
      <w:r w:rsidRPr="0026610E">
        <w:rPr>
          <w:rFonts w:ascii="Times New Roman" w:eastAsia="Times New Roman" w:hAnsi="Times New Roman" w:cs="Times New Roman"/>
          <w:b/>
          <w:sz w:val="26"/>
          <w:szCs w:val="26"/>
          <w:lang w:eastAsia="lv-LV"/>
        </w:rPr>
        <w:t xml:space="preserve">eptembra  noteikumos </w:t>
      </w:r>
      <w:r w:rsidR="00380B2B" w:rsidRPr="0026610E">
        <w:rPr>
          <w:rFonts w:ascii="Times New Roman" w:eastAsia="Times New Roman" w:hAnsi="Times New Roman" w:cs="Times New Roman"/>
          <w:b/>
          <w:sz w:val="26"/>
          <w:szCs w:val="26"/>
          <w:lang w:eastAsia="lv-LV"/>
        </w:rPr>
        <w:t>Nr.887 „</w:t>
      </w:r>
      <w:r w:rsidR="009978F6" w:rsidRPr="0026610E">
        <w:rPr>
          <w:rFonts w:ascii="Times New Roman" w:eastAsia="Times New Roman" w:hAnsi="Times New Roman" w:cs="Times New Roman"/>
          <w:b/>
          <w:sz w:val="26"/>
          <w:szCs w:val="26"/>
          <w:lang w:eastAsia="lv-LV"/>
        </w:rPr>
        <w:t>Not</w:t>
      </w:r>
      <w:r w:rsidR="00380B2B" w:rsidRPr="0026610E">
        <w:rPr>
          <w:rFonts w:ascii="Times New Roman" w:eastAsia="Times New Roman" w:hAnsi="Times New Roman" w:cs="Times New Roman"/>
          <w:b/>
          <w:sz w:val="26"/>
          <w:szCs w:val="26"/>
          <w:lang w:eastAsia="lv-LV"/>
        </w:rPr>
        <w:t>eikumi par darbības programmas „</w:t>
      </w:r>
      <w:r w:rsidR="009978F6" w:rsidRPr="0026610E">
        <w:rPr>
          <w:rFonts w:ascii="Times New Roman" w:eastAsia="Times New Roman" w:hAnsi="Times New Roman" w:cs="Times New Roman"/>
          <w:b/>
          <w:sz w:val="26"/>
          <w:szCs w:val="26"/>
          <w:lang w:eastAsia="lv-LV"/>
        </w:rPr>
        <w:t>Uzņēmējdarbība un inovācijas</w:t>
      </w:r>
      <w:r w:rsidR="002940F3" w:rsidRPr="0026610E">
        <w:rPr>
          <w:rFonts w:ascii="Times New Roman" w:eastAsia="Times New Roman" w:hAnsi="Times New Roman" w:cs="Times New Roman"/>
          <w:b/>
          <w:sz w:val="26"/>
          <w:szCs w:val="26"/>
          <w:lang w:eastAsia="lv-LV"/>
        </w:rPr>
        <w:t>”</w:t>
      </w:r>
      <w:r w:rsidR="009978F6" w:rsidRPr="0026610E">
        <w:rPr>
          <w:rFonts w:ascii="Times New Roman" w:eastAsia="Times New Roman" w:hAnsi="Times New Roman" w:cs="Times New Roman"/>
          <w:b/>
          <w:sz w:val="26"/>
          <w:szCs w:val="26"/>
          <w:lang w:eastAsia="lv-LV"/>
        </w:rPr>
        <w:t xml:space="preserve"> papildinājuma 2.3.1.1.aktivitātes </w:t>
      </w:r>
      <w:r w:rsidR="00DE7A5F" w:rsidRPr="0026610E">
        <w:rPr>
          <w:rFonts w:ascii="Times New Roman" w:eastAsia="Times New Roman" w:hAnsi="Times New Roman" w:cs="Times New Roman"/>
          <w:b/>
          <w:sz w:val="26"/>
          <w:szCs w:val="26"/>
          <w:lang w:eastAsia="lv-LV"/>
        </w:rPr>
        <w:t>„</w:t>
      </w:r>
      <w:r w:rsidR="009978F6" w:rsidRPr="0026610E">
        <w:rPr>
          <w:rFonts w:ascii="Times New Roman" w:eastAsia="Times New Roman" w:hAnsi="Times New Roman" w:cs="Times New Roman"/>
          <w:b/>
          <w:sz w:val="26"/>
          <w:szCs w:val="26"/>
          <w:lang w:eastAsia="lv-LV"/>
        </w:rPr>
        <w:t>Ārējo tirgu apgūšana</w:t>
      </w:r>
      <w:r w:rsidR="00DE7A5F" w:rsidRPr="0026610E">
        <w:rPr>
          <w:rFonts w:ascii="Times New Roman" w:eastAsia="Times New Roman" w:hAnsi="Times New Roman" w:cs="Times New Roman"/>
          <w:b/>
          <w:sz w:val="26"/>
          <w:szCs w:val="26"/>
          <w:lang w:eastAsia="lv-LV"/>
        </w:rPr>
        <w:t>”</w:t>
      </w:r>
      <w:r w:rsidR="009978F6" w:rsidRPr="0026610E">
        <w:rPr>
          <w:rFonts w:ascii="Times New Roman" w:eastAsia="Times New Roman" w:hAnsi="Times New Roman" w:cs="Times New Roman"/>
          <w:b/>
          <w:sz w:val="26"/>
          <w:szCs w:val="26"/>
          <w:lang w:eastAsia="lv-LV"/>
        </w:rPr>
        <w:t xml:space="preserve"> 2.3.1.1.2.apakšaktivitāti </w:t>
      </w:r>
      <w:r w:rsidR="00DE7A5F" w:rsidRPr="0026610E">
        <w:rPr>
          <w:rFonts w:ascii="Times New Roman" w:eastAsia="Times New Roman" w:hAnsi="Times New Roman" w:cs="Times New Roman"/>
          <w:b/>
          <w:sz w:val="26"/>
          <w:szCs w:val="26"/>
          <w:lang w:eastAsia="lv-LV"/>
        </w:rPr>
        <w:t>„</w:t>
      </w:r>
      <w:r w:rsidR="009978F6" w:rsidRPr="0026610E">
        <w:rPr>
          <w:rFonts w:ascii="Times New Roman" w:eastAsia="Times New Roman" w:hAnsi="Times New Roman" w:cs="Times New Roman"/>
          <w:b/>
          <w:sz w:val="26"/>
          <w:szCs w:val="26"/>
          <w:lang w:eastAsia="lv-LV"/>
        </w:rPr>
        <w:t>Ārējo tirgu apgūšana – nozaru starptautiskās konkurētspējas stiprināšana</w:t>
      </w:r>
      <w:r w:rsidR="00DE7A5F" w:rsidRPr="0026610E">
        <w:rPr>
          <w:rFonts w:ascii="Times New Roman" w:eastAsia="Times New Roman" w:hAnsi="Times New Roman" w:cs="Times New Roman"/>
          <w:b/>
          <w:sz w:val="26"/>
          <w:szCs w:val="26"/>
          <w:lang w:eastAsia="lv-LV"/>
        </w:rPr>
        <w:t>””</w:t>
      </w:r>
      <w:bookmarkEnd w:id="0"/>
      <w:bookmarkEnd w:id="1"/>
    </w:p>
    <w:p w:rsidR="00A73867" w:rsidRPr="0026610E" w:rsidRDefault="00A73867" w:rsidP="00F56CED">
      <w:pPr>
        <w:spacing w:after="0" w:line="240" w:lineRule="auto"/>
        <w:jc w:val="center"/>
        <w:rPr>
          <w:rFonts w:ascii="Times New Roman" w:eastAsia="Times New Roman" w:hAnsi="Times New Roman" w:cs="Times New Roman"/>
          <w:b/>
          <w:sz w:val="26"/>
          <w:szCs w:val="26"/>
          <w:lang w:eastAsia="lv-LV"/>
        </w:rPr>
      </w:pPr>
    </w:p>
    <w:bookmarkEnd w:id="2"/>
    <w:bookmarkEnd w:id="3"/>
    <w:bookmarkEnd w:id="4"/>
    <w:bookmarkEnd w:id="5"/>
    <w:bookmarkEnd w:id="6"/>
    <w:bookmarkEnd w:id="7"/>
    <w:p w:rsidR="009978F6" w:rsidRPr="0026610E" w:rsidRDefault="00561E66" w:rsidP="00F56CED">
      <w:pPr>
        <w:pStyle w:val="naislab"/>
        <w:tabs>
          <w:tab w:val="left" w:pos="3656"/>
          <w:tab w:val="right" w:pos="9071"/>
        </w:tabs>
        <w:spacing w:before="0" w:after="0"/>
        <w:jc w:val="left"/>
        <w:rPr>
          <w:sz w:val="26"/>
          <w:szCs w:val="26"/>
        </w:rPr>
      </w:pPr>
      <w:r w:rsidRPr="0026610E">
        <w:rPr>
          <w:sz w:val="26"/>
          <w:szCs w:val="26"/>
        </w:rPr>
        <w:tab/>
      </w:r>
      <w:r w:rsidRPr="0026610E">
        <w:rPr>
          <w:sz w:val="26"/>
          <w:szCs w:val="26"/>
        </w:rPr>
        <w:tab/>
      </w:r>
      <w:r w:rsidR="009978F6" w:rsidRPr="0026610E">
        <w:rPr>
          <w:sz w:val="26"/>
          <w:szCs w:val="26"/>
        </w:rPr>
        <w:t>Izdoti saskaņā ar</w:t>
      </w:r>
    </w:p>
    <w:p w:rsidR="009978F6" w:rsidRPr="0026610E" w:rsidRDefault="009978F6" w:rsidP="00F56CED">
      <w:pPr>
        <w:pStyle w:val="naislab"/>
        <w:spacing w:before="0" w:after="0"/>
        <w:rPr>
          <w:sz w:val="26"/>
          <w:szCs w:val="26"/>
        </w:rPr>
      </w:pPr>
      <w:r w:rsidRPr="0026610E">
        <w:rPr>
          <w:sz w:val="26"/>
          <w:szCs w:val="26"/>
        </w:rPr>
        <w:t>Eiropas Savienības struktūrfondu un</w:t>
      </w:r>
    </w:p>
    <w:p w:rsidR="009978F6" w:rsidRPr="0026610E" w:rsidRDefault="009978F6" w:rsidP="00F56CED">
      <w:pPr>
        <w:pStyle w:val="naislab"/>
        <w:spacing w:before="0" w:after="0"/>
        <w:rPr>
          <w:sz w:val="26"/>
          <w:szCs w:val="26"/>
        </w:rPr>
      </w:pPr>
      <w:r w:rsidRPr="0026610E">
        <w:rPr>
          <w:sz w:val="26"/>
          <w:szCs w:val="26"/>
        </w:rPr>
        <w:t>Kohēzijas fonda vadības likuma</w:t>
      </w:r>
    </w:p>
    <w:p w:rsidR="009978F6" w:rsidRPr="0026610E" w:rsidRDefault="009978F6" w:rsidP="00F56CED">
      <w:pPr>
        <w:pStyle w:val="naislab"/>
        <w:spacing w:before="0" w:after="0"/>
        <w:rPr>
          <w:sz w:val="26"/>
          <w:szCs w:val="26"/>
        </w:rPr>
      </w:pPr>
      <w:r w:rsidRPr="0026610E">
        <w:rPr>
          <w:sz w:val="26"/>
          <w:szCs w:val="26"/>
        </w:rPr>
        <w:t>18.panta 10.punktu</w:t>
      </w:r>
    </w:p>
    <w:p w:rsidR="009978F6" w:rsidRPr="0026610E" w:rsidRDefault="009978F6" w:rsidP="00F56CED">
      <w:pPr>
        <w:pStyle w:val="naislab"/>
        <w:spacing w:before="0" w:after="0"/>
        <w:jc w:val="left"/>
        <w:rPr>
          <w:sz w:val="26"/>
          <w:szCs w:val="26"/>
        </w:rPr>
      </w:pPr>
    </w:p>
    <w:p w:rsidR="007D6837" w:rsidRPr="00BB6E1A" w:rsidRDefault="009978F6" w:rsidP="00F56CED">
      <w:pPr>
        <w:pStyle w:val="naislab"/>
        <w:spacing w:before="0" w:after="0"/>
        <w:jc w:val="both"/>
        <w:rPr>
          <w:sz w:val="26"/>
          <w:szCs w:val="26"/>
        </w:rPr>
      </w:pPr>
      <w:r w:rsidRPr="0026610E">
        <w:rPr>
          <w:sz w:val="26"/>
          <w:szCs w:val="26"/>
        </w:rPr>
        <w:tab/>
      </w:r>
      <w:r w:rsidRPr="00BB6E1A">
        <w:rPr>
          <w:sz w:val="26"/>
          <w:szCs w:val="26"/>
        </w:rPr>
        <w:t xml:space="preserve">Izdarīt Ministru </w:t>
      </w:r>
      <w:r w:rsidR="00561E66" w:rsidRPr="00BB6E1A">
        <w:rPr>
          <w:sz w:val="26"/>
          <w:szCs w:val="26"/>
        </w:rPr>
        <w:t>k</w:t>
      </w:r>
      <w:r w:rsidRPr="00BB6E1A">
        <w:rPr>
          <w:sz w:val="26"/>
          <w:szCs w:val="26"/>
        </w:rPr>
        <w:t>abineta 2010.gada 21.</w:t>
      </w:r>
      <w:r w:rsidR="002940F3" w:rsidRPr="00BB6E1A">
        <w:rPr>
          <w:sz w:val="26"/>
          <w:szCs w:val="26"/>
        </w:rPr>
        <w:t>s</w:t>
      </w:r>
      <w:r w:rsidRPr="00BB6E1A">
        <w:rPr>
          <w:sz w:val="26"/>
          <w:szCs w:val="26"/>
        </w:rPr>
        <w:t>eptembra noteikumos Nr</w:t>
      </w:r>
      <w:r w:rsidR="002940F3" w:rsidRPr="00BB6E1A">
        <w:rPr>
          <w:sz w:val="26"/>
          <w:szCs w:val="26"/>
        </w:rPr>
        <w:t>.</w:t>
      </w:r>
      <w:r w:rsidRPr="00BB6E1A">
        <w:rPr>
          <w:sz w:val="26"/>
          <w:szCs w:val="26"/>
        </w:rPr>
        <w:t xml:space="preserve">887 </w:t>
      </w:r>
      <w:r w:rsidR="00380B2B" w:rsidRPr="00BB6E1A">
        <w:rPr>
          <w:sz w:val="26"/>
          <w:szCs w:val="26"/>
        </w:rPr>
        <w:t>„Noteikumi par darbības programmas „Uzņēmējdarbība un inovācijas</w:t>
      </w:r>
      <w:r w:rsidR="002940F3" w:rsidRPr="00BB6E1A">
        <w:rPr>
          <w:sz w:val="26"/>
          <w:szCs w:val="26"/>
        </w:rPr>
        <w:t>”</w:t>
      </w:r>
      <w:r w:rsidR="00380B2B" w:rsidRPr="00BB6E1A">
        <w:rPr>
          <w:sz w:val="26"/>
          <w:szCs w:val="26"/>
        </w:rPr>
        <w:t xml:space="preserve"> papildinājuma 2.3.1.1.aktivitātes "Ārējo tirgu apgūšana" 2.3.1.1.2.apakšaktivitāti "Ārējo tirgu apgūšana – nozaru starptautiskās konkurētspējas stiprināšana" (Latvijas Vēstnesis, 2010, 158., 2011, 182.nr) šādus grozījumus:</w:t>
      </w:r>
    </w:p>
    <w:p w:rsidR="009C088E" w:rsidRPr="00BB6E1A" w:rsidRDefault="009C088E" w:rsidP="00F56CED">
      <w:pPr>
        <w:pStyle w:val="naislab"/>
        <w:numPr>
          <w:ilvl w:val="0"/>
          <w:numId w:val="2"/>
        </w:numPr>
        <w:spacing w:before="0" w:after="0"/>
        <w:jc w:val="both"/>
        <w:rPr>
          <w:sz w:val="26"/>
          <w:szCs w:val="26"/>
        </w:rPr>
      </w:pPr>
      <w:r w:rsidRPr="00BB6E1A">
        <w:rPr>
          <w:sz w:val="26"/>
          <w:szCs w:val="26"/>
        </w:rPr>
        <w:t>Izteikt 3.2.apakšpunktu šādā redakcijā:</w:t>
      </w:r>
    </w:p>
    <w:p w:rsidR="009C088E" w:rsidRPr="00BB6E1A" w:rsidRDefault="009C088E" w:rsidP="00F56CED">
      <w:pPr>
        <w:pStyle w:val="naislab"/>
        <w:spacing w:before="0" w:after="0"/>
        <w:jc w:val="both"/>
        <w:rPr>
          <w:sz w:val="26"/>
          <w:szCs w:val="26"/>
        </w:rPr>
      </w:pPr>
      <w:r w:rsidRPr="00BB6E1A">
        <w:rPr>
          <w:sz w:val="26"/>
          <w:szCs w:val="26"/>
        </w:rPr>
        <w:t xml:space="preserve">„3.2. mārketinga aktivitāšu (tai skaitā reklāmas </w:t>
      </w:r>
      <w:r w:rsidR="00B73EFD" w:rsidRPr="00BB6E1A">
        <w:rPr>
          <w:sz w:val="26"/>
          <w:szCs w:val="26"/>
        </w:rPr>
        <w:t>un mārketinga</w:t>
      </w:r>
      <w:r w:rsidR="005C58B0" w:rsidRPr="00BB6E1A">
        <w:rPr>
          <w:sz w:val="26"/>
          <w:szCs w:val="26"/>
        </w:rPr>
        <w:t xml:space="preserve"> </w:t>
      </w:r>
      <w:r w:rsidRPr="00BB6E1A">
        <w:rPr>
          <w:sz w:val="26"/>
          <w:szCs w:val="26"/>
        </w:rPr>
        <w:t>kampaņu, komercsabiedrību, kas reģistrētas ārvalstīs un sniedz tūrisma pakalpojumus, un žurnālistu iepazīšanās vizīšu) organizēšana Latvijā un ārvalstīs un mārketinga pē</w:t>
      </w:r>
      <w:r w:rsidR="008F7009" w:rsidRPr="00BB6E1A">
        <w:rPr>
          <w:sz w:val="26"/>
          <w:szCs w:val="26"/>
        </w:rPr>
        <w:t>tījumu</w:t>
      </w:r>
      <w:r w:rsidR="00B73EFD" w:rsidRPr="00BB6E1A">
        <w:rPr>
          <w:sz w:val="26"/>
          <w:szCs w:val="26"/>
        </w:rPr>
        <w:t>, un citu pasākumu</w:t>
      </w:r>
      <w:r w:rsidR="008F7009" w:rsidRPr="00BB6E1A">
        <w:rPr>
          <w:sz w:val="26"/>
          <w:szCs w:val="26"/>
        </w:rPr>
        <w:t xml:space="preserve"> organizēšana </w:t>
      </w:r>
      <w:r w:rsidR="00B73EFD" w:rsidRPr="00BB6E1A">
        <w:rPr>
          <w:sz w:val="26"/>
          <w:szCs w:val="26"/>
        </w:rPr>
        <w:t>ārvalstu tūristu piesaistei</w:t>
      </w:r>
      <w:r w:rsidR="008F7009" w:rsidRPr="00BB6E1A">
        <w:rPr>
          <w:sz w:val="26"/>
          <w:szCs w:val="26"/>
        </w:rPr>
        <w:t>;”;</w:t>
      </w:r>
    </w:p>
    <w:p w:rsidR="001A5E92" w:rsidRPr="00BB6E1A" w:rsidRDefault="001A5E92" w:rsidP="00F56CED">
      <w:pPr>
        <w:pStyle w:val="naislab"/>
        <w:spacing w:before="0" w:after="0"/>
        <w:jc w:val="both"/>
        <w:rPr>
          <w:sz w:val="26"/>
          <w:szCs w:val="26"/>
        </w:rPr>
      </w:pPr>
    </w:p>
    <w:p w:rsidR="00380B2B" w:rsidRPr="00BB6E1A" w:rsidRDefault="00380B2B" w:rsidP="00F56CED">
      <w:pPr>
        <w:pStyle w:val="naislab"/>
        <w:numPr>
          <w:ilvl w:val="0"/>
          <w:numId w:val="2"/>
        </w:numPr>
        <w:spacing w:before="0" w:after="0"/>
        <w:ind w:left="0" w:firstLine="425"/>
        <w:jc w:val="both"/>
        <w:rPr>
          <w:sz w:val="26"/>
          <w:szCs w:val="26"/>
        </w:rPr>
      </w:pPr>
      <w:r w:rsidRPr="00BB6E1A">
        <w:rPr>
          <w:sz w:val="26"/>
          <w:szCs w:val="26"/>
        </w:rPr>
        <w:t xml:space="preserve">Izteikt </w:t>
      </w:r>
      <w:r w:rsidR="00DF2C76" w:rsidRPr="00BB6E1A">
        <w:rPr>
          <w:sz w:val="26"/>
          <w:szCs w:val="26"/>
        </w:rPr>
        <w:t>10.</w:t>
      </w:r>
      <w:r w:rsidRPr="00BB6E1A">
        <w:rPr>
          <w:sz w:val="26"/>
          <w:szCs w:val="26"/>
        </w:rPr>
        <w:t>punktu šādā redakcijā:</w:t>
      </w:r>
    </w:p>
    <w:p w:rsidR="00626DEE" w:rsidRPr="00BB6E1A" w:rsidRDefault="00A73867" w:rsidP="00F56CED">
      <w:pPr>
        <w:pStyle w:val="naislab"/>
        <w:spacing w:before="0" w:after="0"/>
        <w:jc w:val="both"/>
        <w:rPr>
          <w:sz w:val="26"/>
          <w:szCs w:val="26"/>
        </w:rPr>
      </w:pPr>
      <w:r w:rsidRPr="00BB6E1A">
        <w:rPr>
          <w:sz w:val="26"/>
          <w:szCs w:val="26"/>
        </w:rPr>
        <w:t xml:space="preserve">„10. </w:t>
      </w:r>
      <w:r w:rsidR="00DF2C76" w:rsidRPr="00BB6E1A">
        <w:rPr>
          <w:sz w:val="26"/>
          <w:szCs w:val="26"/>
        </w:rPr>
        <w:t xml:space="preserve">Apakšaktivitātes ietvaros projektus līdzfinansē no Eiropas Reģionālās attīstības fonda un finansējuma saņēmēja līdzekļiem. Eiropas Reģionālās attīstības fonda līdzfinansējums nepārsniedz </w:t>
      </w:r>
      <w:r w:rsidR="001B4AA4" w:rsidRPr="00BB6E1A">
        <w:rPr>
          <w:sz w:val="26"/>
          <w:szCs w:val="26"/>
        </w:rPr>
        <w:t>5</w:t>
      </w:r>
      <w:r w:rsidR="00DF2C76" w:rsidRPr="00BB6E1A">
        <w:rPr>
          <w:sz w:val="26"/>
          <w:szCs w:val="26"/>
        </w:rPr>
        <w:t xml:space="preserve"> </w:t>
      </w:r>
      <w:r w:rsidR="002272F8" w:rsidRPr="00BB6E1A">
        <w:rPr>
          <w:sz w:val="26"/>
          <w:szCs w:val="26"/>
        </w:rPr>
        <w:t>5</w:t>
      </w:r>
      <w:r w:rsidR="00DF2C76" w:rsidRPr="00BB6E1A">
        <w:rPr>
          <w:sz w:val="26"/>
          <w:szCs w:val="26"/>
        </w:rPr>
        <w:t>00 000 latu.</w:t>
      </w:r>
      <w:r w:rsidR="006736F7" w:rsidRPr="00BB6E1A">
        <w:rPr>
          <w:sz w:val="26"/>
          <w:szCs w:val="26"/>
        </w:rPr>
        <w:t>”</w:t>
      </w:r>
      <w:r w:rsidR="008F7009" w:rsidRPr="00BB6E1A">
        <w:rPr>
          <w:sz w:val="26"/>
          <w:szCs w:val="26"/>
        </w:rPr>
        <w:t>;</w:t>
      </w:r>
    </w:p>
    <w:p w:rsidR="001A5E92" w:rsidRPr="00BB6E1A" w:rsidRDefault="001A5E92" w:rsidP="00F56CED">
      <w:pPr>
        <w:pStyle w:val="naislab"/>
        <w:spacing w:before="0" w:after="0"/>
        <w:jc w:val="both"/>
        <w:rPr>
          <w:sz w:val="26"/>
          <w:szCs w:val="26"/>
        </w:rPr>
      </w:pPr>
    </w:p>
    <w:p w:rsidR="00DF2C76" w:rsidRPr="00BB6E1A" w:rsidRDefault="00DF2C76" w:rsidP="00F56CED">
      <w:pPr>
        <w:pStyle w:val="naislab"/>
        <w:numPr>
          <w:ilvl w:val="0"/>
          <w:numId w:val="2"/>
        </w:numPr>
        <w:spacing w:before="0" w:after="0"/>
        <w:ind w:left="0" w:firstLine="425"/>
        <w:jc w:val="both"/>
        <w:rPr>
          <w:sz w:val="26"/>
          <w:szCs w:val="26"/>
        </w:rPr>
      </w:pPr>
      <w:r w:rsidRPr="00BB6E1A">
        <w:rPr>
          <w:sz w:val="26"/>
          <w:szCs w:val="26"/>
        </w:rPr>
        <w:t>Izteikt 11.punktu šādā redakcijā:</w:t>
      </w:r>
    </w:p>
    <w:p w:rsidR="0036383D" w:rsidRPr="00BB6E1A" w:rsidRDefault="00A73867" w:rsidP="00F56CED">
      <w:pPr>
        <w:pStyle w:val="naislab"/>
        <w:spacing w:before="0" w:after="0"/>
        <w:jc w:val="both"/>
        <w:rPr>
          <w:sz w:val="26"/>
          <w:szCs w:val="26"/>
        </w:rPr>
      </w:pPr>
      <w:r w:rsidRPr="00BB6E1A">
        <w:rPr>
          <w:sz w:val="26"/>
          <w:szCs w:val="26"/>
        </w:rPr>
        <w:t>„11.</w:t>
      </w:r>
      <w:r w:rsidR="00AF16AB" w:rsidRPr="00BB6E1A">
        <w:rPr>
          <w:sz w:val="26"/>
          <w:szCs w:val="26"/>
        </w:rPr>
        <w:t xml:space="preserve"> </w:t>
      </w:r>
      <w:r w:rsidR="001B4AA4" w:rsidRPr="00BB6E1A">
        <w:rPr>
          <w:sz w:val="26"/>
          <w:szCs w:val="26"/>
        </w:rPr>
        <w:t>Eiropas Reģionālās attīstības fonda līdzfinansējums valsts aģentūra</w:t>
      </w:r>
      <w:r w:rsidR="00AE1753" w:rsidRPr="00BB6E1A">
        <w:rPr>
          <w:sz w:val="26"/>
          <w:szCs w:val="26"/>
        </w:rPr>
        <w:t>i</w:t>
      </w:r>
      <w:r w:rsidR="001B4AA4" w:rsidRPr="00BB6E1A">
        <w:rPr>
          <w:sz w:val="26"/>
          <w:szCs w:val="26"/>
        </w:rPr>
        <w:t>, kuras mērķis ir sekmēt komercdarbības attīstību, ir 2 500 000 latu. Eiropas Reģionālās attīstības fonda līdzfinansējums valsts aģentūra</w:t>
      </w:r>
      <w:r w:rsidR="00AE1753" w:rsidRPr="00BB6E1A">
        <w:rPr>
          <w:sz w:val="26"/>
          <w:szCs w:val="26"/>
        </w:rPr>
        <w:t>i</w:t>
      </w:r>
      <w:r w:rsidR="001B4AA4" w:rsidRPr="00BB6E1A">
        <w:rPr>
          <w:sz w:val="26"/>
          <w:szCs w:val="26"/>
        </w:rPr>
        <w:t>, kura ir izveidota, lai īstenotu tūrisma attīstības valsts politiku, ir 3 000 000 latu. F</w:t>
      </w:r>
      <w:r w:rsidR="00DF2C76" w:rsidRPr="00BB6E1A">
        <w:rPr>
          <w:sz w:val="26"/>
          <w:szCs w:val="26"/>
        </w:rPr>
        <w:t>inansējuma saņēmējs nodrošina līdzfinansējumu no valsts budžeta ietvaros piešķirtajiem līdzekļiem ne mazāk kā 40 % apmērā</w:t>
      </w:r>
      <w:r w:rsidR="00AE1753" w:rsidRPr="00BB6E1A">
        <w:rPr>
          <w:sz w:val="26"/>
          <w:szCs w:val="26"/>
        </w:rPr>
        <w:t xml:space="preserve"> no projekta kopējām attiecināmajām izmaksām</w:t>
      </w:r>
      <w:r w:rsidR="00DF2C76" w:rsidRPr="00BB6E1A">
        <w:rPr>
          <w:sz w:val="26"/>
          <w:szCs w:val="26"/>
        </w:rPr>
        <w:t>.</w:t>
      </w:r>
      <w:r w:rsidR="007B1643" w:rsidRPr="00BB6E1A">
        <w:rPr>
          <w:sz w:val="26"/>
          <w:szCs w:val="26"/>
        </w:rPr>
        <w:t>”</w:t>
      </w:r>
      <w:r w:rsidR="008F7009" w:rsidRPr="00BB6E1A">
        <w:rPr>
          <w:sz w:val="26"/>
          <w:szCs w:val="26"/>
        </w:rPr>
        <w:t>;</w:t>
      </w:r>
    </w:p>
    <w:p w:rsidR="001A5E92" w:rsidRPr="00BB6E1A" w:rsidRDefault="001A5E92" w:rsidP="00F56CED">
      <w:pPr>
        <w:pStyle w:val="naislab"/>
        <w:spacing w:before="0" w:after="0"/>
        <w:jc w:val="both"/>
        <w:rPr>
          <w:sz w:val="26"/>
          <w:szCs w:val="26"/>
        </w:rPr>
      </w:pPr>
    </w:p>
    <w:p w:rsidR="00061D1E" w:rsidRPr="00BB6E1A" w:rsidRDefault="00061D1E" w:rsidP="00061D1E">
      <w:pPr>
        <w:pStyle w:val="naislab"/>
        <w:numPr>
          <w:ilvl w:val="0"/>
          <w:numId w:val="2"/>
        </w:numPr>
        <w:spacing w:before="0" w:after="0"/>
        <w:ind w:left="0" w:firstLine="425"/>
        <w:jc w:val="both"/>
        <w:rPr>
          <w:sz w:val="26"/>
          <w:szCs w:val="26"/>
        </w:rPr>
      </w:pPr>
      <w:r w:rsidRPr="00BB6E1A">
        <w:rPr>
          <w:sz w:val="26"/>
          <w:szCs w:val="26"/>
        </w:rPr>
        <w:t>Izteikt 15.3.apakšpunktu šādā redakcijā:</w:t>
      </w:r>
    </w:p>
    <w:p w:rsidR="009B4A65" w:rsidRPr="00BB6E1A" w:rsidRDefault="00061D1E" w:rsidP="00061D1E">
      <w:pPr>
        <w:pStyle w:val="naislab"/>
        <w:spacing w:before="0" w:after="0"/>
        <w:jc w:val="both"/>
        <w:rPr>
          <w:sz w:val="26"/>
          <w:szCs w:val="26"/>
        </w:rPr>
      </w:pPr>
      <w:r w:rsidRPr="00BB6E1A">
        <w:rPr>
          <w:sz w:val="26"/>
          <w:szCs w:val="26"/>
        </w:rPr>
        <w:t>„15.3.</w:t>
      </w:r>
      <w:r w:rsidR="009B4A65" w:rsidRPr="00BB6E1A">
        <w:t xml:space="preserve"> </w:t>
      </w:r>
      <w:r w:rsidR="009B4A65" w:rsidRPr="00BB6E1A">
        <w:rPr>
          <w:sz w:val="26"/>
          <w:szCs w:val="26"/>
        </w:rPr>
        <w:t>komersants (kooperatīvā sabiedrība) neatbilst grūtībās nonākuša komersanta statusam, un tam nav konstatētas šādas pazīmes:</w:t>
      </w:r>
    </w:p>
    <w:p w:rsidR="009B4A65" w:rsidRPr="00BB6E1A" w:rsidRDefault="009B4A65" w:rsidP="00061D1E">
      <w:pPr>
        <w:pStyle w:val="naislab"/>
        <w:spacing w:before="0" w:after="0"/>
        <w:jc w:val="both"/>
        <w:rPr>
          <w:sz w:val="26"/>
          <w:szCs w:val="26"/>
        </w:rPr>
      </w:pPr>
    </w:p>
    <w:p w:rsidR="00061D1E" w:rsidRPr="00BB6E1A" w:rsidRDefault="009B4A65" w:rsidP="00061D1E">
      <w:pPr>
        <w:pStyle w:val="naislab"/>
        <w:spacing w:before="0" w:after="0"/>
        <w:jc w:val="both"/>
        <w:rPr>
          <w:sz w:val="26"/>
          <w:szCs w:val="26"/>
        </w:rPr>
      </w:pPr>
      <w:r w:rsidRPr="00BB6E1A">
        <w:rPr>
          <w:sz w:val="26"/>
          <w:szCs w:val="26"/>
        </w:rPr>
        <w:t>15.3.</w:t>
      </w:r>
      <w:r w:rsidR="00061D1E" w:rsidRPr="00BB6E1A">
        <w:rPr>
          <w:sz w:val="26"/>
          <w:szCs w:val="26"/>
        </w:rPr>
        <w:t>1.  tam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9B4A65" w:rsidRPr="00BB6E1A" w:rsidRDefault="009B4A65" w:rsidP="00061D1E">
      <w:pPr>
        <w:pStyle w:val="naislab"/>
        <w:spacing w:before="0" w:after="0"/>
        <w:jc w:val="both"/>
        <w:rPr>
          <w:sz w:val="26"/>
          <w:szCs w:val="26"/>
        </w:rPr>
      </w:pPr>
    </w:p>
    <w:p w:rsidR="0036383D" w:rsidRPr="00BB6E1A" w:rsidRDefault="009B4A65" w:rsidP="00F56CED">
      <w:pPr>
        <w:pStyle w:val="naislab"/>
        <w:spacing w:before="0" w:after="0"/>
        <w:jc w:val="both"/>
        <w:rPr>
          <w:sz w:val="26"/>
          <w:szCs w:val="26"/>
        </w:rPr>
      </w:pPr>
      <w:r w:rsidRPr="00BB6E1A">
        <w:rPr>
          <w:sz w:val="26"/>
          <w:szCs w:val="26"/>
        </w:rPr>
        <w:lastRenderedPageBreak/>
        <w:t xml:space="preserve"> </w:t>
      </w:r>
      <w:r w:rsidR="00A874F4" w:rsidRPr="00BB6E1A">
        <w:rPr>
          <w:sz w:val="26"/>
          <w:szCs w:val="26"/>
        </w:rPr>
        <w:t xml:space="preserve">15.3.2. pieteikuma par atbalsta piešķiršanu iesniegšanas dienā </w:t>
      </w:r>
      <w:r w:rsidR="0036383D" w:rsidRPr="00BB6E1A">
        <w:rPr>
          <w:sz w:val="26"/>
          <w:szCs w:val="26"/>
        </w:rPr>
        <w:t>zaudējumi pārsniedz pusi no pamatkapitāla, un pēdējo 12 mēnešu laikā - ceturtdaļu no pamatkapitāla, un  konstatējams šo noteikumu 15.3.</w:t>
      </w:r>
      <w:r w:rsidRPr="00BB6E1A">
        <w:rPr>
          <w:sz w:val="26"/>
          <w:szCs w:val="26"/>
        </w:rPr>
        <w:t>4.apakšpunktā minētās pazīmes;</w:t>
      </w:r>
    </w:p>
    <w:p w:rsidR="009B4A65" w:rsidRPr="00BB6E1A" w:rsidRDefault="009B4A65" w:rsidP="00F56CED">
      <w:pPr>
        <w:pStyle w:val="naislab"/>
        <w:spacing w:before="0" w:after="0"/>
        <w:jc w:val="both"/>
        <w:rPr>
          <w:sz w:val="26"/>
          <w:szCs w:val="26"/>
        </w:rPr>
      </w:pPr>
    </w:p>
    <w:p w:rsidR="001A5E92" w:rsidRPr="00BB6E1A" w:rsidRDefault="00A874F4" w:rsidP="00F56CED">
      <w:pPr>
        <w:pStyle w:val="naislab"/>
        <w:spacing w:before="0" w:after="0"/>
        <w:jc w:val="both"/>
        <w:rPr>
          <w:sz w:val="26"/>
          <w:szCs w:val="26"/>
        </w:rPr>
      </w:pPr>
      <w:r w:rsidRPr="00BB6E1A">
        <w:rPr>
          <w:sz w:val="26"/>
          <w:szCs w:val="26"/>
        </w:rPr>
        <w:t xml:space="preserve">15.3.3. </w:t>
      </w:r>
      <w:r w:rsidR="009B4A65" w:rsidRPr="00BB6E1A">
        <w:rPr>
          <w:sz w:val="26"/>
          <w:szCs w:val="26"/>
        </w:rPr>
        <w:t>pieteikuma par atbalsta piešķiršanu iesniegšanas dienā saskaņā ar pē</w:t>
      </w:r>
      <w:r w:rsidRPr="00BB6E1A">
        <w:rPr>
          <w:sz w:val="26"/>
          <w:szCs w:val="26"/>
        </w:rPr>
        <w:t xml:space="preserve">dējo divu noslēgto finanšu gadu </w:t>
      </w:r>
      <w:r w:rsidR="009B4A65" w:rsidRPr="00BB6E1A">
        <w:rPr>
          <w:sz w:val="26"/>
          <w:szCs w:val="26"/>
        </w:rPr>
        <w:t>pārskatiem un pēdējo pieejamo operatīvo pārskatu u</w:t>
      </w:r>
      <w:r w:rsidRPr="00BB6E1A">
        <w:rPr>
          <w:sz w:val="26"/>
          <w:szCs w:val="26"/>
        </w:rPr>
        <w:t xml:space="preserve">z iesnieguma iesniegšanas brīdi </w:t>
      </w:r>
      <w:r w:rsidR="009B4A65" w:rsidRPr="00BB6E1A">
        <w:rPr>
          <w:sz w:val="26"/>
          <w:szCs w:val="26"/>
        </w:rPr>
        <w:t>ir novērojamas grūtībās nonākuša komersanta  pazīmes – zaudējumu pieaugums, apgrozījuma samazināšanās, naudas plūsmas samazināšanās, parādu pieaugums, procentu likmju celšanās, gatavās produkcijas krājumu pieaugums, zems likviditātes koeficients, krītoša vai nulles aktīvu vērtība un konstatējams šo noteikumu 15.3.4.apakšpunktā minētās pazīmes;</w:t>
      </w:r>
    </w:p>
    <w:p w:rsidR="009B4A65" w:rsidRPr="00BB6E1A" w:rsidRDefault="009B4A65" w:rsidP="00F56CED">
      <w:pPr>
        <w:pStyle w:val="naislab"/>
        <w:spacing w:before="0" w:after="0"/>
        <w:jc w:val="both"/>
        <w:rPr>
          <w:sz w:val="26"/>
          <w:szCs w:val="26"/>
        </w:rPr>
      </w:pPr>
    </w:p>
    <w:p w:rsidR="00C576B4" w:rsidRPr="00BB6E1A" w:rsidRDefault="00C576B4"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15.3.4. ta</w:t>
      </w:r>
      <w:r w:rsidR="00F3781F" w:rsidRPr="00BB6E1A">
        <w:rPr>
          <w:rFonts w:ascii="Times New Roman" w:eastAsia="Times New Roman" w:hAnsi="Times New Roman" w:cs="Times New Roman"/>
          <w:sz w:val="26"/>
          <w:szCs w:val="26"/>
          <w:lang w:eastAsia="lv-LV"/>
        </w:rPr>
        <w:t>m</w:t>
      </w:r>
      <w:r w:rsidRPr="00BB6E1A">
        <w:rPr>
          <w:rFonts w:ascii="Times New Roman" w:eastAsia="Times New Roman" w:hAnsi="Times New Roman" w:cs="Times New Roman"/>
          <w:sz w:val="26"/>
          <w:szCs w:val="26"/>
          <w:lang w:eastAsia="lv-LV"/>
        </w:rPr>
        <w:t xml:space="preserve"> nav iespēju </w:t>
      </w:r>
      <w:r w:rsidR="00EE480B" w:rsidRPr="00BB6E1A">
        <w:rPr>
          <w:rFonts w:ascii="Times New Roman" w:eastAsia="Times New Roman" w:hAnsi="Times New Roman" w:cs="Times New Roman"/>
          <w:sz w:val="26"/>
          <w:szCs w:val="26"/>
          <w:lang w:eastAsia="lv-LV"/>
        </w:rPr>
        <w:t>no</w:t>
      </w:r>
      <w:r w:rsidRPr="00BB6E1A">
        <w:rPr>
          <w:rFonts w:ascii="Times New Roman" w:eastAsia="Times New Roman" w:hAnsi="Times New Roman" w:cs="Times New Roman"/>
          <w:sz w:val="26"/>
          <w:szCs w:val="26"/>
          <w:lang w:eastAsia="lv-LV"/>
        </w:rPr>
        <w:t xml:space="preserve">segt zaudējumus no saviem līdzekļiem vai ar līdzekļiem, ko tas spēj iegūt no </w:t>
      </w:r>
      <w:r w:rsidR="00EE480B" w:rsidRPr="00BB6E1A">
        <w:rPr>
          <w:rFonts w:ascii="Times New Roman" w:eastAsia="Times New Roman" w:hAnsi="Times New Roman" w:cs="Times New Roman"/>
          <w:sz w:val="26"/>
          <w:szCs w:val="26"/>
          <w:lang w:eastAsia="lv-LV"/>
        </w:rPr>
        <w:t>saviem biedriem, akcionāriem, dalībniekiem</w:t>
      </w:r>
      <w:r w:rsidR="009C088E" w:rsidRPr="00BB6E1A">
        <w:rPr>
          <w:rFonts w:ascii="Times New Roman" w:eastAsia="Times New Roman" w:hAnsi="Times New Roman" w:cs="Times New Roman"/>
          <w:sz w:val="26"/>
          <w:szCs w:val="26"/>
          <w:lang w:eastAsia="lv-LV"/>
        </w:rPr>
        <w:t xml:space="preserve"> </w:t>
      </w:r>
      <w:r w:rsidRPr="00BB6E1A">
        <w:rPr>
          <w:rFonts w:ascii="Times New Roman" w:eastAsia="Times New Roman" w:hAnsi="Times New Roman" w:cs="Times New Roman"/>
          <w:sz w:val="26"/>
          <w:szCs w:val="26"/>
          <w:lang w:eastAsia="lv-LV"/>
        </w:rPr>
        <w:t xml:space="preserve">vai kreditoriem, un tas nespēj apturēt zaudējumus, kuri bez valsts iestāžu ārējās iejaukšanās </w:t>
      </w:r>
      <w:proofErr w:type="spellStart"/>
      <w:r w:rsidRPr="00BB6E1A">
        <w:rPr>
          <w:rFonts w:ascii="Times New Roman" w:eastAsia="Times New Roman" w:hAnsi="Times New Roman" w:cs="Times New Roman"/>
          <w:sz w:val="26"/>
          <w:szCs w:val="26"/>
          <w:lang w:eastAsia="lv-LV"/>
        </w:rPr>
        <w:t>īstermiņā</w:t>
      </w:r>
      <w:proofErr w:type="spellEnd"/>
      <w:r w:rsidRPr="00BB6E1A">
        <w:rPr>
          <w:rFonts w:ascii="Times New Roman" w:eastAsia="Times New Roman" w:hAnsi="Times New Roman" w:cs="Times New Roman"/>
          <w:sz w:val="26"/>
          <w:szCs w:val="26"/>
          <w:lang w:eastAsia="lv-LV"/>
        </w:rPr>
        <w:t xml:space="preserve"> vai vidējā termiņā </w:t>
      </w:r>
      <w:r w:rsidR="00EE480B" w:rsidRPr="00BB6E1A">
        <w:rPr>
          <w:rFonts w:ascii="Times New Roman" w:eastAsia="Times New Roman" w:hAnsi="Times New Roman" w:cs="Times New Roman"/>
          <w:sz w:val="26"/>
          <w:szCs w:val="26"/>
          <w:lang w:eastAsia="lv-LV"/>
        </w:rPr>
        <w:t>novedīs</w:t>
      </w:r>
      <w:r w:rsidRPr="00BB6E1A">
        <w:rPr>
          <w:rFonts w:ascii="Times New Roman" w:eastAsia="Times New Roman" w:hAnsi="Times New Roman" w:cs="Times New Roman"/>
          <w:sz w:val="26"/>
          <w:szCs w:val="26"/>
          <w:lang w:eastAsia="lv-LV"/>
        </w:rPr>
        <w:t xml:space="preserve"> </w:t>
      </w:r>
      <w:r w:rsidR="00061D1E" w:rsidRPr="00BB6E1A">
        <w:rPr>
          <w:rFonts w:ascii="Times New Roman" w:eastAsia="Times New Roman" w:hAnsi="Times New Roman" w:cs="Times New Roman"/>
          <w:sz w:val="26"/>
          <w:szCs w:val="26"/>
          <w:lang w:eastAsia="lv-LV"/>
        </w:rPr>
        <w:t>saimnieciskās darbības veicēju</w:t>
      </w:r>
      <w:r w:rsidR="00EE480B" w:rsidRPr="00BB6E1A">
        <w:rPr>
          <w:rFonts w:ascii="Times New Roman" w:eastAsia="Times New Roman" w:hAnsi="Times New Roman" w:cs="Times New Roman"/>
          <w:sz w:val="26"/>
          <w:szCs w:val="26"/>
          <w:lang w:eastAsia="lv-LV"/>
        </w:rPr>
        <w:t xml:space="preserve"> līdz</w:t>
      </w:r>
      <w:r w:rsidRPr="00BB6E1A">
        <w:rPr>
          <w:rFonts w:ascii="Times New Roman" w:eastAsia="Times New Roman" w:hAnsi="Times New Roman" w:cs="Times New Roman"/>
          <w:sz w:val="26"/>
          <w:szCs w:val="26"/>
          <w:lang w:eastAsia="lv-LV"/>
        </w:rPr>
        <w:t xml:space="preserve"> </w:t>
      </w:r>
      <w:r w:rsidR="00EE480B" w:rsidRPr="00BB6E1A">
        <w:rPr>
          <w:rFonts w:ascii="Times New Roman" w:eastAsia="Times New Roman" w:hAnsi="Times New Roman" w:cs="Times New Roman"/>
          <w:sz w:val="26"/>
          <w:szCs w:val="26"/>
          <w:lang w:eastAsia="lv-LV"/>
        </w:rPr>
        <w:t xml:space="preserve">nespējai </w:t>
      </w:r>
      <w:r w:rsidRPr="00BB6E1A">
        <w:rPr>
          <w:rFonts w:ascii="Times New Roman" w:eastAsia="Times New Roman" w:hAnsi="Times New Roman" w:cs="Times New Roman"/>
          <w:sz w:val="26"/>
          <w:szCs w:val="26"/>
          <w:lang w:eastAsia="lv-LV"/>
        </w:rPr>
        <w:t>turpināt darbību</w:t>
      </w:r>
      <w:r w:rsidR="007B1643" w:rsidRPr="00BB6E1A">
        <w:rPr>
          <w:rFonts w:ascii="Times New Roman" w:eastAsia="Times New Roman" w:hAnsi="Times New Roman" w:cs="Times New Roman"/>
          <w:sz w:val="26"/>
          <w:szCs w:val="26"/>
          <w:lang w:eastAsia="lv-LV"/>
        </w:rPr>
        <w:t>.</w:t>
      </w:r>
      <w:r w:rsidR="006736F7" w:rsidRPr="00BB6E1A">
        <w:rPr>
          <w:rFonts w:ascii="Times New Roman" w:eastAsia="Times New Roman" w:hAnsi="Times New Roman" w:cs="Times New Roman"/>
          <w:sz w:val="26"/>
          <w:szCs w:val="26"/>
          <w:lang w:eastAsia="lv-LV"/>
        </w:rPr>
        <w:t>”</w:t>
      </w:r>
      <w:r w:rsidR="008F7009" w:rsidRPr="00BB6E1A">
        <w:rPr>
          <w:rFonts w:ascii="Times New Roman" w:eastAsia="Times New Roman" w:hAnsi="Times New Roman" w:cs="Times New Roman"/>
          <w:sz w:val="26"/>
          <w:szCs w:val="26"/>
          <w:lang w:eastAsia="lv-LV"/>
        </w:rPr>
        <w:t>;</w:t>
      </w:r>
    </w:p>
    <w:p w:rsidR="001A5E92" w:rsidRPr="00BB6E1A" w:rsidRDefault="001A5E92" w:rsidP="00F56CED">
      <w:pPr>
        <w:spacing w:after="0" w:line="240" w:lineRule="auto"/>
        <w:ind w:firstLine="425"/>
        <w:jc w:val="both"/>
        <w:rPr>
          <w:rFonts w:ascii="Times New Roman" w:eastAsia="Times New Roman" w:hAnsi="Times New Roman" w:cs="Times New Roman"/>
          <w:sz w:val="26"/>
          <w:szCs w:val="26"/>
          <w:lang w:eastAsia="lv-LV"/>
        </w:rPr>
      </w:pPr>
    </w:p>
    <w:p w:rsidR="00CB4481" w:rsidRPr="00BB6E1A" w:rsidRDefault="00CB4481" w:rsidP="00F56CED">
      <w:pPr>
        <w:pStyle w:val="naislab"/>
        <w:numPr>
          <w:ilvl w:val="0"/>
          <w:numId w:val="2"/>
        </w:numPr>
        <w:spacing w:before="0" w:after="0"/>
        <w:ind w:left="0" w:firstLine="425"/>
        <w:jc w:val="both"/>
        <w:rPr>
          <w:sz w:val="26"/>
          <w:szCs w:val="26"/>
        </w:rPr>
      </w:pPr>
      <w:r w:rsidRPr="00BB6E1A">
        <w:rPr>
          <w:sz w:val="26"/>
          <w:szCs w:val="26"/>
        </w:rPr>
        <w:t>Svītrot 15.4</w:t>
      </w:r>
      <w:r w:rsidR="00F274D1" w:rsidRPr="00BB6E1A">
        <w:rPr>
          <w:sz w:val="26"/>
          <w:szCs w:val="26"/>
        </w:rPr>
        <w:t>.</w:t>
      </w:r>
      <w:r w:rsidRPr="00BB6E1A">
        <w:rPr>
          <w:sz w:val="26"/>
          <w:szCs w:val="26"/>
        </w:rPr>
        <w:t>un 15.5</w:t>
      </w:r>
      <w:r w:rsidR="00F274D1" w:rsidRPr="00BB6E1A">
        <w:rPr>
          <w:sz w:val="26"/>
          <w:szCs w:val="26"/>
        </w:rPr>
        <w:t>.apakš</w:t>
      </w:r>
      <w:r w:rsidRPr="00BB6E1A">
        <w:rPr>
          <w:sz w:val="26"/>
          <w:szCs w:val="26"/>
        </w:rPr>
        <w:t>punktu.</w:t>
      </w:r>
    </w:p>
    <w:p w:rsidR="001A5E92" w:rsidRPr="00BB6E1A" w:rsidRDefault="001A5E92" w:rsidP="00F56CED">
      <w:pPr>
        <w:pStyle w:val="naislab"/>
        <w:spacing w:before="0" w:after="0"/>
        <w:jc w:val="both"/>
        <w:rPr>
          <w:sz w:val="26"/>
          <w:szCs w:val="26"/>
        </w:rPr>
      </w:pPr>
    </w:p>
    <w:p w:rsidR="00EE480B" w:rsidRPr="00BB6E1A" w:rsidRDefault="00EE480B" w:rsidP="00F56CED">
      <w:pPr>
        <w:pStyle w:val="naislab"/>
        <w:numPr>
          <w:ilvl w:val="0"/>
          <w:numId w:val="2"/>
        </w:numPr>
        <w:spacing w:before="0" w:after="0"/>
        <w:ind w:left="0" w:firstLine="425"/>
        <w:jc w:val="both"/>
        <w:rPr>
          <w:sz w:val="26"/>
          <w:szCs w:val="26"/>
        </w:rPr>
      </w:pPr>
      <w:r w:rsidRPr="00BB6E1A">
        <w:rPr>
          <w:sz w:val="26"/>
          <w:szCs w:val="26"/>
        </w:rPr>
        <w:t>Papildināt noteikumu 17.punktu ar jaunu  17.6.apakšpunktu:</w:t>
      </w:r>
    </w:p>
    <w:p w:rsidR="00EE480B" w:rsidRPr="00BB6E1A" w:rsidRDefault="00EE480B" w:rsidP="00F56CED">
      <w:pPr>
        <w:pStyle w:val="naislab"/>
        <w:spacing w:before="0" w:after="0"/>
        <w:jc w:val="both"/>
        <w:rPr>
          <w:sz w:val="26"/>
          <w:szCs w:val="26"/>
        </w:rPr>
      </w:pPr>
      <w:r w:rsidRPr="00BB6E1A">
        <w:rPr>
          <w:sz w:val="26"/>
          <w:szCs w:val="26"/>
        </w:rPr>
        <w:t>„17.6. pašvaldība atbalstu var saņemt par projektiem, kas neietver saimnieciskas darbības.”</w:t>
      </w:r>
      <w:r w:rsidR="008F7009" w:rsidRPr="00BB6E1A">
        <w:rPr>
          <w:sz w:val="26"/>
          <w:szCs w:val="26"/>
        </w:rPr>
        <w:t>;</w:t>
      </w:r>
    </w:p>
    <w:p w:rsidR="001A5E92" w:rsidRPr="00BB6E1A" w:rsidRDefault="001A5E92" w:rsidP="00F56CED">
      <w:pPr>
        <w:pStyle w:val="naislab"/>
        <w:spacing w:before="0" w:after="0"/>
        <w:jc w:val="both"/>
        <w:rPr>
          <w:sz w:val="26"/>
          <w:szCs w:val="26"/>
        </w:rPr>
      </w:pPr>
    </w:p>
    <w:p w:rsidR="006E2706" w:rsidRPr="00BB6E1A" w:rsidRDefault="00C576B4" w:rsidP="00F56CED">
      <w:pPr>
        <w:pStyle w:val="ListParagraph"/>
        <w:numPr>
          <w:ilvl w:val="0"/>
          <w:numId w:val="2"/>
        </w:numPr>
        <w:spacing w:after="0" w:line="240" w:lineRule="auto"/>
        <w:ind w:left="0" w:firstLine="425"/>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Izteikt</w:t>
      </w:r>
      <w:r w:rsidR="00A132D5" w:rsidRPr="00BB6E1A">
        <w:rPr>
          <w:rFonts w:ascii="Times New Roman" w:eastAsia="Times New Roman" w:hAnsi="Times New Roman" w:cs="Times New Roman"/>
          <w:sz w:val="26"/>
          <w:szCs w:val="26"/>
          <w:lang w:eastAsia="lv-LV"/>
        </w:rPr>
        <w:t xml:space="preserve"> 18.7.</w:t>
      </w:r>
      <w:r w:rsidRPr="00BB6E1A">
        <w:rPr>
          <w:rFonts w:ascii="Times New Roman" w:eastAsia="Times New Roman" w:hAnsi="Times New Roman" w:cs="Times New Roman"/>
          <w:sz w:val="26"/>
          <w:szCs w:val="26"/>
          <w:lang w:eastAsia="lv-LV"/>
        </w:rPr>
        <w:t>apakšpunktu šādā redakcijā</w:t>
      </w:r>
      <w:r w:rsidR="00A132D5" w:rsidRPr="00BB6E1A">
        <w:rPr>
          <w:rFonts w:ascii="Times New Roman" w:eastAsia="Times New Roman" w:hAnsi="Times New Roman" w:cs="Times New Roman"/>
          <w:sz w:val="26"/>
          <w:szCs w:val="26"/>
          <w:lang w:eastAsia="lv-LV"/>
        </w:rPr>
        <w:t>:</w:t>
      </w:r>
    </w:p>
    <w:p w:rsidR="00133FBB" w:rsidRPr="00BB6E1A" w:rsidRDefault="006736F7"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w:t>
      </w:r>
      <w:r w:rsidR="00133FBB" w:rsidRPr="00BB6E1A">
        <w:rPr>
          <w:rFonts w:ascii="Times New Roman" w:eastAsia="Times New Roman" w:hAnsi="Times New Roman" w:cs="Times New Roman"/>
          <w:sz w:val="26"/>
          <w:szCs w:val="26"/>
          <w:lang w:eastAsia="lv-LV"/>
        </w:rPr>
        <w:t xml:space="preserve">18.7. ja biedrība, nodibinājums vai ostu pārvalde saņem </w:t>
      </w:r>
      <w:proofErr w:type="spellStart"/>
      <w:r w:rsidR="00133FBB" w:rsidRPr="00BB6E1A">
        <w:rPr>
          <w:rFonts w:ascii="Times New Roman" w:eastAsia="Times New Roman" w:hAnsi="Times New Roman" w:cs="Times New Roman"/>
          <w:i/>
          <w:sz w:val="26"/>
          <w:szCs w:val="26"/>
          <w:lang w:eastAsia="lv-LV"/>
        </w:rPr>
        <w:t>de</w:t>
      </w:r>
      <w:proofErr w:type="spellEnd"/>
      <w:r w:rsidR="00133FBB" w:rsidRPr="00BB6E1A">
        <w:rPr>
          <w:rFonts w:ascii="Times New Roman" w:eastAsia="Times New Roman" w:hAnsi="Times New Roman" w:cs="Times New Roman"/>
          <w:i/>
          <w:sz w:val="26"/>
          <w:szCs w:val="26"/>
          <w:lang w:eastAsia="lv-LV"/>
        </w:rPr>
        <w:t xml:space="preserve"> </w:t>
      </w:r>
      <w:proofErr w:type="spellStart"/>
      <w:r w:rsidR="00133FBB" w:rsidRPr="00BB6E1A">
        <w:rPr>
          <w:rFonts w:ascii="Times New Roman" w:eastAsia="Times New Roman" w:hAnsi="Times New Roman" w:cs="Times New Roman"/>
          <w:i/>
          <w:sz w:val="26"/>
          <w:szCs w:val="26"/>
          <w:lang w:eastAsia="lv-LV"/>
        </w:rPr>
        <w:t>minimis</w:t>
      </w:r>
      <w:proofErr w:type="spellEnd"/>
      <w:r w:rsidR="00133FBB" w:rsidRPr="00BB6E1A">
        <w:rPr>
          <w:rFonts w:ascii="Times New Roman" w:eastAsia="Times New Roman" w:hAnsi="Times New Roman" w:cs="Times New Roman"/>
          <w:sz w:val="26"/>
          <w:szCs w:val="26"/>
          <w:lang w:eastAsia="lv-LV"/>
        </w:rPr>
        <w:t xml:space="preserve"> atbalstu, tai nav konstatētas šādas pazīmes: </w:t>
      </w:r>
    </w:p>
    <w:p w:rsidR="00133FBB" w:rsidRPr="00BB6E1A" w:rsidRDefault="00133FBB" w:rsidP="00F56CED">
      <w:pPr>
        <w:spacing w:after="0" w:line="240" w:lineRule="auto"/>
        <w:ind w:firstLine="425"/>
        <w:jc w:val="both"/>
        <w:rPr>
          <w:rFonts w:ascii="Times New Roman" w:eastAsia="Times New Roman" w:hAnsi="Times New Roman" w:cs="Times New Roman"/>
          <w:sz w:val="26"/>
          <w:szCs w:val="26"/>
          <w:lang w:eastAsia="lv-LV"/>
        </w:rPr>
      </w:pPr>
    </w:p>
    <w:p w:rsidR="00133FBB" w:rsidRPr="00BB6E1A" w:rsidRDefault="00133FBB"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18.7.1. ar tiesas spriedumu ir pasludināts maksātnespējas process vai ar tiesas spriedumu tiek īstenots tiesiskās aizsardzības process, vai ar tiesas lēmumu tiek īstenots ārpustiesas tiesiskās aizsardzības process, </w:t>
      </w:r>
      <w:r w:rsidR="009B4A65" w:rsidRPr="00BB6E1A">
        <w:rPr>
          <w:rFonts w:ascii="Times New Roman" w:eastAsia="Times New Roman" w:hAnsi="Times New Roman" w:cs="Times New Roman"/>
          <w:sz w:val="26"/>
          <w:szCs w:val="26"/>
          <w:lang w:eastAsia="lv-LV"/>
        </w:rPr>
        <w:t>tai uzsākta bankrota procedūra, piemērota sanācija vai mierizlīgums</w:t>
      </w:r>
      <w:r w:rsidRPr="00BB6E1A">
        <w:rPr>
          <w:rFonts w:ascii="Times New Roman" w:eastAsia="Times New Roman" w:hAnsi="Times New Roman" w:cs="Times New Roman"/>
          <w:sz w:val="26"/>
          <w:szCs w:val="26"/>
          <w:lang w:eastAsia="lv-LV"/>
        </w:rPr>
        <w:t>, vai tās saimnieciskā darbība ir izbeigta;</w:t>
      </w:r>
    </w:p>
    <w:p w:rsidR="00133FBB" w:rsidRPr="00BB6E1A" w:rsidRDefault="00133FBB" w:rsidP="00F56CED">
      <w:pPr>
        <w:spacing w:after="0" w:line="240" w:lineRule="auto"/>
        <w:ind w:firstLine="425"/>
        <w:jc w:val="both"/>
        <w:rPr>
          <w:rFonts w:ascii="Times New Roman" w:eastAsia="Times New Roman" w:hAnsi="Times New Roman" w:cs="Times New Roman"/>
          <w:sz w:val="26"/>
          <w:szCs w:val="26"/>
          <w:lang w:eastAsia="lv-LV"/>
        </w:rPr>
      </w:pPr>
    </w:p>
    <w:p w:rsidR="00133FBB" w:rsidRPr="00BB6E1A" w:rsidRDefault="00133FBB"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18.7.2. pieteikuma par atbalsta piešķiršanu iesniegšanas dienā zaudējumi pārsniedz pusi no pamatkapitāla un pēdējo 12 mēnešu laikā - ceturtdaļu no pamatkapitāla, un konstatējams šo noteikumu 18.7.4.apakšpunktā minētās pazīmes;</w:t>
      </w:r>
    </w:p>
    <w:p w:rsidR="00133FBB" w:rsidRPr="00BB6E1A" w:rsidRDefault="00133FBB" w:rsidP="00F56CED">
      <w:pPr>
        <w:spacing w:after="0" w:line="240" w:lineRule="auto"/>
        <w:ind w:firstLine="425"/>
        <w:jc w:val="both"/>
        <w:rPr>
          <w:rFonts w:ascii="Times New Roman" w:eastAsia="Times New Roman" w:hAnsi="Times New Roman" w:cs="Times New Roman"/>
          <w:sz w:val="26"/>
          <w:szCs w:val="26"/>
          <w:lang w:eastAsia="lv-LV"/>
        </w:rPr>
      </w:pPr>
    </w:p>
    <w:p w:rsidR="00133FBB" w:rsidRPr="00BB6E1A" w:rsidRDefault="00133FBB"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18.7.3. pieteikuma par atbalsta piešķiršanu iesniegšanas dienā saskaņā ar pēdējo divu noslēgto finanšu gadu finanšu pārskatiem un pēdējo pieejamo operatīvo pārskatu uz iesnieguma iesniegšanas brīdi ir novērojamas grūtībās nonākuša saimnieciskās darbības veicēja pazīmes – zaudējumu pieaugums, apgrozījuma samazināšanās, naudas plūsmas samazināšanās, parādu pieaugums, procentu likmju celšanās, gatavās produkcijas krājumu pieaugums, zems likviditātes koeficients, krītoša vai nulles aktīvu vērtība un konstatējams šo noteikumu 18.7.4.apakšpunktā minētās pazīmes;</w:t>
      </w:r>
    </w:p>
    <w:p w:rsidR="00133FBB" w:rsidRPr="00BB6E1A" w:rsidRDefault="00133FBB" w:rsidP="00F56CED">
      <w:pPr>
        <w:spacing w:after="0" w:line="240" w:lineRule="auto"/>
        <w:ind w:firstLine="425"/>
        <w:jc w:val="both"/>
        <w:rPr>
          <w:rFonts w:ascii="Times New Roman" w:eastAsia="Times New Roman" w:hAnsi="Times New Roman" w:cs="Times New Roman"/>
          <w:sz w:val="26"/>
          <w:szCs w:val="26"/>
          <w:lang w:eastAsia="lv-LV"/>
        </w:rPr>
      </w:pPr>
    </w:p>
    <w:p w:rsidR="00732C07" w:rsidRPr="00BB6E1A" w:rsidRDefault="00133FBB"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18.7.4.  tai nav iespēju segt zaudējumus no saviem līdzekļiem vai ar līdzekļiem, ko tā spēj iegūt no saviem biedriem, akcionāriem, dalībniekiem vai kreditoriem, un tā nespēj </w:t>
      </w:r>
      <w:r w:rsidRPr="00BB6E1A">
        <w:rPr>
          <w:rFonts w:ascii="Times New Roman" w:eastAsia="Times New Roman" w:hAnsi="Times New Roman" w:cs="Times New Roman"/>
          <w:sz w:val="26"/>
          <w:szCs w:val="26"/>
          <w:lang w:eastAsia="lv-LV"/>
        </w:rPr>
        <w:lastRenderedPageBreak/>
        <w:t xml:space="preserve">apturēt zaudējumus, kuri bez valsts iestāžu ārējās iejaukšanās </w:t>
      </w:r>
      <w:proofErr w:type="spellStart"/>
      <w:r w:rsidRPr="00BB6E1A">
        <w:rPr>
          <w:rFonts w:ascii="Times New Roman" w:eastAsia="Times New Roman" w:hAnsi="Times New Roman" w:cs="Times New Roman"/>
          <w:sz w:val="26"/>
          <w:szCs w:val="26"/>
          <w:lang w:eastAsia="lv-LV"/>
        </w:rPr>
        <w:t>īstermiņā</w:t>
      </w:r>
      <w:proofErr w:type="spellEnd"/>
      <w:r w:rsidRPr="00BB6E1A">
        <w:rPr>
          <w:rFonts w:ascii="Times New Roman" w:eastAsia="Times New Roman" w:hAnsi="Times New Roman" w:cs="Times New Roman"/>
          <w:sz w:val="26"/>
          <w:szCs w:val="26"/>
          <w:lang w:eastAsia="lv-LV"/>
        </w:rPr>
        <w:t xml:space="preserve"> vai vidējā termiņā novedīs to līdz</w:t>
      </w:r>
      <w:r w:rsidR="008A4A75" w:rsidRPr="00BB6E1A">
        <w:t xml:space="preserve"> </w:t>
      </w:r>
      <w:r w:rsidR="008A4A75" w:rsidRPr="00BB6E1A">
        <w:rPr>
          <w:rFonts w:ascii="Times New Roman" w:eastAsia="Times New Roman" w:hAnsi="Times New Roman" w:cs="Times New Roman"/>
          <w:sz w:val="26"/>
          <w:szCs w:val="26"/>
          <w:lang w:eastAsia="lv-LV"/>
        </w:rPr>
        <w:t>nespējai turpināt darbību</w:t>
      </w:r>
      <w:r w:rsidR="00EB1023" w:rsidRPr="00BB6E1A">
        <w:rPr>
          <w:rFonts w:ascii="Times New Roman" w:eastAsia="Times New Roman" w:hAnsi="Times New Roman" w:cs="Times New Roman"/>
          <w:sz w:val="26"/>
          <w:szCs w:val="26"/>
          <w:lang w:eastAsia="lv-LV"/>
        </w:rPr>
        <w:t>.</w:t>
      </w:r>
      <w:r w:rsidR="008A4A75" w:rsidRPr="00BB6E1A">
        <w:rPr>
          <w:rFonts w:ascii="Times New Roman" w:eastAsia="Times New Roman" w:hAnsi="Times New Roman" w:cs="Times New Roman"/>
          <w:sz w:val="26"/>
          <w:szCs w:val="26"/>
          <w:lang w:eastAsia="lv-LV"/>
        </w:rPr>
        <w:t>”</w:t>
      </w:r>
      <w:r w:rsidR="008F7009" w:rsidRPr="00BB6E1A">
        <w:rPr>
          <w:rFonts w:ascii="Times New Roman" w:eastAsia="Times New Roman" w:hAnsi="Times New Roman" w:cs="Times New Roman"/>
          <w:sz w:val="26"/>
          <w:szCs w:val="26"/>
          <w:lang w:eastAsia="lv-LV"/>
        </w:rPr>
        <w:t>;</w:t>
      </w:r>
    </w:p>
    <w:p w:rsidR="006E2706" w:rsidRPr="00BB6E1A" w:rsidRDefault="00C576B4"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 </w:t>
      </w:r>
    </w:p>
    <w:p w:rsidR="008A4A75" w:rsidRPr="00BB6E1A" w:rsidRDefault="008A4A75" w:rsidP="00F56CED">
      <w:pPr>
        <w:pStyle w:val="ListParagraph"/>
        <w:numPr>
          <w:ilvl w:val="0"/>
          <w:numId w:val="2"/>
        </w:numPr>
        <w:spacing w:after="0" w:line="240" w:lineRule="auto"/>
        <w:ind w:left="0" w:firstLine="426"/>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Svītrot 18.8. apakšpunktu.</w:t>
      </w:r>
      <w:r w:rsidR="000A1054" w:rsidRPr="00BB6E1A">
        <w:rPr>
          <w:rFonts w:ascii="Times New Roman" w:eastAsia="Times New Roman" w:hAnsi="Times New Roman" w:cs="Times New Roman"/>
          <w:sz w:val="26"/>
          <w:szCs w:val="26"/>
          <w:lang w:eastAsia="lv-LV"/>
        </w:rPr>
        <w:br/>
      </w:r>
    </w:p>
    <w:p w:rsidR="008A4A75" w:rsidRPr="00BB6E1A" w:rsidRDefault="008A4A75" w:rsidP="00F56CED">
      <w:pPr>
        <w:pStyle w:val="ListParagraph"/>
        <w:numPr>
          <w:ilvl w:val="0"/>
          <w:numId w:val="2"/>
        </w:numPr>
        <w:spacing w:after="0" w:line="240" w:lineRule="auto"/>
        <w:ind w:left="0" w:firstLine="425"/>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Izteikt noteikumu 19.punktu š</w:t>
      </w:r>
      <w:r w:rsidR="00624541" w:rsidRPr="00BB6E1A">
        <w:rPr>
          <w:rFonts w:ascii="Times New Roman" w:eastAsia="Times New Roman" w:hAnsi="Times New Roman" w:cs="Times New Roman"/>
          <w:sz w:val="26"/>
          <w:szCs w:val="26"/>
          <w:lang w:eastAsia="lv-LV"/>
        </w:rPr>
        <w:t>ā</w:t>
      </w:r>
      <w:r w:rsidRPr="00BB6E1A">
        <w:rPr>
          <w:rFonts w:ascii="Times New Roman" w:eastAsia="Times New Roman" w:hAnsi="Times New Roman" w:cs="Times New Roman"/>
          <w:sz w:val="26"/>
          <w:szCs w:val="26"/>
          <w:lang w:eastAsia="lv-LV"/>
        </w:rPr>
        <w:t>dā redakcijā:</w:t>
      </w:r>
    </w:p>
    <w:p w:rsidR="008A4A75" w:rsidRPr="00BB6E1A" w:rsidRDefault="008A4A75" w:rsidP="00BB6E1A">
      <w:pPr>
        <w:spacing w:after="0" w:line="240" w:lineRule="auto"/>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„19. Nacionālo stendu organizēšanai starptautiskajās izstādēs ārvalstīs attiecināmas ir šādas izmaksas: </w:t>
      </w:r>
    </w:p>
    <w:p w:rsidR="008A4A75" w:rsidRPr="00BB6E1A" w:rsidRDefault="008A4A75" w:rsidP="00BB6E1A">
      <w:pPr>
        <w:spacing w:after="0" w:line="240" w:lineRule="auto"/>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19.1. izstādes organizatora noteiktās izmaksas (dalības maksa izstādē, ekspozīcijas laukuma, stenda nomas, tehniskā aprīkojuma izmaksas un izmaksas, kas saistītas ar informācijas ievietošanu izstādes katalogā); </w:t>
      </w:r>
    </w:p>
    <w:p w:rsidR="008A4A75" w:rsidRPr="00BB6E1A" w:rsidRDefault="008A4A75" w:rsidP="00BB6E1A">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19.2. stenda dizaina izstrādes, stenda izgatavošanas, nomas,</w:t>
      </w:r>
      <w:r w:rsidRPr="00BB6E1A">
        <w:t xml:space="preserve"> </w:t>
      </w:r>
      <w:r w:rsidRPr="00BB6E1A">
        <w:rPr>
          <w:rFonts w:ascii="Times New Roman" w:eastAsia="Times New Roman" w:hAnsi="Times New Roman" w:cs="Times New Roman"/>
          <w:sz w:val="26"/>
          <w:szCs w:val="26"/>
          <w:lang w:eastAsia="lv-LV"/>
        </w:rPr>
        <w:t xml:space="preserve">uzstādīšanas un </w:t>
      </w:r>
      <w:r w:rsidR="00B73EFD" w:rsidRPr="00BB6E1A">
        <w:rPr>
          <w:rFonts w:ascii="Times New Roman" w:eastAsia="Times New Roman" w:hAnsi="Times New Roman" w:cs="Times New Roman"/>
          <w:sz w:val="26"/>
          <w:szCs w:val="26"/>
          <w:lang w:eastAsia="lv-LV"/>
        </w:rPr>
        <w:t>stenda darbības nodrošināšanas izmaksas izstādes laikā</w:t>
      </w:r>
      <w:r w:rsidRPr="00BB6E1A">
        <w:rPr>
          <w:rFonts w:ascii="Times New Roman" w:eastAsia="Times New Roman" w:hAnsi="Times New Roman" w:cs="Times New Roman"/>
          <w:sz w:val="26"/>
          <w:szCs w:val="26"/>
          <w:lang w:eastAsia="lv-LV"/>
        </w:rPr>
        <w:t>;</w:t>
      </w:r>
    </w:p>
    <w:p w:rsidR="008A4A75" w:rsidRPr="00BB6E1A" w:rsidRDefault="008A4A75" w:rsidP="00BB6E1A">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19.3. stenda, tehniskā aprīkojuma un mārketinga materiālu transportēšanas izmaksas līdz izstādes norises vietai un atpakaļ no tās; </w:t>
      </w:r>
    </w:p>
    <w:p w:rsidR="008A4A75" w:rsidRPr="00BB6E1A" w:rsidRDefault="008A4A75" w:rsidP="00BB6E1A">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19.4. stenda apdrošināšanas izmaksas transportēšanas un ekspozīcijas laikā; </w:t>
      </w:r>
    </w:p>
    <w:p w:rsidR="008A4A75" w:rsidRPr="00BB6E1A" w:rsidRDefault="008A4A75" w:rsidP="00BB6E1A">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19.5. darba semināru</w:t>
      </w:r>
      <w:r w:rsidR="00B73EFD" w:rsidRPr="00BB6E1A">
        <w:rPr>
          <w:rFonts w:ascii="Times New Roman" w:eastAsia="Times New Roman" w:hAnsi="Times New Roman" w:cs="Times New Roman"/>
          <w:sz w:val="26"/>
          <w:szCs w:val="26"/>
          <w:lang w:eastAsia="lv-LV"/>
        </w:rPr>
        <w:t>, prezentāciju, konferenču,</w:t>
      </w:r>
      <w:r w:rsidRPr="00BB6E1A">
        <w:rPr>
          <w:rFonts w:ascii="Times New Roman" w:eastAsia="Times New Roman" w:hAnsi="Times New Roman" w:cs="Times New Roman"/>
          <w:sz w:val="26"/>
          <w:szCs w:val="26"/>
          <w:lang w:eastAsia="lv-LV"/>
        </w:rPr>
        <w:t xml:space="preserve"> preses konferenču</w:t>
      </w:r>
      <w:r w:rsidR="000150E9" w:rsidRPr="00BB6E1A">
        <w:t xml:space="preserve"> </w:t>
      </w:r>
      <w:r w:rsidR="00B73EFD" w:rsidRPr="00BB6E1A">
        <w:rPr>
          <w:rFonts w:ascii="Times New Roman" w:eastAsia="Times New Roman" w:hAnsi="Times New Roman" w:cs="Times New Roman"/>
          <w:sz w:val="26"/>
          <w:szCs w:val="26"/>
          <w:lang w:eastAsia="lv-LV"/>
        </w:rPr>
        <w:t>un citu ar projekta mērķa sasniegšanu saistītu pasākumu</w:t>
      </w:r>
      <w:r w:rsidRPr="00BB6E1A">
        <w:rPr>
          <w:rFonts w:ascii="Times New Roman" w:eastAsia="Times New Roman" w:hAnsi="Times New Roman" w:cs="Times New Roman"/>
          <w:sz w:val="26"/>
          <w:szCs w:val="26"/>
          <w:lang w:eastAsia="lv-LV"/>
        </w:rPr>
        <w:t xml:space="preserve"> organizēšanas izmaksas (tai skaitā telpu nomas, tehniskā aprīkojuma</w:t>
      </w:r>
      <w:r w:rsidR="00247527">
        <w:rPr>
          <w:rFonts w:ascii="Times New Roman" w:eastAsia="Times New Roman" w:hAnsi="Times New Roman" w:cs="Times New Roman"/>
          <w:sz w:val="26"/>
          <w:szCs w:val="26"/>
          <w:lang w:eastAsia="lv-LV"/>
        </w:rPr>
        <w:t xml:space="preserve"> </w:t>
      </w:r>
      <w:r w:rsidR="00B73EFD" w:rsidRPr="00BB6E1A">
        <w:rPr>
          <w:rFonts w:ascii="Times New Roman" w:eastAsia="Times New Roman" w:hAnsi="Times New Roman" w:cs="Times New Roman"/>
          <w:sz w:val="26"/>
          <w:szCs w:val="26"/>
          <w:lang w:eastAsia="lv-LV"/>
        </w:rPr>
        <w:t>izmaksas</w:t>
      </w:r>
      <w:r w:rsidRPr="00BB6E1A">
        <w:rPr>
          <w:rFonts w:ascii="Times New Roman" w:eastAsia="Times New Roman" w:hAnsi="Times New Roman" w:cs="Times New Roman"/>
          <w:sz w:val="26"/>
          <w:szCs w:val="26"/>
          <w:lang w:eastAsia="lv-LV"/>
        </w:rPr>
        <w:t>)</w:t>
      </w:r>
      <w:r w:rsidR="00B73EFD" w:rsidRPr="00BB6E1A">
        <w:rPr>
          <w:rFonts w:ascii="Times New Roman" w:eastAsia="Times New Roman" w:hAnsi="Times New Roman" w:cs="Times New Roman"/>
          <w:sz w:val="26"/>
          <w:szCs w:val="26"/>
          <w:lang w:eastAsia="lv-LV"/>
        </w:rPr>
        <w:t>, ievērojot samērīguma un lietderības principu</w:t>
      </w:r>
      <w:r w:rsidRPr="00BB6E1A">
        <w:rPr>
          <w:rFonts w:ascii="Times New Roman" w:eastAsia="Times New Roman" w:hAnsi="Times New Roman" w:cs="Times New Roman"/>
          <w:sz w:val="26"/>
          <w:szCs w:val="26"/>
          <w:lang w:eastAsia="lv-LV"/>
        </w:rPr>
        <w:t>;</w:t>
      </w:r>
    </w:p>
    <w:p w:rsidR="008A4A75" w:rsidRPr="00BB6E1A" w:rsidRDefault="008A4A75" w:rsidP="00BB6E1A">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19.6. mārketinga materiālu </w:t>
      </w:r>
      <w:r w:rsidR="00B73EFD" w:rsidRPr="00BB6E1A">
        <w:rPr>
          <w:rFonts w:ascii="Times New Roman" w:eastAsia="Times New Roman" w:hAnsi="Times New Roman" w:cs="Times New Roman"/>
          <w:sz w:val="26"/>
          <w:szCs w:val="26"/>
          <w:lang w:eastAsia="lv-LV"/>
        </w:rPr>
        <w:t>iegādes izmaksas (tai skaitā</w:t>
      </w:r>
      <w:r w:rsidR="00CD6A37" w:rsidRPr="00BB6E1A">
        <w:rPr>
          <w:rFonts w:ascii="Times New Roman" w:eastAsia="Times New Roman" w:hAnsi="Times New Roman" w:cs="Times New Roman"/>
          <w:sz w:val="26"/>
          <w:szCs w:val="26"/>
          <w:lang w:eastAsia="lv-LV"/>
        </w:rPr>
        <w:t xml:space="preserve"> </w:t>
      </w:r>
      <w:r w:rsidRPr="00BB6E1A">
        <w:rPr>
          <w:rFonts w:ascii="Times New Roman" w:eastAsia="Times New Roman" w:hAnsi="Times New Roman" w:cs="Times New Roman"/>
          <w:sz w:val="26"/>
          <w:szCs w:val="26"/>
          <w:lang w:eastAsia="lv-LV"/>
        </w:rPr>
        <w:t xml:space="preserve">dizaina izstrādes, satura izstrādes, </w:t>
      </w:r>
      <w:r w:rsidR="00B73EFD" w:rsidRPr="00BB6E1A">
        <w:rPr>
          <w:rFonts w:ascii="Times New Roman" w:eastAsia="Times New Roman" w:hAnsi="Times New Roman" w:cs="Times New Roman"/>
          <w:sz w:val="26"/>
          <w:szCs w:val="26"/>
          <w:lang w:eastAsia="lv-LV"/>
        </w:rPr>
        <w:t>izgatavošanas, tulkošanas</w:t>
      </w:r>
      <w:r w:rsidR="00B8026E" w:rsidRPr="00BB6E1A">
        <w:rPr>
          <w:rFonts w:ascii="Times New Roman" w:eastAsia="Times New Roman" w:hAnsi="Times New Roman" w:cs="Times New Roman"/>
          <w:sz w:val="26"/>
          <w:szCs w:val="26"/>
          <w:lang w:eastAsia="lv-LV"/>
        </w:rPr>
        <w:t>,</w:t>
      </w:r>
      <w:r w:rsidR="00CD6A37" w:rsidRPr="00BB6E1A">
        <w:rPr>
          <w:rFonts w:ascii="Times New Roman" w:eastAsia="Times New Roman" w:hAnsi="Times New Roman" w:cs="Times New Roman"/>
          <w:sz w:val="26"/>
          <w:szCs w:val="26"/>
          <w:lang w:eastAsia="lv-LV"/>
        </w:rPr>
        <w:t xml:space="preserve"> </w:t>
      </w:r>
      <w:r w:rsidR="002670C0" w:rsidRPr="00BB6E1A">
        <w:rPr>
          <w:rFonts w:ascii="Times New Roman" w:eastAsia="Times New Roman" w:hAnsi="Times New Roman" w:cs="Times New Roman"/>
          <w:sz w:val="26"/>
          <w:szCs w:val="26"/>
          <w:lang w:eastAsia="lv-LV"/>
        </w:rPr>
        <w:t xml:space="preserve">uzglabāšanas </w:t>
      </w:r>
      <w:r w:rsidR="00B73EFD" w:rsidRPr="00BB6E1A">
        <w:rPr>
          <w:rFonts w:ascii="Times New Roman" w:eastAsia="Times New Roman" w:hAnsi="Times New Roman" w:cs="Times New Roman"/>
          <w:sz w:val="26"/>
          <w:szCs w:val="26"/>
          <w:lang w:eastAsia="lv-LV"/>
        </w:rPr>
        <w:t>(ārpakalpojuma veidā)</w:t>
      </w:r>
      <w:r w:rsidR="002670C0" w:rsidRPr="00BB6E1A">
        <w:rPr>
          <w:rFonts w:ascii="Times New Roman" w:eastAsia="Times New Roman" w:hAnsi="Times New Roman" w:cs="Times New Roman"/>
          <w:sz w:val="26"/>
          <w:szCs w:val="26"/>
          <w:lang w:eastAsia="lv-LV"/>
        </w:rPr>
        <w:t xml:space="preserve"> un </w:t>
      </w:r>
      <w:r w:rsidRPr="00BB6E1A">
        <w:rPr>
          <w:rFonts w:ascii="Times New Roman" w:eastAsia="Times New Roman" w:hAnsi="Times New Roman" w:cs="Times New Roman"/>
          <w:sz w:val="26"/>
          <w:szCs w:val="26"/>
          <w:lang w:eastAsia="lv-LV"/>
        </w:rPr>
        <w:t>izplatīšanas izmaksas</w:t>
      </w:r>
      <w:r w:rsidR="00B73EFD" w:rsidRPr="00BB6E1A">
        <w:rPr>
          <w:rFonts w:ascii="Times New Roman" w:eastAsia="Times New Roman" w:hAnsi="Times New Roman" w:cs="Times New Roman"/>
          <w:sz w:val="26"/>
          <w:szCs w:val="26"/>
          <w:lang w:eastAsia="lv-LV"/>
        </w:rPr>
        <w:t>)</w:t>
      </w:r>
      <w:r w:rsidR="00B33313" w:rsidRPr="00BB6E1A">
        <w:rPr>
          <w:rFonts w:ascii="Times New Roman" w:eastAsia="Times New Roman" w:hAnsi="Times New Roman" w:cs="Times New Roman"/>
          <w:sz w:val="26"/>
          <w:szCs w:val="26"/>
          <w:lang w:eastAsia="lv-LV"/>
        </w:rPr>
        <w:t>, un mārketinga aktivitātes apmeklētāju piesaistei</w:t>
      </w:r>
      <w:r w:rsidRPr="00BB6E1A">
        <w:rPr>
          <w:rFonts w:ascii="Times New Roman" w:eastAsia="Times New Roman" w:hAnsi="Times New Roman" w:cs="Times New Roman"/>
          <w:sz w:val="26"/>
          <w:szCs w:val="26"/>
          <w:lang w:eastAsia="lv-LV"/>
        </w:rPr>
        <w:t xml:space="preserve">; </w:t>
      </w:r>
    </w:p>
    <w:p w:rsidR="008A4A75" w:rsidRPr="00BB6E1A" w:rsidRDefault="008A4A75" w:rsidP="00BB6E1A">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19.7. publicitātes izmaksas ārvalstu plašsaziņas līdzekļos; </w:t>
      </w:r>
    </w:p>
    <w:p w:rsidR="008A4A75" w:rsidRPr="00BB6E1A" w:rsidRDefault="008A4A75" w:rsidP="00BB6E1A">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19.8. konsultāciju pakalpojumu izmaksas; </w:t>
      </w:r>
    </w:p>
    <w:p w:rsidR="008A4A75" w:rsidRPr="00BB6E1A" w:rsidRDefault="008A4A75" w:rsidP="00BB6E1A">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19.9. reprezentācijas izdevumi izstādēs un ar izstādi saistītājos pasākumos (</w:t>
      </w:r>
      <w:r w:rsidR="00B73EFD" w:rsidRPr="00BB6E1A">
        <w:rPr>
          <w:rFonts w:ascii="Times New Roman" w:eastAsia="Times New Roman" w:hAnsi="Times New Roman" w:cs="Times New Roman"/>
          <w:sz w:val="26"/>
          <w:szCs w:val="26"/>
          <w:lang w:eastAsia="lv-LV"/>
        </w:rPr>
        <w:t>tajā</w:t>
      </w:r>
      <w:r w:rsidRPr="00BB6E1A">
        <w:rPr>
          <w:rFonts w:ascii="Times New Roman" w:eastAsia="Times New Roman" w:hAnsi="Times New Roman" w:cs="Times New Roman"/>
          <w:sz w:val="26"/>
          <w:szCs w:val="26"/>
          <w:lang w:eastAsia="lv-LV"/>
        </w:rPr>
        <w:t xml:space="preserve"> skaitā darba semināros, prezentācijās, </w:t>
      </w:r>
      <w:r w:rsidR="00B73EFD" w:rsidRPr="00BB6E1A">
        <w:rPr>
          <w:rFonts w:ascii="Times New Roman" w:eastAsia="Times New Roman" w:hAnsi="Times New Roman" w:cs="Times New Roman"/>
          <w:sz w:val="26"/>
          <w:szCs w:val="26"/>
          <w:lang w:eastAsia="lv-LV"/>
        </w:rPr>
        <w:t>konferencēs,</w:t>
      </w:r>
      <w:r w:rsidR="008F1D4B" w:rsidRPr="00BB6E1A">
        <w:rPr>
          <w:rFonts w:ascii="Times New Roman" w:eastAsia="Times New Roman" w:hAnsi="Times New Roman" w:cs="Times New Roman"/>
          <w:sz w:val="26"/>
          <w:szCs w:val="26"/>
          <w:lang w:eastAsia="lv-LV"/>
        </w:rPr>
        <w:t xml:space="preserve"> </w:t>
      </w:r>
      <w:r w:rsidRPr="00BB6E1A">
        <w:rPr>
          <w:rFonts w:ascii="Times New Roman" w:eastAsia="Times New Roman" w:hAnsi="Times New Roman" w:cs="Times New Roman"/>
          <w:sz w:val="26"/>
          <w:szCs w:val="26"/>
          <w:lang w:eastAsia="lv-LV"/>
        </w:rPr>
        <w:t>preses konferencēs, darījuma tikšanās), nepārsniedzot</w:t>
      </w:r>
      <w:r w:rsidRPr="00BB6E1A">
        <w:t xml:space="preserve"> </w:t>
      </w:r>
      <w:r w:rsidR="00B33313" w:rsidRPr="00BB6E1A">
        <w:rPr>
          <w:rFonts w:ascii="Times New Roman" w:eastAsia="Times New Roman" w:hAnsi="Times New Roman" w:cs="Times New Roman"/>
          <w:sz w:val="26"/>
          <w:szCs w:val="26"/>
          <w:lang w:eastAsia="lv-LV"/>
        </w:rPr>
        <w:t>vienu</w:t>
      </w:r>
      <w:r w:rsidRPr="00BB6E1A">
        <w:rPr>
          <w:rFonts w:ascii="Times New Roman" w:eastAsia="Times New Roman" w:hAnsi="Times New Roman" w:cs="Times New Roman"/>
          <w:sz w:val="26"/>
          <w:szCs w:val="26"/>
          <w:lang w:eastAsia="lv-LV"/>
        </w:rPr>
        <w:t xml:space="preserve"> procentu no projekta kopējām attiecināmajām izmaksām;</w:t>
      </w:r>
    </w:p>
    <w:p w:rsidR="008A4A75" w:rsidRPr="00BB6E1A" w:rsidRDefault="008A4A75"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19.10. komandējuma izmaksas diviem projekta iesniedzēja pārstāvjiem, tai skaitā transporta, naktsmītnes un dienas naudas izmaksas</w:t>
      </w:r>
      <w:r w:rsidR="00906456" w:rsidRPr="00BB6E1A">
        <w:rPr>
          <w:rFonts w:ascii="Times New Roman" w:eastAsia="Times New Roman" w:hAnsi="Times New Roman" w:cs="Times New Roman"/>
          <w:sz w:val="26"/>
          <w:szCs w:val="26"/>
          <w:lang w:eastAsia="lv-LV"/>
        </w:rPr>
        <w:t>.”</w:t>
      </w:r>
      <w:r w:rsidR="008F7009" w:rsidRPr="00BB6E1A">
        <w:rPr>
          <w:rFonts w:ascii="Times New Roman" w:eastAsia="Times New Roman" w:hAnsi="Times New Roman" w:cs="Times New Roman"/>
          <w:sz w:val="26"/>
          <w:szCs w:val="26"/>
          <w:lang w:eastAsia="lv-LV"/>
        </w:rPr>
        <w:t>;</w:t>
      </w:r>
    </w:p>
    <w:p w:rsidR="008A4A75" w:rsidRPr="00BB6E1A" w:rsidRDefault="008A4A75" w:rsidP="00F56CED">
      <w:pPr>
        <w:pStyle w:val="ListParagraph"/>
        <w:spacing w:after="0" w:line="240" w:lineRule="auto"/>
        <w:ind w:left="425"/>
        <w:jc w:val="both"/>
        <w:rPr>
          <w:rFonts w:ascii="Times New Roman" w:eastAsia="Times New Roman" w:hAnsi="Times New Roman" w:cs="Times New Roman"/>
          <w:sz w:val="26"/>
          <w:szCs w:val="26"/>
          <w:lang w:eastAsia="lv-LV"/>
        </w:rPr>
      </w:pPr>
    </w:p>
    <w:p w:rsidR="008F1D4B" w:rsidRPr="00BB6E1A" w:rsidRDefault="00B73EFD" w:rsidP="00F56CED">
      <w:pPr>
        <w:pStyle w:val="ListParagraph"/>
        <w:numPr>
          <w:ilvl w:val="0"/>
          <w:numId w:val="2"/>
        </w:numPr>
        <w:spacing w:after="0" w:line="240" w:lineRule="auto"/>
        <w:ind w:left="0" w:firstLine="425"/>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Izteikt 20.8.apakšpunktu sekojošā redakcijā:</w:t>
      </w:r>
    </w:p>
    <w:p w:rsidR="00C3175C" w:rsidRPr="00BB6E1A" w:rsidRDefault="00B73EF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„20.8. izstādes (izņemot izstāžu, kurās tiek organizēti nacionālie stendi) organizatora noteiktās izmaksas (dalības maksa izstādē, ekspozīcijas laukuma, stenda nomas, tehniskā aprīkojuma izmaksas un izmaksas, kas saistītas ar informācijas ievietošanu izstādes katalogā);”</w:t>
      </w:r>
    </w:p>
    <w:p w:rsidR="00C3175C" w:rsidRPr="00BB6E1A" w:rsidRDefault="00C3175C">
      <w:pPr>
        <w:spacing w:after="0" w:line="240" w:lineRule="auto"/>
        <w:jc w:val="both"/>
        <w:rPr>
          <w:rFonts w:ascii="Times New Roman" w:eastAsia="Times New Roman" w:hAnsi="Times New Roman" w:cs="Times New Roman"/>
          <w:sz w:val="26"/>
          <w:szCs w:val="26"/>
          <w:lang w:eastAsia="lv-LV"/>
        </w:rPr>
      </w:pPr>
    </w:p>
    <w:p w:rsidR="005409FE" w:rsidRPr="00BB6E1A" w:rsidRDefault="00247527" w:rsidP="00F56CED">
      <w:pPr>
        <w:pStyle w:val="ListParagraph"/>
        <w:numPr>
          <w:ilvl w:val="0"/>
          <w:numId w:val="2"/>
        </w:numPr>
        <w:spacing w:after="0" w:line="240" w:lineRule="auto"/>
        <w:ind w:left="0" w:firstLine="42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Izteikt </w:t>
      </w:r>
      <w:r w:rsidR="005409FE" w:rsidRPr="00BB6E1A">
        <w:rPr>
          <w:rFonts w:ascii="Times New Roman" w:eastAsia="Times New Roman" w:hAnsi="Times New Roman" w:cs="Times New Roman"/>
          <w:sz w:val="26"/>
          <w:szCs w:val="26"/>
          <w:lang w:eastAsia="lv-LV"/>
        </w:rPr>
        <w:t>21</w:t>
      </w:r>
      <w:r>
        <w:rPr>
          <w:rFonts w:ascii="Times New Roman" w:eastAsia="Times New Roman" w:hAnsi="Times New Roman" w:cs="Times New Roman"/>
          <w:sz w:val="26"/>
          <w:szCs w:val="26"/>
          <w:lang w:eastAsia="lv-LV"/>
        </w:rPr>
        <w:t>.</w:t>
      </w:r>
      <w:r w:rsidR="005409FE" w:rsidRPr="00BB6E1A">
        <w:rPr>
          <w:rFonts w:ascii="Times New Roman" w:eastAsia="Times New Roman" w:hAnsi="Times New Roman" w:cs="Times New Roman"/>
          <w:sz w:val="26"/>
          <w:szCs w:val="26"/>
          <w:lang w:eastAsia="lv-LV"/>
        </w:rPr>
        <w:t>punktu šādā redakcijā:</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w:t>
      </w:r>
      <w:r w:rsidRPr="00BB6E1A">
        <w:t xml:space="preserve"> </w:t>
      </w:r>
      <w:r w:rsidRPr="00BB6E1A">
        <w:rPr>
          <w:rFonts w:ascii="Times New Roman" w:eastAsia="Times New Roman" w:hAnsi="Times New Roman" w:cs="Times New Roman"/>
          <w:sz w:val="26"/>
          <w:szCs w:val="26"/>
          <w:lang w:eastAsia="lv-LV"/>
        </w:rPr>
        <w:t xml:space="preserve">21. Reklāmas </w:t>
      </w:r>
      <w:r w:rsidR="00B73EFD" w:rsidRPr="00BB6E1A">
        <w:rPr>
          <w:rFonts w:ascii="Times New Roman" w:eastAsia="Times New Roman" w:hAnsi="Times New Roman" w:cs="Times New Roman"/>
          <w:sz w:val="26"/>
          <w:szCs w:val="26"/>
          <w:lang w:eastAsia="lv-LV"/>
        </w:rPr>
        <w:t>un mārketinga</w:t>
      </w:r>
      <w:r w:rsidR="00F77887" w:rsidRPr="00BB6E1A">
        <w:rPr>
          <w:rFonts w:ascii="Times New Roman" w:eastAsia="Times New Roman" w:hAnsi="Times New Roman" w:cs="Times New Roman"/>
          <w:sz w:val="26"/>
          <w:szCs w:val="26"/>
          <w:lang w:eastAsia="lv-LV"/>
        </w:rPr>
        <w:t xml:space="preserve"> </w:t>
      </w:r>
      <w:r w:rsidRPr="00BB6E1A">
        <w:rPr>
          <w:rFonts w:ascii="Times New Roman" w:eastAsia="Times New Roman" w:hAnsi="Times New Roman" w:cs="Times New Roman"/>
          <w:sz w:val="26"/>
          <w:szCs w:val="26"/>
          <w:lang w:eastAsia="lv-LV"/>
        </w:rPr>
        <w:t>kampaņu</w:t>
      </w:r>
      <w:r w:rsidR="00B73EFD" w:rsidRPr="00BB6E1A">
        <w:rPr>
          <w:rFonts w:ascii="Times New Roman" w:eastAsia="Times New Roman" w:hAnsi="Times New Roman" w:cs="Times New Roman"/>
          <w:sz w:val="26"/>
          <w:szCs w:val="26"/>
          <w:lang w:eastAsia="lv-LV"/>
        </w:rPr>
        <w:t>, citu pasākumu īstenošanai</w:t>
      </w:r>
      <w:r w:rsidRPr="00BB6E1A">
        <w:rPr>
          <w:rFonts w:ascii="Times New Roman" w:eastAsia="Times New Roman" w:hAnsi="Times New Roman" w:cs="Times New Roman"/>
          <w:sz w:val="26"/>
          <w:szCs w:val="26"/>
          <w:lang w:eastAsia="lv-LV"/>
        </w:rPr>
        <w:t xml:space="preserve"> un mārketinga pētījumu orga</w:t>
      </w:r>
      <w:r w:rsidR="00906456" w:rsidRPr="00BB6E1A">
        <w:rPr>
          <w:rFonts w:ascii="Times New Roman" w:eastAsia="Times New Roman" w:hAnsi="Times New Roman" w:cs="Times New Roman"/>
          <w:sz w:val="26"/>
          <w:szCs w:val="26"/>
          <w:lang w:eastAsia="lv-LV"/>
        </w:rPr>
        <w:t>nizēšanai</w:t>
      </w:r>
      <w:r w:rsidR="004A658D" w:rsidRPr="00BB6E1A">
        <w:rPr>
          <w:rFonts w:ascii="Times New Roman" w:eastAsia="Times New Roman" w:hAnsi="Times New Roman" w:cs="Times New Roman"/>
          <w:sz w:val="26"/>
          <w:szCs w:val="26"/>
          <w:lang w:eastAsia="lv-LV"/>
        </w:rPr>
        <w:t xml:space="preserve"> ārvalstu tūristu piesaistei</w:t>
      </w:r>
      <w:r w:rsidRPr="00BB6E1A">
        <w:rPr>
          <w:rFonts w:ascii="Times New Roman" w:eastAsia="Times New Roman" w:hAnsi="Times New Roman" w:cs="Times New Roman"/>
          <w:sz w:val="26"/>
          <w:szCs w:val="26"/>
          <w:lang w:eastAsia="lv-LV"/>
        </w:rPr>
        <w:t xml:space="preserve"> attiecināmas ir šādas izmaksas: </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21.1. reklāmas </w:t>
      </w:r>
      <w:r w:rsidR="00B73EFD" w:rsidRPr="00BB6E1A">
        <w:rPr>
          <w:rFonts w:ascii="Times New Roman" w:eastAsia="Times New Roman" w:hAnsi="Times New Roman" w:cs="Times New Roman"/>
          <w:sz w:val="26"/>
          <w:szCs w:val="26"/>
          <w:lang w:eastAsia="lv-LV"/>
        </w:rPr>
        <w:t>un mārketinga</w:t>
      </w:r>
      <w:r w:rsidR="00F77887" w:rsidRPr="00BB6E1A">
        <w:rPr>
          <w:rFonts w:ascii="Times New Roman" w:eastAsia="Times New Roman" w:hAnsi="Times New Roman" w:cs="Times New Roman"/>
          <w:sz w:val="26"/>
          <w:szCs w:val="26"/>
          <w:lang w:eastAsia="lv-LV"/>
        </w:rPr>
        <w:t xml:space="preserve"> </w:t>
      </w:r>
      <w:r w:rsidRPr="00BB6E1A">
        <w:rPr>
          <w:rFonts w:ascii="Times New Roman" w:eastAsia="Times New Roman" w:hAnsi="Times New Roman" w:cs="Times New Roman"/>
          <w:sz w:val="26"/>
          <w:szCs w:val="26"/>
          <w:lang w:eastAsia="lv-LV"/>
        </w:rPr>
        <w:t xml:space="preserve">kampaņas koncepcijas izstrādes izmaksas; </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21.</w:t>
      </w:r>
      <w:r w:rsidR="00B73EFD" w:rsidRPr="00BB6E1A">
        <w:rPr>
          <w:rFonts w:ascii="Times New Roman" w:eastAsia="Times New Roman" w:hAnsi="Times New Roman" w:cs="Times New Roman"/>
          <w:sz w:val="26"/>
          <w:szCs w:val="26"/>
          <w:lang w:eastAsia="lv-LV"/>
        </w:rPr>
        <w:t>2</w:t>
      </w:r>
      <w:r w:rsidRPr="00BB6E1A">
        <w:rPr>
          <w:rFonts w:ascii="Times New Roman" w:eastAsia="Times New Roman" w:hAnsi="Times New Roman" w:cs="Times New Roman"/>
          <w:sz w:val="26"/>
          <w:szCs w:val="26"/>
          <w:lang w:eastAsia="lv-LV"/>
        </w:rPr>
        <w:t xml:space="preserve">. publicitātes izmaksas ārvalstu plašsaziņas līdzekļos; </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21.</w:t>
      </w:r>
      <w:r w:rsidR="00B73EFD" w:rsidRPr="00BB6E1A">
        <w:rPr>
          <w:rFonts w:ascii="Times New Roman" w:eastAsia="Times New Roman" w:hAnsi="Times New Roman" w:cs="Times New Roman"/>
          <w:sz w:val="26"/>
          <w:szCs w:val="26"/>
          <w:lang w:eastAsia="lv-LV"/>
        </w:rPr>
        <w:t>3</w:t>
      </w:r>
      <w:r w:rsidRPr="00BB6E1A">
        <w:rPr>
          <w:rFonts w:ascii="Times New Roman" w:eastAsia="Times New Roman" w:hAnsi="Times New Roman" w:cs="Times New Roman"/>
          <w:sz w:val="26"/>
          <w:szCs w:val="26"/>
          <w:lang w:eastAsia="lv-LV"/>
        </w:rPr>
        <w:t xml:space="preserve">. tūrisma informācijas, </w:t>
      </w:r>
      <w:r w:rsidR="00B73EFD" w:rsidRPr="00BB6E1A">
        <w:rPr>
          <w:rFonts w:ascii="Times New Roman" w:eastAsia="Times New Roman" w:hAnsi="Times New Roman" w:cs="Times New Roman"/>
          <w:sz w:val="26"/>
          <w:szCs w:val="26"/>
          <w:lang w:eastAsia="lv-LV"/>
        </w:rPr>
        <w:t>reklāmas un</w:t>
      </w:r>
      <w:r w:rsidR="00602480" w:rsidRPr="00BB6E1A">
        <w:rPr>
          <w:rFonts w:ascii="Times New Roman" w:eastAsia="Times New Roman" w:hAnsi="Times New Roman" w:cs="Times New Roman"/>
          <w:sz w:val="26"/>
          <w:szCs w:val="26"/>
          <w:lang w:eastAsia="lv-LV"/>
        </w:rPr>
        <w:t xml:space="preserve"> </w:t>
      </w:r>
      <w:r w:rsidRPr="00BB6E1A">
        <w:rPr>
          <w:rFonts w:ascii="Times New Roman" w:eastAsia="Times New Roman" w:hAnsi="Times New Roman" w:cs="Times New Roman"/>
          <w:sz w:val="26"/>
          <w:szCs w:val="26"/>
          <w:lang w:eastAsia="lv-LV"/>
        </w:rPr>
        <w:t>mārketinga materiālu</w:t>
      </w:r>
      <w:r w:rsidR="00B73EFD" w:rsidRPr="00BB6E1A">
        <w:rPr>
          <w:rFonts w:ascii="Times New Roman" w:eastAsia="Times New Roman" w:hAnsi="Times New Roman" w:cs="Times New Roman"/>
          <w:sz w:val="26"/>
          <w:szCs w:val="26"/>
          <w:lang w:eastAsia="lv-LV"/>
        </w:rPr>
        <w:t>, tajā skaitā videomateriālu</w:t>
      </w:r>
      <w:r w:rsidRPr="00BB6E1A">
        <w:rPr>
          <w:rFonts w:ascii="Times New Roman" w:eastAsia="Times New Roman" w:hAnsi="Times New Roman" w:cs="Times New Roman"/>
          <w:sz w:val="26"/>
          <w:szCs w:val="26"/>
          <w:lang w:eastAsia="lv-LV"/>
        </w:rPr>
        <w:t xml:space="preserve"> un interaktīvo risinājumu</w:t>
      </w:r>
      <w:r w:rsidR="00B73EFD" w:rsidRPr="00BB6E1A">
        <w:rPr>
          <w:rFonts w:ascii="Times New Roman" w:eastAsia="Times New Roman" w:hAnsi="Times New Roman" w:cs="Times New Roman"/>
          <w:sz w:val="26"/>
          <w:szCs w:val="26"/>
          <w:lang w:eastAsia="lv-LV"/>
        </w:rPr>
        <w:t xml:space="preserve">, piemēram, mobilo aplikāciju iegādes izmaksas (tajā skaitā dizaina izstrādes, satura izstrādes, izgatavošanas, tulkošanas, uzglabāšanas (ārpakalpojumu veidā) izmaksas), izplatīšanas un izvietošanas izmaksas </w:t>
      </w:r>
      <w:r w:rsidR="00B73EFD" w:rsidRPr="00BB6E1A">
        <w:rPr>
          <w:rFonts w:ascii="Times New Roman" w:eastAsia="Times New Roman" w:hAnsi="Times New Roman" w:cs="Times New Roman"/>
          <w:sz w:val="26"/>
          <w:szCs w:val="26"/>
          <w:lang w:eastAsia="lv-LV"/>
        </w:rPr>
        <w:lastRenderedPageBreak/>
        <w:t>(tajā skaitā sociālajos tīklos un tūrisma portālos), nodrošinot to aktualizāciju, ciktāl tas nepieciešams projekta mērķa sasniegšanai;</w:t>
      </w:r>
      <w:r w:rsidRPr="00BB6E1A">
        <w:rPr>
          <w:rFonts w:ascii="Times New Roman" w:eastAsia="Times New Roman" w:hAnsi="Times New Roman" w:cs="Times New Roman"/>
          <w:sz w:val="26"/>
          <w:szCs w:val="26"/>
          <w:lang w:eastAsia="lv-LV"/>
        </w:rPr>
        <w:t xml:space="preserve"> </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21.</w:t>
      </w:r>
      <w:r w:rsidR="00B73EFD" w:rsidRPr="00BB6E1A">
        <w:rPr>
          <w:rFonts w:ascii="Times New Roman" w:eastAsia="Times New Roman" w:hAnsi="Times New Roman" w:cs="Times New Roman"/>
          <w:sz w:val="26"/>
          <w:szCs w:val="26"/>
          <w:lang w:eastAsia="lv-LV"/>
        </w:rPr>
        <w:t>4</w:t>
      </w:r>
      <w:r w:rsidRPr="00BB6E1A">
        <w:rPr>
          <w:rFonts w:ascii="Times New Roman" w:eastAsia="Times New Roman" w:hAnsi="Times New Roman" w:cs="Times New Roman"/>
          <w:sz w:val="26"/>
          <w:szCs w:val="26"/>
          <w:lang w:eastAsia="lv-LV"/>
        </w:rPr>
        <w:t>. ārvalstu tūrisma uzņēmumu un žurnālistu iepazīšanās vizīšu organizēšanas izmaksas (</w:t>
      </w:r>
      <w:r w:rsidR="00B73EFD" w:rsidRPr="00BB6E1A">
        <w:rPr>
          <w:rFonts w:ascii="Times New Roman" w:eastAsia="Times New Roman" w:hAnsi="Times New Roman" w:cs="Times New Roman"/>
          <w:sz w:val="26"/>
          <w:szCs w:val="26"/>
          <w:lang w:eastAsia="lv-LV"/>
        </w:rPr>
        <w:t>tajā</w:t>
      </w:r>
      <w:r w:rsidRPr="00BB6E1A">
        <w:rPr>
          <w:rFonts w:ascii="Times New Roman" w:eastAsia="Times New Roman" w:hAnsi="Times New Roman" w:cs="Times New Roman"/>
          <w:sz w:val="26"/>
          <w:szCs w:val="26"/>
          <w:lang w:eastAsia="lv-LV"/>
        </w:rPr>
        <w:t xml:space="preserve"> skaitā transporta, izmitināšanas, ēdināšanas,  tūrisma objektu un pasākumu apmeklējuma  izmaksas)</w:t>
      </w:r>
      <w:r w:rsidR="001A5E92" w:rsidRPr="00BB6E1A">
        <w:rPr>
          <w:rFonts w:ascii="Times New Roman" w:eastAsia="Times New Roman" w:hAnsi="Times New Roman" w:cs="Times New Roman"/>
          <w:sz w:val="26"/>
          <w:szCs w:val="26"/>
          <w:lang w:eastAsia="lv-LV"/>
        </w:rPr>
        <w:t xml:space="preserve"> Latvijā</w:t>
      </w:r>
      <w:r w:rsidRPr="00BB6E1A">
        <w:rPr>
          <w:rFonts w:ascii="Times New Roman" w:eastAsia="Times New Roman" w:hAnsi="Times New Roman" w:cs="Times New Roman"/>
          <w:sz w:val="26"/>
          <w:szCs w:val="26"/>
          <w:lang w:eastAsia="lv-LV"/>
        </w:rPr>
        <w:t xml:space="preserve">; </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21.</w:t>
      </w:r>
      <w:r w:rsidR="00602480" w:rsidRPr="00BB6E1A">
        <w:rPr>
          <w:rFonts w:ascii="Times New Roman" w:eastAsia="Times New Roman" w:hAnsi="Times New Roman" w:cs="Times New Roman"/>
          <w:sz w:val="26"/>
          <w:szCs w:val="26"/>
          <w:lang w:eastAsia="lv-LV"/>
        </w:rPr>
        <w:t>5</w:t>
      </w:r>
      <w:r w:rsidRPr="00BB6E1A">
        <w:rPr>
          <w:rFonts w:ascii="Times New Roman" w:eastAsia="Times New Roman" w:hAnsi="Times New Roman" w:cs="Times New Roman"/>
          <w:sz w:val="26"/>
          <w:szCs w:val="26"/>
          <w:lang w:eastAsia="lv-LV"/>
        </w:rPr>
        <w:t xml:space="preserve">. </w:t>
      </w:r>
      <w:r w:rsidR="00906456" w:rsidRPr="00BB6E1A">
        <w:rPr>
          <w:rFonts w:ascii="Times New Roman" w:eastAsia="Times New Roman" w:hAnsi="Times New Roman" w:cs="Times New Roman"/>
          <w:sz w:val="26"/>
          <w:szCs w:val="26"/>
          <w:lang w:eastAsia="lv-LV"/>
        </w:rPr>
        <w:t xml:space="preserve">ārvalstu specializēto tūrisma veicināšanas pasākumu </w:t>
      </w:r>
      <w:r w:rsidR="008F7009" w:rsidRPr="00BB6E1A">
        <w:rPr>
          <w:rFonts w:ascii="Times New Roman" w:eastAsia="Times New Roman" w:hAnsi="Times New Roman" w:cs="Times New Roman"/>
          <w:sz w:val="26"/>
          <w:szCs w:val="26"/>
          <w:lang w:eastAsia="lv-LV"/>
        </w:rPr>
        <w:t>(</w:t>
      </w:r>
      <w:r w:rsidR="00B73EFD" w:rsidRPr="00BB6E1A">
        <w:rPr>
          <w:rFonts w:ascii="Times New Roman" w:eastAsia="Times New Roman" w:hAnsi="Times New Roman" w:cs="Times New Roman"/>
          <w:sz w:val="26"/>
          <w:szCs w:val="26"/>
          <w:lang w:eastAsia="lv-LV"/>
        </w:rPr>
        <w:t>tajā</w:t>
      </w:r>
      <w:r w:rsidR="008F7009" w:rsidRPr="00BB6E1A">
        <w:rPr>
          <w:rFonts w:ascii="Times New Roman" w:eastAsia="Times New Roman" w:hAnsi="Times New Roman" w:cs="Times New Roman"/>
          <w:sz w:val="26"/>
          <w:szCs w:val="26"/>
          <w:lang w:eastAsia="lv-LV"/>
        </w:rPr>
        <w:t xml:space="preserve"> skaitā darba semināru, izstāžu</w:t>
      </w:r>
      <w:r w:rsidR="00602480" w:rsidRPr="00BB6E1A">
        <w:rPr>
          <w:rFonts w:ascii="Times New Roman" w:eastAsia="Times New Roman" w:hAnsi="Times New Roman" w:cs="Times New Roman"/>
          <w:sz w:val="26"/>
          <w:szCs w:val="26"/>
          <w:lang w:eastAsia="lv-LV"/>
        </w:rPr>
        <w:t xml:space="preserve"> </w:t>
      </w:r>
      <w:r w:rsidR="00B73EFD" w:rsidRPr="00BB6E1A">
        <w:rPr>
          <w:rFonts w:ascii="Times New Roman" w:eastAsia="Times New Roman" w:hAnsi="Times New Roman" w:cs="Times New Roman"/>
          <w:sz w:val="26"/>
          <w:szCs w:val="26"/>
          <w:lang w:eastAsia="lv-LV"/>
        </w:rPr>
        <w:t xml:space="preserve">(izņemot izstāžu, kurās tiek organizēti nacionālie stendi), </w:t>
      </w:r>
      <w:r w:rsidR="008F7009" w:rsidRPr="00BB6E1A">
        <w:rPr>
          <w:rFonts w:ascii="Times New Roman" w:eastAsia="Times New Roman" w:hAnsi="Times New Roman" w:cs="Times New Roman"/>
          <w:sz w:val="26"/>
          <w:szCs w:val="26"/>
          <w:lang w:eastAsia="lv-LV"/>
        </w:rPr>
        <w:t>prezentāciju, konferenču</w:t>
      </w:r>
      <w:r w:rsidR="00B73EFD" w:rsidRPr="00BB6E1A">
        <w:rPr>
          <w:rFonts w:ascii="Times New Roman" w:eastAsia="Times New Roman" w:hAnsi="Times New Roman" w:cs="Times New Roman"/>
          <w:sz w:val="26"/>
          <w:szCs w:val="26"/>
          <w:lang w:eastAsia="lv-LV"/>
        </w:rPr>
        <w:t>,</w:t>
      </w:r>
      <w:r w:rsidR="00B73EFD" w:rsidRPr="00BB6E1A">
        <w:t xml:space="preserve"> </w:t>
      </w:r>
      <w:r w:rsidR="00B73EFD" w:rsidRPr="00BB6E1A">
        <w:rPr>
          <w:rFonts w:ascii="Times New Roman" w:eastAsia="Times New Roman" w:hAnsi="Times New Roman" w:cs="Times New Roman"/>
          <w:sz w:val="26"/>
          <w:szCs w:val="26"/>
          <w:lang w:eastAsia="lv-LV"/>
        </w:rPr>
        <w:t>preses konferenču</w:t>
      </w:r>
      <w:r w:rsidR="008F7009" w:rsidRPr="00BB6E1A">
        <w:rPr>
          <w:rFonts w:ascii="Times New Roman" w:eastAsia="Times New Roman" w:hAnsi="Times New Roman" w:cs="Times New Roman"/>
          <w:sz w:val="26"/>
          <w:szCs w:val="26"/>
          <w:lang w:eastAsia="lv-LV"/>
        </w:rPr>
        <w:t xml:space="preserve">) </w:t>
      </w:r>
      <w:r w:rsidRPr="00BB6E1A">
        <w:rPr>
          <w:rFonts w:ascii="Times New Roman" w:eastAsia="Times New Roman" w:hAnsi="Times New Roman" w:cs="Times New Roman"/>
          <w:sz w:val="26"/>
          <w:szCs w:val="26"/>
          <w:lang w:eastAsia="lv-LV"/>
        </w:rPr>
        <w:t>organizēšanas izmaksas (tai skaitā telpu</w:t>
      </w:r>
      <w:r w:rsidR="008F7009" w:rsidRPr="00BB6E1A">
        <w:rPr>
          <w:rFonts w:ascii="Times New Roman" w:eastAsia="Times New Roman" w:hAnsi="Times New Roman" w:cs="Times New Roman"/>
          <w:sz w:val="26"/>
          <w:szCs w:val="26"/>
          <w:lang w:eastAsia="lv-LV"/>
        </w:rPr>
        <w:t xml:space="preserve"> un ekspozīcijas laukuma</w:t>
      </w:r>
      <w:r w:rsidRPr="00BB6E1A">
        <w:rPr>
          <w:rFonts w:ascii="Times New Roman" w:eastAsia="Times New Roman" w:hAnsi="Times New Roman" w:cs="Times New Roman"/>
          <w:sz w:val="26"/>
          <w:szCs w:val="26"/>
          <w:lang w:eastAsia="lv-LV"/>
        </w:rPr>
        <w:t xml:space="preserve"> nomas,</w:t>
      </w:r>
      <w:r w:rsidR="008F7009" w:rsidRPr="00BB6E1A">
        <w:rPr>
          <w:rFonts w:ascii="Times New Roman" w:eastAsia="Times New Roman" w:hAnsi="Times New Roman" w:cs="Times New Roman"/>
          <w:sz w:val="26"/>
          <w:szCs w:val="26"/>
          <w:lang w:eastAsia="lv-LV"/>
        </w:rPr>
        <w:t xml:space="preserve"> stenda nomas un noformēšanas ,</w:t>
      </w:r>
      <w:r w:rsidRPr="00BB6E1A">
        <w:rPr>
          <w:rFonts w:ascii="Times New Roman" w:eastAsia="Times New Roman" w:hAnsi="Times New Roman" w:cs="Times New Roman"/>
          <w:sz w:val="26"/>
          <w:szCs w:val="26"/>
          <w:lang w:eastAsia="lv-LV"/>
        </w:rPr>
        <w:t xml:space="preserve"> tehniskā aprīkojuma,</w:t>
      </w:r>
      <w:r w:rsidR="008F7009" w:rsidRPr="00BB6E1A">
        <w:rPr>
          <w:rFonts w:ascii="Times New Roman" w:eastAsia="Times New Roman" w:hAnsi="Times New Roman" w:cs="Times New Roman"/>
          <w:sz w:val="26"/>
          <w:szCs w:val="26"/>
          <w:lang w:eastAsia="lv-LV"/>
        </w:rPr>
        <w:t xml:space="preserve"> tūrisma informācijas un mārketinga materiālu transportēšanas, </w:t>
      </w:r>
      <w:r w:rsidRPr="00BB6E1A">
        <w:rPr>
          <w:rFonts w:ascii="Times New Roman" w:eastAsia="Times New Roman" w:hAnsi="Times New Roman" w:cs="Times New Roman"/>
          <w:sz w:val="26"/>
          <w:szCs w:val="26"/>
          <w:lang w:eastAsia="lv-LV"/>
        </w:rPr>
        <w:t xml:space="preserve"> dalībnieku piesaistes, reprezentācijas izmaksas); </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21.</w:t>
      </w:r>
      <w:r w:rsidR="00B73EFD" w:rsidRPr="00BB6E1A">
        <w:rPr>
          <w:rFonts w:ascii="Times New Roman" w:eastAsia="Times New Roman" w:hAnsi="Times New Roman" w:cs="Times New Roman"/>
          <w:sz w:val="26"/>
          <w:szCs w:val="26"/>
          <w:lang w:eastAsia="lv-LV"/>
        </w:rPr>
        <w:t>6</w:t>
      </w:r>
      <w:r w:rsidRPr="00BB6E1A">
        <w:rPr>
          <w:rFonts w:ascii="Times New Roman" w:eastAsia="Times New Roman" w:hAnsi="Times New Roman" w:cs="Times New Roman"/>
          <w:sz w:val="26"/>
          <w:szCs w:val="26"/>
          <w:lang w:eastAsia="lv-LV"/>
        </w:rPr>
        <w:t>. tirgus pētījumu izmaksas un reklāmas kampaņu monitoringa izmaksas;</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21.</w:t>
      </w:r>
      <w:r w:rsidR="00B73EFD" w:rsidRPr="00BB6E1A">
        <w:rPr>
          <w:rFonts w:ascii="Times New Roman" w:eastAsia="Times New Roman" w:hAnsi="Times New Roman" w:cs="Times New Roman"/>
          <w:sz w:val="26"/>
          <w:szCs w:val="26"/>
          <w:lang w:eastAsia="lv-LV"/>
        </w:rPr>
        <w:t>7</w:t>
      </w:r>
      <w:r w:rsidRPr="00BB6E1A">
        <w:rPr>
          <w:rFonts w:ascii="Times New Roman" w:eastAsia="Times New Roman" w:hAnsi="Times New Roman" w:cs="Times New Roman"/>
          <w:sz w:val="26"/>
          <w:szCs w:val="26"/>
          <w:lang w:eastAsia="lv-LV"/>
        </w:rPr>
        <w:t>.  komandējuma izmaksas projekta iesniedzē</w:t>
      </w:r>
      <w:r w:rsidR="008F7009" w:rsidRPr="00BB6E1A">
        <w:rPr>
          <w:rFonts w:ascii="Times New Roman" w:eastAsia="Times New Roman" w:hAnsi="Times New Roman" w:cs="Times New Roman"/>
          <w:sz w:val="26"/>
          <w:szCs w:val="26"/>
          <w:lang w:eastAsia="lv-LV"/>
        </w:rPr>
        <w:t>ja pārstāvjiem uz</w:t>
      </w:r>
      <w:r w:rsidR="00247527">
        <w:rPr>
          <w:rFonts w:ascii="Times New Roman" w:eastAsia="Times New Roman" w:hAnsi="Times New Roman" w:cs="Times New Roman"/>
          <w:sz w:val="26"/>
          <w:szCs w:val="26"/>
          <w:lang w:eastAsia="lv-LV"/>
        </w:rPr>
        <w:t xml:space="preserve"> šo noteikumu</w:t>
      </w:r>
      <w:r w:rsidR="008F7009" w:rsidRPr="00BB6E1A">
        <w:rPr>
          <w:rFonts w:ascii="Times New Roman" w:eastAsia="Times New Roman" w:hAnsi="Times New Roman" w:cs="Times New Roman"/>
          <w:sz w:val="26"/>
          <w:szCs w:val="26"/>
          <w:lang w:eastAsia="lv-LV"/>
        </w:rPr>
        <w:t xml:space="preserve"> 21.</w:t>
      </w:r>
      <w:r w:rsidR="00527082" w:rsidRPr="00BB6E1A">
        <w:rPr>
          <w:rFonts w:ascii="Times New Roman" w:eastAsia="Times New Roman" w:hAnsi="Times New Roman" w:cs="Times New Roman"/>
          <w:sz w:val="26"/>
          <w:szCs w:val="26"/>
          <w:lang w:eastAsia="lv-LV"/>
        </w:rPr>
        <w:t>5</w:t>
      </w:r>
      <w:r w:rsidR="008F7009" w:rsidRPr="00BB6E1A">
        <w:rPr>
          <w:rFonts w:ascii="Times New Roman" w:eastAsia="Times New Roman" w:hAnsi="Times New Roman" w:cs="Times New Roman"/>
          <w:sz w:val="26"/>
          <w:szCs w:val="26"/>
          <w:lang w:eastAsia="lv-LV"/>
        </w:rPr>
        <w:t>.</w:t>
      </w:r>
      <w:r w:rsidRPr="00BB6E1A">
        <w:rPr>
          <w:rFonts w:ascii="Times New Roman" w:eastAsia="Times New Roman" w:hAnsi="Times New Roman" w:cs="Times New Roman"/>
          <w:sz w:val="26"/>
          <w:szCs w:val="26"/>
          <w:lang w:eastAsia="lv-LV"/>
        </w:rPr>
        <w:t xml:space="preserve"> apakšpunkt</w:t>
      </w:r>
      <w:r w:rsidR="008F7009" w:rsidRPr="00BB6E1A">
        <w:rPr>
          <w:rFonts w:ascii="Times New Roman" w:eastAsia="Times New Roman" w:hAnsi="Times New Roman" w:cs="Times New Roman"/>
          <w:sz w:val="26"/>
          <w:szCs w:val="26"/>
          <w:lang w:eastAsia="lv-LV"/>
        </w:rPr>
        <w:t>ā</w:t>
      </w:r>
      <w:r w:rsidRPr="00BB6E1A">
        <w:rPr>
          <w:rFonts w:ascii="Times New Roman" w:eastAsia="Times New Roman" w:hAnsi="Times New Roman" w:cs="Times New Roman"/>
          <w:sz w:val="26"/>
          <w:szCs w:val="26"/>
          <w:lang w:eastAsia="lv-LV"/>
        </w:rPr>
        <w:t xml:space="preserve"> minētājiem pasākumiem, tai skaitā transporta, naktsmītnes un dienas naudas izmaksas.”</w:t>
      </w:r>
      <w:r w:rsidR="008F7009" w:rsidRPr="00BB6E1A">
        <w:rPr>
          <w:rFonts w:ascii="Times New Roman" w:eastAsia="Times New Roman" w:hAnsi="Times New Roman" w:cs="Times New Roman"/>
          <w:sz w:val="26"/>
          <w:szCs w:val="26"/>
          <w:lang w:eastAsia="lv-LV"/>
        </w:rPr>
        <w:t>;</w:t>
      </w: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p>
    <w:p w:rsidR="00626956" w:rsidRPr="00BB6E1A" w:rsidRDefault="00626956" w:rsidP="00F56CED">
      <w:pPr>
        <w:pStyle w:val="ListParagraph"/>
        <w:numPr>
          <w:ilvl w:val="0"/>
          <w:numId w:val="2"/>
        </w:num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Papildināt noteikumus ar </w:t>
      </w:r>
      <w:proofErr w:type="spellStart"/>
      <w:r w:rsidRPr="00BB6E1A">
        <w:rPr>
          <w:rFonts w:ascii="Times New Roman" w:eastAsia="Times New Roman" w:hAnsi="Times New Roman" w:cs="Times New Roman"/>
          <w:sz w:val="26"/>
          <w:szCs w:val="26"/>
          <w:lang w:eastAsia="lv-LV"/>
        </w:rPr>
        <w:t>IX.nodaļu</w:t>
      </w:r>
      <w:proofErr w:type="spellEnd"/>
      <w:r w:rsidRPr="00BB6E1A">
        <w:rPr>
          <w:rFonts w:ascii="Times New Roman" w:eastAsia="Times New Roman" w:hAnsi="Times New Roman" w:cs="Times New Roman"/>
          <w:sz w:val="26"/>
          <w:szCs w:val="26"/>
          <w:lang w:eastAsia="lv-LV"/>
        </w:rPr>
        <w:t xml:space="preserve"> šādā redakcijā:</w:t>
      </w:r>
    </w:p>
    <w:p w:rsidR="001A5E92" w:rsidRPr="00BB6E1A" w:rsidRDefault="001A5E92" w:rsidP="00F56CED">
      <w:pPr>
        <w:pStyle w:val="ListParagraph"/>
        <w:spacing w:after="0" w:line="240" w:lineRule="auto"/>
        <w:ind w:left="928"/>
        <w:jc w:val="center"/>
        <w:rPr>
          <w:rFonts w:ascii="Times New Roman" w:eastAsia="Times New Roman" w:hAnsi="Times New Roman" w:cs="Times New Roman"/>
          <w:sz w:val="26"/>
          <w:szCs w:val="26"/>
          <w:lang w:eastAsia="lv-LV"/>
        </w:rPr>
      </w:pPr>
    </w:p>
    <w:p w:rsidR="00626956" w:rsidRPr="00BB6E1A" w:rsidRDefault="00626956" w:rsidP="00F56CED">
      <w:pPr>
        <w:pStyle w:val="ListParagraph"/>
        <w:spacing w:after="0" w:line="240" w:lineRule="auto"/>
        <w:ind w:left="928"/>
        <w:jc w:val="center"/>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IX. Noslēguma jautājums</w:t>
      </w:r>
    </w:p>
    <w:p w:rsidR="001A5E92" w:rsidRPr="00BB6E1A" w:rsidRDefault="001A5E92" w:rsidP="00F56CED">
      <w:pPr>
        <w:pStyle w:val="ListParagraph"/>
        <w:spacing w:after="0" w:line="240" w:lineRule="auto"/>
        <w:ind w:left="928"/>
        <w:jc w:val="center"/>
        <w:rPr>
          <w:rFonts w:ascii="Times New Roman" w:eastAsia="Times New Roman" w:hAnsi="Times New Roman" w:cs="Times New Roman"/>
          <w:sz w:val="26"/>
          <w:szCs w:val="26"/>
          <w:lang w:eastAsia="lv-LV"/>
        </w:rPr>
      </w:pPr>
    </w:p>
    <w:p w:rsidR="00626956" w:rsidRPr="00BB6E1A" w:rsidRDefault="00626956" w:rsidP="00F56CED">
      <w:pPr>
        <w:spacing w:after="0" w:line="240" w:lineRule="auto"/>
        <w:jc w:val="both"/>
        <w:rPr>
          <w:rFonts w:ascii="Times New Roman" w:eastAsia="Times New Roman" w:hAnsi="Times New Roman" w:cs="Times New Roman"/>
          <w:sz w:val="26"/>
          <w:szCs w:val="26"/>
          <w:lang w:eastAsia="lv-LV"/>
        </w:rPr>
      </w:pPr>
      <w:r w:rsidRPr="00BB6E1A">
        <w:rPr>
          <w:rFonts w:ascii="Times New Roman" w:eastAsia="Times New Roman" w:hAnsi="Times New Roman" w:cs="Times New Roman"/>
          <w:sz w:val="26"/>
          <w:szCs w:val="26"/>
          <w:lang w:eastAsia="lv-LV"/>
        </w:rPr>
        <w:t xml:space="preserve">„58.  Izmaksas, </w:t>
      </w:r>
      <w:r w:rsidR="004C0E76" w:rsidRPr="00BB6E1A">
        <w:rPr>
          <w:rFonts w:ascii="Times New Roman" w:eastAsia="Times New Roman" w:hAnsi="Times New Roman" w:cs="Times New Roman"/>
          <w:sz w:val="26"/>
          <w:szCs w:val="26"/>
          <w:lang w:eastAsia="lv-LV"/>
        </w:rPr>
        <w:t xml:space="preserve">kas radušās atbilstoši šo noteikumu </w:t>
      </w:r>
      <w:r w:rsidR="00D66F2B" w:rsidRPr="00BB6E1A">
        <w:rPr>
          <w:rFonts w:ascii="Times New Roman" w:eastAsia="Times New Roman" w:hAnsi="Times New Roman" w:cs="Times New Roman"/>
          <w:sz w:val="26"/>
          <w:szCs w:val="26"/>
          <w:lang w:eastAsia="lv-LV"/>
        </w:rPr>
        <w:t xml:space="preserve">19.6. un </w:t>
      </w:r>
      <w:r w:rsidR="004C0E76" w:rsidRPr="00BB6E1A">
        <w:rPr>
          <w:rFonts w:ascii="Times New Roman" w:eastAsia="Times New Roman" w:hAnsi="Times New Roman" w:cs="Times New Roman"/>
          <w:sz w:val="26"/>
          <w:szCs w:val="26"/>
          <w:lang w:eastAsia="lv-LV"/>
        </w:rPr>
        <w:t>19.</w:t>
      </w:r>
      <w:r w:rsidR="003A2FC3" w:rsidRPr="00BB6E1A">
        <w:rPr>
          <w:rFonts w:ascii="Times New Roman" w:eastAsia="Times New Roman" w:hAnsi="Times New Roman" w:cs="Times New Roman"/>
          <w:sz w:val="26"/>
          <w:szCs w:val="26"/>
          <w:lang w:eastAsia="lv-LV"/>
        </w:rPr>
        <w:t>9.apakš</w:t>
      </w:r>
      <w:r w:rsidR="004C0E76" w:rsidRPr="00BB6E1A">
        <w:rPr>
          <w:rFonts w:ascii="Times New Roman" w:eastAsia="Times New Roman" w:hAnsi="Times New Roman" w:cs="Times New Roman"/>
          <w:sz w:val="26"/>
          <w:szCs w:val="26"/>
          <w:lang w:eastAsia="lv-LV"/>
        </w:rPr>
        <w:t>punkt</w:t>
      </w:r>
      <w:r w:rsidR="003A2FC3" w:rsidRPr="00BB6E1A">
        <w:rPr>
          <w:rFonts w:ascii="Times New Roman" w:eastAsia="Times New Roman" w:hAnsi="Times New Roman" w:cs="Times New Roman"/>
          <w:sz w:val="26"/>
          <w:szCs w:val="26"/>
          <w:lang w:eastAsia="lv-LV"/>
        </w:rPr>
        <w:t>a</w:t>
      </w:r>
      <w:r w:rsidR="004C0E76" w:rsidRPr="00BB6E1A">
        <w:rPr>
          <w:rFonts w:ascii="Times New Roman" w:eastAsia="Times New Roman" w:hAnsi="Times New Roman" w:cs="Times New Roman"/>
          <w:sz w:val="26"/>
          <w:szCs w:val="26"/>
          <w:lang w:eastAsia="lv-LV"/>
        </w:rPr>
        <w:t xml:space="preserve">m, ir attiecināmas, ja tās radušās pēc </w:t>
      </w:r>
      <w:r w:rsidR="001E1F90" w:rsidRPr="00BB6E1A">
        <w:rPr>
          <w:rFonts w:ascii="Times New Roman" w:eastAsia="Times New Roman" w:hAnsi="Times New Roman" w:cs="Times New Roman"/>
          <w:sz w:val="26"/>
          <w:szCs w:val="26"/>
          <w:lang w:eastAsia="lv-LV"/>
        </w:rPr>
        <w:t>vienošanās</w:t>
      </w:r>
      <w:r w:rsidR="004C0E76" w:rsidRPr="00BB6E1A">
        <w:rPr>
          <w:rFonts w:ascii="Times New Roman" w:eastAsia="Times New Roman" w:hAnsi="Times New Roman" w:cs="Times New Roman"/>
          <w:sz w:val="26"/>
          <w:szCs w:val="26"/>
          <w:lang w:eastAsia="lv-LV"/>
        </w:rPr>
        <w:t xml:space="preserve"> par projektu īstenošanu noslēgšanas</w:t>
      </w:r>
      <w:r w:rsidRPr="00BB6E1A">
        <w:rPr>
          <w:rFonts w:ascii="Times New Roman" w:eastAsia="Times New Roman" w:hAnsi="Times New Roman" w:cs="Times New Roman"/>
          <w:sz w:val="26"/>
          <w:szCs w:val="26"/>
          <w:lang w:eastAsia="lv-LV"/>
        </w:rPr>
        <w:t>.”</w:t>
      </w:r>
      <w:r w:rsidR="008F7009" w:rsidRPr="00BB6E1A">
        <w:rPr>
          <w:rFonts w:ascii="Times New Roman" w:eastAsia="Times New Roman" w:hAnsi="Times New Roman" w:cs="Times New Roman"/>
          <w:sz w:val="26"/>
          <w:szCs w:val="26"/>
          <w:lang w:eastAsia="lv-LV"/>
        </w:rPr>
        <w:t>.</w:t>
      </w:r>
    </w:p>
    <w:p w:rsidR="006E2706" w:rsidRPr="0026610E" w:rsidRDefault="006E2706" w:rsidP="00F56CED">
      <w:pPr>
        <w:tabs>
          <w:tab w:val="left" w:pos="6840"/>
        </w:tabs>
        <w:spacing w:after="0"/>
        <w:ind w:firstLine="425"/>
        <w:jc w:val="both"/>
        <w:rPr>
          <w:rFonts w:ascii="Times New Roman" w:eastAsia="Times New Roman" w:hAnsi="Times New Roman" w:cs="Times New Roman"/>
          <w:sz w:val="26"/>
          <w:szCs w:val="26"/>
          <w:lang w:eastAsia="lv-LV"/>
        </w:rPr>
      </w:pPr>
    </w:p>
    <w:p w:rsidR="00EF381B" w:rsidRPr="0026610E" w:rsidRDefault="00EF381B" w:rsidP="00F56CED">
      <w:pPr>
        <w:tabs>
          <w:tab w:val="left" w:pos="6840"/>
        </w:tabs>
        <w:spacing w:after="0"/>
        <w:jc w:val="both"/>
        <w:rPr>
          <w:rFonts w:ascii="Times New Roman" w:eastAsia="Times New Roman" w:hAnsi="Times New Roman" w:cs="Times New Roman"/>
          <w:sz w:val="26"/>
          <w:szCs w:val="26"/>
          <w:lang w:eastAsia="lv-LV"/>
        </w:rPr>
      </w:pPr>
    </w:p>
    <w:p w:rsidR="00C576B4" w:rsidRPr="0026610E" w:rsidRDefault="00C576B4" w:rsidP="00F56CED">
      <w:pPr>
        <w:tabs>
          <w:tab w:val="right" w:pos="9071"/>
        </w:tabs>
        <w:spacing w:after="0"/>
        <w:jc w:val="both"/>
        <w:rPr>
          <w:rFonts w:ascii="Times New Roman" w:eastAsia="Times New Roman" w:hAnsi="Times New Roman" w:cs="Times New Roman"/>
          <w:sz w:val="26"/>
          <w:szCs w:val="26"/>
          <w:lang w:eastAsia="lv-LV"/>
        </w:rPr>
      </w:pPr>
      <w:r w:rsidRPr="0026610E">
        <w:rPr>
          <w:rFonts w:ascii="Times New Roman" w:eastAsia="Times New Roman" w:hAnsi="Times New Roman" w:cs="Times New Roman"/>
          <w:sz w:val="26"/>
          <w:szCs w:val="26"/>
          <w:lang w:eastAsia="lv-LV"/>
        </w:rPr>
        <w:t>Ministru prezidents</w:t>
      </w:r>
      <w:r w:rsidR="00F3781F" w:rsidRPr="0026610E">
        <w:rPr>
          <w:rFonts w:ascii="Times New Roman" w:eastAsia="Times New Roman" w:hAnsi="Times New Roman" w:cs="Times New Roman"/>
          <w:sz w:val="26"/>
          <w:szCs w:val="26"/>
          <w:lang w:eastAsia="lv-LV"/>
        </w:rPr>
        <w:tab/>
      </w:r>
      <w:proofErr w:type="spellStart"/>
      <w:r w:rsidRPr="0026610E">
        <w:rPr>
          <w:rFonts w:ascii="Times New Roman" w:eastAsia="Times New Roman" w:hAnsi="Times New Roman" w:cs="Times New Roman"/>
          <w:sz w:val="26"/>
          <w:szCs w:val="26"/>
          <w:lang w:eastAsia="lv-LV"/>
        </w:rPr>
        <w:t>V.Dombrovskis</w:t>
      </w:r>
      <w:proofErr w:type="spellEnd"/>
    </w:p>
    <w:p w:rsidR="00EF381B" w:rsidRPr="0026610E" w:rsidRDefault="00EF381B" w:rsidP="00F56CED">
      <w:pPr>
        <w:spacing w:after="0" w:line="240" w:lineRule="auto"/>
        <w:jc w:val="both"/>
        <w:rPr>
          <w:rFonts w:ascii="Times New Roman" w:eastAsia="Times New Roman" w:hAnsi="Times New Roman" w:cs="Times New Roman"/>
          <w:sz w:val="26"/>
          <w:szCs w:val="26"/>
          <w:lang w:eastAsia="lv-LV"/>
        </w:rPr>
      </w:pPr>
    </w:p>
    <w:p w:rsidR="00C576B4" w:rsidRPr="0026610E" w:rsidRDefault="00C576B4" w:rsidP="00F56CED">
      <w:pPr>
        <w:tabs>
          <w:tab w:val="right" w:pos="9071"/>
        </w:tabs>
        <w:spacing w:after="0" w:line="240" w:lineRule="auto"/>
        <w:jc w:val="both"/>
        <w:rPr>
          <w:rFonts w:ascii="Times New Roman" w:eastAsia="Times New Roman" w:hAnsi="Times New Roman" w:cs="Times New Roman"/>
          <w:sz w:val="26"/>
          <w:szCs w:val="26"/>
          <w:lang w:eastAsia="lv-LV"/>
        </w:rPr>
      </w:pPr>
      <w:r w:rsidRPr="0026610E">
        <w:rPr>
          <w:rFonts w:ascii="Times New Roman" w:eastAsia="Times New Roman" w:hAnsi="Times New Roman" w:cs="Times New Roman"/>
          <w:sz w:val="26"/>
          <w:szCs w:val="26"/>
          <w:lang w:eastAsia="lv-LV"/>
        </w:rPr>
        <w:t>Ekonomikas ministrs</w:t>
      </w:r>
      <w:r w:rsidR="00F3781F" w:rsidRPr="0026610E">
        <w:rPr>
          <w:rFonts w:ascii="Times New Roman" w:eastAsia="Times New Roman" w:hAnsi="Times New Roman" w:cs="Times New Roman"/>
          <w:sz w:val="26"/>
          <w:szCs w:val="26"/>
          <w:lang w:eastAsia="lv-LV"/>
        </w:rPr>
        <w:tab/>
      </w:r>
      <w:r w:rsidRPr="0026610E">
        <w:rPr>
          <w:rFonts w:ascii="Times New Roman" w:eastAsia="Times New Roman" w:hAnsi="Times New Roman" w:cs="Times New Roman"/>
          <w:sz w:val="26"/>
          <w:szCs w:val="26"/>
          <w:lang w:eastAsia="lv-LV"/>
        </w:rPr>
        <w:t>D.Pavļuts</w:t>
      </w:r>
    </w:p>
    <w:p w:rsidR="00EF381B" w:rsidRPr="0026610E" w:rsidRDefault="00EF381B" w:rsidP="00F56CED">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EF381B" w:rsidRPr="0026610E" w:rsidRDefault="00EF381B" w:rsidP="00F56CED">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p>
    <w:p w:rsidR="00C576B4" w:rsidRPr="0026610E" w:rsidRDefault="00C576B4" w:rsidP="00F56CED">
      <w:pPr>
        <w:tabs>
          <w:tab w:val="left" w:pos="720"/>
        </w:tabs>
        <w:autoSpaceDE w:val="0"/>
        <w:autoSpaceDN w:val="0"/>
        <w:adjustRightInd w:val="0"/>
        <w:spacing w:after="0" w:line="240" w:lineRule="auto"/>
        <w:rPr>
          <w:rFonts w:ascii="Times New Roman" w:eastAsia="Times New Roman" w:hAnsi="Times New Roman" w:cs="Times New Roman"/>
          <w:sz w:val="26"/>
          <w:szCs w:val="26"/>
          <w:lang w:eastAsia="lv-LV"/>
        </w:rPr>
      </w:pPr>
      <w:r w:rsidRPr="0026610E">
        <w:rPr>
          <w:rFonts w:ascii="Times New Roman" w:eastAsia="Times New Roman" w:hAnsi="Times New Roman" w:cs="Times New Roman"/>
          <w:sz w:val="26"/>
          <w:szCs w:val="26"/>
          <w:lang w:eastAsia="lv-LV"/>
        </w:rPr>
        <w:t>Iesniedzējs:</w:t>
      </w:r>
    </w:p>
    <w:p w:rsidR="00C576B4" w:rsidRPr="0026610E" w:rsidRDefault="00C576B4" w:rsidP="00F56CED">
      <w:pPr>
        <w:tabs>
          <w:tab w:val="right" w:pos="9071"/>
        </w:tabs>
        <w:spacing w:after="0" w:line="240" w:lineRule="auto"/>
        <w:jc w:val="both"/>
        <w:rPr>
          <w:rFonts w:ascii="Times New Roman" w:eastAsia="Times New Roman" w:hAnsi="Times New Roman" w:cs="Times New Roman"/>
          <w:sz w:val="26"/>
          <w:szCs w:val="26"/>
          <w:lang w:eastAsia="lv-LV"/>
        </w:rPr>
      </w:pPr>
      <w:r w:rsidRPr="0026610E">
        <w:rPr>
          <w:rFonts w:ascii="Times New Roman" w:eastAsia="Times New Roman" w:hAnsi="Times New Roman" w:cs="Times New Roman"/>
          <w:sz w:val="26"/>
          <w:szCs w:val="26"/>
          <w:lang w:eastAsia="lv-LV"/>
        </w:rPr>
        <w:t>Ekonomikas ministrs</w:t>
      </w:r>
      <w:r w:rsidR="00F3781F" w:rsidRPr="0026610E">
        <w:rPr>
          <w:rFonts w:ascii="Times New Roman" w:eastAsia="Times New Roman" w:hAnsi="Times New Roman" w:cs="Times New Roman"/>
          <w:sz w:val="26"/>
          <w:szCs w:val="26"/>
          <w:lang w:eastAsia="lv-LV"/>
        </w:rPr>
        <w:tab/>
      </w:r>
      <w:r w:rsidRPr="0026610E">
        <w:rPr>
          <w:rFonts w:ascii="Times New Roman" w:eastAsia="Times New Roman" w:hAnsi="Times New Roman" w:cs="Times New Roman"/>
          <w:sz w:val="26"/>
          <w:szCs w:val="26"/>
          <w:lang w:eastAsia="lv-LV"/>
        </w:rPr>
        <w:t>D.Pavļuts</w:t>
      </w:r>
    </w:p>
    <w:p w:rsidR="00C576B4" w:rsidRPr="0026610E" w:rsidRDefault="00C576B4" w:rsidP="00F56CED">
      <w:pPr>
        <w:keepLines/>
        <w:widowControl w:val="0"/>
        <w:spacing w:after="0" w:line="240" w:lineRule="auto"/>
        <w:rPr>
          <w:rFonts w:ascii="Times New Roman" w:eastAsia="Times New Roman" w:hAnsi="Times New Roman" w:cs="Times New Roman"/>
          <w:sz w:val="26"/>
          <w:szCs w:val="26"/>
          <w:lang w:eastAsia="lv-LV"/>
        </w:rPr>
      </w:pPr>
    </w:p>
    <w:p w:rsidR="00EF381B" w:rsidRPr="0026610E" w:rsidRDefault="00EF381B" w:rsidP="00F56CED">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C576B4" w:rsidRPr="0026610E" w:rsidRDefault="002B3D44" w:rsidP="00F56CED">
      <w:pPr>
        <w:keepLines/>
        <w:widowControl w:val="0"/>
        <w:tabs>
          <w:tab w:val="left" w:pos="7938"/>
        </w:tabs>
        <w:spacing w:after="0" w:line="240" w:lineRule="auto"/>
        <w:rPr>
          <w:rFonts w:ascii="Times New Roman" w:eastAsia="Times New Roman" w:hAnsi="Times New Roman" w:cs="Times New Roman"/>
          <w:sz w:val="26"/>
          <w:szCs w:val="26"/>
          <w:lang w:eastAsia="lv-LV"/>
        </w:rPr>
      </w:pPr>
      <w:r w:rsidRPr="0026610E">
        <w:rPr>
          <w:rFonts w:ascii="Times New Roman" w:eastAsia="Times New Roman" w:hAnsi="Times New Roman" w:cs="Times New Roman"/>
          <w:sz w:val="26"/>
          <w:szCs w:val="26"/>
          <w:lang w:eastAsia="lv-LV"/>
        </w:rPr>
        <w:t xml:space="preserve">Vīza: Valsts sekretārs </w:t>
      </w:r>
      <w:r w:rsidR="00867D1B" w:rsidRPr="0026610E">
        <w:rPr>
          <w:rFonts w:ascii="Times New Roman" w:eastAsia="Times New Roman" w:hAnsi="Times New Roman" w:cs="Times New Roman"/>
          <w:sz w:val="26"/>
          <w:szCs w:val="26"/>
          <w:lang w:eastAsia="lv-LV"/>
        </w:rPr>
        <w:tab/>
        <w:t xml:space="preserve">      </w:t>
      </w:r>
      <w:r w:rsidR="00314232" w:rsidRPr="0026610E">
        <w:rPr>
          <w:rFonts w:ascii="Times New Roman" w:eastAsia="Times New Roman" w:hAnsi="Times New Roman" w:cs="Times New Roman"/>
          <w:sz w:val="26"/>
          <w:szCs w:val="26"/>
          <w:lang w:eastAsia="lv-LV"/>
        </w:rPr>
        <w:t>J.Pūce</w:t>
      </w:r>
    </w:p>
    <w:p w:rsidR="00C576B4" w:rsidRPr="0026610E" w:rsidRDefault="00C576B4" w:rsidP="00F56CED">
      <w:pPr>
        <w:keepLines/>
        <w:widowControl w:val="0"/>
        <w:tabs>
          <w:tab w:val="left" w:pos="7938"/>
        </w:tabs>
        <w:spacing w:after="0" w:line="240" w:lineRule="auto"/>
        <w:rPr>
          <w:rFonts w:ascii="Times New Roman" w:eastAsia="Times New Roman" w:hAnsi="Times New Roman" w:cs="Times New Roman"/>
          <w:sz w:val="26"/>
          <w:szCs w:val="26"/>
          <w:lang w:eastAsia="lv-LV"/>
        </w:rPr>
      </w:pPr>
    </w:p>
    <w:p w:rsidR="00F3781F" w:rsidRPr="0026610E" w:rsidRDefault="00F3781F" w:rsidP="00F56CED">
      <w:pPr>
        <w:spacing w:after="0" w:line="240" w:lineRule="auto"/>
        <w:jc w:val="both"/>
        <w:rPr>
          <w:rFonts w:ascii="Times New Roman" w:eastAsia="Times New Roman" w:hAnsi="Times New Roman" w:cs="Times New Roman"/>
          <w:sz w:val="20"/>
          <w:szCs w:val="20"/>
          <w:lang w:eastAsia="lv-LV"/>
        </w:rPr>
      </w:pPr>
    </w:p>
    <w:p w:rsidR="0095430C" w:rsidRDefault="008A11FE" w:rsidP="00F56CE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2012.11.21. 11:39</w:t>
      </w:r>
      <w:bookmarkStart w:id="8" w:name="_GoBack"/>
      <w:bookmarkEnd w:id="8"/>
    </w:p>
    <w:p w:rsidR="00151EEF" w:rsidRPr="0026610E" w:rsidRDefault="00247527" w:rsidP="00F56CED">
      <w:pPr>
        <w:widowControl w:val="0"/>
        <w:spacing w:after="0" w:line="240" w:lineRule="auto"/>
        <w:jc w:val="both"/>
        <w:rPr>
          <w:rFonts w:ascii="Times New Roman" w:eastAsia="Times New Roman" w:hAnsi="Times New Roman" w:cs="Times New Roman"/>
          <w:sz w:val="20"/>
          <w:szCs w:val="20"/>
        </w:rPr>
      </w:pPr>
      <w:fldSimple w:instr=" NUMWORDS   \* MERGEFORMAT ">
        <w:r w:rsidR="008A11FE" w:rsidRPr="008A11FE">
          <w:rPr>
            <w:rFonts w:ascii="Times New Roman" w:eastAsia="Times New Roman" w:hAnsi="Times New Roman" w:cs="Times New Roman"/>
            <w:noProof/>
            <w:sz w:val="20"/>
            <w:szCs w:val="20"/>
          </w:rPr>
          <w:t>1103</w:t>
        </w:r>
      </w:fldSimple>
    </w:p>
    <w:p w:rsidR="00151EEF" w:rsidRPr="0026610E" w:rsidRDefault="00B73EFD" w:rsidP="00F56CED">
      <w:pPr>
        <w:widowControl w:val="0"/>
        <w:spacing w:after="0" w:line="240" w:lineRule="auto"/>
        <w:jc w:val="both"/>
        <w:rPr>
          <w:rFonts w:ascii="Times New Roman" w:eastAsia="Times New Roman" w:hAnsi="Times New Roman" w:cs="Times New Roman"/>
          <w:sz w:val="20"/>
          <w:szCs w:val="20"/>
        </w:rPr>
      </w:pPr>
      <w:r w:rsidRPr="0026610E">
        <w:rPr>
          <w:rFonts w:ascii="Times New Roman" w:eastAsia="Times New Roman" w:hAnsi="Times New Roman" w:cs="Times New Roman"/>
          <w:sz w:val="20"/>
          <w:szCs w:val="20"/>
        </w:rPr>
        <w:t>Gatis Silovs</w:t>
      </w:r>
    </w:p>
    <w:p w:rsidR="00151EEF" w:rsidRPr="009A5FD5" w:rsidRDefault="00B73EFD" w:rsidP="00F56CED">
      <w:pPr>
        <w:widowControl w:val="0"/>
        <w:spacing w:after="0" w:line="240" w:lineRule="auto"/>
        <w:jc w:val="both"/>
        <w:rPr>
          <w:rFonts w:ascii="Times New Roman" w:eastAsia="Times New Roman" w:hAnsi="Times New Roman" w:cs="Times New Roman"/>
          <w:sz w:val="20"/>
          <w:szCs w:val="20"/>
        </w:rPr>
      </w:pPr>
      <w:r w:rsidRPr="0026610E">
        <w:rPr>
          <w:rFonts w:ascii="Times New Roman" w:eastAsia="Times New Roman" w:hAnsi="Times New Roman" w:cs="Times New Roman"/>
          <w:sz w:val="20"/>
          <w:szCs w:val="20"/>
        </w:rPr>
        <w:t>67013209, Gatis.Silovs@em.gov.lv</w:t>
      </w:r>
    </w:p>
    <w:p w:rsidR="00A132D5" w:rsidRPr="00EB0F43" w:rsidRDefault="00A132D5" w:rsidP="00F56CED">
      <w:pPr>
        <w:spacing w:after="0"/>
        <w:ind w:left="720" w:firstLine="720"/>
        <w:rPr>
          <w:rFonts w:ascii="Times New Roman" w:eastAsia="Times New Roman" w:hAnsi="Times New Roman" w:cs="Times New Roman"/>
          <w:sz w:val="24"/>
          <w:szCs w:val="25"/>
          <w:lang w:eastAsia="lv-LV"/>
        </w:rPr>
      </w:pPr>
    </w:p>
    <w:sectPr w:rsidR="00A132D5" w:rsidRPr="00EB0F43" w:rsidSect="009978F6">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63" w:rsidRDefault="00605163" w:rsidP="00EB0F43">
      <w:pPr>
        <w:spacing w:after="0" w:line="240" w:lineRule="auto"/>
      </w:pPr>
      <w:r>
        <w:separator/>
      </w:r>
    </w:p>
  </w:endnote>
  <w:endnote w:type="continuationSeparator" w:id="0">
    <w:p w:rsidR="00605163" w:rsidRDefault="00605163" w:rsidP="00E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03" w:rsidRPr="00EB0F43" w:rsidRDefault="00247527" w:rsidP="00A73867">
    <w:pPr>
      <w:pStyle w:val="Footer"/>
      <w:jc w:val="both"/>
      <w:rPr>
        <w:rFonts w:ascii="Times New Roman" w:hAnsi="Times New Roman" w:cs="Times New Roman"/>
        <w:sz w:val="20"/>
      </w:rPr>
    </w:pPr>
    <w:fldSimple w:instr=" FILENAME   \* MERGEFORMAT ">
      <w:r w:rsidR="008A11FE" w:rsidRPr="008A11FE">
        <w:rPr>
          <w:rFonts w:ascii="Times New Roman" w:eastAsia="Calibri" w:hAnsi="Times New Roman" w:cs="Times New Roman"/>
          <w:noProof/>
          <w:sz w:val="20"/>
          <w:szCs w:val="20"/>
          <w:lang w:val="en-AU"/>
        </w:rPr>
        <w:t>EMNot_211112_groz887</w:t>
      </w:r>
    </w:fldSimple>
    <w:r w:rsidR="00CF7603" w:rsidRPr="00EB0F43">
      <w:rPr>
        <w:rFonts w:ascii="Times New Roman" w:hAnsi="Times New Roman" w:cs="Times New Roman"/>
        <w:sz w:val="20"/>
      </w:rPr>
      <w:t xml:space="preserve">; Grozījumi Ministru </w:t>
    </w:r>
    <w:r w:rsidR="00CF7603">
      <w:rPr>
        <w:rFonts w:ascii="Times New Roman" w:hAnsi="Times New Roman" w:cs="Times New Roman"/>
        <w:sz w:val="20"/>
      </w:rPr>
      <w:t>k</w:t>
    </w:r>
    <w:r w:rsidR="00CF7603" w:rsidRPr="00EB0F43">
      <w:rPr>
        <w:rFonts w:ascii="Times New Roman" w:hAnsi="Times New Roman" w:cs="Times New Roman"/>
        <w:sz w:val="20"/>
      </w:rPr>
      <w:t>abineta 2010.gada 21.</w:t>
    </w:r>
    <w:r w:rsidR="00CF7603">
      <w:rPr>
        <w:rFonts w:ascii="Times New Roman" w:hAnsi="Times New Roman" w:cs="Times New Roman"/>
        <w:sz w:val="20"/>
      </w:rPr>
      <w:t>s</w:t>
    </w:r>
    <w:r w:rsidR="00CF7603" w:rsidRPr="00EB0F43">
      <w:rPr>
        <w:rFonts w:ascii="Times New Roman" w:hAnsi="Times New Roman" w:cs="Times New Roman"/>
        <w:sz w:val="20"/>
      </w:rPr>
      <w:t xml:space="preserve">eptembra  noteikumos Nr.887 „Noteikumi par darbības programmas „Uzņēmējdarbība un inovācijas" papildinājuma 2.3.1.1.aktivitātes </w:t>
    </w:r>
    <w:r w:rsidR="00CF7603">
      <w:rPr>
        <w:rFonts w:ascii="Times New Roman" w:hAnsi="Times New Roman" w:cs="Times New Roman"/>
        <w:sz w:val="20"/>
      </w:rPr>
      <w:t>„</w:t>
    </w:r>
    <w:r w:rsidR="00CF7603" w:rsidRPr="00EB0F43">
      <w:rPr>
        <w:rFonts w:ascii="Times New Roman" w:hAnsi="Times New Roman" w:cs="Times New Roman"/>
        <w:sz w:val="20"/>
      </w:rPr>
      <w:t>Ārējo tirgu apgūšana</w:t>
    </w:r>
    <w:r w:rsidR="00CF7603">
      <w:rPr>
        <w:rFonts w:ascii="Times New Roman" w:hAnsi="Times New Roman" w:cs="Times New Roman"/>
        <w:sz w:val="20"/>
      </w:rPr>
      <w:t>”</w:t>
    </w:r>
    <w:r w:rsidR="00CF7603" w:rsidRPr="00EB0F43">
      <w:rPr>
        <w:rFonts w:ascii="Times New Roman" w:hAnsi="Times New Roman" w:cs="Times New Roman"/>
        <w:sz w:val="20"/>
      </w:rPr>
      <w:t xml:space="preserve"> 2.3.1.1.2.apakšaktivitāti </w:t>
    </w:r>
    <w:r w:rsidR="00CF7603">
      <w:rPr>
        <w:rFonts w:ascii="Times New Roman" w:hAnsi="Times New Roman" w:cs="Times New Roman"/>
        <w:sz w:val="20"/>
      </w:rPr>
      <w:t>„</w:t>
    </w:r>
    <w:r w:rsidR="00CF7603" w:rsidRPr="00EB0F43">
      <w:rPr>
        <w:rFonts w:ascii="Times New Roman" w:hAnsi="Times New Roman" w:cs="Times New Roman"/>
        <w:sz w:val="20"/>
      </w:rPr>
      <w:t>Ārējo tirgu apgūšana – nozaru starptautiskās konkurētspējas stiprināšana</w:t>
    </w:r>
    <w:r w:rsidR="00CF7603">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63" w:rsidRDefault="00605163" w:rsidP="00EB0F43">
      <w:pPr>
        <w:spacing w:after="0" w:line="240" w:lineRule="auto"/>
      </w:pPr>
      <w:r>
        <w:separator/>
      </w:r>
    </w:p>
  </w:footnote>
  <w:footnote w:type="continuationSeparator" w:id="0">
    <w:p w:rsidR="00605163" w:rsidRDefault="00605163" w:rsidP="00EB0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2784"/>
    <w:multiLevelType w:val="hybridMultilevel"/>
    <w:tmpl w:val="2D3CC374"/>
    <w:lvl w:ilvl="0" w:tplc="0F7A2380">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nsid w:val="64B967AA"/>
    <w:multiLevelType w:val="hybridMultilevel"/>
    <w:tmpl w:val="7916D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CA63BF3"/>
    <w:multiLevelType w:val="multilevel"/>
    <w:tmpl w:val="2968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9978F6"/>
    <w:rsid w:val="000150E9"/>
    <w:rsid w:val="0002375F"/>
    <w:rsid w:val="00055C06"/>
    <w:rsid w:val="00061D1E"/>
    <w:rsid w:val="00074110"/>
    <w:rsid w:val="00080865"/>
    <w:rsid w:val="00086618"/>
    <w:rsid w:val="000A1054"/>
    <w:rsid w:val="000F21D5"/>
    <w:rsid w:val="00111E3C"/>
    <w:rsid w:val="00133FBB"/>
    <w:rsid w:val="00151EEF"/>
    <w:rsid w:val="00181DB3"/>
    <w:rsid w:val="00195727"/>
    <w:rsid w:val="001A5E92"/>
    <w:rsid w:val="001B0252"/>
    <w:rsid w:val="001B4AA4"/>
    <w:rsid w:val="001B6F51"/>
    <w:rsid w:val="001B7E80"/>
    <w:rsid w:val="001E0ED9"/>
    <w:rsid w:val="001E1F90"/>
    <w:rsid w:val="00210A85"/>
    <w:rsid w:val="00211FC1"/>
    <w:rsid w:val="002272F8"/>
    <w:rsid w:val="00235C2D"/>
    <w:rsid w:val="00243DB3"/>
    <w:rsid w:val="00247527"/>
    <w:rsid w:val="00260E5A"/>
    <w:rsid w:val="0026610E"/>
    <w:rsid w:val="002670C0"/>
    <w:rsid w:val="002940F3"/>
    <w:rsid w:val="00294CAE"/>
    <w:rsid w:val="0029614D"/>
    <w:rsid w:val="002A3B58"/>
    <w:rsid w:val="002B3D44"/>
    <w:rsid w:val="00314232"/>
    <w:rsid w:val="00341FFD"/>
    <w:rsid w:val="003450BF"/>
    <w:rsid w:val="00350B2F"/>
    <w:rsid w:val="003513F6"/>
    <w:rsid w:val="0036383D"/>
    <w:rsid w:val="0037047F"/>
    <w:rsid w:val="003716ED"/>
    <w:rsid w:val="003748F9"/>
    <w:rsid w:val="00380B2B"/>
    <w:rsid w:val="003A07A6"/>
    <w:rsid w:val="003A2FC3"/>
    <w:rsid w:val="003C59B9"/>
    <w:rsid w:val="003D1E0E"/>
    <w:rsid w:val="003D6354"/>
    <w:rsid w:val="0040153C"/>
    <w:rsid w:val="004749CC"/>
    <w:rsid w:val="004A184D"/>
    <w:rsid w:val="004A587D"/>
    <w:rsid w:val="004A658D"/>
    <w:rsid w:val="004B0B3D"/>
    <w:rsid w:val="004C0E76"/>
    <w:rsid w:val="004C2FF8"/>
    <w:rsid w:val="00524DAB"/>
    <w:rsid w:val="00527082"/>
    <w:rsid w:val="00536B71"/>
    <w:rsid w:val="005409FE"/>
    <w:rsid w:val="00561E66"/>
    <w:rsid w:val="00583C15"/>
    <w:rsid w:val="005A7566"/>
    <w:rsid w:val="005C58B0"/>
    <w:rsid w:val="005D22C0"/>
    <w:rsid w:val="00601A17"/>
    <w:rsid w:val="00602480"/>
    <w:rsid w:val="00605163"/>
    <w:rsid w:val="00624541"/>
    <w:rsid w:val="006259AC"/>
    <w:rsid w:val="00626956"/>
    <w:rsid w:val="00626DEE"/>
    <w:rsid w:val="006722D9"/>
    <w:rsid w:val="006736F7"/>
    <w:rsid w:val="006E2706"/>
    <w:rsid w:val="006E3149"/>
    <w:rsid w:val="00732C07"/>
    <w:rsid w:val="007B1643"/>
    <w:rsid w:val="007B606B"/>
    <w:rsid w:val="007C2992"/>
    <w:rsid w:val="007D6837"/>
    <w:rsid w:val="00807676"/>
    <w:rsid w:val="0085667C"/>
    <w:rsid w:val="00867D1B"/>
    <w:rsid w:val="00875C1C"/>
    <w:rsid w:val="008A11FE"/>
    <w:rsid w:val="008A4A75"/>
    <w:rsid w:val="008B2859"/>
    <w:rsid w:val="008C6DE5"/>
    <w:rsid w:val="008F10ED"/>
    <w:rsid w:val="008F1D4B"/>
    <w:rsid w:val="008F7009"/>
    <w:rsid w:val="00906456"/>
    <w:rsid w:val="009229BD"/>
    <w:rsid w:val="00922B6D"/>
    <w:rsid w:val="0095430C"/>
    <w:rsid w:val="009777BD"/>
    <w:rsid w:val="009978F6"/>
    <w:rsid w:val="009A5FD5"/>
    <w:rsid w:val="009B4A65"/>
    <w:rsid w:val="009B688E"/>
    <w:rsid w:val="009C088E"/>
    <w:rsid w:val="009D1732"/>
    <w:rsid w:val="009D230F"/>
    <w:rsid w:val="009D2CAE"/>
    <w:rsid w:val="009E46B1"/>
    <w:rsid w:val="009F0131"/>
    <w:rsid w:val="009F470E"/>
    <w:rsid w:val="00A07ADF"/>
    <w:rsid w:val="00A132D5"/>
    <w:rsid w:val="00A50FA3"/>
    <w:rsid w:val="00A63DD2"/>
    <w:rsid w:val="00A73867"/>
    <w:rsid w:val="00A874F4"/>
    <w:rsid w:val="00A91085"/>
    <w:rsid w:val="00AA6137"/>
    <w:rsid w:val="00AD6D3B"/>
    <w:rsid w:val="00AE1753"/>
    <w:rsid w:val="00AF16AB"/>
    <w:rsid w:val="00AF1AD0"/>
    <w:rsid w:val="00B32392"/>
    <w:rsid w:val="00B33313"/>
    <w:rsid w:val="00B46CE3"/>
    <w:rsid w:val="00B63022"/>
    <w:rsid w:val="00B73EFD"/>
    <w:rsid w:val="00B8026E"/>
    <w:rsid w:val="00BB6E1A"/>
    <w:rsid w:val="00BD1225"/>
    <w:rsid w:val="00BD1E7C"/>
    <w:rsid w:val="00C04CA2"/>
    <w:rsid w:val="00C04DDE"/>
    <w:rsid w:val="00C13E72"/>
    <w:rsid w:val="00C3175C"/>
    <w:rsid w:val="00C32C25"/>
    <w:rsid w:val="00C576B4"/>
    <w:rsid w:val="00C61253"/>
    <w:rsid w:val="00C86088"/>
    <w:rsid w:val="00C94175"/>
    <w:rsid w:val="00C95FDC"/>
    <w:rsid w:val="00CB3388"/>
    <w:rsid w:val="00CB4481"/>
    <w:rsid w:val="00CD2481"/>
    <w:rsid w:val="00CD6A37"/>
    <w:rsid w:val="00CE1C75"/>
    <w:rsid w:val="00CF7603"/>
    <w:rsid w:val="00CF7887"/>
    <w:rsid w:val="00D0605F"/>
    <w:rsid w:val="00D164DF"/>
    <w:rsid w:val="00D31D5F"/>
    <w:rsid w:val="00D5113F"/>
    <w:rsid w:val="00D53E6A"/>
    <w:rsid w:val="00D54C4F"/>
    <w:rsid w:val="00D66F2B"/>
    <w:rsid w:val="00D72B56"/>
    <w:rsid w:val="00DC597F"/>
    <w:rsid w:val="00DC7769"/>
    <w:rsid w:val="00DE4CFB"/>
    <w:rsid w:val="00DE7A5F"/>
    <w:rsid w:val="00DF2C76"/>
    <w:rsid w:val="00E03F07"/>
    <w:rsid w:val="00E07CF8"/>
    <w:rsid w:val="00E42773"/>
    <w:rsid w:val="00E90BF1"/>
    <w:rsid w:val="00EB0F43"/>
    <w:rsid w:val="00EB1023"/>
    <w:rsid w:val="00EE4624"/>
    <w:rsid w:val="00EE480B"/>
    <w:rsid w:val="00EF381B"/>
    <w:rsid w:val="00EF6381"/>
    <w:rsid w:val="00F03E09"/>
    <w:rsid w:val="00F16F5E"/>
    <w:rsid w:val="00F274D1"/>
    <w:rsid w:val="00F3781F"/>
    <w:rsid w:val="00F37C94"/>
    <w:rsid w:val="00F40F43"/>
    <w:rsid w:val="00F56CED"/>
    <w:rsid w:val="00F61DFD"/>
    <w:rsid w:val="00F6724D"/>
    <w:rsid w:val="00F77887"/>
    <w:rsid w:val="00F872BB"/>
    <w:rsid w:val="00F90241"/>
    <w:rsid w:val="00FA6D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9992">
      <w:bodyDiv w:val="1"/>
      <w:marLeft w:val="0"/>
      <w:marRight w:val="0"/>
      <w:marTop w:val="0"/>
      <w:marBottom w:val="0"/>
      <w:divBdr>
        <w:top w:val="none" w:sz="0" w:space="0" w:color="auto"/>
        <w:left w:val="none" w:sz="0" w:space="0" w:color="auto"/>
        <w:bottom w:val="none" w:sz="0" w:space="0" w:color="auto"/>
        <w:right w:val="none" w:sz="0" w:space="0" w:color="auto"/>
      </w:divBdr>
    </w:div>
    <w:div w:id="824324721">
      <w:bodyDiv w:val="1"/>
      <w:marLeft w:val="45"/>
      <w:marRight w:val="45"/>
      <w:marTop w:val="90"/>
      <w:marBottom w:val="90"/>
      <w:divBdr>
        <w:top w:val="none" w:sz="0" w:space="0" w:color="auto"/>
        <w:left w:val="none" w:sz="0" w:space="0" w:color="auto"/>
        <w:bottom w:val="none" w:sz="0" w:space="0" w:color="auto"/>
        <w:right w:val="none" w:sz="0" w:space="0" w:color="auto"/>
      </w:divBdr>
      <w:divsChild>
        <w:div w:id="224149734">
          <w:marLeft w:val="0"/>
          <w:marRight w:val="0"/>
          <w:marTop w:val="0"/>
          <w:marBottom w:val="567"/>
          <w:divBdr>
            <w:top w:val="none" w:sz="0" w:space="0" w:color="auto"/>
            <w:left w:val="none" w:sz="0" w:space="0" w:color="auto"/>
            <w:bottom w:val="none" w:sz="0" w:space="0" w:color="auto"/>
            <w:right w:val="none" w:sz="0" w:space="0" w:color="auto"/>
          </w:divBdr>
        </w:div>
        <w:div w:id="1584954376">
          <w:marLeft w:val="0"/>
          <w:marRight w:val="0"/>
          <w:marTop w:val="0"/>
          <w:marBottom w:val="567"/>
          <w:divBdr>
            <w:top w:val="none" w:sz="0" w:space="0" w:color="auto"/>
            <w:left w:val="none" w:sz="0" w:space="0" w:color="auto"/>
            <w:bottom w:val="none" w:sz="0" w:space="0" w:color="auto"/>
            <w:right w:val="none" w:sz="0" w:space="0" w:color="auto"/>
          </w:divBdr>
        </w:div>
        <w:div w:id="1750274760">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E129-4262-44A4-8867-7A1BD27C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1112</Words>
  <Characters>8401</Characters>
  <Application>Microsoft Office Word</Application>
  <DocSecurity>0</DocSecurity>
  <Lines>178</Lines>
  <Paragraphs>73</Paragraphs>
  <ScaleCrop>false</ScaleCrop>
  <HeadingPairs>
    <vt:vector size="2" baseType="variant">
      <vt:variant>
        <vt:lpstr>Title</vt:lpstr>
      </vt:variant>
      <vt:variant>
        <vt:i4>1</vt:i4>
      </vt:variant>
    </vt:vector>
  </HeadingPairs>
  <TitlesOfParts>
    <vt:vector size="1" baseType="lpstr">
      <vt:lpstr>Grozījumi Ministru Kabineta 2010.gada 21.septembra  noteikumos Nr.887 „Noteikumi par darbības programmas „Uzņēmējdarbība un inovācijas” papildinājuma 2.3.1.1.aktivitātes „Ārējo tirgu apgūšana” 2.3.1.1.2.apakšaktivitāti „Ārējo tirgu apgūšana – nozaru starp</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21.septembra  noteikumos Nr.887 „Noteikumi par darbības programmas „Uzņēmējdarbība un inovācijas” papildinājuma 2.3.1.1.aktivitātes „Ārējo tirgu apgūšana” 2.3.1.1.2.apakšaktivitāti „Ārējo tirgu apgūšana – nozaru starp</dc:title>
  <dc:subject>Ministru kabineta noteikumu projekts</dc:subject>
  <dc:creator>Gatis Silovs</dc:creator>
  <dc:description>67013209, Gatis.Silovs@em.gov.lv</dc:description>
  <cp:lastModifiedBy>Mārtiņš Zvejnieks</cp:lastModifiedBy>
  <cp:revision>21</cp:revision>
  <dcterms:created xsi:type="dcterms:W3CDTF">2012-10-29T12:41:00Z</dcterms:created>
  <dcterms:modified xsi:type="dcterms:W3CDTF">2012-11-21T09:39:00Z</dcterms:modified>
</cp:coreProperties>
</file>