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6" w:rsidRPr="00866556" w:rsidRDefault="009978F6" w:rsidP="00A73867">
      <w:pPr>
        <w:tabs>
          <w:tab w:val="left" w:pos="2552"/>
        </w:tabs>
        <w:spacing w:after="0" w:line="240" w:lineRule="auto"/>
        <w:rPr>
          <w:rFonts w:ascii="Times New Roman" w:hAnsi="Times New Roman"/>
          <w:sz w:val="24"/>
          <w:szCs w:val="24"/>
        </w:rPr>
      </w:pPr>
      <w:r w:rsidRPr="00866556">
        <w:rPr>
          <w:rFonts w:ascii="Times New Roman" w:hAnsi="Times New Roman"/>
          <w:sz w:val="24"/>
          <w:szCs w:val="24"/>
        </w:rPr>
        <w:t>201</w:t>
      </w:r>
      <w:r w:rsidR="00C21D9A" w:rsidRPr="00866556">
        <w:rPr>
          <w:rFonts w:ascii="Times New Roman" w:hAnsi="Times New Roman"/>
          <w:sz w:val="24"/>
          <w:szCs w:val="24"/>
        </w:rPr>
        <w:t>3</w:t>
      </w:r>
      <w:r w:rsidRPr="00866556">
        <w:rPr>
          <w:rFonts w:ascii="Times New Roman" w:hAnsi="Times New Roman"/>
          <w:sz w:val="24"/>
          <w:szCs w:val="24"/>
        </w:rPr>
        <w:t>.gada ___.______</w:t>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t xml:space="preserve">Noteikumi </w:t>
      </w:r>
      <w:proofErr w:type="spellStart"/>
      <w:r w:rsidRPr="00866556">
        <w:rPr>
          <w:rFonts w:ascii="Times New Roman" w:hAnsi="Times New Roman"/>
          <w:sz w:val="24"/>
          <w:szCs w:val="24"/>
        </w:rPr>
        <w:t>Nr</w:t>
      </w:r>
      <w:proofErr w:type="spellEnd"/>
      <w:r w:rsidRPr="00866556">
        <w:rPr>
          <w:rFonts w:ascii="Times New Roman" w:hAnsi="Times New Roman"/>
          <w:sz w:val="24"/>
          <w:szCs w:val="24"/>
        </w:rPr>
        <w:t>.</w:t>
      </w:r>
    </w:p>
    <w:p w:rsidR="009978F6" w:rsidRPr="00866556" w:rsidRDefault="009978F6" w:rsidP="00A73867">
      <w:pPr>
        <w:spacing w:after="0" w:line="240" w:lineRule="auto"/>
        <w:rPr>
          <w:rFonts w:ascii="Times New Roman" w:hAnsi="Times New Roman"/>
          <w:sz w:val="24"/>
          <w:szCs w:val="24"/>
        </w:rPr>
      </w:pPr>
      <w:r w:rsidRPr="00866556">
        <w:rPr>
          <w:rFonts w:ascii="Times New Roman" w:hAnsi="Times New Roman"/>
          <w:sz w:val="24"/>
          <w:szCs w:val="24"/>
        </w:rPr>
        <w:t>Rīgā</w:t>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r>
      <w:r w:rsidRPr="00866556">
        <w:rPr>
          <w:rFonts w:ascii="Times New Roman" w:hAnsi="Times New Roman"/>
          <w:sz w:val="24"/>
          <w:szCs w:val="24"/>
        </w:rPr>
        <w:tab/>
        <w:t>(</w:t>
      </w:r>
      <w:proofErr w:type="spellStart"/>
      <w:r w:rsidRPr="00866556">
        <w:rPr>
          <w:rFonts w:ascii="Times New Roman" w:hAnsi="Times New Roman"/>
          <w:sz w:val="24"/>
          <w:szCs w:val="24"/>
        </w:rPr>
        <w:t>prot</w:t>
      </w:r>
      <w:proofErr w:type="spellEnd"/>
      <w:r w:rsidRPr="00866556">
        <w:rPr>
          <w:rFonts w:ascii="Times New Roman" w:hAnsi="Times New Roman"/>
          <w:sz w:val="24"/>
          <w:szCs w:val="24"/>
        </w:rPr>
        <w:t xml:space="preserve">. </w:t>
      </w:r>
      <w:proofErr w:type="spellStart"/>
      <w:r w:rsidRPr="00866556">
        <w:rPr>
          <w:rFonts w:ascii="Times New Roman" w:hAnsi="Times New Roman"/>
          <w:sz w:val="24"/>
          <w:szCs w:val="24"/>
        </w:rPr>
        <w:t>Nr</w:t>
      </w:r>
      <w:proofErr w:type="spellEnd"/>
      <w:r w:rsidRPr="00866556">
        <w:rPr>
          <w:rFonts w:ascii="Times New Roman" w:hAnsi="Times New Roman"/>
          <w:sz w:val="24"/>
          <w:szCs w:val="24"/>
        </w:rPr>
        <w:t>. _______  .§)</w:t>
      </w:r>
    </w:p>
    <w:p w:rsidR="009978F6" w:rsidRPr="00866556" w:rsidRDefault="009978F6" w:rsidP="00A73867">
      <w:pPr>
        <w:spacing w:after="0" w:line="240" w:lineRule="auto"/>
        <w:rPr>
          <w:rFonts w:ascii="Times New Roman" w:hAnsi="Times New Roman"/>
          <w:sz w:val="24"/>
          <w:szCs w:val="24"/>
        </w:rPr>
      </w:pPr>
    </w:p>
    <w:p w:rsidR="0082411C" w:rsidRPr="00866556" w:rsidRDefault="00CF7887" w:rsidP="0082411C">
      <w:pPr>
        <w:spacing w:after="0" w:line="240" w:lineRule="auto"/>
        <w:jc w:val="center"/>
        <w:rPr>
          <w:rFonts w:ascii="Times New Roman" w:eastAsia="Times New Roman" w:hAnsi="Times New Roman"/>
          <w:b/>
          <w:sz w:val="24"/>
          <w:szCs w:val="24"/>
          <w:lang w:eastAsia="lv-LV"/>
        </w:rPr>
      </w:pPr>
      <w:bookmarkStart w:id="0" w:name="OLE_LINK6"/>
      <w:bookmarkStart w:id="1" w:name="OLE_LINK7"/>
      <w:bookmarkStart w:id="2" w:name="OLE_LINK9"/>
      <w:bookmarkStart w:id="3" w:name="OLE_LINK10"/>
      <w:bookmarkStart w:id="4" w:name="OLE_LINK11"/>
      <w:bookmarkStart w:id="5" w:name="OLE_LINK1"/>
      <w:bookmarkStart w:id="6" w:name="OLE_LINK2"/>
      <w:bookmarkStart w:id="7" w:name="OLE_LINK3"/>
      <w:bookmarkStart w:id="8" w:name="OLE_LINK8"/>
      <w:bookmarkStart w:id="9" w:name="OLE_LINK4"/>
      <w:bookmarkStart w:id="10" w:name="OLE_LINK5"/>
      <w:r w:rsidRPr="00866556">
        <w:rPr>
          <w:rFonts w:ascii="Times New Roman" w:eastAsia="Times New Roman" w:hAnsi="Times New Roman"/>
          <w:b/>
          <w:sz w:val="24"/>
          <w:szCs w:val="24"/>
          <w:lang w:eastAsia="lv-LV"/>
        </w:rPr>
        <w:t>Grozījum</w:t>
      </w:r>
      <w:r w:rsidR="00016443" w:rsidRPr="00866556">
        <w:rPr>
          <w:rFonts w:ascii="Times New Roman" w:eastAsia="Times New Roman" w:hAnsi="Times New Roman"/>
          <w:b/>
          <w:sz w:val="24"/>
          <w:szCs w:val="24"/>
          <w:lang w:eastAsia="lv-LV"/>
        </w:rPr>
        <w:t>i</w:t>
      </w:r>
      <w:r w:rsidRPr="00866556">
        <w:rPr>
          <w:rFonts w:ascii="Times New Roman" w:eastAsia="Times New Roman" w:hAnsi="Times New Roman"/>
          <w:b/>
          <w:sz w:val="24"/>
          <w:szCs w:val="24"/>
          <w:lang w:eastAsia="lv-LV"/>
        </w:rPr>
        <w:t xml:space="preserve"> Ministru </w:t>
      </w:r>
      <w:r w:rsidR="00C532F6" w:rsidRPr="00866556">
        <w:rPr>
          <w:rFonts w:ascii="Times New Roman" w:eastAsia="Times New Roman" w:hAnsi="Times New Roman"/>
          <w:b/>
          <w:sz w:val="24"/>
          <w:szCs w:val="24"/>
          <w:lang w:eastAsia="lv-LV"/>
        </w:rPr>
        <w:t>k</w:t>
      </w:r>
      <w:r w:rsidRPr="00866556">
        <w:rPr>
          <w:rFonts w:ascii="Times New Roman" w:eastAsia="Times New Roman" w:hAnsi="Times New Roman"/>
          <w:b/>
          <w:sz w:val="24"/>
          <w:szCs w:val="24"/>
          <w:lang w:eastAsia="lv-LV"/>
        </w:rPr>
        <w:t>abineta 20</w:t>
      </w:r>
      <w:r w:rsidR="005831BB" w:rsidRPr="00866556">
        <w:rPr>
          <w:rFonts w:ascii="Times New Roman" w:eastAsia="Times New Roman" w:hAnsi="Times New Roman"/>
          <w:b/>
          <w:sz w:val="24"/>
          <w:szCs w:val="24"/>
          <w:lang w:eastAsia="lv-LV"/>
        </w:rPr>
        <w:t>1</w:t>
      </w:r>
      <w:r w:rsidR="0082411C" w:rsidRPr="00866556">
        <w:rPr>
          <w:rFonts w:ascii="Times New Roman" w:eastAsia="Times New Roman" w:hAnsi="Times New Roman"/>
          <w:b/>
          <w:sz w:val="24"/>
          <w:szCs w:val="24"/>
          <w:lang w:eastAsia="lv-LV"/>
        </w:rPr>
        <w:t>0</w:t>
      </w:r>
      <w:r w:rsidRPr="00866556">
        <w:rPr>
          <w:rFonts w:ascii="Times New Roman" w:eastAsia="Times New Roman" w:hAnsi="Times New Roman"/>
          <w:b/>
          <w:sz w:val="24"/>
          <w:szCs w:val="24"/>
          <w:lang w:eastAsia="lv-LV"/>
        </w:rPr>
        <w:t>.gada</w:t>
      </w:r>
      <w:r w:rsidR="003D214E" w:rsidRPr="00866556">
        <w:rPr>
          <w:rFonts w:ascii="Times New Roman" w:eastAsia="Times New Roman" w:hAnsi="Times New Roman"/>
          <w:b/>
          <w:sz w:val="24"/>
          <w:szCs w:val="24"/>
          <w:lang w:eastAsia="lv-LV"/>
        </w:rPr>
        <w:t xml:space="preserve"> </w:t>
      </w:r>
      <w:r w:rsidR="0082411C" w:rsidRPr="00866556">
        <w:rPr>
          <w:rFonts w:ascii="Times New Roman" w:eastAsia="Times New Roman" w:hAnsi="Times New Roman"/>
          <w:b/>
          <w:sz w:val="24"/>
          <w:szCs w:val="24"/>
          <w:lang w:eastAsia="lv-LV"/>
        </w:rPr>
        <w:t>13</w:t>
      </w:r>
      <w:r w:rsidRPr="00866556">
        <w:rPr>
          <w:rFonts w:ascii="Times New Roman" w:eastAsia="Times New Roman" w:hAnsi="Times New Roman"/>
          <w:b/>
          <w:sz w:val="24"/>
          <w:szCs w:val="24"/>
          <w:lang w:eastAsia="lv-LV"/>
        </w:rPr>
        <w:t>.</w:t>
      </w:r>
      <w:r w:rsidR="0082411C" w:rsidRPr="00866556">
        <w:rPr>
          <w:rFonts w:ascii="Times New Roman" w:eastAsia="Times New Roman" w:hAnsi="Times New Roman"/>
          <w:b/>
          <w:sz w:val="24"/>
          <w:szCs w:val="24"/>
          <w:lang w:eastAsia="lv-LV"/>
        </w:rPr>
        <w:t>aprīļa</w:t>
      </w:r>
      <w:r w:rsidRPr="00866556">
        <w:rPr>
          <w:rFonts w:ascii="Times New Roman" w:eastAsia="Times New Roman" w:hAnsi="Times New Roman"/>
          <w:b/>
          <w:sz w:val="24"/>
          <w:szCs w:val="24"/>
          <w:lang w:eastAsia="lv-LV"/>
        </w:rPr>
        <w:t xml:space="preserve"> noteikumos </w:t>
      </w:r>
      <w:r w:rsidR="00380B2B" w:rsidRPr="00866556">
        <w:rPr>
          <w:rFonts w:ascii="Times New Roman" w:eastAsia="Times New Roman" w:hAnsi="Times New Roman"/>
          <w:b/>
          <w:sz w:val="24"/>
          <w:szCs w:val="24"/>
          <w:lang w:eastAsia="lv-LV"/>
        </w:rPr>
        <w:t>Nr.</w:t>
      </w:r>
      <w:r w:rsidR="0082411C" w:rsidRPr="00866556">
        <w:rPr>
          <w:rFonts w:ascii="Times New Roman" w:eastAsia="Times New Roman" w:hAnsi="Times New Roman"/>
          <w:b/>
          <w:sz w:val="24"/>
          <w:szCs w:val="24"/>
          <w:lang w:eastAsia="lv-LV"/>
        </w:rPr>
        <w:t>361</w:t>
      </w:r>
      <w:r w:rsidR="00380B2B" w:rsidRPr="00866556">
        <w:rPr>
          <w:rFonts w:ascii="Times New Roman" w:eastAsia="Times New Roman" w:hAnsi="Times New Roman"/>
          <w:b/>
          <w:sz w:val="24"/>
          <w:szCs w:val="24"/>
          <w:lang w:eastAsia="lv-LV"/>
        </w:rPr>
        <w:t xml:space="preserve"> „</w:t>
      </w:r>
      <w:bookmarkEnd w:id="0"/>
      <w:bookmarkEnd w:id="1"/>
      <w:r w:rsidR="0082411C" w:rsidRPr="00866556">
        <w:rPr>
          <w:rFonts w:ascii="Times New Roman" w:eastAsia="Times New Roman" w:hAnsi="Times New Roman"/>
          <w:b/>
          <w:sz w:val="24"/>
          <w:szCs w:val="24"/>
          <w:lang w:eastAsia="lv-LV"/>
        </w:rPr>
        <w:t>Noteikumi par darbības programmas „Uzņēmējdarbība un inovācijas” papildinājuma 2.1.2.1.1.apakšaktivitāti „Kompetences centri”</w:t>
      </w:r>
      <w:r w:rsidR="005F7408" w:rsidRPr="00866556">
        <w:rPr>
          <w:rFonts w:ascii="Times New Roman" w:eastAsia="Times New Roman" w:hAnsi="Times New Roman"/>
          <w:b/>
          <w:sz w:val="24"/>
          <w:szCs w:val="24"/>
          <w:lang w:eastAsia="lv-LV"/>
        </w:rPr>
        <w:t>”</w:t>
      </w:r>
      <w:bookmarkEnd w:id="2"/>
      <w:bookmarkEnd w:id="3"/>
      <w:bookmarkEnd w:id="4"/>
    </w:p>
    <w:p w:rsidR="00311088" w:rsidRPr="00866556" w:rsidRDefault="00311088" w:rsidP="00577655">
      <w:pPr>
        <w:spacing w:after="0" w:line="240" w:lineRule="auto"/>
        <w:jc w:val="center"/>
        <w:rPr>
          <w:rFonts w:ascii="Times New Roman" w:eastAsia="Times New Roman" w:hAnsi="Times New Roman"/>
          <w:b/>
          <w:sz w:val="24"/>
          <w:szCs w:val="24"/>
          <w:lang w:eastAsia="lv-LV"/>
        </w:rPr>
      </w:pPr>
    </w:p>
    <w:bookmarkEnd w:id="5"/>
    <w:bookmarkEnd w:id="6"/>
    <w:bookmarkEnd w:id="7"/>
    <w:bookmarkEnd w:id="8"/>
    <w:bookmarkEnd w:id="9"/>
    <w:bookmarkEnd w:id="10"/>
    <w:p w:rsidR="009978F6" w:rsidRPr="00866556" w:rsidRDefault="009978F6" w:rsidP="00A73867">
      <w:pPr>
        <w:pStyle w:val="naislab"/>
        <w:spacing w:before="0" w:after="0"/>
      </w:pPr>
      <w:r w:rsidRPr="00866556">
        <w:t>Izdoti saskaņā ar</w:t>
      </w:r>
    </w:p>
    <w:p w:rsidR="009978F6" w:rsidRPr="00866556" w:rsidRDefault="009978F6" w:rsidP="00A73867">
      <w:pPr>
        <w:pStyle w:val="naislab"/>
        <w:spacing w:before="0" w:after="0"/>
      </w:pPr>
      <w:r w:rsidRPr="00866556">
        <w:t>Eiropas Savienības struktūrfondu un</w:t>
      </w:r>
    </w:p>
    <w:p w:rsidR="009978F6" w:rsidRPr="00866556" w:rsidRDefault="009978F6" w:rsidP="00A73867">
      <w:pPr>
        <w:pStyle w:val="naislab"/>
        <w:spacing w:before="0" w:after="0"/>
      </w:pPr>
      <w:r w:rsidRPr="00866556">
        <w:t>Kohēzijas fonda vadības likuma</w:t>
      </w:r>
    </w:p>
    <w:p w:rsidR="009978F6" w:rsidRPr="00866556" w:rsidRDefault="009978F6" w:rsidP="00A73867">
      <w:pPr>
        <w:pStyle w:val="naislab"/>
        <w:spacing w:before="0" w:after="0"/>
      </w:pPr>
      <w:r w:rsidRPr="00866556">
        <w:t>18.panta 10.punktu</w:t>
      </w:r>
    </w:p>
    <w:p w:rsidR="009978F6" w:rsidRPr="00866556" w:rsidRDefault="009978F6" w:rsidP="00A73867">
      <w:pPr>
        <w:pStyle w:val="naislab"/>
        <w:spacing w:before="0" w:after="0"/>
        <w:jc w:val="left"/>
      </w:pPr>
    </w:p>
    <w:p w:rsidR="00286C05" w:rsidRPr="00866556" w:rsidRDefault="009978F6" w:rsidP="0042685D">
      <w:pPr>
        <w:pStyle w:val="naislab"/>
        <w:spacing w:before="0" w:after="0"/>
        <w:jc w:val="both"/>
      </w:pPr>
      <w:r w:rsidRPr="00866556">
        <w:tab/>
        <w:t xml:space="preserve">Izdarīt Ministru </w:t>
      </w:r>
      <w:r w:rsidR="00C532F6" w:rsidRPr="00866556">
        <w:t>k</w:t>
      </w:r>
      <w:r w:rsidRPr="00866556">
        <w:t xml:space="preserve">abineta </w:t>
      </w:r>
      <w:r w:rsidR="005831BB" w:rsidRPr="00866556">
        <w:t>201</w:t>
      </w:r>
      <w:r w:rsidR="00390418" w:rsidRPr="00866556">
        <w:t>0</w:t>
      </w:r>
      <w:r w:rsidR="005831BB" w:rsidRPr="00866556">
        <w:t xml:space="preserve">.gada </w:t>
      </w:r>
      <w:r w:rsidR="00390418" w:rsidRPr="00866556">
        <w:t>13</w:t>
      </w:r>
      <w:r w:rsidR="005831BB" w:rsidRPr="00866556">
        <w:t>.</w:t>
      </w:r>
      <w:r w:rsidR="00390418" w:rsidRPr="00866556">
        <w:t>aprīļa</w:t>
      </w:r>
      <w:r w:rsidR="005831BB" w:rsidRPr="00866556">
        <w:t xml:space="preserve"> noteikumos Nr.</w:t>
      </w:r>
      <w:r w:rsidR="00390418" w:rsidRPr="00866556">
        <w:t>361</w:t>
      </w:r>
      <w:r w:rsidR="005831BB" w:rsidRPr="00866556">
        <w:t xml:space="preserve"> </w:t>
      </w:r>
      <w:r w:rsidR="00390418" w:rsidRPr="00866556">
        <w:t>„Noteikumi par darbības programmas „Uzņēmējdarbība un inovācijas” papildinājuma 2.1.2.1.1.apakšaktivitāti „Kompetences centri””</w:t>
      </w:r>
      <w:r w:rsidR="005831BB" w:rsidRPr="00866556">
        <w:t xml:space="preserve"> </w:t>
      </w:r>
      <w:r w:rsidR="00791438" w:rsidRPr="00866556">
        <w:t>(Latvijas Vēstnesis 2010, 69.nr.; 2011, 22.nr.; 2012, 83.</w:t>
      </w:r>
      <w:r w:rsidR="00DC3631" w:rsidRPr="00866556">
        <w:t>, 168.</w:t>
      </w:r>
      <w:r w:rsidR="00791438" w:rsidRPr="00866556">
        <w:t>nr.)</w:t>
      </w:r>
      <w:r w:rsidR="00351078" w:rsidRPr="00866556">
        <w:t xml:space="preserve"> </w:t>
      </w:r>
      <w:r w:rsidR="00AD2D87" w:rsidRPr="00866556">
        <w:t xml:space="preserve">šādus </w:t>
      </w:r>
      <w:r w:rsidR="0042685D" w:rsidRPr="00866556">
        <w:t>grozījumu</w:t>
      </w:r>
      <w:r w:rsidR="00AD2D87" w:rsidRPr="00866556">
        <w:t>s:</w:t>
      </w:r>
    </w:p>
    <w:p w:rsidR="00166565" w:rsidRPr="00866556" w:rsidRDefault="00166565" w:rsidP="00F204D7">
      <w:pPr>
        <w:pStyle w:val="naislab"/>
        <w:spacing w:before="0" w:after="0"/>
        <w:jc w:val="both"/>
      </w:pPr>
    </w:p>
    <w:p w:rsidR="009D0E47" w:rsidRPr="00866556" w:rsidRDefault="009D0E47" w:rsidP="009343F0">
      <w:pPr>
        <w:pStyle w:val="naislab"/>
        <w:numPr>
          <w:ilvl w:val="0"/>
          <w:numId w:val="8"/>
        </w:numPr>
        <w:spacing w:before="0" w:after="0"/>
        <w:jc w:val="both"/>
        <w:rPr>
          <w:b/>
        </w:rPr>
      </w:pPr>
      <w:r w:rsidRPr="00866556">
        <w:rPr>
          <w:b/>
        </w:rPr>
        <w:t>Izteikt 15.punktu šādā redakcijā:</w:t>
      </w:r>
    </w:p>
    <w:p w:rsidR="00815395" w:rsidRPr="00866556" w:rsidRDefault="009D0E47" w:rsidP="00815395">
      <w:pPr>
        <w:pStyle w:val="naislab"/>
        <w:spacing w:before="0" w:after="0"/>
        <w:jc w:val="both"/>
        <w:rPr>
          <w:b/>
        </w:rPr>
      </w:pPr>
      <w:r w:rsidRPr="00866556">
        <w:rPr>
          <w:b/>
        </w:rPr>
        <w:t>„</w:t>
      </w:r>
      <w:r w:rsidR="00815395" w:rsidRPr="00866556">
        <w:rPr>
          <w:b/>
        </w:rPr>
        <w:t>15. Kompetences centrs nevar pretendēt uz finansējumu projektam, ja:</w:t>
      </w:r>
    </w:p>
    <w:p w:rsidR="00815395" w:rsidRPr="00866556" w:rsidRDefault="00815395" w:rsidP="00815395">
      <w:pPr>
        <w:pStyle w:val="naislab"/>
        <w:spacing w:after="0"/>
        <w:jc w:val="both"/>
        <w:rPr>
          <w:b/>
        </w:rPr>
      </w:pPr>
      <w:r w:rsidRPr="00866556">
        <w:rPr>
          <w:b/>
        </w:rPr>
        <w:t>15.1. tas projekta īstenošanas laikā atbildīgajai iestādei vai sadarbības iestādei sniedzis nepatiesu informāciju vai tīši to maldinājis saistībā ar projekta īstenošanu;</w:t>
      </w:r>
    </w:p>
    <w:p w:rsidR="00815395" w:rsidRPr="00866556" w:rsidRDefault="00815395" w:rsidP="00815395">
      <w:pPr>
        <w:pStyle w:val="naislab"/>
        <w:spacing w:after="0"/>
        <w:jc w:val="both"/>
        <w:rPr>
          <w:b/>
        </w:rPr>
      </w:pPr>
      <w:r w:rsidRPr="00866556">
        <w:rPr>
          <w:b/>
        </w:rPr>
        <w:t>15.2. tā interesēs fiziska persona ir izdarījusi noziedzīgu nodarījumu, kas skāris Latvijas Republikas vai Eiropas Savienības finanšu intereses, un kompetences centram saskaņā ar Krimināllikumu ir piemēroti piespiedu ietekmēšanas līdzekļi;</w:t>
      </w:r>
    </w:p>
    <w:p w:rsidR="00815395" w:rsidRPr="00866556" w:rsidRDefault="00815395" w:rsidP="00815395">
      <w:pPr>
        <w:pStyle w:val="naislab"/>
        <w:spacing w:after="0"/>
        <w:jc w:val="both"/>
        <w:rPr>
          <w:b/>
        </w:rPr>
      </w:pPr>
      <w:r w:rsidRPr="00866556">
        <w:rPr>
          <w:b/>
        </w:rPr>
        <w:t>15.3. tas saņēmis vai paredz saņemt finansējumu par tām pašām attiecināmajām izmaksām citu aktivitāšu ietvaros no vietējiem, reģionālajiem, valsts vai Eiropas Savienības līdzekļiem, izņemot šo noteikumu 38.1 punktā minētos nosacījumus;</w:t>
      </w:r>
    </w:p>
    <w:p w:rsidR="00A97584" w:rsidRPr="00866556" w:rsidRDefault="00A97584" w:rsidP="00A97584">
      <w:pPr>
        <w:pStyle w:val="naislab"/>
        <w:spacing w:after="0"/>
        <w:jc w:val="both"/>
        <w:rPr>
          <w:b/>
        </w:rPr>
      </w:pPr>
      <w:r w:rsidRPr="00866556">
        <w:rPr>
          <w:b/>
        </w:rPr>
        <w:t>15.4. šo noteikumu 19.1. un 19.2.apakšpunktā minēto darbību gadījumā tas vai tā sadarbības partneri atbilst grūtībās nonākuša komersanta statusam atbilstoši noteikumu 15.4.1. vai 15.4.2.apakšpunktā noteiktajam:</w:t>
      </w:r>
    </w:p>
    <w:p w:rsidR="00A97584" w:rsidRPr="00866556" w:rsidRDefault="00A97584" w:rsidP="00A97584">
      <w:pPr>
        <w:pStyle w:val="naislab"/>
        <w:spacing w:after="0"/>
        <w:jc w:val="both"/>
        <w:rPr>
          <w:b/>
        </w:rPr>
      </w:pPr>
      <w:r w:rsidRPr="00866556">
        <w:rPr>
          <w:b/>
        </w:rPr>
        <w:t>15.4.1. komersanti, kas atbilst sīkā (</w:t>
      </w:r>
      <w:proofErr w:type="spellStart"/>
      <w:r w:rsidRPr="00866556">
        <w:rPr>
          <w:b/>
        </w:rPr>
        <w:t>mikro</w:t>
      </w:r>
      <w:proofErr w:type="spellEnd"/>
      <w:r w:rsidRPr="00866556">
        <w:rPr>
          <w:b/>
        </w:rPr>
        <w:t>), mazā vai vidējā komersanta definīcijai atbilstoši Komisijas Regulas Nr.800/2008 1.pielikuma 2.pantam ir uzskatāmi par grūtībās nonākušiem, ja tie atbilst Komisijas Regulas 800/2008 1.panta 7.punktā noteiktajam. Šo nosacījumu nepiemēro sīkajiem (</w:t>
      </w:r>
      <w:proofErr w:type="spellStart"/>
      <w:r w:rsidRPr="00866556">
        <w:rPr>
          <w:b/>
        </w:rPr>
        <w:t>mikro</w:t>
      </w:r>
      <w:proofErr w:type="spellEnd"/>
      <w:r w:rsidRPr="00866556">
        <w:rPr>
          <w:b/>
        </w:rPr>
        <w:t>), mazajiem un vidējiem komersantiem, kas ir reģistrēti pirms mazāk nekā trim gadiem kopš projekta iesnieguma iesniegšanas dienas;</w:t>
      </w:r>
    </w:p>
    <w:p w:rsidR="00A97584" w:rsidRPr="00866556" w:rsidRDefault="00A97584" w:rsidP="00A97584">
      <w:pPr>
        <w:pStyle w:val="naislab"/>
        <w:spacing w:after="0"/>
        <w:jc w:val="both"/>
        <w:rPr>
          <w:b/>
        </w:rPr>
      </w:pPr>
      <w:r w:rsidRPr="00866556">
        <w:rPr>
          <w:b/>
        </w:rPr>
        <w:t>15.4.2. komersants, kas atbilst lielā komersanta definīcijai atbilstoši Komisijas Regulas Nr.800/2008 2.panta 8.punktam, saskaņā ar Komisijas paziņojumu ,,Kopienas pamatnostādnes par valsts atbalstu grūtībās nonākušu uzņēmu glābšanai un pārstrukturēšanai (Eiropas Savienības Oficiālais Vēstnesis, 2004.gada 1.oktobrī, C 244)” uzskatāms par grūtībās nonākušu lielo komersantu, ja tam:</w:t>
      </w:r>
    </w:p>
    <w:p w:rsidR="00A97584" w:rsidRPr="00866556" w:rsidRDefault="00A97584" w:rsidP="00A97584">
      <w:pPr>
        <w:pStyle w:val="naislab"/>
        <w:spacing w:after="0"/>
        <w:jc w:val="both"/>
        <w:rPr>
          <w:b/>
        </w:rPr>
      </w:pPr>
      <w:r w:rsidRPr="00866556">
        <w:rPr>
          <w:b/>
        </w:rPr>
        <w:t>15.4.2.1. ar tiesas spriedumu ir pasludināts maksātnespējas process vai ar tiesas spriedumu tiek īstenots tiesiskās aizsardzības process, vai ar tiesas lēmumu tiek īstenots ārpus tiesas tiesiskās aizsardzības process, tam uzsākta bankrota procedūra, piemērota sanācija vai mierizlīgums, vai tā saimnieciskā darbība ir izbeigta;</w:t>
      </w:r>
    </w:p>
    <w:p w:rsidR="00A97584" w:rsidRPr="00866556" w:rsidRDefault="00A97584" w:rsidP="00A97584">
      <w:pPr>
        <w:pStyle w:val="naislab"/>
        <w:spacing w:after="0"/>
        <w:jc w:val="both"/>
        <w:rPr>
          <w:b/>
        </w:rPr>
      </w:pPr>
      <w:r w:rsidRPr="00866556">
        <w:rPr>
          <w:b/>
        </w:rPr>
        <w:t>15.4.2.2. projekta iesnieguma iesniegšanas dienā zaudējumi pārsniedz pusi no pamatkapitāla un pēdējo 12 mēnešu laikā – ceturtdaļu no pamatkapitāla un konstatējamas šo noteikumu 15.4.2.4.apakšpunktā minētās pazīmes;</w:t>
      </w:r>
    </w:p>
    <w:p w:rsidR="00A97584" w:rsidRPr="00866556" w:rsidRDefault="00A97584" w:rsidP="00A97584">
      <w:pPr>
        <w:pStyle w:val="naislab"/>
        <w:spacing w:after="0"/>
        <w:jc w:val="both"/>
        <w:rPr>
          <w:b/>
        </w:rPr>
      </w:pPr>
      <w:r w:rsidRPr="00866556">
        <w:rPr>
          <w:b/>
        </w:rPr>
        <w:lastRenderedPageBreak/>
        <w:t>15.4.2.3. saskaņā ar pēdējo divu noslēgto finanšu gadu pārskatiem un pēdējo pieejamo operatīvo pārskatu projekta iesnieguma iesniegšanas dienā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 un konstatējamas šo noteikumu 15.4.2.4.apakšpunktā minētās pazīmes;</w:t>
      </w:r>
    </w:p>
    <w:p w:rsidR="00815395" w:rsidRPr="00866556" w:rsidRDefault="00A97584" w:rsidP="00A97584">
      <w:pPr>
        <w:pStyle w:val="naislab"/>
        <w:spacing w:after="0"/>
        <w:jc w:val="both"/>
        <w:rPr>
          <w:b/>
        </w:rPr>
      </w:pPr>
      <w:r w:rsidRPr="00866556">
        <w:rPr>
          <w:b/>
        </w:rPr>
        <w:t xml:space="preserve">15.4.2.4.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866556">
        <w:rPr>
          <w:b/>
        </w:rPr>
        <w:t>īstermiņā</w:t>
      </w:r>
      <w:proofErr w:type="spellEnd"/>
      <w:r w:rsidRPr="00866556">
        <w:rPr>
          <w:b/>
        </w:rPr>
        <w:t xml:space="preserve"> vai vidējā termiņā izraisīs saimnieciskās darbības veicēja nespēju turpināt darbību;</w:t>
      </w:r>
    </w:p>
    <w:p w:rsidR="00815395" w:rsidRPr="00866556" w:rsidRDefault="00815395" w:rsidP="00815395">
      <w:pPr>
        <w:pStyle w:val="naislab"/>
        <w:spacing w:after="0"/>
        <w:jc w:val="both"/>
        <w:rPr>
          <w:b/>
        </w:rPr>
      </w:pPr>
      <w:r w:rsidRPr="00866556">
        <w:rPr>
          <w:b/>
        </w:rPr>
        <w:t>15.5. tas ir pārkāpis šo noteikumu nosacījumus;</w:t>
      </w:r>
    </w:p>
    <w:p w:rsidR="00815395" w:rsidRPr="00866556" w:rsidRDefault="00815395" w:rsidP="00815395">
      <w:pPr>
        <w:pStyle w:val="naislab"/>
        <w:spacing w:after="0"/>
        <w:jc w:val="both"/>
        <w:rPr>
          <w:b/>
        </w:rPr>
      </w:pPr>
      <w:r w:rsidRPr="00866556">
        <w:rPr>
          <w:b/>
        </w:rPr>
        <w:t>15.6. uz to vai tā sadarbības partneriem attiecas līdzekļu atgūšanas rīkojums, kas minēts Komisijas regulas Nr.800/2008 1.panta 6.punkta ''a'' apakšpunktā;</w:t>
      </w:r>
    </w:p>
    <w:p w:rsidR="009D0E47" w:rsidRPr="00866556" w:rsidRDefault="00815395" w:rsidP="00815395">
      <w:pPr>
        <w:pStyle w:val="naislab"/>
        <w:spacing w:after="0"/>
        <w:jc w:val="both"/>
        <w:rPr>
          <w:b/>
        </w:rPr>
      </w:pPr>
      <w:r w:rsidRPr="00866556">
        <w:rPr>
          <w:b/>
        </w:rPr>
        <w:t>15.7. šo noteikumu</w:t>
      </w:r>
      <w:r w:rsidR="00A97584" w:rsidRPr="00866556">
        <w:rPr>
          <w:b/>
        </w:rPr>
        <w:t xml:space="preserve"> 19.3.apakšpunktā minēto darbību gadījumā tas vai tā sadarbības partneri atbilst grūtībās nonākuša komersanta statusam, ja tam izpildās šo noteikumu 15.4.2.1.-15.4.2.4.apakšpunktos noteiktie nosacījumi</w:t>
      </w:r>
      <w:r w:rsidRPr="00866556">
        <w:rPr>
          <w:b/>
        </w:rPr>
        <w:t>.</w:t>
      </w:r>
      <w:r w:rsidR="009D0E47" w:rsidRPr="00866556">
        <w:rPr>
          <w:b/>
        </w:rPr>
        <w:t>”</w:t>
      </w:r>
    </w:p>
    <w:p w:rsidR="009D0E47" w:rsidRPr="00866556" w:rsidRDefault="009D0E47" w:rsidP="009D0E47">
      <w:pPr>
        <w:pStyle w:val="naislab"/>
        <w:spacing w:before="0" w:after="0"/>
        <w:jc w:val="both"/>
        <w:rPr>
          <w:b/>
        </w:rPr>
      </w:pPr>
    </w:p>
    <w:p w:rsidR="00A97584" w:rsidRPr="00866556" w:rsidRDefault="00A97584" w:rsidP="009343F0">
      <w:pPr>
        <w:pStyle w:val="naislab"/>
        <w:numPr>
          <w:ilvl w:val="0"/>
          <w:numId w:val="8"/>
        </w:numPr>
        <w:spacing w:before="0" w:after="0"/>
        <w:jc w:val="both"/>
        <w:rPr>
          <w:b/>
        </w:rPr>
      </w:pPr>
      <w:r w:rsidRPr="00866556">
        <w:rPr>
          <w:b/>
        </w:rPr>
        <w:t xml:space="preserve">Izteikt </w:t>
      </w:r>
      <w:r w:rsidR="00747800" w:rsidRPr="00866556">
        <w:rPr>
          <w:b/>
        </w:rPr>
        <w:t>15.</w:t>
      </w:r>
      <w:r w:rsidR="00747800" w:rsidRPr="00866556">
        <w:rPr>
          <w:b/>
          <w:vertAlign w:val="superscript"/>
        </w:rPr>
        <w:t>1</w:t>
      </w:r>
      <w:r w:rsidR="00747800" w:rsidRPr="00866556">
        <w:rPr>
          <w:b/>
        </w:rPr>
        <w:t xml:space="preserve"> 2.apakšpunktu šādā redakcijā:</w:t>
      </w:r>
    </w:p>
    <w:p w:rsidR="00747800" w:rsidRPr="00866556" w:rsidRDefault="00747800" w:rsidP="00747800">
      <w:pPr>
        <w:pStyle w:val="naislab"/>
        <w:spacing w:after="0"/>
        <w:jc w:val="both"/>
      </w:pPr>
      <w:r w:rsidRPr="00866556">
        <w:rPr>
          <w:b/>
        </w:rPr>
        <w:t>„15.</w:t>
      </w:r>
      <w:r w:rsidRPr="00866556">
        <w:rPr>
          <w:b/>
          <w:vertAlign w:val="superscript"/>
        </w:rPr>
        <w:t>1</w:t>
      </w:r>
      <w:r w:rsidRPr="00866556">
        <w:rPr>
          <w:b/>
        </w:rPr>
        <w:t xml:space="preserve"> 2. uz individuālā pētījuma īstenotāju attiecas šo noteikumu 15.2., 15.3., 15.4., 15.5. vai  15.6.apakšpunktā minētie nosacījumi.”</w:t>
      </w:r>
    </w:p>
    <w:p w:rsidR="00747800" w:rsidRPr="00866556" w:rsidRDefault="00747800" w:rsidP="00747800">
      <w:pPr>
        <w:pStyle w:val="naislab"/>
        <w:spacing w:before="0" w:after="0"/>
        <w:jc w:val="both"/>
      </w:pPr>
    </w:p>
    <w:p w:rsidR="00E359A5" w:rsidRPr="00866556" w:rsidRDefault="00E359A5" w:rsidP="009343F0">
      <w:pPr>
        <w:pStyle w:val="naislab"/>
        <w:numPr>
          <w:ilvl w:val="0"/>
          <w:numId w:val="8"/>
        </w:numPr>
        <w:spacing w:before="0" w:after="0"/>
        <w:jc w:val="both"/>
      </w:pPr>
      <w:r w:rsidRPr="00866556">
        <w:t>Svītrot 16.</w:t>
      </w:r>
      <w:r w:rsidRPr="00866556">
        <w:rPr>
          <w:vertAlign w:val="superscript"/>
        </w:rPr>
        <w:t>1</w:t>
      </w:r>
      <w:r w:rsidRPr="00866556">
        <w:t xml:space="preserve"> punktu; </w:t>
      </w:r>
    </w:p>
    <w:p w:rsidR="00E359A5" w:rsidRPr="00866556" w:rsidRDefault="00E359A5" w:rsidP="00E359A5">
      <w:pPr>
        <w:pStyle w:val="naislab"/>
        <w:spacing w:before="0" w:after="0"/>
        <w:ind w:left="360"/>
        <w:jc w:val="both"/>
      </w:pPr>
    </w:p>
    <w:p w:rsidR="00EB629B" w:rsidRPr="00866556" w:rsidRDefault="00E359A5" w:rsidP="009343F0">
      <w:pPr>
        <w:pStyle w:val="naislab"/>
        <w:numPr>
          <w:ilvl w:val="0"/>
          <w:numId w:val="8"/>
        </w:numPr>
        <w:spacing w:before="0" w:after="0"/>
        <w:jc w:val="both"/>
      </w:pPr>
      <w:r w:rsidRPr="00866556">
        <w:t xml:space="preserve">Svītrot </w:t>
      </w:r>
      <w:r w:rsidR="00EB629B" w:rsidRPr="00866556">
        <w:t>16.</w:t>
      </w:r>
      <w:r w:rsidR="00EB629B" w:rsidRPr="00866556">
        <w:rPr>
          <w:vertAlign w:val="superscript"/>
        </w:rPr>
        <w:t>2</w:t>
      </w:r>
      <w:r w:rsidR="00EB629B" w:rsidRPr="00866556">
        <w:t xml:space="preserve"> punkt</w:t>
      </w:r>
      <w:r w:rsidRPr="00866556">
        <w:t>ā</w:t>
      </w:r>
      <w:r w:rsidR="00EB629B" w:rsidRPr="00866556">
        <w:t xml:space="preserve"> </w:t>
      </w:r>
      <w:r w:rsidRPr="00866556">
        <w:t>vārdus „šo noteikumu 16.</w:t>
      </w:r>
      <w:r w:rsidRPr="00866556">
        <w:rPr>
          <w:vertAlign w:val="superscript"/>
        </w:rPr>
        <w:t>1</w:t>
      </w:r>
      <w:r w:rsidRPr="00866556">
        <w:t xml:space="preserve"> punktu un”;</w:t>
      </w:r>
    </w:p>
    <w:p w:rsidR="00E359A5" w:rsidRPr="00866556" w:rsidRDefault="00E359A5" w:rsidP="00E359A5">
      <w:pPr>
        <w:pStyle w:val="naislab"/>
        <w:spacing w:before="0" w:after="0"/>
        <w:jc w:val="both"/>
      </w:pPr>
    </w:p>
    <w:p w:rsidR="00BC7ED6" w:rsidRPr="00866556" w:rsidRDefault="00BC7ED6" w:rsidP="009343F0">
      <w:pPr>
        <w:pStyle w:val="naislab"/>
        <w:numPr>
          <w:ilvl w:val="0"/>
          <w:numId w:val="8"/>
        </w:numPr>
        <w:spacing w:before="0" w:after="0"/>
        <w:jc w:val="both"/>
      </w:pPr>
      <w:r w:rsidRPr="00866556">
        <w:t>Izteikt 25.4.apkšpunktu šādā redakcijā:</w:t>
      </w:r>
    </w:p>
    <w:p w:rsidR="00BC7ED6" w:rsidRPr="00866556" w:rsidRDefault="00BC7ED6" w:rsidP="009343F0">
      <w:pPr>
        <w:pStyle w:val="naislab"/>
        <w:spacing w:before="0" w:after="0"/>
        <w:jc w:val="both"/>
      </w:pPr>
      <w:r w:rsidRPr="00866556">
        <w:t>„</w:t>
      </w:r>
      <w:r w:rsidR="009343F0" w:rsidRPr="00866556">
        <w:t>25.4. kompetences centra netiešās projekta īstenošanas izmaksas, nepārsniedzot 5 % no projekta tiešajām attiecināmajām izmaksām, kuras ir minētas šo noteikumu 25.2.apakšpunktā, – projekta vadības izmaksas (ārpakalpojumu iegāde – juridiskie, grāmatvedības, lietvedības un tulkošanas pakalpojumi) un izmaksas, kas saistītas ar šo noteikumu 76.</w:t>
      </w:r>
      <w:r w:rsidR="004E79CD" w:rsidRPr="00866556">
        <w:rPr>
          <w:vertAlign w:val="superscript"/>
        </w:rPr>
        <w:t xml:space="preserve"> </w:t>
      </w:r>
      <w:r w:rsidR="009343F0" w:rsidRPr="00866556">
        <w:t>punktā minēto darījuma kontu.</w:t>
      </w:r>
      <w:r w:rsidRPr="00866556">
        <w:t>”</w:t>
      </w:r>
    </w:p>
    <w:p w:rsidR="00BC7ED6" w:rsidRPr="00866556" w:rsidRDefault="00BC7ED6" w:rsidP="009343F0">
      <w:pPr>
        <w:pStyle w:val="naislab"/>
        <w:spacing w:before="0" w:after="0"/>
        <w:jc w:val="both"/>
      </w:pPr>
    </w:p>
    <w:p w:rsidR="00094483" w:rsidRPr="00866556" w:rsidRDefault="00094483" w:rsidP="00094483">
      <w:pPr>
        <w:pStyle w:val="naislab"/>
        <w:numPr>
          <w:ilvl w:val="0"/>
          <w:numId w:val="8"/>
        </w:numPr>
        <w:spacing w:before="0" w:after="0"/>
        <w:jc w:val="both"/>
      </w:pPr>
      <w:r w:rsidRPr="00866556">
        <w:t>Izteikt 34.punktu šādā redakcijā:</w:t>
      </w:r>
    </w:p>
    <w:p w:rsidR="00473D5C" w:rsidRPr="00866556" w:rsidRDefault="00094483" w:rsidP="006A2767">
      <w:pPr>
        <w:pStyle w:val="naislab"/>
        <w:spacing w:before="0" w:after="0"/>
        <w:jc w:val="both"/>
        <w:rPr>
          <w:b/>
        </w:rPr>
      </w:pPr>
      <w:r w:rsidRPr="00866556">
        <w:t>„34. Ja kāda nozares vai individuālā rūpnieciskā pētījuma rezultāti nerada šo noteikumu 35. vai 35.</w:t>
      </w:r>
      <w:r w:rsidRPr="00866556">
        <w:rPr>
          <w:vertAlign w:val="superscript"/>
        </w:rPr>
        <w:t>1</w:t>
      </w:r>
      <w:r w:rsidRPr="00866556">
        <w:t xml:space="preserve"> punktā minētās intelektuālās īpašuma tiesības, attiecīgajam nozares vai individuālajam rūpnieciskajam pētījumam var palielināt šo noteikumu 33.1.1.apakšpunktā minēto finansējuma intensitāti par 10 procentpunktiem, bet </w:t>
      </w:r>
      <w:r w:rsidR="000D3229">
        <w:t xml:space="preserve">šo noteikumu </w:t>
      </w:r>
      <w:r w:rsidRPr="00866556">
        <w:t>33.1.2. un 33.1.3.apakšpunktā minēto intensitāti – par 15 procentpunktiem</w:t>
      </w:r>
      <w:r w:rsidR="006A2767" w:rsidRPr="00866556">
        <w:t>.</w:t>
      </w:r>
      <w:r w:rsidR="00473D5C" w:rsidRPr="00866556">
        <w:t xml:space="preserve"> </w:t>
      </w:r>
      <w:r w:rsidR="00E3543D" w:rsidRPr="00866556">
        <w:t>Finansējumu par šajā punktā minēto papildu intensitāti izmaksā</w:t>
      </w:r>
      <w:r w:rsidR="00330C83">
        <w:t xml:space="preserve"> </w:t>
      </w:r>
      <w:r w:rsidR="00E3543D" w:rsidRPr="00866556">
        <w:rPr>
          <w:b/>
        </w:rPr>
        <w:t xml:space="preserve">pēc tam, kad izpildīti </w:t>
      </w:r>
      <w:r w:rsidR="00473D5C" w:rsidRPr="00866556">
        <w:rPr>
          <w:b/>
        </w:rPr>
        <w:t xml:space="preserve">šādi </w:t>
      </w:r>
      <w:r w:rsidR="00E3543D" w:rsidRPr="00866556">
        <w:rPr>
          <w:b/>
        </w:rPr>
        <w:t>nosacījumi:</w:t>
      </w:r>
    </w:p>
    <w:p w:rsidR="00F56A94" w:rsidRPr="00866556" w:rsidRDefault="00F56A94" w:rsidP="006A2767">
      <w:pPr>
        <w:pStyle w:val="naislab"/>
        <w:spacing w:before="0" w:after="0"/>
        <w:jc w:val="both"/>
        <w:rPr>
          <w:b/>
        </w:rPr>
      </w:pPr>
      <w:r w:rsidRPr="00866556">
        <w:rPr>
          <w:b/>
        </w:rPr>
        <w:t>34.1. publikācijā</w:t>
      </w:r>
      <w:r w:rsidR="00F50C33" w:rsidRPr="00866556">
        <w:rPr>
          <w:b/>
        </w:rPr>
        <w:t xml:space="preserve"> </w:t>
      </w:r>
      <w:r w:rsidR="008D199A" w:rsidRPr="00866556">
        <w:rPr>
          <w:b/>
        </w:rPr>
        <w:t>vai</w:t>
      </w:r>
      <w:r w:rsidR="007B5B44" w:rsidRPr="00866556">
        <w:rPr>
          <w:b/>
        </w:rPr>
        <w:t xml:space="preserve"> konferences materiālos </w:t>
      </w:r>
      <w:r w:rsidR="00F50C33" w:rsidRPr="00866556">
        <w:rPr>
          <w:b/>
        </w:rPr>
        <w:t>ietver</w:t>
      </w:r>
      <w:r w:rsidR="000D3229">
        <w:rPr>
          <w:b/>
        </w:rPr>
        <w:t>ti</w:t>
      </w:r>
      <w:r w:rsidR="00F50C33" w:rsidRPr="00866556">
        <w:rPr>
          <w:b/>
        </w:rPr>
        <w:t xml:space="preserve"> </w:t>
      </w:r>
      <w:r w:rsidRPr="00866556">
        <w:rPr>
          <w:b/>
        </w:rPr>
        <w:t>nozīmīg</w:t>
      </w:r>
      <w:r w:rsidR="000D3229">
        <w:rPr>
          <w:b/>
        </w:rPr>
        <w:t>i</w:t>
      </w:r>
      <w:r w:rsidRPr="00866556">
        <w:rPr>
          <w:b/>
        </w:rPr>
        <w:t xml:space="preserve"> pētījuma rezultāt</w:t>
      </w:r>
      <w:r w:rsidR="000D3229">
        <w:rPr>
          <w:b/>
        </w:rPr>
        <w:t>i</w:t>
      </w:r>
      <w:r w:rsidRPr="00866556">
        <w:rPr>
          <w:b/>
        </w:rPr>
        <w:t xml:space="preserve"> un pētījuma mērķa skaidrojum</w:t>
      </w:r>
      <w:r w:rsidR="000D3229">
        <w:rPr>
          <w:b/>
        </w:rPr>
        <w:t>s.</w:t>
      </w:r>
      <w:r w:rsidRPr="00866556">
        <w:rPr>
          <w:b/>
        </w:rPr>
        <w:t xml:space="preserve"> </w:t>
      </w:r>
      <w:r w:rsidR="000D3229">
        <w:rPr>
          <w:b/>
        </w:rPr>
        <w:t>N</w:t>
      </w:r>
      <w:r w:rsidRPr="00866556">
        <w:rPr>
          <w:b/>
        </w:rPr>
        <w:t>odrošin</w:t>
      </w:r>
      <w:r w:rsidR="000D3229">
        <w:rPr>
          <w:b/>
        </w:rPr>
        <w:t>āta</w:t>
      </w:r>
      <w:r w:rsidRPr="00866556">
        <w:rPr>
          <w:b/>
        </w:rPr>
        <w:t xml:space="preserve"> atsauc</w:t>
      </w:r>
      <w:r w:rsidR="000D3229">
        <w:rPr>
          <w:b/>
        </w:rPr>
        <w:t>e</w:t>
      </w:r>
      <w:r w:rsidRPr="00866556">
        <w:rPr>
          <w:b/>
        </w:rPr>
        <w:t xml:space="preserve"> uz </w:t>
      </w:r>
      <w:r w:rsidR="00A914CA" w:rsidRPr="00866556">
        <w:rPr>
          <w:b/>
        </w:rPr>
        <w:t xml:space="preserve">tīmekļa </w:t>
      </w:r>
      <w:r w:rsidRPr="00866556">
        <w:rPr>
          <w:b/>
        </w:rPr>
        <w:t>vietni, kur  ievietoti visi pētījuma rezultāti</w:t>
      </w:r>
      <w:r w:rsidR="000D3229">
        <w:rPr>
          <w:b/>
        </w:rPr>
        <w:t xml:space="preserve">, tai skaitā arī tie </w:t>
      </w:r>
      <w:r w:rsidRPr="00866556">
        <w:rPr>
          <w:b/>
        </w:rPr>
        <w:t>rezultāt</w:t>
      </w:r>
      <w:r w:rsidR="000D3229">
        <w:rPr>
          <w:b/>
        </w:rPr>
        <w:t>i</w:t>
      </w:r>
      <w:r w:rsidRPr="00866556">
        <w:rPr>
          <w:b/>
        </w:rPr>
        <w:t>, kurus sasniegs vai precizēs pēc publikācijas veikšanas;</w:t>
      </w:r>
    </w:p>
    <w:p w:rsidR="00F56A94" w:rsidRPr="00866556" w:rsidRDefault="00F56A94" w:rsidP="006A2767">
      <w:pPr>
        <w:pStyle w:val="naislab"/>
        <w:spacing w:before="0" w:after="0"/>
        <w:jc w:val="both"/>
        <w:rPr>
          <w:b/>
        </w:rPr>
      </w:pPr>
      <w:r w:rsidRPr="00866556">
        <w:rPr>
          <w:b/>
        </w:rPr>
        <w:t>34.2. ja veic vairākus saistītus pētījumus, papildus intensitāti izmaksā par tiem pētījumiem, kas ir ietverti šo noteikumu 34.</w:t>
      </w:r>
      <w:r w:rsidR="007B5B44" w:rsidRPr="00866556">
        <w:rPr>
          <w:b/>
        </w:rPr>
        <w:t>3</w:t>
      </w:r>
      <w:r w:rsidRPr="00866556">
        <w:rPr>
          <w:b/>
        </w:rPr>
        <w:t>.</w:t>
      </w:r>
      <w:r w:rsidR="007B5B44" w:rsidRPr="00866556">
        <w:rPr>
          <w:b/>
        </w:rPr>
        <w:t>apakš</w:t>
      </w:r>
      <w:r w:rsidRPr="00866556">
        <w:rPr>
          <w:b/>
        </w:rPr>
        <w:t>punktā minētajā publikācijā</w:t>
      </w:r>
      <w:r w:rsidR="007B5B44" w:rsidRPr="00866556">
        <w:rPr>
          <w:b/>
        </w:rPr>
        <w:t xml:space="preserve"> vai konferences materiālos</w:t>
      </w:r>
      <w:r w:rsidRPr="00866556">
        <w:rPr>
          <w:b/>
        </w:rPr>
        <w:t xml:space="preserve">; </w:t>
      </w:r>
    </w:p>
    <w:p w:rsidR="00094483" w:rsidRPr="00866556" w:rsidRDefault="00E3543D" w:rsidP="003D51E8">
      <w:pPr>
        <w:pStyle w:val="naislab"/>
        <w:spacing w:before="0" w:after="0"/>
        <w:jc w:val="both"/>
      </w:pPr>
      <w:r w:rsidRPr="00866556">
        <w:rPr>
          <w:b/>
        </w:rPr>
        <w:t>34.</w:t>
      </w:r>
      <w:r w:rsidR="00F56A94" w:rsidRPr="00866556">
        <w:rPr>
          <w:b/>
        </w:rPr>
        <w:t>3</w:t>
      </w:r>
      <w:r w:rsidRPr="00866556">
        <w:rPr>
          <w:b/>
        </w:rPr>
        <w:t>. pētījuma rezultāt</w:t>
      </w:r>
      <w:r w:rsidR="00BC1B23">
        <w:rPr>
          <w:b/>
        </w:rPr>
        <w:t>i</w:t>
      </w:r>
      <w:r w:rsidRPr="00866556">
        <w:rPr>
          <w:b/>
        </w:rPr>
        <w:t xml:space="preserve"> publicē</w:t>
      </w:r>
      <w:r w:rsidR="00BC1B23">
        <w:rPr>
          <w:b/>
        </w:rPr>
        <w:t>ti</w:t>
      </w:r>
      <w:r w:rsidRPr="00866556">
        <w:rPr>
          <w:b/>
        </w:rPr>
        <w:t xml:space="preserve"> vismaz divos zinātniskos rakstos, kas indeksēti Web </w:t>
      </w:r>
      <w:proofErr w:type="spellStart"/>
      <w:r w:rsidRPr="00866556">
        <w:rPr>
          <w:b/>
        </w:rPr>
        <w:t>of</w:t>
      </w:r>
      <w:proofErr w:type="spellEnd"/>
      <w:r w:rsidRPr="00866556">
        <w:rPr>
          <w:b/>
        </w:rPr>
        <w:t xml:space="preserve"> </w:t>
      </w:r>
      <w:proofErr w:type="spellStart"/>
      <w:r w:rsidRPr="00866556">
        <w:rPr>
          <w:b/>
        </w:rPr>
        <w:t>Science</w:t>
      </w:r>
      <w:proofErr w:type="spellEnd"/>
      <w:r w:rsidRPr="00866556">
        <w:rPr>
          <w:b/>
        </w:rPr>
        <w:t>, SCOPUS vai ERIH (A vai B) datubāzēs</w:t>
      </w:r>
      <w:r w:rsidRPr="00866556">
        <w:rPr>
          <w:rStyle w:val="CommentReference"/>
          <w:rFonts w:ascii="Calibri" w:eastAsia="Calibri" w:hAnsi="Calibri"/>
          <w:b/>
          <w:lang w:eastAsia="en-US"/>
        </w:rPr>
        <w:t xml:space="preserve"> </w:t>
      </w:r>
      <w:r w:rsidR="00F56A94" w:rsidRPr="00866556">
        <w:rPr>
          <w:b/>
        </w:rPr>
        <w:t xml:space="preserve">vai </w:t>
      </w:r>
      <w:r w:rsidRPr="00866556">
        <w:rPr>
          <w:b/>
        </w:rPr>
        <w:t>plaš</w:t>
      </w:r>
      <w:r w:rsidR="00F56A94" w:rsidRPr="00866556">
        <w:rPr>
          <w:b/>
        </w:rPr>
        <w:t>i</w:t>
      </w:r>
      <w:r w:rsidRPr="00866556">
        <w:rPr>
          <w:b/>
        </w:rPr>
        <w:t xml:space="preserve"> izplat</w:t>
      </w:r>
      <w:r w:rsidR="00BC1B23">
        <w:rPr>
          <w:b/>
        </w:rPr>
        <w:t>īti</w:t>
      </w:r>
      <w:r w:rsidRPr="00866556">
        <w:rPr>
          <w:b/>
        </w:rPr>
        <w:t xml:space="preserve"> tādā tehniskā </w:t>
      </w:r>
      <w:r w:rsidR="00902E02" w:rsidRPr="00866556">
        <w:rPr>
          <w:b/>
        </w:rPr>
        <w:t>vai</w:t>
      </w:r>
      <w:r w:rsidRPr="00866556">
        <w:rPr>
          <w:b/>
        </w:rPr>
        <w:t xml:space="preserve"> </w:t>
      </w:r>
      <w:r w:rsidRPr="00866556">
        <w:rPr>
          <w:b/>
        </w:rPr>
        <w:lastRenderedPageBreak/>
        <w:t>zinātniskā konferencē, kur</w:t>
      </w:r>
      <w:r w:rsidR="00902E02" w:rsidRPr="00866556">
        <w:rPr>
          <w:b/>
        </w:rPr>
        <w:t>as</w:t>
      </w:r>
      <w:r w:rsidRPr="00866556">
        <w:rPr>
          <w:b/>
        </w:rPr>
        <w:t xml:space="preserve"> konferenču rakstu krājum</w:t>
      </w:r>
      <w:r w:rsidR="001515E2">
        <w:rPr>
          <w:b/>
        </w:rPr>
        <w:t>s</w:t>
      </w:r>
      <w:r w:rsidRPr="00866556">
        <w:rPr>
          <w:b/>
        </w:rPr>
        <w:t xml:space="preserve"> indeksē</w:t>
      </w:r>
      <w:r w:rsidR="00330C83">
        <w:rPr>
          <w:b/>
        </w:rPr>
        <w:t>ts</w:t>
      </w:r>
      <w:r w:rsidRPr="00866556">
        <w:rPr>
          <w:b/>
        </w:rPr>
        <w:t xml:space="preserve"> Web </w:t>
      </w:r>
      <w:proofErr w:type="spellStart"/>
      <w:r w:rsidRPr="00866556">
        <w:rPr>
          <w:b/>
        </w:rPr>
        <w:t>of</w:t>
      </w:r>
      <w:proofErr w:type="spellEnd"/>
      <w:r w:rsidRPr="00866556">
        <w:rPr>
          <w:b/>
        </w:rPr>
        <w:t xml:space="preserve"> </w:t>
      </w:r>
      <w:proofErr w:type="spellStart"/>
      <w:r w:rsidRPr="00866556">
        <w:rPr>
          <w:b/>
        </w:rPr>
        <w:t>Science</w:t>
      </w:r>
      <w:proofErr w:type="spellEnd"/>
      <w:r w:rsidRPr="00866556">
        <w:rPr>
          <w:b/>
        </w:rPr>
        <w:t xml:space="preserve"> vai SCOPUS datu bāzēs.</w:t>
      </w:r>
      <w:r w:rsidRPr="00866556">
        <w:t>”</w:t>
      </w:r>
    </w:p>
    <w:p w:rsidR="00094483" w:rsidRPr="00866556" w:rsidRDefault="00094483" w:rsidP="00094483">
      <w:pPr>
        <w:pStyle w:val="naislab"/>
        <w:spacing w:before="0" w:after="0"/>
        <w:jc w:val="both"/>
      </w:pPr>
    </w:p>
    <w:p w:rsidR="002713E6" w:rsidRPr="00866556" w:rsidRDefault="002713E6" w:rsidP="00094483">
      <w:pPr>
        <w:pStyle w:val="naislab"/>
        <w:numPr>
          <w:ilvl w:val="0"/>
          <w:numId w:val="8"/>
        </w:numPr>
        <w:spacing w:before="0" w:after="0"/>
        <w:jc w:val="both"/>
        <w:rPr>
          <w:b/>
        </w:rPr>
      </w:pPr>
      <w:r w:rsidRPr="00866556">
        <w:rPr>
          <w:b/>
        </w:rPr>
        <w:t>Aizstāt 36.punktā skaitli un vārdu „6 250 000 latu” ar skaitli un vārdu „8 250 000  latu”;</w:t>
      </w:r>
    </w:p>
    <w:p w:rsidR="00E3543D" w:rsidRPr="00866556" w:rsidRDefault="00E3543D" w:rsidP="00E3543D">
      <w:pPr>
        <w:pStyle w:val="naislab"/>
        <w:spacing w:before="0" w:after="0"/>
        <w:ind w:left="720"/>
        <w:jc w:val="both"/>
      </w:pPr>
    </w:p>
    <w:p w:rsidR="00094483" w:rsidRPr="00866556" w:rsidRDefault="00094483" w:rsidP="00094483">
      <w:pPr>
        <w:pStyle w:val="naislab"/>
        <w:numPr>
          <w:ilvl w:val="0"/>
          <w:numId w:val="8"/>
        </w:numPr>
        <w:spacing w:before="0" w:after="0"/>
        <w:jc w:val="both"/>
      </w:pPr>
      <w:r w:rsidRPr="00866556">
        <w:t xml:space="preserve">Izteikt 69.punktu šādā redakcijā: </w:t>
      </w:r>
    </w:p>
    <w:p w:rsidR="00C17F9F" w:rsidRPr="00866556" w:rsidRDefault="00094483" w:rsidP="00094483">
      <w:pPr>
        <w:pStyle w:val="naislab"/>
        <w:spacing w:before="0" w:after="0"/>
        <w:jc w:val="both"/>
      </w:pPr>
      <w:r w:rsidRPr="00866556">
        <w:t>„69. Sadarbības iestāde pārvērtē kompetences centra projektu</w:t>
      </w:r>
      <w:r w:rsidR="003732C4" w:rsidRPr="00866556">
        <w:t xml:space="preserve"> </w:t>
      </w:r>
      <w:r w:rsidR="003732C4" w:rsidRPr="00866556">
        <w:rPr>
          <w:b/>
        </w:rPr>
        <w:t>sasniegtos</w:t>
      </w:r>
      <w:r w:rsidRPr="00866556">
        <w:rPr>
          <w:b/>
        </w:rPr>
        <w:t xml:space="preserve"> </w:t>
      </w:r>
      <w:r w:rsidR="009030D8" w:rsidRPr="00866556">
        <w:rPr>
          <w:b/>
        </w:rPr>
        <w:t>vidējā</w:t>
      </w:r>
      <w:r w:rsidR="009030D8" w:rsidRPr="00866556">
        <w:t xml:space="preserve"> </w:t>
      </w:r>
      <w:r w:rsidRPr="00866556">
        <w:t xml:space="preserve">termiņa </w:t>
      </w:r>
      <w:r w:rsidR="003732C4" w:rsidRPr="00866556">
        <w:rPr>
          <w:b/>
        </w:rPr>
        <w:t>darbības rādītājus</w:t>
      </w:r>
      <w:r w:rsidR="003732C4" w:rsidRPr="001515E2">
        <w:rPr>
          <w:b/>
        </w:rPr>
        <w:t xml:space="preserve"> </w:t>
      </w:r>
      <w:r w:rsidR="00BC1B23" w:rsidRPr="001515E2">
        <w:rPr>
          <w:b/>
        </w:rPr>
        <w:t>šādā kārtībā</w:t>
      </w:r>
      <w:r w:rsidRPr="00866556">
        <w:t>:</w:t>
      </w:r>
    </w:p>
    <w:p w:rsidR="00094483" w:rsidRPr="00866556" w:rsidRDefault="00094483" w:rsidP="00094483">
      <w:pPr>
        <w:pStyle w:val="naislab"/>
        <w:spacing w:before="0" w:after="0"/>
        <w:jc w:val="both"/>
      </w:pPr>
      <w:r w:rsidRPr="00866556">
        <w:t>69.1. tiek vērtēti kompetences centra projekta ietvaros līdz 2014.gada 30.jūnijam sasniegtie darbības rādītāji. Tai skaitā tiek vērtētas jaunradītās pētniecības un attīstības darba vietas gan kompetences centrā, gan pie kompetences centra sadarbības partneriem, piesaistītais privātā sektora finansējums pētniecībai un attīstībai, sekmīgi pabeigto nozares un individuālo pētījumu īpatsvars;</w:t>
      </w:r>
    </w:p>
    <w:p w:rsidR="00094483" w:rsidRPr="00866556" w:rsidRDefault="00094483" w:rsidP="00094483">
      <w:pPr>
        <w:pStyle w:val="naislab"/>
        <w:spacing w:before="0" w:after="0"/>
        <w:jc w:val="both"/>
      </w:pPr>
      <w:r w:rsidRPr="00866556">
        <w:t>69.2. pamatojoties uz pārvērtēšanas rezultātiem, sadarbības iestāde var pieņemt lēmumu izbeigt līgumu par kompetences centra projekta īstenošanu, grozīt nosacījumus līgumā vai projekta īstenošanu turpināt bez izmaiņām;</w:t>
      </w:r>
    </w:p>
    <w:p w:rsidR="00094483" w:rsidRPr="00866556" w:rsidRDefault="00094483" w:rsidP="00094483">
      <w:pPr>
        <w:pStyle w:val="naislab"/>
        <w:spacing w:before="0" w:after="0"/>
        <w:jc w:val="both"/>
      </w:pPr>
      <w:r w:rsidRPr="00866556">
        <w:t>69.3. sadarbības iestāde 10 darbdienu laikā pēc projekta pārvērtēšanas, bet ne vēlāk kā līdz 2014.gada 30.novembrim rakstiski paziņo kompetences centram par pieņemto lēmumu.”</w:t>
      </w:r>
    </w:p>
    <w:p w:rsidR="00094483" w:rsidRPr="00866556" w:rsidRDefault="00094483" w:rsidP="00094483">
      <w:pPr>
        <w:pStyle w:val="naislab"/>
        <w:spacing w:before="0" w:after="0"/>
        <w:jc w:val="both"/>
      </w:pPr>
    </w:p>
    <w:p w:rsidR="00140251" w:rsidRPr="00866556" w:rsidRDefault="00140251" w:rsidP="002F5734">
      <w:pPr>
        <w:pStyle w:val="naislab"/>
        <w:numPr>
          <w:ilvl w:val="0"/>
          <w:numId w:val="8"/>
        </w:numPr>
        <w:spacing w:before="0" w:after="0"/>
        <w:jc w:val="both"/>
        <w:rPr>
          <w:b/>
        </w:rPr>
      </w:pPr>
      <w:r w:rsidRPr="00866556">
        <w:rPr>
          <w:b/>
        </w:rPr>
        <w:t xml:space="preserve">Papildināt noteikumus ar </w:t>
      </w:r>
      <w:r w:rsidR="00A82CAC" w:rsidRPr="00866556">
        <w:rPr>
          <w:b/>
        </w:rPr>
        <w:t>69</w:t>
      </w:r>
      <w:r w:rsidRPr="00866556">
        <w:rPr>
          <w:b/>
        </w:rPr>
        <w:t>.</w:t>
      </w:r>
      <w:r w:rsidRPr="00866556">
        <w:rPr>
          <w:b/>
          <w:vertAlign w:val="superscript"/>
        </w:rPr>
        <w:t>1</w:t>
      </w:r>
      <w:r w:rsidRPr="00866556">
        <w:rPr>
          <w:b/>
        </w:rPr>
        <w:t xml:space="preserve"> </w:t>
      </w:r>
      <w:r w:rsidR="00FB530B" w:rsidRPr="00866556">
        <w:rPr>
          <w:b/>
        </w:rPr>
        <w:t>- 69.</w:t>
      </w:r>
      <w:r w:rsidR="00964510" w:rsidRPr="00866556">
        <w:rPr>
          <w:b/>
          <w:vertAlign w:val="superscript"/>
        </w:rPr>
        <w:t>4</w:t>
      </w:r>
      <w:r w:rsidR="00FB530B" w:rsidRPr="00866556">
        <w:rPr>
          <w:b/>
          <w:vertAlign w:val="superscript"/>
        </w:rPr>
        <w:t xml:space="preserve"> </w:t>
      </w:r>
      <w:r w:rsidRPr="00866556">
        <w:rPr>
          <w:b/>
        </w:rPr>
        <w:t>punktu šādā redakcijā:</w:t>
      </w:r>
    </w:p>
    <w:p w:rsidR="0025004E" w:rsidRPr="00866556" w:rsidRDefault="00140251" w:rsidP="00A2575F">
      <w:pPr>
        <w:pStyle w:val="naislab"/>
        <w:spacing w:before="0" w:after="0"/>
        <w:jc w:val="both"/>
        <w:rPr>
          <w:b/>
        </w:rPr>
      </w:pPr>
      <w:r w:rsidRPr="00866556">
        <w:rPr>
          <w:b/>
        </w:rPr>
        <w:t>„</w:t>
      </w:r>
      <w:r w:rsidR="00A2575F" w:rsidRPr="00866556">
        <w:rPr>
          <w:b/>
        </w:rPr>
        <w:t>69.</w:t>
      </w:r>
      <w:r w:rsidR="00A2575F" w:rsidRPr="00866556">
        <w:rPr>
          <w:b/>
          <w:vertAlign w:val="superscript"/>
        </w:rPr>
        <w:t>1</w:t>
      </w:r>
      <w:r w:rsidR="00A2575F" w:rsidRPr="00866556">
        <w:rPr>
          <w:b/>
        </w:rPr>
        <w:t xml:space="preserve"> </w:t>
      </w:r>
      <w:r w:rsidR="00B00B10" w:rsidRPr="00866556">
        <w:rPr>
          <w:b/>
        </w:rPr>
        <w:t xml:space="preserve">Lai pārliecinātos, ka kompetences centrs ir spējīgs </w:t>
      </w:r>
      <w:r w:rsidR="007210FF" w:rsidRPr="00866556">
        <w:rPr>
          <w:b/>
        </w:rPr>
        <w:t>apgūt</w:t>
      </w:r>
      <w:r w:rsidR="00B00B10" w:rsidRPr="00866556">
        <w:rPr>
          <w:b/>
        </w:rPr>
        <w:t xml:space="preserve"> tam </w:t>
      </w:r>
      <w:r w:rsidR="007210FF" w:rsidRPr="00866556">
        <w:rPr>
          <w:b/>
        </w:rPr>
        <w:t xml:space="preserve">piešķirto </w:t>
      </w:r>
      <w:r w:rsidR="00B00B10" w:rsidRPr="00866556">
        <w:rPr>
          <w:b/>
        </w:rPr>
        <w:t>finansējumu, s</w:t>
      </w:r>
      <w:r w:rsidR="00A2575F" w:rsidRPr="00866556">
        <w:rPr>
          <w:b/>
        </w:rPr>
        <w:t xml:space="preserve">adarbības iestāde </w:t>
      </w:r>
      <w:r w:rsidR="007210FF" w:rsidRPr="00866556">
        <w:rPr>
          <w:b/>
        </w:rPr>
        <w:t>izvērtē</w:t>
      </w:r>
      <w:r w:rsidR="00A2575F" w:rsidRPr="00866556">
        <w:rPr>
          <w:b/>
        </w:rPr>
        <w:t xml:space="preserve"> kompetences centra projektu</w:t>
      </w:r>
      <w:r w:rsidR="00B94FF1" w:rsidRPr="00866556">
        <w:rPr>
          <w:b/>
        </w:rPr>
        <w:t xml:space="preserve"> </w:t>
      </w:r>
      <w:r w:rsidR="00D805E2" w:rsidRPr="00866556">
        <w:rPr>
          <w:b/>
        </w:rPr>
        <w:t xml:space="preserve">sasniegtos vidējā termiņa </w:t>
      </w:r>
      <w:r w:rsidR="009030D8" w:rsidRPr="00866556">
        <w:rPr>
          <w:b/>
        </w:rPr>
        <w:t>finanšu radītājus</w:t>
      </w:r>
      <w:r w:rsidR="00B00B10" w:rsidRPr="00866556">
        <w:rPr>
          <w:b/>
        </w:rPr>
        <w:t xml:space="preserve">. </w:t>
      </w:r>
      <w:r w:rsidR="0025004E" w:rsidRPr="00866556">
        <w:rPr>
          <w:b/>
        </w:rPr>
        <w:t>Izvērtēšanu sadarbības iestāde veic šādiem kompetences centra pētījumiem:</w:t>
      </w:r>
    </w:p>
    <w:p w:rsidR="00A2575F" w:rsidRPr="00866556" w:rsidRDefault="0025004E" w:rsidP="00A2575F">
      <w:pPr>
        <w:pStyle w:val="naislab"/>
        <w:spacing w:before="0" w:after="0"/>
        <w:jc w:val="both"/>
        <w:rPr>
          <w:b/>
        </w:rPr>
      </w:pPr>
      <w:r w:rsidRPr="00866556">
        <w:rPr>
          <w:b/>
        </w:rPr>
        <w:t xml:space="preserve"> </w:t>
      </w:r>
      <w:r w:rsidR="00A2575F" w:rsidRPr="00866556">
        <w:rPr>
          <w:b/>
        </w:rPr>
        <w:t>69.</w:t>
      </w:r>
      <w:r w:rsidR="00A2575F" w:rsidRPr="00866556">
        <w:rPr>
          <w:b/>
          <w:vertAlign w:val="superscript"/>
        </w:rPr>
        <w:t>1</w:t>
      </w:r>
      <w:r w:rsidR="00A2575F" w:rsidRPr="00866556">
        <w:rPr>
          <w:b/>
        </w:rPr>
        <w:t xml:space="preserve"> 1. </w:t>
      </w:r>
      <w:r w:rsidR="009F6EFA" w:rsidRPr="00866556">
        <w:rPr>
          <w:b/>
        </w:rPr>
        <w:t xml:space="preserve"> pētījum</w:t>
      </w:r>
      <w:r w:rsidR="00B94FF1" w:rsidRPr="00866556">
        <w:rPr>
          <w:b/>
        </w:rPr>
        <w:t>i</w:t>
      </w:r>
      <w:r w:rsidRPr="00866556">
        <w:rPr>
          <w:b/>
        </w:rPr>
        <w:t>em</w:t>
      </w:r>
      <w:r w:rsidR="00047511" w:rsidRPr="00866556">
        <w:rPr>
          <w:b/>
        </w:rPr>
        <w:t>, k</w:t>
      </w:r>
      <w:r w:rsidR="00EA0EF9" w:rsidRPr="00866556">
        <w:rPr>
          <w:b/>
        </w:rPr>
        <w:t>urus</w:t>
      </w:r>
      <w:r w:rsidR="00994D1A" w:rsidRPr="00866556">
        <w:rPr>
          <w:b/>
        </w:rPr>
        <w:t xml:space="preserve"> </w:t>
      </w:r>
      <w:r w:rsidR="00E3543D" w:rsidRPr="00866556">
        <w:rPr>
          <w:b/>
        </w:rPr>
        <w:t>bija plānots uzsākt līdz 2013.gada 31.decembrim</w:t>
      </w:r>
      <w:r w:rsidR="00994D1A" w:rsidRPr="00866556">
        <w:rPr>
          <w:b/>
        </w:rPr>
        <w:t>, bet</w:t>
      </w:r>
      <w:r w:rsidRPr="00866556">
        <w:rPr>
          <w:b/>
        </w:rPr>
        <w:t xml:space="preserve"> tie</w:t>
      </w:r>
      <w:r w:rsidR="00994D1A" w:rsidRPr="00866556">
        <w:rPr>
          <w:b/>
        </w:rPr>
        <w:t xml:space="preserve"> </w:t>
      </w:r>
      <w:r w:rsidR="009F6EFA" w:rsidRPr="00866556">
        <w:rPr>
          <w:b/>
        </w:rPr>
        <w:t>nav</w:t>
      </w:r>
      <w:r w:rsidR="00994D1A" w:rsidRPr="00866556">
        <w:rPr>
          <w:b/>
        </w:rPr>
        <w:t xml:space="preserve"> uzsākti </w:t>
      </w:r>
      <w:r w:rsidR="00D97E3F" w:rsidRPr="00866556">
        <w:rPr>
          <w:b/>
        </w:rPr>
        <w:t xml:space="preserve">līdz 2013.gada </w:t>
      </w:r>
      <w:r w:rsidR="008D6130" w:rsidRPr="00866556">
        <w:rPr>
          <w:b/>
        </w:rPr>
        <w:t>3</w:t>
      </w:r>
      <w:r w:rsidR="00D97E3F" w:rsidRPr="00866556">
        <w:rPr>
          <w:b/>
        </w:rPr>
        <w:t>1.decembrim</w:t>
      </w:r>
      <w:r w:rsidR="003769D5" w:rsidRPr="00866556">
        <w:rPr>
          <w:b/>
        </w:rPr>
        <w:t xml:space="preserve">. </w:t>
      </w:r>
      <w:r w:rsidRPr="00866556">
        <w:rPr>
          <w:b/>
        </w:rPr>
        <w:t>Sadarbības iestāde vērtē</w:t>
      </w:r>
      <w:r w:rsidR="003769D5" w:rsidRPr="00866556">
        <w:rPr>
          <w:b/>
        </w:rPr>
        <w:t xml:space="preserve"> šo pētījumu neuzsākšana</w:t>
      </w:r>
      <w:r w:rsidRPr="00866556">
        <w:rPr>
          <w:b/>
        </w:rPr>
        <w:t>s</w:t>
      </w:r>
      <w:r w:rsidR="003769D5" w:rsidRPr="00866556">
        <w:rPr>
          <w:b/>
        </w:rPr>
        <w:t xml:space="preserve"> </w:t>
      </w:r>
      <w:r w:rsidRPr="00866556">
        <w:rPr>
          <w:b/>
        </w:rPr>
        <w:t>pamatojumu</w:t>
      </w:r>
      <w:r w:rsidR="003769D5" w:rsidRPr="00866556">
        <w:rPr>
          <w:b/>
        </w:rPr>
        <w:t xml:space="preserve">. </w:t>
      </w:r>
      <w:r w:rsidRPr="00866556">
        <w:rPr>
          <w:b/>
        </w:rPr>
        <w:t>Gadījumā, j</w:t>
      </w:r>
      <w:r w:rsidR="003769D5" w:rsidRPr="00866556">
        <w:rPr>
          <w:b/>
        </w:rPr>
        <w:t xml:space="preserve">a pētījumu neuzsākšanai ir pamatots iemesls, </w:t>
      </w:r>
      <w:r w:rsidRPr="00866556">
        <w:rPr>
          <w:b/>
        </w:rPr>
        <w:t>vērtē</w:t>
      </w:r>
      <w:r w:rsidR="003769D5" w:rsidRPr="00866556">
        <w:rPr>
          <w:b/>
        </w:rPr>
        <w:t xml:space="preserve"> vai</w:t>
      </w:r>
      <w:r w:rsidR="00E1502C" w:rsidRPr="00866556">
        <w:rPr>
          <w:b/>
        </w:rPr>
        <w:t xml:space="preserve"> </w:t>
      </w:r>
      <w:r w:rsidR="0011155B" w:rsidRPr="00866556">
        <w:rPr>
          <w:b/>
        </w:rPr>
        <w:t>kompetences centram ir pietiekoša kapacitāte uzsāk</w:t>
      </w:r>
      <w:r w:rsidR="00CB6DCA" w:rsidRPr="00866556">
        <w:rPr>
          <w:b/>
        </w:rPr>
        <w:t xml:space="preserve"> šos</w:t>
      </w:r>
      <w:r w:rsidR="00E1502C" w:rsidRPr="00866556">
        <w:rPr>
          <w:b/>
        </w:rPr>
        <w:t xml:space="preserve"> </w:t>
      </w:r>
      <w:r w:rsidR="0011155B" w:rsidRPr="00866556">
        <w:rPr>
          <w:b/>
        </w:rPr>
        <w:t>pētījumus un vai pētījumus vēl iespējams pabeigt šajos noteikumos noteiktajā termiņā</w:t>
      </w:r>
      <w:r w:rsidR="00047511" w:rsidRPr="00866556">
        <w:rPr>
          <w:b/>
        </w:rPr>
        <w:t>;</w:t>
      </w:r>
    </w:p>
    <w:p w:rsidR="00BC4D05" w:rsidRPr="00866556" w:rsidRDefault="00BC4D05" w:rsidP="00A2575F">
      <w:pPr>
        <w:pStyle w:val="naislab"/>
        <w:spacing w:before="0" w:after="0"/>
        <w:jc w:val="both"/>
        <w:rPr>
          <w:b/>
        </w:rPr>
      </w:pPr>
      <w:r w:rsidRPr="00866556">
        <w:rPr>
          <w:b/>
        </w:rPr>
        <w:t>69.</w:t>
      </w:r>
      <w:r w:rsidRPr="00866556">
        <w:rPr>
          <w:b/>
          <w:vertAlign w:val="superscript"/>
        </w:rPr>
        <w:t xml:space="preserve">1 </w:t>
      </w:r>
      <w:r w:rsidRPr="00866556">
        <w:rPr>
          <w:b/>
        </w:rPr>
        <w:t>2. ja kompetences centrs līdz 2013.gada 31.decembrim ir uzsācis pētījumus</w:t>
      </w:r>
      <w:r w:rsidR="009F6EFA" w:rsidRPr="00866556">
        <w:rPr>
          <w:b/>
        </w:rPr>
        <w:t xml:space="preserve"> mazākā kā 50% apmērā no kopējā kompetences centra plānotā pētījuma apmēra, vērtē tos pētījumus, kurus</w:t>
      </w:r>
      <w:r w:rsidRPr="00866556">
        <w:rPr>
          <w:b/>
        </w:rPr>
        <w:t xml:space="preserve"> ir plānots uzsākt pēc 2013.gada 31.decembra</w:t>
      </w:r>
      <w:r w:rsidR="003769D5" w:rsidRPr="00866556">
        <w:rPr>
          <w:b/>
        </w:rPr>
        <w:t xml:space="preserve">. </w:t>
      </w:r>
      <w:r w:rsidR="0025004E" w:rsidRPr="00866556">
        <w:rPr>
          <w:b/>
        </w:rPr>
        <w:t>Vērtē</w:t>
      </w:r>
      <w:r w:rsidR="00001367" w:rsidRPr="00866556">
        <w:rPr>
          <w:b/>
        </w:rPr>
        <w:t xml:space="preserve"> vai kompetences centram ir pietiekoša kapacitāte uzsāk </w:t>
      </w:r>
      <w:r w:rsidR="000401BB" w:rsidRPr="00866556">
        <w:rPr>
          <w:b/>
        </w:rPr>
        <w:t xml:space="preserve">šos </w:t>
      </w:r>
      <w:r w:rsidR="00001367" w:rsidRPr="00866556">
        <w:rPr>
          <w:b/>
        </w:rPr>
        <w:t xml:space="preserve">pētījumus un </w:t>
      </w:r>
      <w:r w:rsidR="003769D5" w:rsidRPr="00866556">
        <w:rPr>
          <w:b/>
        </w:rPr>
        <w:t xml:space="preserve">vai pētījumus vēl </w:t>
      </w:r>
      <w:r w:rsidR="0025004E" w:rsidRPr="00866556">
        <w:rPr>
          <w:b/>
        </w:rPr>
        <w:t xml:space="preserve">ir </w:t>
      </w:r>
      <w:r w:rsidR="003769D5" w:rsidRPr="00866556">
        <w:rPr>
          <w:b/>
        </w:rPr>
        <w:t>iespējams pabeigt šajos noteikumos noteiktajā termiņā</w:t>
      </w:r>
      <w:r w:rsidRPr="00866556">
        <w:rPr>
          <w:b/>
        </w:rPr>
        <w:t>;</w:t>
      </w:r>
    </w:p>
    <w:p w:rsidR="00E3543D" w:rsidRPr="00866556" w:rsidRDefault="00A2575F" w:rsidP="00E3543D">
      <w:pPr>
        <w:pStyle w:val="naislab"/>
        <w:spacing w:after="0"/>
        <w:jc w:val="both"/>
        <w:rPr>
          <w:b/>
        </w:rPr>
      </w:pPr>
      <w:r w:rsidRPr="00866556">
        <w:rPr>
          <w:b/>
        </w:rPr>
        <w:t>69</w:t>
      </w:r>
      <w:r w:rsidR="00E42F46" w:rsidRPr="00866556">
        <w:rPr>
          <w:b/>
        </w:rPr>
        <w:t>.</w:t>
      </w:r>
      <w:r w:rsidR="008F340A" w:rsidRPr="00866556">
        <w:rPr>
          <w:b/>
          <w:vertAlign w:val="superscript"/>
        </w:rPr>
        <w:t>2</w:t>
      </w:r>
      <w:r w:rsidRPr="00866556">
        <w:rPr>
          <w:b/>
        </w:rPr>
        <w:t xml:space="preserve"> </w:t>
      </w:r>
      <w:r w:rsidR="00E42F46" w:rsidRPr="00866556">
        <w:rPr>
          <w:b/>
        </w:rPr>
        <w:t>P</w:t>
      </w:r>
      <w:r w:rsidRPr="00866556">
        <w:rPr>
          <w:b/>
        </w:rPr>
        <w:t xml:space="preserve">amatojoties uz </w:t>
      </w:r>
      <w:r w:rsidR="00E42F46" w:rsidRPr="00866556">
        <w:rPr>
          <w:b/>
        </w:rPr>
        <w:t>šo noteikumu 69.</w:t>
      </w:r>
      <w:r w:rsidR="008F340A" w:rsidRPr="00866556">
        <w:rPr>
          <w:b/>
          <w:vertAlign w:val="superscript"/>
        </w:rPr>
        <w:t>1</w:t>
      </w:r>
      <w:r w:rsidR="00E42F46" w:rsidRPr="00866556">
        <w:rPr>
          <w:b/>
        </w:rPr>
        <w:t xml:space="preserve"> punktā minētās </w:t>
      </w:r>
      <w:r w:rsidRPr="00866556">
        <w:rPr>
          <w:b/>
        </w:rPr>
        <w:t xml:space="preserve">pārvērtēšanas rezultātiem, sadarbības iestāde var pieņemt lēmumu </w:t>
      </w:r>
      <w:r w:rsidR="008D6130" w:rsidRPr="00866556">
        <w:rPr>
          <w:b/>
        </w:rPr>
        <w:t xml:space="preserve">samazināt </w:t>
      </w:r>
      <w:r w:rsidRPr="00866556">
        <w:rPr>
          <w:b/>
        </w:rPr>
        <w:t>līgumu par kompetences centra projekta īstenošanu</w:t>
      </w:r>
      <w:r w:rsidR="00DD5BAE" w:rsidRPr="00866556">
        <w:rPr>
          <w:b/>
        </w:rPr>
        <w:t xml:space="preserve"> par visu vai daļu no neuzsākto pētījumu summas</w:t>
      </w:r>
      <w:r w:rsidRPr="00866556">
        <w:rPr>
          <w:b/>
        </w:rPr>
        <w:t>.</w:t>
      </w:r>
      <w:r w:rsidR="00C71125" w:rsidRPr="00866556">
        <w:rPr>
          <w:b/>
        </w:rPr>
        <w:t xml:space="preserve"> Pieņemot lēmumu par līguma samazināšanu, sadarbības iestāde </w:t>
      </w:r>
      <w:r w:rsidR="008D59F3" w:rsidRPr="00866556">
        <w:rPr>
          <w:b/>
        </w:rPr>
        <w:t xml:space="preserve">izvērtē vai neuzsāktais pētījums ir </w:t>
      </w:r>
      <w:r w:rsidR="00B052BB" w:rsidRPr="00866556">
        <w:rPr>
          <w:b/>
        </w:rPr>
        <w:t>saistīts ar kādu</w:t>
      </w:r>
      <w:r w:rsidR="008D59F3" w:rsidRPr="00866556">
        <w:rPr>
          <w:b/>
        </w:rPr>
        <w:t xml:space="preserve"> uzsāktu pētījumu.</w:t>
      </w:r>
      <w:r w:rsidR="00C71125" w:rsidRPr="00866556">
        <w:rPr>
          <w:b/>
        </w:rPr>
        <w:t xml:space="preserve">  </w:t>
      </w:r>
    </w:p>
    <w:p w:rsidR="0061058C" w:rsidRPr="00866556" w:rsidRDefault="00FB530B" w:rsidP="00E3543D">
      <w:pPr>
        <w:pStyle w:val="naislab"/>
        <w:spacing w:after="0"/>
        <w:jc w:val="both"/>
        <w:rPr>
          <w:b/>
        </w:rPr>
      </w:pPr>
      <w:r w:rsidRPr="00866556">
        <w:rPr>
          <w:b/>
        </w:rPr>
        <w:t>69.</w:t>
      </w:r>
      <w:r w:rsidR="00E42F46" w:rsidRPr="00866556">
        <w:rPr>
          <w:b/>
          <w:vertAlign w:val="superscript"/>
        </w:rPr>
        <w:t>3</w:t>
      </w:r>
      <w:r w:rsidRPr="00866556">
        <w:rPr>
          <w:b/>
        </w:rPr>
        <w:t xml:space="preserve"> </w:t>
      </w:r>
      <w:r w:rsidR="000D4099" w:rsidRPr="00866556">
        <w:rPr>
          <w:b/>
        </w:rPr>
        <w:t xml:space="preserve">Sadarbības iestāde informē kompetences centrus </w:t>
      </w:r>
      <w:r w:rsidR="00E3543D" w:rsidRPr="00866556">
        <w:rPr>
          <w:b/>
        </w:rPr>
        <w:t xml:space="preserve">par </w:t>
      </w:r>
      <w:r w:rsidR="00E42F46" w:rsidRPr="00866556">
        <w:rPr>
          <w:b/>
        </w:rPr>
        <w:t xml:space="preserve">finanšu progresa vidējā termiņa </w:t>
      </w:r>
      <w:r w:rsidR="00E3543D" w:rsidRPr="00866556">
        <w:rPr>
          <w:b/>
        </w:rPr>
        <w:t>pārvērtēšanas rezultātā atbrīvoto finansējumu. Uz atbrīvoto finansējumu  var pieteikties</w:t>
      </w:r>
      <w:r w:rsidR="00E42F46" w:rsidRPr="00866556">
        <w:rPr>
          <w:b/>
        </w:rPr>
        <w:t xml:space="preserve"> tie</w:t>
      </w:r>
      <w:r w:rsidR="00E3543D" w:rsidRPr="00866556">
        <w:rPr>
          <w:b/>
        </w:rPr>
        <w:t xml:space="preserve"> kompetences centri, kuriem </w:t>
      </w:r>
      <w:r w:rsidR="00E42F46" w:rsidRPr="00866556">
        <w:rPr>
          <w:b/>
        </w:rPr>
        <w:t xml:space="preserve">finanšu progresa vidējā termiņa pārvērtēšanas rezultātā </w:t>
      </w:r>
      <w:r w:rsidR="00E3543D" w:rsidRPr="00866556">
        <w:rPr>
          <w:b/>
        </w:rPr>
        <w:t>nav samazināts finansējums. Viens kompetences centrs var pieteikt papildus pētījumus ne vairāk kā par 2 000 000 latu, bet nepārsniedzot maksimāli pieļaujamo publiskā finansējuma apmēr</w:t>
      </w:r>
      <w:r w:rsidR="00E42F46" w:rsidRPr="00866556">
        <w:rPr>
          <w:b/>
        </w:rPr>
        <w:t>u</w:t>
      </w:r>
      <w:r w:rsidR="00E3543D" w:rsidRPr="00866556">
        <w:rPr>
          <w:b/>
        </w:rPr>
        <w:t xml:space="preserve"> vienam projekta iesniegumam 8 250 000 latus. Ja visu kompetences centru pieteiktais finansējums kopā pārsniedz atbrīvoto finansējumu, tad atbrīvoto finansējumu sadala vienādās daļās starp visiem kompetences centriem, kuri pieteikušies papildus finansējuma saņemšanai </w:t>
      </w:r>
      <w:r w:rsidR="00E42F46" w:rsidRPr="00866556">
        <w:rPr>
          <w:b/>
        </w:rPr>
        <w:t xml:space="preserve">un atbilst šo </w:t>
      </w:r>
      <w:r w:rsidR="00E42F46" w:rsidRPr="00866556">
        <w:rPr>
          <w:b/>
        </w:rPr>
        <w:lastRenderedPageBreak/>
        <w:t>noteikumu  prasībām</w:t>
      </w:r>
      <w:r w:rsidR="00E3543D" w:rsidRPr="00866556">
        <w:rPr>
          <w:b/>
        </w:rPr>
        <w:t>. Kompet</w:t>
      </w:r>
      <w:r w:rsidR="0025004E" w:rsidRPr="00866556">
        <w:rPr>
          <w:b/>
        </w:rPr>
        <w:t>ences</w:t>
      </w:r>
      <w:r w:rsidR="00E3543D" w:rsidRPr="00866556">
        <w:rPr>
          <w:b/>
        </w:rPr>
        <w:t xml:space="preserve"> centrs un sadarbības iestāde grozījumus līgumā par projekta īstenošanu veic šo noteikumu</w:t>
      </w:r>
      <w:r w:rsidR="0061058C" w:rsidRPr="00866556">
        <w:rPr>
          <w:b/>
        </w:rPr>
        <w:t xml:space="preserve"> </w:t>
      </w:r>
      <w:r w:rsidR="00E3543D" w:rsidRPr="00866556">
        <w:rPr>
          <w:b/>
        </w:rPr>
        <w:t xml:space="preserve"> 68.</w:t>
      </w:r>
      <w:r w:rsidR="00E3543D" w:rsidRPr="00866556">
        <w:rPr>
          <w:b/>
          <w:vertAlign w:val="superscript"/>
        </w:rPr>
        <w:t>3</w:t>
      </w:r>
      <w:r w:rsidR="00E3543D" w:rsidRPr="00866556">
        <w:rPr>
          <w:b/>
        </w:rPr>
        <w:t xml:space="preserve"> punktā noteiktajā kārtībā.</w:t>
      </w:r>
      <w:r w:rsidR="00E42F46" w:rsidRPr="00866556">
        <w:rPr>
          <w:b/>
        </w:rPr>
        <w:t xml:space="preserve"> </w:t>
      </w:r>
    </w:p>
    <w:p w:rsidR="00E3543D" w:rsidRPr="00866556" w:rsidRDefault="0061058C" w:rsidP="00E3543D">
      <w:pPr>
        <w:pStyle w:val="naislab"/>
        <w:spacing w:after="0"/>
        <w:jc w:val="both"/>
        <w:rPr>
          <w:b/>
        </w:rPr>
      </w:pPr>
      <w:r w:rsidRPr="00866556">
        <w:rPr>
          <w:b/>
        </w:rPr>
        <w:t>69.</w:t>
      </w:r>
      <w:r w:rsidRPr="00866556">
        <w:rPr>
          <w:b/>
          <w:vertAlign w:val="superscript"/>
        </w:rPr>
        <w:t>4</w:t>
      </w:r>
      <w:r w:rsidRPr="00866556">
        <w:rPr>
          <w:b/>
        </w:rPr>
        <w:t xml:space="preserve"> </w:t>
      </w:r>
      <w:r w:rsidR="008F340A" w:rsidRPr="00866556">
        <w:rPr>
          <w:b/>
        </w:rPr>
        <w:t xml:space="preserve">Kompetences centrs nevar </w:t>
      </w:r>
      <w:r w:rsidRPr="00866556">
        <w:rPr>
          <w:b/>
        </w:rPr>
        <w:t>saņemt šo noteikumu 69.</w:t>
      </w:r>
      <w:r w:rsidRPr="00866556">
        <w:rPr>
          <w:b/>
          <w:vertAlign w:val="superscript"/>
        </w:rPr>
        <w:t>3</w:t>
      </w:r>
      <w:r w:rsidRPr="00866556">
        <w:rPr>
          <w:b/>
        </w:rPr>
        <w:t xml:space="preserve"> punktā minēto papildu finansējumu, ja atbilst šo noteikumu 15.punktā minētajām prasībām.</w:t>
      </w:r>
      <w:r w:rsidR="00E3543D" w:rsidRPr="00866556">
        <w:rPr>
          <w:b/>
        </w:rPr>
        <w:t>”</w:t>
      </w:r>
    </w:p>
    <w:p w:rsidR="00E3543D" w:rsidRPr="00866556" w:rsidRDefault="00E3543D" w:rsidP="00E3543D">
      <w:pPr>
        <w:pStyle w:val="naislab"/>
        <w:spacing w:before="0" w:after="0"/>
        <w:jc w:val="both"/>
      </w:pPr>
    </w:p>
    <w:p w:rsidR="0022008E" w:rsidRPr="00866556" w:rsidRDefault="0022008E" w:rsidP="002F5734">
      <w:pPr>
        <w:pStyle w:val="naislab"/>
        <w:numPr>
          <w:ilvl w:val="0"/>
          <w:numId w:val="8"/>
        </w:numPr>
        <w:spacing w:before="0" w:after="0"/>
        <w:jc w:val="both"/>
      </w:pPr>
      <w:r w:rsidRPr="00866556">
        <w:t>Izteikt 76.punktu šādā redakcijā:</w:t>
      </w:r>
    </w:p>
    <w:p w:rsidR="0022008E" w:rsidRPr="00866556" w:rsidRDefault="0022008E" w:rsidP="0022008E">
      <w:pPr>
        <w:pStyle w:val="naislab"/>
        <w:spacing w:before="0" w:after="0"/>
        <w:jc w:val="both"/>
      </w:pPr>
      <w:r w:rsidRPr="00866556">
        <w:t>„76. Projekta īstenošanas laikā kompetences centrs var saņemt vairākus avansa maksājumus, kas kopā nepārsniedz 35 % no publiskā finansējuma apmēra. Lai saņemtu avansa maksājumu</w:t>
      </w:r>
      <w:r w:rsidR="00A65401" w:rsidRPr="00866556">
        <w:t xml:space="preserve"> </w:t>
      </w:r>
      <w:r w:rsidR="00A65401" w:rsidRPr="00866556">
        <w:rPr>
          <w:b/>
        </w:rPr>
        <w:t>(tai skaitā šo noteikumu 76.</w:t>
      </w:r>
      <w:r w:rsidR="00A65401" w:rsidRPr="00866556">
        <w:rPr>
          <w:b/>
          <w:vertAlign w:val="superscript"/>
        </w:rPr>
        <w:t xml:space="preserve">1 </w:t>
      </w:r>
      <w:r w:rsidR="00A65401" w:rsidRPr="00866556">
        <w:rPr>
          <w:b/>
        </w:rPr>
        <w:t>punktā minētajā gadījumā)</w:t>
      </w:r>
      <w:r w:rsidRPr="00866556">
        <w:t xml:space="preserve">, kompetences centrs atver </w:t>
      </w:r>
      <w:r w:rsidR="0097665B" w:rsidRPr="00866556">
        <w:t>kredītiestādē, kas reģistrējusies kredītiestādes darbības veikšanai Latvijas Republikā</w:t>
      </w:r>
      <w:r w:rsidR="005E4F0C" w:rsidRPr="00866556">
        <w:t>,</w:t>
      </w:r>
      <w:r w:rsidR="0097665B" w:rsidRPr="00866556">
        <w:t xml:space="preserve"> </w:t>
      </w:r>
      <w:r w:rsidRPr="00866556">
        <w:t>darījumu kontu</w:t>
      </w:r>
      <w:r w:rsidR="00964949" w:rsidRPr="00866556">
        <w:t>,</w:t>
      </w:r>
      <w:r w:rsidRPr="00866556">
        <w:t xml:space="preserve"> uz kuru sadarbības iestāde pārskaita avansu. Sadarbības iestāde, kompetences centrs un kredītiestāde noslēdz trīspusēju līgumu, kurā savstarpēji vienojas par noteikumiem, lai kompetences centram būtu iespējams saņemt avansa maksājumu. Darījuma kontā iemaksāto summu visu vai pa daļām pārskaita kompetences centram pēc tam, kad sadarbības iestāde ir iesniegusi bankā atbilstošu rīkojumu. Kompetences centrs ne vēlāk kā 12 mēnešu laikā no dienas, kad sadarbības iestādē iesniegts attiecīgais avansa pieprasījums, iesniedz sadarbības iestādē maksājuma pieprasījumu vai pieprasījumus par izsniegtā avansa apjomu. Ja kompetences centrs nevar izlietot avansa maksājumu minētajā termiņā, tas informē sadarbības iestādi, kura var lemt par avansa izmantošanas termiņa </w:t>
      </w:r>
      <w:r w:rsidR="00964949" w:rsidRPr="00866556">
        <w:t>pagarināšanu</w:t>
      </w:r>
      <w:r w:rsidRPr="00866556">
        <w:t xml:space="preserve">. Ja sadarbības iestāde lemj par avansa termiņa </w:t>
      </w:r>
      <w:r w:rsidR="00964949" w:rsidRPr="00866556">
        <w:t>pagarināšanu</w:t>
      </w:r>
      <w:r w:rsidRPr="00866556">
        <w:t>, kompetences centrs attiecīgi pagarina arī darījuma konta darbības termiņu.”</w:t>
      </w:r>
    </w:p>
    <w:p w:rsidR="00AE4222" w:rsidRPr="00866556" w:rsidRDefault="00AE4222" w:rsidP="0022008E">
      <w:pPr>
        <w:pStyle w:val="naislab"/>
        <w:spacing w:before="0" w:after="0"/>
        <w:jc w:val="both"/>
      </w:pPr>
    </w:p>
    <w:p w:rsidR="002F5734" w:rsidRPr="00866556" w:rsidRDefault="002F5734" w:rsidP="002F5734">
      <w:pPr>
        <w:pStyle w:val="naislab"/>
        <w:numPr>
          <w:ilvl w:val="0"/>
          <w:numId w:val="8"/>
        </w:numPr>
        <w:spacing w:before="0" w:after="0"/>
        <w:jc w:val="both"/>
      </w:pPr>
      <w:r w:rsidRPr="00866556">
        <w:t>Papildināt noteikumus ar 76.</w:t>
      </w:r>
      <w:r w:rsidRPr="00866556">
        <w:rPr>
          <w:vertAlign w:val="superscript"/>
        </w:rPr>
        <w:t>1</w:t>
      </w:r>
      <w:r w:rsidRPr="00866556">
        <w:t xml:space="preserve"> punktu šādā redakcijā: </w:t>
      </w:r>
    </w:p>
    <w:p w:rsidR="00D37237" w:rsidRPr="00866556" w:rsidRDefault="002F5734" w:rsidP="00AF0D79">
      <w:pPr>
        <w:pStyle w:val="naislab"/>
        <w:spacing w:before="0" w:after="0"/>
        <w:jc w:val="both"/>
      </w:pPr>
      <w:r w:rsidRPr="00866556">
        <w:t>„</w:t>
      </w:r>
      <w:r w:rsidR="00D37237" w:rsidRPr="00866556">
        <w:t xml:space="preserve"> </w:t>
      </w:r>
      <w:r w:rsidR="0087771A" w:rsidRPr="00866556">
        <w:t>76.</w:t>
      </w:r>
      <w:r w:rsidR="0087771A" w:rsidRPr="00866556">
        <w:rPr>
          <w:vertAlign w:val="superscript"/>
        </w:rPr>
        <w:t>1</w:t>
      </w:r>
      <w:r w:rsidR="004E79CD" w:rsidRPr="00866556">
        <w:rPr>
          <w:vertAlign w:val="superscript"/>
        </w:rPr>
        <w:t xml:space="preserve"> </w:t>
      </w:r>
      <w:r w:rsidR="00AF0D79" w:rsidRPr="00866556">
        <w:t xml:space="preserve">Gadījumā, ja </w:t>
      </w:r>
      <w:r w:rsidR="006919B5" w:rsidRPr="00866556">
        <w:t>kompetences centrs</w:t>
      </w:r>
      <w:r w:rsidR="00AF0D79" w:rsidRPr="00866556">
        <w:t xml:space="preserve"> ir saņēmis avansa maksājumu</w:t>
      </w:r>
      <w:r w:rsidR="00D37237" w:rsidRPr="00866556">
        <w:t>,</w:t>
      </w:r>
      <w:r w:rsidR="00AF0D79" w:rsidRPr="00866556">
        <w:t xml:space="preserve"> par to iesniedzot </w:t>
      </w:r>
      <w:r w:rsidR="006919B5" w:rsidRPr="00866556">
        <w:t xml:space="preserve">kredītiestādes </w:t>
      </w:r>
      <w:r w:rsidR="00AF0D79" w:rsidRPr="00866556">
        <w:t>garantiju</w:t>
      </w:r>
      <w:r w:rsidR="00D37237" w:rsidRPr="00866556">
        <w:t xml:space="preserve"> un 12 mēnešu laikā no dienas, kad sadarbības iestādē iesniegts avansa pieprasījums sadarbības iestādē nav iesniegts maksājuma pieprasījums, kā arī</w:t>
      </w:r>
      <w:r w:rsidR="0087771A" w:rsidRPr="00866556">
        <w:t xml:space="preserve"> gadījumā, ja maksājuma pieprasījums nav iesniegts pēc sadarbības iestādes pieņemtā lēmuma par avansa termiņa pagarinājumu, kompetences centram ir pienākums ieskaitīt attiecīgo avansa apmēru darījuma kontā, ievērojot šo noteikumu 76.punkta prasības.</w:t>
      </w:r>
      <w:r w:rsidR="0022008E" w:rsidRPr="00866556">
        <w:t>”</w:t>
      </w:r>
    </w:p>
    <w:p w:rsidR="00804C60" w:rsidRPr="00866556" w:rsidRDefault="00804C60" w:rsidP="00804C60">
      <w:pPr>
        <w:pStyle w:val="tv213"/>
        <w:spacing w:before="0" w:beforeAutospacing="0" w:after="0" w:afterAutospacing="0" w:line="258" w:lineRule="atLeast"/>
        <w:jc w:val="both"/>
      </w:pPr>
    </w:p>
    <w:p w:rsidR="00804C60" w:rsidRPr="00866556" w:rsidRDefault="00804C60" w:rsidP="00804C60">
      <w:pPr>
        <w:pStyle w:val="naislab"/>
        <w:numPr>
          <w:ilvl w:val="0"/>
          <w:numId w:val="8"/>
        </w:numPr>
        <w:spacing w:before="0" w:after="0"/>
        <w:jc w:val="both"/>
      </w:pPr>
      <w:r w:rsidRPr="00866556">
        <w:t>Papildināt noteikumus ar 77.</w:t>
      </w:r>
      <w:r w:rsidRPr="00866556">
        <w:rPr>
          <w:vertAlign w:val="superscript"/>
        </w:rPr>
        <w:t>3</w:t>
      </w:r>
      <w:r w:rsidRPr="00866556">
        <w:t xml:space="preserve"> punktu šādā redakcijā: </w:t>
      </w:r>
    </w:p>
    <w:p w:rsidR="00D42114" w:rsidRPr="00866556" w:rsidRDefault="00804C60" w:rsidP="00804C60">
      <w:pPr>
        <w:pStyle w:val="tv213"/>
        <w:spacing w:before="0" w:beforeAutospacing="0" w:after="0" w:afterAutospacing="0" w:line="258" w:lineRule="atLeast"/>
        <w:jc w:val="both"/>
      </w:pPr>
      <w:r w:rsidRPr="00866556">
        <w:t>„</w:t>
      </w:r>
      <w:r w:rsidR="00D42114" w:rsidRPr="00866556">
        <w:t>77.</w:t>
      </w:r>
      <w:r w:rsidR="00D42114" w:rsidRPr="00866556">
        <w:rPr>
          <w:vertAlign w:val="superscript"/>
        </w:rPr>
        <w:t>3</w:t>
      </w:r>
      <w:r w:rsidR="00D42114" w:rsidRPr="00866556">
        <w:t xml:space="preserve"> sadarbības iestāde, veicot avansa un starpposma maksājumus, ievēro nosacījumus, ka to kopsumma nedrīkst pārsniegt 90% no kompetences centram piešķirtā publiskā finansējuma.</w:t>
      </w:r>
      <w:r w:rsidRPr="00866556">
        <w:t>”</w:t>
      </w:r>
    </w:p>
    <w:p w:rsidR="000C6E94" w:rsidRPr="00866556" w:rsidRDefault="000C6E94" w:rsidP="00B132FE">
      <w:pPr>
        <w:pStyle w:val="naislab"/>
        <w:spacing w:before="0" w:after="0"/>
        <w:jc w:val="both"/>
      </w:pPr>
    </w:p>
    <w:p w:rsidR="00EF381B" w:rsidRDefault="00C576B4" w:rsidP="00004D38">
      <w:pPr>
        <w:tabs>
          <w:tab w:val="right" w:pos="9071"/>
        </w:tabs>
        <w:jc w:val="both"/>
        <w:rPr>
          <w:rFonts w:ascii="Times New Roman" w:eastAsia="Times New Roman" w:hAnsi="Times New Roman"/>
          <w:sz w:val="24"/>
          <w:szCs w:val="24"/>
          <w:lang w:eastAsia="lv-LV"/>
        </w:rPr>
      </w:pPr>
      <w:r w:rsidRPr="00866556">
        <w:rPr>
          <w:rFonts w:ascii="Times New Roman" w:eastAsia="Times New Roman" w:hAnsi="Times New Roman"/>
          <w:sz w:val="24"/>
          <w:szCs w:val="24"/>
          <w:lang w:eastAsia="lv-LV"/>
        </w:rPr>
        <w:t>Ministru prezidents</w:t>
      </w:r>
      <w:r w:rsidR="00F3781F" w:rsidRPr="00866556">
        <w:rPr>
          <w:rFonts w:ascii="Times New Roman" w:eastAsia="Times New Roman" w:hAnsi="Times New Roman"/>
          <w:sz w:val="24"/>
          <w:szCs w:val="24"/>
          <w:lang w:eastAsia="lv-LV"/>
        </w:rPr>
        <w:tab/>
      </w:r>
      <w:proofErr w:type="spellStart"/>
      <w:r w:rsidRPr="00866556">
        <w:rPr>
          <w:rFonts w:ascii="Times New Roman" w:eastAsia="Times New Roman" w:hAnsi="Times New Roman"/>
          <w:sz w:val="24"/>
          <w:szCs w:val="24"/>
          <w:lang w:eastAsia="lv-LV"/>
        </w:rPr>
        <w:t>V.Dombrovskis</w:t>
      </w:r>
      <w:proofErr w:type="spellEnd"/>
    </w:p>
    <w:p w:rsidR="000F4447" w:rsidRDefault="000F4447" w:rsidP="00C576B4">
      <w:pPr>
        <w:tabs>
          <w:tab w:val="left" w:pos="720"/>
        </w:tabs>
        <w:autoSpaceDE w:val="0"/>
        <w:autoSpaceDN w:val="0"/>
        <w:adjustRightInd w:val="0"/>
        <w:spacing w:after="0" w:line="240" w:lineRule="auto"/>
        <w:rPr>
          <w:rFonts w:ascii="Times New Roman" w:eastAsia="Times New Roman" w:hAnsi="Times New Roman"/>
          <w:sz w:val="24"/>
          <w:szCs w:val="24"/>
          <w:lang w:eastAsia="lv-LV"/>
        </w:rPr>
      </w:pPr>
    </w:p>
    <w:p w:rsidR="00C576B4" w:rsidRPr="00866556" w:rsidRDefault="00C576B4" w:rsidP="00C576B4">
      <w:pPr>
        <w:tabs>
          <w:tab w:val="left" w:pos="720"/>
        </w:tabs>
        <w:autoSpaceDE w:val="0"/>
        <w:autoSpaceDN w:val="0"/>
        <w:adjustRightInd w:val="0"/>
        <w:spacing w:after="0" w:line="240" w:lineRule="auto"/>
        <w:rPr>
          <w:rFonts w:ascii="Times New Roman" w:eastAsia="Times New Roman" w:hAnsi="Times New Roman"/>
          <w:sz w:val="24"/>
          <w:szCs w:val="24"/>
          <w:lang w:eastAsia="lv-LV"/>
        </w:rPr>
      </w:pPr>
      <w:r w:rsidRPr="00866556">
        <w:rPr>
          <w:rFonts w:ascii="Times New Roman" w:eastAsia="Times New Roman" w:hAnsi="Times New Roman"/>
          <w:sz w:val="24"/>
          <w:szCs w:val="24"/>
          <w:lang w:eastAsia="lv-LV"/>
        </w:rPr>
        <w:t>Iesniedzējs:</w:t>
      </w:r>
    </w:p>
    <w:p w:rsidR="00C576B4" w:rsidRPr="00866556" w:rsidRDefault="00C576B4" w:rsidP="00F3781F">
      <w:pPr>
        <w:tabs>
          <w:tab w:val="right" w:pos="9071"/>
        </w:tabs>
        <w:spacing w:after="0" w:line="240" w:lineRule="auto"/>
        <w:jc w:val="both"/>
        <w:rPr>
          <w:rFonts w:ascii="Times New Roman" w:eastAsia="Times New Roman" w:hAnsi="Times New Roman"/>
          <w:sz w:val="24"/>
          <w:szCs w:val="24"/>
          <w:lang w:eastAsia="lv-LV"/>
        </w:rPr>
      </w:pPr>
      <w:r w:rsidRPr="00866556">
        <w:rPr>
          <w:rFonts w:ascii="Times New Roman" w:eastAsia="Times New Roman" w:hAnsi="Times New Roman"/>
          <w:sz w:val="24"/>
          <w:szCs w:val="24"/>
          <w:lang w:eastAsia="lv-LV"/>
        </w:rPr>
        <w:t>Ekonomikas ministrs</w:t>
      </w:r>
      <w:r w:rsidR="00F3781F" w:rsidRPr="00866556">
        <w:rPr>
          <w:rFonts w:ascii="Times New Roman" w:eastAsia="Times New Roman" w:hAnsi="Times New Roman"/>
          <w:sz w:val="24"/>
          <w:szCs w:val="24"/>
          <w:lang w:eastAsia="lv-LV"/>
        </w:rPr>
        <w:tab/>
      </w:r>
      <w:proofErr w:type="spellStart"/>
      <w:r w:rsidRPr="00866556">
        <w:rPr>
          <w:rFonts w:ascii="Times New Roman" w:eastAsia="Times New Roman" w:hAnsi="Times New Roman"/>
          <w:sz w:val="24"/>
          <w:szCs w:val="24"/>
          <w:lang w:eastAsia="lv-LV"/>
        </w:rPr>
        <w:t>D.Pavļuts</w:t>
      </w:r>
      <w:proofErr w:type="spellEnd"/>
    </w:p>
    <w:p w:rsidR="00EF381B" w:rsidRPr="00866556" w:rsidRDefault="00EF381B" w:rsidP="00C576B4">
      <w:pPr>
        <w:keepLines/>
        <w:widowControl w:val="0"/>
        <w:tabs>
          <w:tab w:val="left" w:pos="8222"/>
        </w:tabs>
        <w:spacing w:after="0" w:line="240" w:lineRule="auto"/>
        <w:rPr>
          <w:rFonts w:ascii="Times New Roman" w:eastAsia="Times New Roman" w:hAnsi="Times New Roman"/>
          <w:sz w:val="24"/>
          <w:szCs w:val="24"/>
          <w:lang w:eastAsia="lv-LV"/>
        </w:rPr>
      </w:pPr>
    </w:p>
    <w:p w:rsidR="008758FE" w:rsidRDefault="008758FE" w:rsidP="00910BCF">
      <w:pPr>
        <w:keepLines/>
        <w:widowControl w:val="0"/>
        <w:tabs>
          <w:tab w:val="right" w:pos="9071"/>
        </w:tabs>
        <w:spacing w:after="0" w:line="240" w:lineRule="auto"/>
        <w:rPr>
          <w:rFonts w:ascii="Times New Roman" w:eastAsia="Times New Roman" w:hAnsi="Times New Roman"/>
          <w:sz w:val="24"/>
          <w:szCs w:val="24"/>
          <w:lang w:eastAsia="lv-LV"/>
        </w:rPr>
      </w:pPr>
    </w:p>
    <w:p w:rsidR="000F4447" w:rsidRPr="00866556" w:rsidRDefault="000F4447" w:rsidP="00910BCF">
      <w:pPr>
        <w:keepLines/>
        <w:widowControl w:val="0"/>
        <w:tabs>
          <w:tab w:val="right" w:pos="9071"/>
        </w:tabs>
        <w:spacing w:after="0" w:line="240" w:lineRule="auto"/>
        <w:rPr>
          <w:rFonts w:ascii="Times New Roman" w:eastAsia="Times New Roman" w:hAnsi="Times New Roman"/>
          <w:sz w:val="24"/>
          <w:szCs w:val="24"/>
          <w:lang w:eastAsia="lv-LV"/>
        </w:rPr>
      </w:pPr>
    </w:p>
    <w:p w:rsidR="00C576B4" w:rsidRPr="00866556" w:rsidRDefault="00004D38" w:rsidP="00910BCF">
      <w:pPr>
        <w:keepLines/>
        <w:widowControl w:val="0"/>
        <w:tabs>
          <w:tab w:val="right" w:pos="9071"/>
        </w:tabs>
        <w:spacing w:after="0" w:line="240" w:lineRule="auto"/>
        <w:rPr>
          <w:rFonts w:ascii="Times New Roman" w:eastAsia="Times New Roman" w:hAnsi="Times New Roman"/>
          <w:sz w:val="24"/>
          <w:szCs w:val="24"/>
          <w:lang w:eastAsia="lv-LV"/>
        </w:rPr>
      </w:pPr>
      <w:r w:rsidRPr="00866556">
        <w:rPr>
          <w:rFonts w:ascii="Times New Roman" w:eastAsia="Times New Roman" w:hAnsi="Times New Roman"/>
          <w:sz w:val="24"/>
          <w:szCs w:val="24"/>
          <w:lang w:eastAsia="lv-LV"/>
        </w:rPr>
        <w:t xml:space="preserve">Vīza: </w:t>
      </w:r>
      <w:r w:rsidR="00C576B4" w:rsidRPr="00866556">
        <w:rPr>
          <w:rFonts w:ascii="Times New Roman" w:eastAsia="Times New Roman" w:hAnsi="Times New Roman"/>
          <w:sz w:val="24"/>
          <w:szCs w:val="24"/>
          <w:lang w:eastAsia="lv-LV"/>
        </w:rPr>
        <w:t>Valsts sekretār</w:t>
      </w:r>
      <w:r w:rsidR="004E10A0" w:rsidRPr="00866556">
        <w:rPr>
          <w:rFonts w:ascii="Times New Roman" w:eastAsia="Times New Roman" w:hAnsi="Times New Roman"/>
          <w:sz w:val="24"/>
          <w:szCs w:val="24"/>
          <w:lang w:eastAsia="lv-LV"/>
        </w:rPr>
        <w:t xml:space="preserve">s </w:t>
      </w:r>
      <w:r w:rsidR="00F3781F" w:rsidRPr="00866556">
        <w:rPr>
          <w:rFonts w:ascii="Times New Roman" w:eastAsia="Times New Roman" w:hAnsi="Times New Roman"/>
          <w:sz w:val="24"/>
          <w:szCs w:val="24"/>
          <w:lang w:eastAsia="lv-LV"/>
        </w:rPr>
        <w:tab/>
      </w:r>
      <w:r w:rsidR="00AC7980">
        <w:rPr>
          <w:rFonts w:ascii="Times New Roman" w:eastAsia="Times New Roman" w:hAnsi="Times New Roman"/>
          <w:sz w:val="24"/>
          <w:szCs w:val="24"/>
          <w:lang w:eastAsia="lv-LV"/>
        </w:rPr>
        <w:t>J.Pūce</w:t>
      </w:r>
    </w:p>
    <w:p w:rsidR="00825503" w:rsidRDefault="00825503" w:rsidP="00C576B4">
      <w:pPr>
        <w:keepLines/>
        <w:widowControl w:val="0"/>
        <w:tabs>
          <w:tab w:val="left" w:pos="7938"/>
        </w:tabs>
        <w:spacing w:after="0" w:line="240" w:lineRule="auto"/>
        <w:rPr>
          <w:rFonts w:ascii="Times New Roman" w:eastAsia="Times New Roman" w:hAnsi="Times New Roman"/>
          <w:sz w:val="24"/>
          <w:szCs w:val="24"/>
          <w:lang w:eastAsia="lv-LV"/>
        </w:rPr>
      </w:pPr>
    </w:p>
    <w:p w:rsidR="000F4447" w:rsidRPr="00866556" w:rsidRDefault="000F4447" w:rsidP="00C576B4">
      <w:pPr>
        <w:keepLines/>
        <w:widowControl w:val="0"/>
        <w:tabs>
          <w:tab w:val="left" w:pos="7938"/>
        </w:tabs>
        <w:spacing w:after="0" w:line="240" w:lineRule="auto"/>
        <w:rPr>
          <w:rFonts w:ascii="Times New Roman" w:eastAsia="Times New Roman" w:hAnsi="Times New Roman"/>
          <w:sz w:val="24"/>
          <w:szCs w:val="24"/>
          <w:lang w:eastAsia="lv-LV"/>
        </w:rPr>
      </w:pPr>
    </w:p>
    <w:p w:rsidR="00825503" w:rsidRPr="00866556" w:rsidRDefault="00825503" w:rsidP="00C576B4">
      <w:pPr>
        <w:keepLines/>
        <w:widowControl w:val="0"/>
        <w:tabs>
          <w:tab w:val="left" w:pos="7938"/>
        </w:tabs>
        <w:spacing w:after="0" w:line="240" w:lineRule="auto"/>
        <w:rPr>
          <w:rFonts w:ascii="Times New Roman" w:eastAsia="Times New Roman" w:hAnsi="Times New Roman"/>
          <w:sz w:val="24"/>
          <w:szCs w:val="24"/>
          <w:lang w:eastAsia="lv-LV"/>
        </w:rPr>
      </w:pPr>
    </w:p>
    <w:p w:rsidR="00F63BA3" w:rsidRPr="00866556" w:rsidRDefault="00904825" w:rsidP="00151EEF">
      <w:pPr>
        <w:widowControl w:val="0"/>
        <w:spacing w:after="0" w:line="240" w:lineRule="auto"/>
        <w:jc w:val="both"/>
        <w:rPr>
          <w:rFonts w:ascii="Times New Roman" w:eastAsia="Times New Roman" w:hAnsi="Times New Roman"/>
          <w:sz w:val="18"/>
          <w:szCs w:val="18"/>
        </w:rPr>
      </w:pPr>
      <w:r>
        <w:fldChar w:fldCharType="begin"/>
      </w:r>
      <w:r>
        <w:instrText xml:space="preserve"> NUMWORDS   \* MERGEFORMAT </w:instrText>
      </w:r>
      <w:r>
        <w:fldChar w:fldCharType="separate"/>
      </w:r>
      <w:r w:rsidR="00974E5B" w:rsidRPr="00974E5B">
        <w:rPr>
          <w:rFonts w:ascii="Times New Roman" w:eastAsia="Times New Roman" w:hAnsi="Times New Roman"/>
          <w:noProof/>
          <w:sz w:val="18"/>
          <w:szCs w:val="18"/>
        </w:rPr>
        <w:t>1494</w:t>
      </w:r>
      <w:r>
        <w:rPr>
          <w:rFonts w:ascii="Times New Roman" w:eastAsia="Times New Roman" w:hAnsi="Times New Roman"/>
          <w:noProof/>
          <w:sz w:val="18"/>
          <w:szCs w:val="18"/>
        </w:rPr>
        <w:fldChar w:fldCharType="end"/>
      </w:r>
    </w:p>
    <w:p w:rsidR="00D55ED5" w:rsidRPr="00866556" w:rsidRDefault="004F6271" w:rsidP="00151EEF">
      <w:pPr>
        <w:widowControl w:val="0"/>
        <w:spacing w:after="0" w:line="240" w:lineRule="auto"/>
        <w:jc w:val="both"/>
        <w:rPr>
          <w:rFonts w:ascii="Times New Roman" w:eastAsia="Times New Roman" w:hAnsi="Times New Roman"/>
          <w:sz w:val="18"/>
          <w:szCs w:val="18"/>
        </w:rPr>
      </w:pPr>
      <w:r w:rsidRPr="00866556">
        <w:rPr>
          <w:rFonts w:ascii="Times New Roman" w:eastAsia="Times New Roman" w:hAnsi="Times New Roman"/>
          <w:sz w:val="18"/>
          <w:szCs w:val="18"/>
        </w:rPr>
        <w:fldChar w:fldCharType="begin"/>
      </w:r>
      <w:r w:rsidR="003A6043" w:rsidRPr="00866556">
        <w:rPr>
          <w:rFonts w:ascii="Times New Roman" w:eastAsia="Times New Roman" w:hAnsi="Times New Roman"/>
          <w:sz w:val="18"/>
          <w:szCs w:val="18"/>
        </w:rPr>
        <w:instrText xml:space="preserve"> TIME \@ "dd.MM.yyyy HH:mm" </w:instrText>
      </w:r>
      <w:r w:rsidRPr="00866556">
        <w:rPr>
          <w:rFonts w:ascii="Times New Roman" w:eastAsia="Times New Roman" w:hAnsi="Times New Roman"/>
          <w:sz w:val="18"/>
          <w:szCs w:val="18"/>
        </w:rPr>
        <w:fldChar w:fldCharType="separate"/>
      </w:r>
      <w:r w:rsidR="00974E5B">
        <w:rPr>
          <w:rFonts w:ascii="Times New Roman" w:eastAsia="Times New Roman" w:hAnsi="Times New Roman"/>
          <w:noProof/>
          <w:sz w:val="18"/>
          <w:szCs w:val="18"/>
        </w:rPr>
        <w:t>31.10.2013 11:13</w:t>
      </w:r>
      <w:r w:rsidRPr="00866556">
        <w:rPr>
          <w:rFonts w:ascii="Times New Roman" w:eastAsia="Times New Roman" w:hAnsi="Times New Roman"/>
          <w:sz w:val="18"/>
          <w:szCs w:val="18"/>
        </w:rPr>
        <w:fldChar w:fldCharType="end"/>
      </w:r>
      <w:bookmarkStart w:id="11" w:name="_GoBack"/>
      <w:bookmarkEnd w:id="11"/>
    </w:p>
    <w:p w:rsidR="00E95B9C" w:rsidRPr="00866556" w:rsidRDefault="00E95B9C" w:rsidP="00E95B9C">
      <w:pPr>
        <w:widowControl w:val="0"/>
        <w:spacing w:after="0" w:line="240" w:lineRule="auto"/>
        <w:jc w:val="both"/>
        <w:rPr>
          <w:rFonts w:ascii="Times New Roman" w:eastAsia="Times New Roman" w:hAnsi="Times New Roman"/>
          <w:sz w:val="18"/>
          <w:szCs w:val="18"/>
        </w:rPr>
      </w:pPr>
      <w:r w:rsidRPr="00866556">
        <w:rPr>
          <w:rFonts w:ascii="Times New Roman" w:eastAsia="Times New Roman" w:hAnsi="Times New Roman"/>
          <w:sz w:val="18"/>
          <w:szCs w:val="18"/>
        </w:rPr>
        <w:t xml:space="preserve">Gatis </w:t>
      </w:r>
      <w:proofErr w:type="spellStart"/>
      <w:r w:rsidRPr="00866556">
        <w:rPr>
          <w:rFonts w:ascii="Times New Roman" w:eastAsia="Times New Roman" w:hAnsi="Times New Roman"/>
          <w:sz w:val="18"/>
          <w:szCs w:val="18"/>
        </w:rPr>
        <w:t>Silovs</w:t>
      </w:r>
      <w:proofErr w:type="spellEnd"/>
    </w:p>
    <w:p w:rsidR="00A132D5" w:rsidRPr="00BD301E" w:rsidRDefault="00E95B9C" w:rsidP="00E95B9C">
      <w:pPr>
        <w:widowControl w:val="0"/>
        <w:spacing w:after="0" w:line="240" w:lineRule="auto"/>
        <w:jc w:val="both"/>
        <w:rPr>
          <w:rFonts w:ascii="Times New Roman" w:eastAsia="Times New Roman" w:hAnsi="Times New Roman"/>
          <w:sz w:val="18"/>
          <w:szCs w:val="18"/>
        </w:rPr>
      </w:pPr>
      <w:r w:rsidRPr="00866556">
        <w:rPr>
          <w:rFonts w:ascii="Times New Roman" w:eastAsia="Times New Roman" w:hAnsi="Times New Roman"/>
          <w:sz w:val="18"/>
          <w:szCs w:val="18"/>
        </w:rPr>
        <w:t>67013209, Gatis.Silovs@em.gov.lv</w:t>
      </w:r>
    </w:p>
    <w:sectPr w:rsidR="00A132D5" w:rsidRPr="00BD301E" w:rsidSect="009978F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25" w:rsidRDefault="00904825" w:rsidP="00EB0F43">
      <w:pPr>
        <w:spacing w:after="0" w:line="240" w:lineRule="auto"/>
      </w:pPr>
      <w:r>
        <w:separator/>
      </w:r>
    </w:p>
  </w:endnote>
  <w:endnote w:type="continuationSeparator" w:id="0">
    <w:p w:rsidR="00904825" w:rsidRDefault="00904825" w:rsidP="00E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8" w:rsidRDefault="00082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46" w:rsidRPr="00E95B9C" w:rsidRDefault="00CC30E2" w:rsidP="00E95B9C">
    <w:pPr>
      <w:pStyle w:val="Footer"/>
      <w:jc w:val="both"/>
      <w:rPr>
        <w:rFonts w:ascii="Times New Roman" w:hAnsi="Times New Roman"/>
        <w:sz w:val="20"/>
      </w:rPr>
    </w:pPr>
    <w:fldSimple w:instr=" FILENAME   \* MERGEFORMAT ">
      <w:r w:rsidR="000826B8" w:rsidRPr="000826B8">
        <w:rPr>
          <w:rFonts w:ascii="Times New Roman" w:hAnsi="Times New Roman"/>
          <w:noProof/>
          <w:sz w:val="20"/>
        </w:rPr>
        <w:t>EMNot_311013_groz361</w:t>
      </w:r>
    </w:fldSimple>
    <w:r w:rsidR="00E42F46">
      <w:rPr>
        <w:rFonts w:ascii="Times New Roman" w:hAnsi="Times New Roman"/>
        <w:sz w:val="20"/>
      </w:rPr>
      <w:t xml:space="preserve">; </w:t>
    </w:r>
    <w:r w:rsidR="00E42F46" w:rsidRPr="00C01883">
      <w:rPr>
        <w:rFonts w:ascii="Times New Roman" w:hAnsi="Times New Roman"/>
        <w:sz w:val="20"/>
      </w:rPr>
      <w:t>Grozījums Ministru kabineta 2010.gada 13.aprīļa noteikumos Nr.361 „Noteikumi par darbības programmas „Uzņēmējdarbība un inovācijas” papildinājuma 2.1.2.1.1.apakšaktivitāti „Kompetences centri””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8" w:rsidRDefault="0008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25" w:rsidRDefault="00904825" w:rsidP="00EB0F43">
      <w:pPr>
        <w:spacing w:after="0" w:line="240" w:lineRule="auto"/>
      </w:pPr>
      <w:r>
        <w:separator/>
      </w:r>
    </w:p>
  </w:footnote>
  <w:footnote w:type="continuationSeparator" w:id="0">
    <w:p w:rsidR="00904825" w:rsidRDefault="00904825" w:rsidP="00EB0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8" w:rsidRDefault="00082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219"/>
      <w:docPartObj>
        <w:docPartGallery w:val="Page Numbers (Top of Page)"/>
        <w:docPartUnique/>
      </w:docPartObj>
    </w:sdtPr>
    <w:sdtEndPr/>
    <w:sdtContent>
      <w:p w:rsidR="00E42F46" w:rsidRDefault="00C57EF8">
        <w:pPr>
          <w:pStyle w:val="Header"/>
          <w:jc w:val="center"/>
        </w:pPr>
        <w:r>
          <w:fldChar w:fldCharType="begin"/>
        </w:r>
        <w:r>
          <w:instrText xml:space="preserve"> PAGE   \* MERGEFORMAT </w:instrText>
        </w:r>
        <w:r>
          <w:fldChar w:fldCharType="separate"/>
        </w:r>
        <w:r w:rsidR="00974E5B">
          <w:rPr>
            <w:noProof/>
          </w:rPr>
          <w:t>4</w:t>
        </w:r>
        <w:r>
          <w:rPr>
            <w:noProof/>
          </w:rPr>
          <w:fldChar w:fldCharType="end"/>
        </w:r>
      </w:p>
    </w:sdtContent>
  </w:sdt>
  <w:p w:rsidR="00E42F46" w:rsidRDefault="00E42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8" w:rsidRDefault="0008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B07"/>
    <w:multiLevelType w:val="hybridMultilevel"/>
    <w:tmpl w:val="0228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9F788D"/>
    <w:multiLevelType w:val="multilevel"/>
    <w:tmpl w:val="3A9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121EA"/>
    <w:multiLevelType w:val="hybridMultilevel"/>
    <w:tmpl w:val="4FDC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1F00CA"/>
    <w:multiLevelType w:val="hybridMultilevel"/>
    <w:tmpl w:val="8310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2F63B9"/>
    <w:multiLevelType w:val="hybridMultilevel"/>
    <w:tmpl w:val="8310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776755"/>
    <w:multiLevelType w:val="hybridMultilevel"/>
    <w:tmpl w:val="8310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742784"/>
    <w:multiLevelType w:val="hybridMultilevel"/>
    <w:tmpl w:val="2D3CC374"/>
    <w:lvl w:ilvl="0" w:tplc="0F7A238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73404F3"/>
    <w:multiLevelType w:val="hybridMultilevel"/>
    <w:tmpl w:val="0228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A06EA"/>
    <w:multiLevelType w:val="hybridMultilevel"/>
    <w:tmpl w:val="8310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16564"/>
    <w:multiLevelType w:val="hybridMultilevel"/>
    <w:tmpl w:val="FE9EA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39174E0"/>
    <w:multiLevelType w:val="hybridMultilevel"/>
    <w:tmpl w:val="0228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9"/>
  </w:num>
  <w:num w:numId="5">
    <w:abstractNumId w:val="4"/>
  </w:num>
  <w:num w:numId="6">
    <w:abstractNumId w:val="2"/>
  </w:num>
  <w:num w:numId="7">
    <w:abstractNumId w:val="3"/>
  </w:num>
  <w:num w:numId="8">
    <w:abstractNumId w:val="10"/>
  </w:num>
  <w:num w:numId="9">
    <w:abstractNumId w:val="8"/>
  </w:num>
  <w:num w:numId="10">
    <w:abstractNumId w:val="5"/>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8F6"/>
    <w:rsid w:val="00001367"/>
    <w:rsid w:val="0000494A"/>
    <w:rsid w:val="00004D38"/>
    <w:rsid w:val="000061D1"/>
    <w:rsid w:val="00007085"/>
    <w:rsid w:val="00011425"/>
    <w:rsid w:val="000152F7"/>
    <w:rsid w:val="00015CD6"/>
    <w:rsid w:val="00016443"/>
    <w:rsid w:val="00026D98"/>
    <w:rsid w:val="00032577"/>
    <w:rsid w:val="00033E2A"/>
    <w:rsid w:val="0003516B"/>
    <w:rsid w:val="00037A16"/>
    <w:rsid w:val="000401BB"/>
    <w:rsid w:val="00042F84"/>
    <w:rsid w:val="00044E4D"/>
    <w:rsid w:val="00047511"/>
    <w:rsid w:val="0005575E"/>
    <w:rsid w:val="00055C06"/>
    <w:rsid w:val="00064B0E"/>
    <w:rsid w:val="000651EA"/>
    <w:rsid w:val="00066EA1"/>
    <w:rsid w:val="0006711B"/>
    <w:rsid w:val="000727A8"/>
    <w:rsid w:val="00072FC2"/>
    <w:rsid w:val="00073950"/>
    <w:rsid w:val="0007460B"/>
    <w:rsid w:val="000763DC"/>
    <w:rsid w:val="00076822"/>
    <w:rsid w:val="00080A1E"/>
    <w:rsid w:val="000826B8"/>
    <w:rsid w:val="00083E49"/>
    <w:rsid w:val="00086618"/>
    <w:rsid w:val="000915CE"/>
    <w:rsid w:val="00093278"/>
    <w:rsid w:val="0009361A"/>
    <w:rsid w:val="00094483"/>
    <w:rsid w:val="000945C7"/>
    <w:rsid w:val="00094837"/>
    <w:rsid w:val="00094B7E"/>
    <w:rsid w:val="00096622"/>
    <w:rsid w:val="000A1349"/>
    <w:rsid w:val="000A6349"/>
    <w:rsid w:val="000B4384"/>
    <w:rsid w:val="000C037C"/>
    <w:rsid w:val="000C0C13"/>
    <w:rsid w:val="000C0EC7"/>
    <w:rsid w:val="000C6E94"/>
    <w:rsid w:val="000D11D0"/>
    <w:rsid w:val="000D13F2"/>
    <w:rsid w:val="000D2DD3"/>
    <w:rsid w:val="000D3229"/>
    <w:rsid w:val="000D39FD"/>
    <w:rsid w:val="000D4099"/>
    <w:rsid w:val="000D74A0"/>
    <w:rsid w:val="000E63D2"/>
    <w:rsid w:val="000E685D"/>
    <w:rsid w:val="000E6C8E"/>
    <w:rsid w:val="000F1759"/>
    <w:rsid w:val="000F2AF0"/>
    <w:rsid w:val="000F3A04"/>
    <w:rsid w:val="000F4447"/>
    <w:rsid w:val="0010033A"/>
    <w:rsid w:val="00101F68"/>
    <w:rsid w:val="0010200E"/>
    <w:rsid w:val="00102EB7"/>
    <w:rsid w:val="001069A8"/>
    <w:rsid w:val="0011155B"/>
    <w:rsid w:val="00120A4F"/>
    <w:rsid w:val="001221F3"/>
    <w:rsid w:val="00122D70"/>
    <w:rsid w:val="00126FC2"/>
    <w:rsid w:val="00133588"/>
    <w:rsid w:val="001336DB"/>
    <w:rsid w:val="00136F32"/>
    <w:rsid w:val="00140251"/>
    <w:rsid w:val="00143658"/>
    <w:rsid w:val="0014523B"/>
    <w:rsid w:val="001515E2"/>
    <w:rsid w:val="00151EEF"/>
    <w:rsid w:val="001524AD"/>
    <w:rsid w:val="001560A8"/>
    <w:rsid w:val="00166565"/>
    <w:rsid w:val="001738E8"/>
    <w:rsid w:val="00176886"/>
    <w:rsid w:val="00181DB3"/>
    <w:rsid w:val="00186302"/>
    <w:rsid w:val="00190649"/>
    <w:rsid w:val="00193452"/>
    <w:rsid w:val="001937AD"/>
    <w:rsid w:val="001963EC"/>
    <w:rsid w:val="00197202"/>
    <w:rsid w:val="001B0252"/>
    <w:rsid w:val="001B4670"/>
    <w:rsid w:val="001B69B7"/>
    <w:rsid w:val="001C0A87"/>
    <w:rsid w:val="001C7AAF"/>
    <w:rsid w:val="001D2910"/>
    <w:rsid w:val="001E0ED9"/>
    <w:rsid w:val="001E5D7C"/>
    <w:rsid w:val="001E5E72"/>
    <w:rsid w:val="001F18E3"/>
    <w:rsid w:val="001F2F77"/>
    <w:rsid w:val="001F5EA9"/>
    <w:rsid w:val="00204D46"/>
    <w:rsid w:val="00205DB1"/>
    <w:rsid w:val="0020764E"/>
    <w:rsid w:val="002108CB"/>
    <w:rsid w:val="00211FC1"/>
    <w:rsid w:val="00212B26"/>
    <w:rsid w:val="0021374F"/>
    <w:rsid w:val="0022008E"/>
    <w:rsid w:val="0022162E"/>
    <w:rsid w:val="002272F8"/>
    <w:rsid w:val="002315DB"/>
    <w:rsid w:val="00231C2C"/>
    <w:rsid w:val="00235C2D"/>
    <w:rsid w:val="00236628"/>
    <w:rsid w:val="00240C49"/>
    <w:rsid w:val="0025004E"/>
    <w:rsid w:val="00254EAE"/>
    <w:rsid w:val="0026106A"/>
    <w:rsid w:val="00261F89"/>
    <w:rsid w:val="00264A5F"/>
    <w:rsid w:val="002669C9"/>
    <w:rsid w:val="00267E23"/>
    <w:rsid w:val="00267EE4"/>
    <w:rsid w:val="002713E6"/>
    <w:rsid w:val="00276456"/>
    <w:rsid w:val="00286C05"/>
    <w:rsid w:val="002911AB"/>
    <w:rsid w:val="0029337A"/>
    <w:rsid w:val="002940F3"/>
    <w:rsid w:val="0029525A"/>
    <w:rsid w:val="00297930"/>
    <w:rsid w:val="002A3877"/>
    <w:rsid w:val="002A3B58"/>
    <w:rsid w:val="002A6553"/>
    <w:rsid w:val="002A6570"/>
    <w:rsid w:val="002B2704"/>
    <w:rsid w:val="002C316D"/>
    <w:rsid w:val="002E14E2"/>
    <w:rsid w:val="002E2821"/>
    <w:rsid w:val="002E3DC8"/>
    <w:rsid w:val="002E468E"/>
    <w:rsid w:val="002E74DF"/>
    <w:rsid w:val="002E7522"/>
    <w:rsid w:val="002E7BE7"/>
    <w:rsid w:val="002F5734"/>
    <w:rsid w:val="003051B8"/>
    <w:rsid w:val="003109D5"/>
    <w:rsid w:val="00311088"/>
    <w:rsid w:val="00311F28"/>
    <w:rsid w:val="00313F45"/>
    <w:rsid w:val="00322BB4"/>
    <w:rsid w:val="00323005"/>
    <w:rsid w:val="00330320"/>
    <w:rsid w:val="00330C83"/>
    <w:rsid w:val="00335039"/>
    <w:rsid w:val="00336503"/>
    <w:rsid w:val="00337081"/>
    <w:rsid w:val="00345885"/>
    <w:rsid w:val="00346ABE"/>
    <w:rsid w:val="00350B2F"/>
    <w:rsid w:val="00351078"/>
    <w:rsid w:val="003513F6"/>
    <w:rsid w:val="00362A25"/>
    <w:rsid w:val="00365EC1"/>
    <w:rsid w:val="0037011A"/>
    <w:rsid w:val="003716ED"/>
    <w:rsid w:val="003719B2"/>
    <w:rsid w:val="003732C4"/>
    <w:rsid w:val="003746D3"/>
    <w:rsid w:val="00375403"/>
    <w:rsid w:val="003769D5"/>
    <w:rsid w:val="00380B2B"/>
    <w:rsid w:val="00381460"/>
    <w:rsid w:val="00382467"/>
    <w:rsid w:val="003832EA"/>
    <w:rsid w:val="00390418"/>
    <w:rsid w:val="0039587B"/>
    <w:rsid w:val="003A136E"/>
    <w:rsid w:val="003A236C"/>
    <w:rsid w:val="003A6043"/>
    <w:rsid w:val="003A6F58"/>
    <w:rsid w:val="003B1948"/>
    <w:rsid w:val="003B51F8"/>
    <w:rsid w:val="003B77EE"/>
    <w:rsid w:val="003C06B4"/>
    <w:rsid w:val="003C0BEA"/>
    <w:rsid w:val="003C21C1"/>
    <w:rsid w:val="003C5648"/>
    <w:rsid w:val="003C7C74"/>
    <w:rsid w:val="003D1780"/>
    <w:rsid w:val="003D214E"/>
    <w:rsid w:val="003D27FA"/>
    <w:rsid w:val="003D51E8"/>
    <w:rsid w:val="003E09AF"/>
    <w:rsid w:val="003E0B41"/>
    <w:rsid w:val="003E261B"/>
    <w:rsid w:val="003E6BF9"/>
    <w:rsid w:val="003F03C5"/>
    <w:rsid w:val="003F11C6"/>
    <w:rsid w:val="003F2D9E"/>
    <w:rsid w:val="00400D76"/>
    <w:rsid w:val="00401C8B"/>
    <w:rsid w:val="004030E4"/>
    <w:rsid w:val="0040360B"/>
    <w:rsid w:val="004048FA"/>
    <w:rsid w:val="00410511"/>
    <w:rsid w:val="004122B2"/>
    <w:rsid w:val="0041407F"/>
    <w:rsid w:val="00421DAE"/>
    <w:rsid w:val="0042420C"/>
    <w:rsid w:val="00424FFB"/>
    <w:rsid w:val="0042685D"/>
    <w:rsid w:val="00426CB8"/>
    <w:rsid w:val="00427749"/>
    <w:rsid w:val="004343C3"/>
    <w:rsid w:val="00436E41"/>
    <w:rsid w:val="00440733"/>
    <w:rsid w:val="0044114B"/>
    <w:rsid w:val="004417D3"/>
    <w:rsid w:val="0044180F"/>
    <w:rsid w:val="00445B9B"/>
    <w:rsid w:val="00447AF1"/>
    <w:rsid w:val="0045108D"/>
    <w:rsid w:val="004510C5"/>
    <w:rsid w:val="004538B6"/>
    <w:rsid w:val="004542BF"/>
    <w:rsid w:val="00455C1C"/>
    <w:rsid w:val="00460495"/>
    <w:rsid w:val="00462DF7"/>
    <w:rsid w:val="004663FC"/>
    <w:rsid w:val="004725AF"/>
    <w:rsid w:val="004726A0"/>
    <w:rsid w:val="00473D5C"/>
    <w:rsid w:val="00482D95"/>
    <w:rsid w:val="00494ADE"/>
    <w:rsid w:val="00496339"/>
    <w:rsid w:val="004A184D"/>
    <w:rsid w:val="004A50DC"/>
    <w:rsid w:val="004A5830"/>
    <w:rsid w:val="004A587D"/>
    <w:rsid w:val="004B0B3D"/>
    <w:rsid w:val="004B4AAF"/>
    <w:rsid w:val="004B651E"/>
    <w:rsid w:val="004C0315"/>
    <w:rsid w:val="004C045A"/>
    <w:rsid w:val="004C47D0"/>
    <w:rsid w:val="004C662D"/>
    <w:rsid w:val="004D1C20"/>
    <w:rsid w:val="004D34B3"/>
    <w:rsid w:val="004D587B"/>
    <w:rsid w:val="004D7384"/>
    <w:rsid w:val="004E00A0"/>
    <w:rsid w:val="004E10A0"/>
    <w:rsid w:val="004E1505"/>
    <w:rsid w:val="004E397F"/>
    <w:rsid w:val="004E79CD"/>
    <w:rsid w:val="004F0527"/>
    <w:rsid w:val="004F08F3"/>
    <w:rsid w:val="004F5F9F"/>
    <w:rsid w:val="004F6271"/>
    <w:rsid w:val="00500C3A"/>
    <w:rsid w:val="00502BD1"/>
    <w:rsid w:val="00507F6A"/>
    <w:rsid w:val="00514AFB"/>
    <w:rsid w:val="0052606A"/>
    <w:rsid w:val="00526B3C"/>
    <w:rsid w:val="00526DEC"/>
    <w:rsid w:val="00533472"/>
    <w:rsid w:val="00543C77"/>
    <w:rsid w:val="0055187A"/>
    <w:rsid w:val="0055620B"/>
    <w:rsid w:val="00557DD8"/>
    <w:rsid w:val="005642BA"/>
    <w:rsid w:val="00565AE1"/>
    <w:rsid w:val="00565D63"/>
    <w:rsid w:val="00572642"/>
    <w:rsid w:val="00577655"/>
    <w:rsid w:val="005831BB"/>
    <w:rsid w:val="00584BC2"/>
    <w:rsid w:val="00585535"/>
    <w:rsid w:val="00590C7F"/>
    <w:rsid w:val="00597359"/>
    <w:rsid w:val="005A224D"/>
    <w:rsid w:val="005A43E9"/>
    <w:rsid w:val="005A4BDE"/>
    <w:rsid w:val="005A7566"/>
    <w:rsid w:val="005B1099"/>
    <w:rsid w:val="005B55F8"/>
    <w:rsid w:val="005C0F55"/>
    <w:rsid w:val="005C24AC"/>
    <w:rsid w:val="005C5AD9"/>
    <w:rsid w:val="005D0977"/>
    <w:rsid w:val="005D22C0"/>
    <w:rsid w:val="005D3229"/>
    <w:rsid w:val="005D4999"/>
    <w:rsid w:val="005D499C"/>
    <w:rsid w:val="005D6B2F"/>
    <w:rsid w:val="005E4F0C"/>
    <w:rsid w:val="005F7408"/>
    <w:rsid w:val="00601A17"/>
    <w:rsid w:val="006035FB"/>
    <w:rsid w:val="0060499D"/>
    <w:rsid w:val="0061058C"/>
    <w:rsid w:val="00615464"/>
    <w:rsid w:val="00621B95"/>
    <w:rsid w:val="006259AC"/>
    <w:rsid w:val="00633F09"/>
    <w:rsid w:val="006356BF"/>
    <w:rsid w:val="00640CA5"/>
    <w:rsid w:val="006467A1"/>
    <w:rsid w:val="00652B33"/>
    <w:rsid w:val="00652FA1"/>
    <w:rsid w:val="00654123"/>
    <w:rsid w:val="00656E28"/>
    <w:rsid w:val="006575FE"/>
    <w:rsid w:val="0066108E"/>
    <w:rsid w:val="00663440"/>
    <w:rsid w:val="00665F53"/>
    <w:rsid w:val="006666E0"/>
    <w:rsid w:val="00666BB0"/>
    <w:rsid w:val="00670714"/>
    <w:rsid w:val="00672ED7"/>
    <w:rsid w:val="006736F7"/>
    <w:rsid w:val="00677508"/>
    <w:rsid w:val="00680822"/>
    <w:rsid w:val="00682D83"/>
    <w:rsid w:val="00684DAE"/>
    <w:rsid w:val="006919B5"/>
    <w:rsid w:val="006934BF"/>
    <w:rsid w:val="00695662"/>
    <w:rsid w:val="0069645C"/>
    <w:rsid w:val="006A2767"/>
    <w:rsid w:val="006A48E8"/>
    <w:rsid w:val="006A7C02"/>
    <w:rsid w:val="006B05CE"/>
    <w:rsid w:val="006B2A7B"/>
    <w:rsid w:val="006B34A8"/>
    <w:rsid w:val="006B6D5C"/>
    <w:rsid w:val="006C1CD7"/>
    <w:rsid w:val="006D5140"/>
    <w:rsid w:val="006D6CF7"/>
    <w:rsid w:val="006E0FEC"/>
    <w:rsid w:val="006E2706"/>
    <w:rsid w:val="006E46A0"/>
    <w:rsid w:val="006E5364"/>
    <w:rsid w:val="006E7158"/>
    <w:rsid w:val="006F22F5"/>
    <w:rsid w:val="006F2496"/>
    <w:rsid w:val="006F34C1"/>
    <w:rsid w:val="006F6AAF"/>
    <w:rsid w:val="00702023"/>
    <w:rsid w:val="007022A4"/>
    <w:rsid w:val="0070461E"/>
    <w:rsid w:val="007059DD"/>
    <w:rsid w:val="0070682D"/>
    <w:rsid w:val="007150AA"/>
    <w:rsid w:val="00715FC6"/>
    <w:rsid w:val="0071625B"/>
    <w:rsid w:val="007210FF"/>
    <w:rsid w:val="00721D0D"/>
    <w:rsid w:val="00731538"/>
    <w:rsid w:val="007335EB"/>
    <w:rsid w:val="00736994"/>
    <w:rsid w:val="00740A84"/>
    <w:rsid w:val="0074261C"/>
    <w:rsid w:val="00746C03"/>
    <w:rsid w:val="00747800"/>
    <w:rsid w:val="00750D99"/>
    <w:rsid w:val="00751A45"/>
    <w:rsid w:val="007557B3"/>
    <w:rsid w:val="007661FA"/>
    <w:rsid w:val="00771197"/>
    <w:rsid w:val="007718F9"/>
    <w:rsid w:val="00773BE5"/>
    <w:rsid w:val="00773E4A"/>
    <w:rsid w:val="00775A3A"/>
    <w:rsid w:val="007817BA"/>
    <w:rsid w:val="00782AF5"/>
    <w:rsid w:val="007911ED"/>
    <w:rsid w:val="00791438"/>
    <w:rsid w:val="0079160C"/>
    <w:rsid w:val="0079471C"/>
    <w:rsid w:val="0079477F"/>
    <w:rsid w:val="007A3FB5"/>
    <w:rsid w:val="007B0265"/>
    <w:rsid w:val="007B0B81"/>
    <w:rsid w:val="007B1643"/>
    <w:rsid w:val="007B28C5"/>
    <w:rsid w:val="007B47FB"/>
    <w:rsid w:val="007B58BB"/>
    <w:rsid w:val="007B5B44"/>
    <w:rsid w:val="007D6837"/>
    <w:rsid w:val="007D7EF8"/>
    <w:rsid w:val="007E0122"/>
    <w:rsid w:val="007E0EDC"/>
    <w:rsid w:val="007F7681"/>
    <w:rsid w:val="007F7A07"/>
    <w:rsid w:val="008002FA"/>
    <w:rsid w:val="00804C60"/>
    <w:rsid w:val="0080655C"/>
    <w:rsid w:val="008072C4"/>
    <w:rsid w:val="008125C1"/>
    <w:rsid w:val="00814C38"/>
    <w:rsid w:val="00815395"/>
    <w:rsid w:val="008176BF"/>
    <w:rsid w:val="00820B67"/>
    <w:rsid w:val="00822B01"/>
    <w:rsid w:val="0082411C"/>
    <w:rsid w:val="00825503"/>
    <w:rsid w:val="0083064E"/>
    <w:rsid w:val="008419C4"/>
    <w:rsid w:val="00842200"/>
    <w:rsid w:val="0084269D"/>
    <w:rsid w:val="008432CC"/>
    <w:rsid w:val="00843904"/>
    <w:rsid w:val="00846673"/>
    <w:rsid w:val="00847C48"/>
    <w:rsid w:val="008527E5"/>
    <w:rsid w:val="0085405A"/>
    <w:rsid w:val="00854F91"/>
    <w:rsid w:val="0085651A"/>
    <w:rsid w:val="008610B0"/>
    <w:rsid w:val="00866556"/>
    <w:rsid w:val="00867A84"/>
    <w:rsid w:val="008748D3"/>
    <w:rsid w:val="00875005"/>
    <w:rsid w:val="008758FE"/>
    <w:rsid w:val="00875C1C"/>
    <w:rsid w:val="0087771A"/>
    <w:rsid w:val="0088602C"/>
    <w:rsid w:val="00886FA5"/>
    <w:rsid w:val="0089231A"/>
    <w:rsid w:val="00892DEA"/>
    <w:rsid w:val="008961E8"/>
    <w:rsid w:val="008977A3"/>
    <w:rsid w:val="008B0FB2"/>
    <w:rsid w:val="008B2859"/>
    <w:rsid w:val="008B49D9"/>
    <w:rsid w:val="008B4AA1"/>
    <w:rsid w:val="008C1EEE"/>
    <w:rsid w:val="008C2188"/>
    <w:rsid w:val="008D0C30"/>
    <w:rsid w:val="008D199A"/>
    <w:rsid w:val="008D59F3"/>
    <w:rsid w:val="008D6130"/>
    <w:rsid w:val="008D6F51"/>
    <w:rsid w:val="008E07D7"/>
    <w:rsid w:val="008E1B66"/>
    <w:rsid w:val="008E50C4"/>
    <w:rsid w:val="008E69B2"/>
    <w:rsid w:val="008F0614"/>
    <w:rsid w:val="008F10ED"/>
    <w:rsid w:val="008F340A"/>
    <w:rsid w:val="008F714A"/>
    <w:rsid w:val="008F73F5"/>
    <w:rsid w:val="00900395"/>
    <w:rsid w:val="00902E02"/>
    <w:rsid w:val="009030D8"/>
    <w:rsid w:val="00904825"/>
    <w:rsid w:val="00905434"/>
    <w:rsid w:val="00906FA7"/>
    <w:rsid w:val="0090748E"/>
    <w:rsid w:val="00910BCF"/>
    <w:rsid w:val="00912AE0"/>
    <w:rsid w:val="00914B8F"/>
    <w:rsid w:val="00917837"/>
    <w:rsid w:val="0091799D"/>
    <w:rsid w:val="00924CAE"/>
    <w:rsid w:val="00933E1C"/>
    <w:rsid w:val="009343F0"/>
    <w:rsid w:val="00935087"/>
    <w:rsid w:val="00940B90"/>
    <w:rsid w:val="0094189F"/>
    <w:rsid w:val="009422B5"/>
    <w:rsid w:val="00945998"/>
    <w:rsid w:val="009459AC"/>
    <w:rsid w:val="00951D0C"/>
    <w:rsid w:val="00952D78"/>
    <w:rsid w:val="00960CB5"/>
    <w:rsid w:val="009618B6"/>
    <w:rsid w:val="00963C93"/>
    <w:rsid w:val="00964510"/>
    <w:rsid w:val="00964949"/>
    <w:rsid w:val="00966288"/>
    <w:rsid w:val="00966DE4"/>
    <w:rsid w:val="0096759D"/>
    <w:rsid w:val="00973263"/>
    <w:rsid w:val="00974E5B"/>
    <w:rsid w:val="00975076"/>
    <w:rsid w:val="0097617B"/>
    <w:rsid w:val="009763C8"/>
    <w:rsid w:val="0097665B"/>
    <w:rsid w:val="00976816"/>
    <w:rsid w:val="00986BAA"/>
    <w:rsid w:val="0098788A"/>
    <w:rsid w:val="0099367B"/>
    <w:rsid w:val="0099402F"/>
    <w:rsid w:val="00994D1A"/>
    <w:rsid w:val="009978F6"/>
    <w:rsid w:val="009A018F"/>
    <w:rsid w:val="009A0B49"/>
    <w:rsid w:val="009A42BA"/>
    <w:rsid w:val="009B21A9"/>
    <w:rsid w:val="009B5BFC"/>
    <w:rsid w:val="009B6791"/>
    <w:rsid w:val="009C0B34"/>
    <w:rsid w:val="009D0E47"/>
    <w:rsid w:val="009D2CAE"/>
    <w:rsid w:val="009D30F3"/>
    <w:rsid w:val="009D4524"/>
    <w:rsid w:val="009D732C"/>
    <w:rsid w:val="009E0EDC"/>
    <w:rsid w:val="009E46FD"/>
    <w:rsid w:val="009E671F"/>
    <w:rsid w:val="009F470E"/>
    <w:rsid w:val="009F6EFA"/>
    <w:rsid w:val="009F79F4"/>
    <w:rsid w:val="00A132D5"/>
    <w:rsid w:val="00A2575F"/>
    <w:rsid w:val="00A268AC"/>
    <w:rsid w:val="00A300A0"/>
    <w:rsid w:val="00A303A2"/>
    <w:rsid w:val="00A33510"/>
    <w:rsid w:val="00A513BD"/>
    <w:rsid w:val="00A52A62"/>
    <w:rsid w:val="00A55AF0"/>
    <w:rsid w:val="00A56976"/>
    <w:rsid w:val="00A6398F"/>
    <w:rsid w:val="00A63DD2"/>
    <w:rsid w:val="00A65401"/>
    <w:rsid w:val="00A67285"/>
    <w:rsid w:val="00A704C5"/>
    <w:rsid w:val="00A71EB6"/>
    <w:rsid w:val="00A73867"/>
    <w:rsid w:val="00A7458A"/>
    <w:rsid w:val="00A77645"/>
    <w:rsid w:val="00A8094F"/>
    <w:rsid w:val="00A82CAC"/>
    <w:rsid w:val="00A8589E"/>
    <w:rsid w:val="00A914CA"/>
    <w:rsid w:val="00A97584"/>
    <w:rsid w:val="00A97DAC"/>
    <w:rsid w:val="00AA2765"/>
    <w:rsid w:val="00AA459F"/>
    <w:rsid w:val="00AA5F48"/>
    <w:rsid w:val="00AA74A5"/>
    <w:rsid w:val="00AB17A8"/>
    <w:rsid w:val="00AB4D58"/>
    <w:rsid w:val="00AC1200"/>
    <w:rsid w:val="00AC2F6D"/>
    <w:rsid w:val="00AC4BA1"/>
    <w:rsid w:val="00AC7980"/>
    <w:rsid w:val="00AC7E5F"/>
    <w:rsid w:val="00AD0951"/>
    <w:rsid w:val="00AD27E2"/>
    <w:rsid w:val="00AD2D87"/>
    <w:rsid w:val="00AD4C5C"/>
    <w:rsid w:val="00AE4222"/>
    <w:rsid w:val="00AF0D79"/>
    <w:rsid w:val="00AF1507"/>
    <w:rsid w:val="00AF25A6"/>
    <w:rsid w:val="00B00B10"/>
    <w:rsid w:val="00B052BB"/>
    <w:rsid w:val="00B07764"/>
    <w:rsid w:val="00B132FE"/>
    <w:rsid w:val="00B13A8B"/>
    <w:rsid w:val="00B15B0C"/>
    <w:rsid w:val="00B201F4"/>
    <w:rsid w:val="00B22289"/>
    <w:rsid w:val="00B26EC3"/>
    <w:rsid w:val="00B2777F"/>
    <w:rsid w:val="00B341F6"/>
    <w:rsid w:val="00B4600C"/>
    <w:rsid w:val="00B47469"/>
    <w:rsid w:val="00B53B41"/>
    <w:rsid w:val="00B67371"/>
    <w:rsid w:val="00B721A2"/>
    <w:rsid w:val="00B7361D"/>
    <w:rsid w:val="00B8538B"/>
    <w:rsid w:val="00B8606D"/>
    <w:rsid w:val="00B86148"/>
    <w:rsid w:val="00B94FF1"/>
    <w:rsid w:val="00B95CA0"/>
    <w:rsid w:val="00B95F55"/>
    <w:rsid w:val="00BA10FC"/>
    <w:rsid w:val="00BA11A5"/>
    <w:rsid w:val="00BA40BE"/>
    <w:rsid w:val="00BA4986"/>
    <w:rsid w:val="00BA6CED"/>
    <w:rsid w:val="00BC1533"/>
    <w:rsid w:val="00BC1B23"/>
    <w:rsid w:val="00BC2C2A"/>
    <w:rsid w:val="00BC4D05"/>
    <w:rsid w:val="00BC622D"/>
    <w:rsid w:val="00BC7585"/>
    <w:rsid w:val="00BC7ED6"/>
    <w:rsid w:val="00BD08A1"/>
    <w:rsid w:val="00BD301E"/>
    <w:rsid w:val="00BD520F"/>
    <w:rsid w:val="00BD74A6"/>
    <w:rsid w:val="00BE306D"/>
    <w:rsid w:val="00BE3D86"/>
    <w:rsid w:val="00BF00A9"/>
    <w:rsid w:val="00BF2D5B"/>
    <w:rsid w:val="00BF5C22"/>
    <w:rsid w:val="00C01883"/>
    <w:rsid w:val="00C0220D"/>
    <w:rsid w:val="00C030DC"/>
    <w:rsid w:val="00C04CA2"/>
    <w:rsid w:val="00C04DDE"/>
    <w:rsid w:val="00C04EDE"/>
    <w:rsid w:val="00C05D3A"/>
    <w:rsid w:val="00C13E72"/>
    <w:rsid w:val="00C17F9F"/>
    <w:rsid w:val="00C2116E"/>
    <w:rsid w:val="00C21D9A"/>
    <w:rsid w:val="00C27A19"/>
    <w:rsid w:val="00C32C25"/>
    <w:rsid w:val="00C35809"/>
    <w:rsid w:val="00C36857"/>
    <w:rsid w:val="00C37A84"/>
    <w:rsid w:val="00C41ADD"/>
    <w:rsid w:val="00C430F8"/>
    <w:rsid w:val="00C46379"/>
    <w:rsid w:val="00C532F6"/>
    <w:rsid w:val="00C55225"/>
    <w:rsid w:val="00C564FD"/>
    <w:rsid w:val="00C566C8"/>
    <w:rsid w:val="00C56FA8"/>
    <w:rsid w:val="00C576B4"/>
    <w:rsid w:val="00C57EF8"/>
    <w:rsid w:val="00C61253"/>
    <w:rsid w:val="00C612F6"/>
    <w:rsid w:val="00C616FA"/>
    <w:rsid w:val="00C65773"/>
    <w:rsid w:val="00C71125"/>
    <w:rsid w:val="00C72558"/>
    <w:rsid w:val="00C725EF"/>
    <w:rsid w:val="00C8074B"/>
    <w:rsid w:val="00C80D2C"/>
    <w:rsid w:val="00C85616"/>
    <w:rsid w:val="00C91282"/>
    <w:rsid w:val="00C950DD"/>
    <w:rsid w:val="00C96A05"/>
    <w:rsid w:val="00CB2FC7"/>
    <w:rsid w:val="00CB3388"/>
    <w:rsid w:val="00CB4481"/>
    <w:rsid w:val="00CB63C1"/>
    <w:rsid w:val="00CB6C81"/>
    <w:rsid w:val="00CB6DCA"/>
    <w:rsid w:val="00CC30E2"/>
    <w:rsid w:val="00CC47E2"/>
    <w:rsid w:val="00CD07B8"/>
    <w:rsid w:val="00CD2481"/>
    <w:rsid w:val="00CD28FA"/>
    <w:rsid w:val="00CD54BE"/>
    <w:rsid w:val="00CE151E"/>
    <w:rsid w:val="00CE1C59"/>
    <w:rsid w:val="00CE1C75"/>
    <w:rsid w:val="00CE7712"/>
    <w:rsid w:val="00CE7BAE"/>
    <w:rsid w:val="00CE7EF1"/>
    <w:rsid w:val="00CF7887"/>
    <w:rsid w:val="00D00CDA"/>
    <w:rsid w:val="00D032EE"/>
    <w:rsid w:val="00D05E91"/>
    <w:rsid w:val="00D10F7D"/>
    <w:rsid w:val="00D12CEF"/>
    <w:rsid w:val="00D14113"/>
    <w:rsid w:val="00D16040"/>
    <w:rsid w:val="00D169A9"/>
    <w:rsid w:val="00D17869"/>
    <w:rsid w:val="00D23168"/>
    <w:rsid w:val="00D24855"/>
    <w:rsid w:val="00D37237"/>
    <w:rsid w:val="00D4194C"/>
    <w:rsid w:val="00D42114"/>
    <w:rsid w:val="00D463BA"/>
    <w:rsid w:val="00D51744"/>
    <w:rsid w:val="00D55ED5"/>
    <w:rsid w:val="00D62CEF"/>
    <w:rsid w:val="00D6485E"/>
    <w:rsid w:val="00D758D1"/>
    <w:rsid w:val="00D77A8F"/>
    <w:rsid w:val="00D803C3"/>
    <w:rsid w:val="00D805E2"/>
    <w:rsid w:val="00D8086D"/>
    <w:rsid w:val="00D80EE5"/>
    <w:rsid w:val="00D83FE1"/>
    <w:rsid w:val="00D842F0"/>
    <w:rsid w:val="00D85295"/>
    <w:rsid w:val="00D86496"/>
    <w:rsid w:val="00D97E3F"/>
    <w:rsid w:val="00DA0C9E"/>
    <w:rsid w:val="00DA34B8"/>
    <w:rsid w:val="00DA6AB9"/>
    <w:rsid w:val="00DA7DD8"/>
    <w:rsid w:val="00DB0238"/>
    <w:rsid w:val="00DB7286"/>
    <w:rsid w:val="00DC0C31"/>
    <w:rsid w:val="00DC3631"/>
    <w:rsid w:val="00DC57B7"/>
    <w:rsid w:val="00DD5BAE"/>
    <w:rsid w:val="00DE3FE9"/>
    <w:rsid w:val="00DE57C4"/>
    <w:rsid w:val="00DE7A5F"/>
    <w:rsid w:val="00DE7CBA"/>
    <w:rsid w:val="00DE7E4D"/>
    <w:rsid w:val="00DF209B"/>
    <w:rsid w:val="00DF29B0"/>
    <w:rsid w:val="00DF2C76"/>
    <w:rsid w:val="00DF3CB2"/>
    <w:rsid w:val="00E024A2"/>
    <w:rsid w:val="00E03F07"/>
    <w:rsid w:val="00E0454A"/>
    <w:rsid w:val="00E07CF8"/>
    <w:rsid w:val="00E101E8"/>
    <w:rsid w:val="00E120CC"/>
    <w:rsid w:val="00E14709"/>
    <w:rsid w:val="00E14AE2"/>
    <w:rsid w:val="00E1502C"/>
    <w:rsid w:val="00E1602D"/>
    <w:rsid w:val="00E24E5E"/>
    <w:rsid w:val="00E260C5"/>
    <w:rsid w:val="00E26308"/>
    <w:rsid w:val="00E272CC"/>
    <w:rsid w:val="00E32F1C"/>
    <w:rsid w:val="00E34C86"/>
    <w:rsid w:val="00E34FDF"/>
    <w:rsid w:val="00E3543D"/>
    <w:rsid w:val="00E359A5"/>
    <w:rsid w:val="00E37410"/>
    <w:rsid w:val="00E42F46"/>
    <w:rsid w:val="00E45B04"/>
    <w:rsid w:val="00E63EA9"/>
    <w:rsid w:val="00E64AE3"/>
    <w:rsid w:val="00E77908"/>
    <w:rsid w:val="00E77CEE"/>
    <w:rsid w:val="00E77E3A"/>
    <w:rsid w:val="00E804A2"/>
    <w:rsid w:val="00E811A1"/>
    <w:rsid w:val="00E90BF1"/>
    <w:rsid w:val="00E92E7E"/>
    <w:rsid w:val="00E93CD3"/>
    <w:rsid w:val="00E9455D"/>
    <w:rsid w:val="00E95B9C"/>
    <w:rsid w:val="00E97935"/>
    <w:rsid w:val="00E97ED4"/>
    <w:rsid w:val="00EA0EF9"/>
    <w:rsid w:val="00EA19A1"/>
    <w:rsid w:val="00EA5D5B"/>
    <w:rsid w:val="00EA61AB"/>
    <w:rsid w:val="00EB0F43"/>
    <w:rsid w:val="00EB1C31"/>
    <w:rsid w:val="00EB629B"/>
    <w:rsid w:val="00EC2F58"/>
    <w:rsid w:val="00EC4654"/>
    <w:rsid w:val="00EC6707"/>
    <w:rsid w:val="00ED209D"/>
    <w:rsid w:val="00ED4DA2"/>
    <w:rsid w:val="00ED5ECE"/>
    <w:rsid w:val="00ED6380"/>
    <w:rsid w:val="00ED63AD"/>
    <w:rsid w:val="00EE4624"/>
    <w:rsid w:val="00EE476D"/>
    <w:rsid w:val="00EE522C"/>
    <w:rsid w:val="00EF381B"/>
    <w:rsid w:val="00EF5623"/>
    <w:rsid w:val="00EF6381"/>
    <w:rsid w:val="00F010E2"/>
    <w:rsid w:val="00F02679"/>
    <w:rsid w:val="00F03477"/>
    <w:rsid w:val="00F03E09"/>
    <w:rsid w:val="00F07723"/>
    <w:rsid w:val="00F1206C"/>
    <w:rsid w:val="00F1553B"/>
    <w:rsid w:val="00F204D7"/>
    <w:rsid w:val="00F20617"/>
    <w:rsid w:val="00F250C4"/>
    <w:rsid w:val="00F25BCF"/>
    <w:rsid w:val="00F26CA5"/>
    <w:rsid w:val="00F32B19"/>
    <w:rsid w:val="00F3389C"/>
    <w:rsid w:val="00F33F3B"/>
    <w:rsid w:val="00F3498A"/>
    <w:rsid w:val="00F3781F"/>
    <w:rsid w:val="00F4081F"/>
    <w:rsid w:val="00F501DA"/>
    <w:rsid w:val="00F50C33"/>
    <w:rsid w:val="00F512FB"/>
    <w:rsid w:val="00F52154"/>
    <w:rsid w:val="00F522BA"/>
    <w:rsid w:val="00F55484"/>
    <w:rsid w:val="00F56A94"/>
    <w:rsid w:val="00F6219F"/>
    <w:rsid w:val="00F63BA3"/>
    <w:rsid w:val="00F71F3F"/>
    <w:rsid w:val="00F722D2"/>
    <w:rsid w:val="00F73561"/>
    <w:rsid w:val="00F75A4C"/>
    <w:rsid w:val="00F761AB"/>
    <w:rsid w:val="00F774A2"/>
    <w:rsid w:val="00F77749"/>
    <w:rsid w:val="00F81865"/>
    <w:rsid w:val="00F82464"/>
    <w:rsid w:val="00F82D7F"/>
    <w:rsid w:val="00F872BB"/>
    <w:rsid w:val="00F912DF"/>
    <w:rsid w:val="00F93279"/>
    <w:rsid w:val="00F9705C"/>
    <w:rsid w:val="00F9798F"/>
    <w:rsid w:val="00FA6DEA"/>
    <w:rsid w:val="00FA79CE"/>
    <w:rsid w:val="00FB0046"/>
    <w:rsid w:val="00FB530B"/>
    <w:rsid w:val="00FC011E"/>
    <w:rsid w:val="00FC155C"/>
    <w:rsid w:val="00FD0D28"/>
    <w:rsid w:val="00FE200D"/>
    <w:rsid w:val="00FE2CD5"/>
    <w:rsid w:val="00FE3752"/>
    <w:rsid w:val="00FE394A"/>
    <w:rsid w:val="00FE650F"/>
    <w:rsid w:val="00FE66AC"/>
    <w:rsid w:val="00FE682A"/>
    <w:rsid w:val="00FE7DFA"/>
    <w:rsid w:val="00FF25EB"/>
    <w:rsid w:val="00FF314E"/>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pPr>
      <w:spacing w:after="200" w:line="276" w:lineRule="auto"/>
    </w:pPr>
    <w:rPr>
      <w:sz w:val="22"/>
      <w:szCs w:val="22"/>
      <w:lang w:eastAsia="en-US"/>
    </w:rPr>
  </w:style>
  <w:style w:type="paragraph" w:styleId="Heading2">
    <w:name w:val="heading 2"/>
    <w:basedOn w:val="Normal"/>
    <w:link w:val="Heading2Char"/>
    <w:uiPriority w:val="9"/>
    <w:qFormat/>
    <w:rsid w:val="006035FB"/>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sz w:val="24"/>
      <w:szCs w:val="24"/>
      <w:lang w:eastAsia="lv-LV"/>
    </w:rPr>
  </w:style>
  <w:style w:type="character" w:styleId="Hyperlink">
    <w:name w:val="Hyperlink"/>
    <w:uiPriority w:val="99"/>
    <w:semiHidden/>
    <w:unhideWhenUsed/>
    <w:rsid w:val="009978F6"/>
    <w:rPr>
      <w:strike w:val="0"/>
      <w:dstrike w:val="0"/>
      <w:color w:val="40407C"/>
      <w:u w:val="none"/>
      <w:effect w:val="none"/>
    </w:rPr>
  </w:style>
  <w:style w:type="character" w:customStyle="1" w:styleId="tvdoctopindex1">
    <w:name w:val="tv_doc_top_index1"/>
    <w:rsid w:val="009978F6"/>
    <w:rPr>
      <w:color w:val="666666"/>
      <w:sz w:val="18"/>
      <w:szCs w:val="18"/>
    </w:rPr>
  </w:style>
  <w:style w:type="character" w:styleId="CommentReference">
    <w:name w:val="annotation reference"/>
    <w:uiPriority w:val="99"/>
    <w:semiHidden/>
    <w:unhideWhenUsed/>
    <w:rsid w:val="00380B2B"/>
    <w:rPr>
      <w:sz w:val="16"/>
      <w:szCs w:val="16"/>
    </w:rPr>
  </w:style>
  <w:style w:type="paragraph" w:styleId="CommentText">
    <w:name w:val="annotation text"/>
    <w:basedOn w:val="Normal"/>
    <w:link w:val="CommentTextChar"/>
    <w:uiPriority w:val="99"/>
    <w:unhideWhenUsed/>
    <w:rsid w:val="00380B2B"/>
    <w:pPr>
      <w:spacing w:line="240" w:lineRule="auto"/>
    </w:pPr>
    <w:rPr>
      <w:sz w:val="20"/>
      <w:szCs w:val="20"/>
    </w:rPr>
  </w:style>
  <w:style w:type="character" w:customStyle="1" w:styleId="CommentTextChar">
    <w:name w:val="Comment Text Char"/>
    <w:link w:val="CommentText"/>
    <w:uiPriority w:val="99"/>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rPr>
      <w:sz w:val="22"/>
      <w:szCs w:val="22"/>
      <w:lang w:eastAsia="en-US"/>
    </w:rPr>
  </w:style>
  <w:style w:type="paragraph" w:customStyle="1" w:styleId="tv2131">
    <w:name w:val="tv2131"/>
    <w:basedOn w:val="Normal"/>
    <w:rsid w:val="00094B7E"/>
    <w:pPr>
      <w:spacing w:before="240" w:after="0" w:line="360" w:lineRule="auto"/>
      <w:ind w:firstLine="300"/>
      <w:jc w:val="both"/>
    </w:pPr>
    <w:rPr>
      <w:rFonts w:ascii="Verdana" w:eastAsia="Times New Roman" w:hAnsi="Verdana"/>
      <w:sz w:val="18"/>
      <w:szCs w:val="18"/>
      <w:lang w:eastAsia="lv-LV"/>
    </w:rPr>
  </w:style>
  <w:style w:type="character" w:customStyle="1" w:styleId="Heading2Char">
    <w:name w:val="Heading 2 Char"/>
    <w:basedOn w:val="DefaultParagraphFont"/>
    <w:link w:val="Heading2"/>
    <w:uiPriority w:val="9"/>
    <w:rsid w:val="006035FB"/>
    <w:rPr>
      <w:rFonts w:ascii="Times New Roman" w:eastAsia="Times New Roman" w:hAnsi="Times New Roman"/>
      <w:b/>
      <w:bCs/>
      <w:sz w:val="36"/>
      <w:szCs w:val="36"/>
    </w:rPr>
  </w:style>
  <w:style w:type="paragraph" w:styleId="NormalWeb">
    <w:name w:val="Normal (Web)"/>
    <w:basedOn w:val="Normal"/>
    <w:uiPriority w:val="99"/>
    <w:semiHidden/>
    <w:unhideWhenUsed/>
    <w:rsid w:val="006035F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E32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D6485E"/>
  </w:style>
  <w:style w:type="paragraph" w:customStyle="1" w:styleId="labojumupamats">
    <w:name w:val="labojumu_pamats"/>
    <w:basedOn w:val="Normal"/>
    <w:rsid w:val="002315DB"/>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8089">
      <w:bodyDiv w:val="1"/>
      <w:marLeft w:val="0"/>
      <w:marRight w:val="0"/>
      <w:marTop w:val="0"/>
      <w:marBottom w:val="0"/>
      <w:divBdr>
        <w:top w:val="none" w:sz="0" w:space="0" w:color="auto"/>
        <w:left w:val="none" w:sz="0" w:space="0" w:color="auto"/>
        <w:bottom w:val="none" w:sz="0" w:space="0" w:color="auto"/>
        <w:right w:val="none" w:sz="0" w:space="0" w:color="auto"/>
      </w:divBdr>
    </w:div>
    <w:div w:id="309483402">
      <w:bodyDiv w:val="1"/>
      <w:marLeft w:val="0"/>
      <w:marRight w:val="0"/>
      <w:marTop w:val="0"/>
      <w:marBottom w:val="0"/>
      <w:divBdr>
        <w:top w:val="none" w:sz="0" w:space="0" w:color="auto"/>
        <w:left w:val="none" w:sz="0" w:space="0" w:color="auto"/>
        <w:bottom w:val="none" w:sz="0" w:space="0" w:color="auto"/>
        <w:right w:val="none" w:sz="0" w:space="0" w:color="auto"/>
      </w:divBdr>
    </w:div>
    <w:div w:id="591595033">
      <w:bodyDiv w:val="1"/>
      <w:marLeft w:val="0"/>
      <w:marRight w:val="0"/>
      <w:marTop w:val="0"/>
      <w:marBottom w:val="0"/>
      <w:divBdr>
        <w:top w:val="none" w:sz="0" w:space="0" w:color="auto"/>
        <w:left w:val="none" w:sz="0" w:space="0" w:color="auto"/>
        <w:bottom w:val="none" w:sz="0" w:space="0" w:color="auto"/>
        <w:right w:val="none" w:sz="0" w:space="0" w:color="auto"/>
      </w:divBdr>
    </w:div>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 w:id="1750274760">
          <w:marLeft w:val="0"/>
          <w:marRight w:val="0"/>
          <w:marTop w:val="480"/>
          <w:marBottom w:val="240"/>
          <w:divBdr>
            <w:top w:val="none" w:sz="0" w:space="0" w:color="auto"/>
            <w:left w:val="none" w:sz="0" w:space="0" w:color="auto"/>
            <w:bottom w:val="none" w:sz="0" w:space="0" w:color="auto"/>
            <w:right w:val="none" w:sz="0" w:space="0" w:color="auto"/>
          </w:divBdr>
        </w:div>
      </w:divsChild>
    </w:div>
    <w:div w:id="1059668752">
      <w:bodyDiv w:val="1"/>
      <w:marLeft w:val="0"/>
      <w:marRight w:val="0"/>
      <w:marTop w:val="0"/>
      <w:marBottom w:val="0"/>
      <w:divBdr>
        <w:top w:val="none" w:sz="0" w:space="0" w:color="auto"/>
        <w:left w:val="none" w:sz="0" w:space="0" w:color="auto"/>
        <w:bottom w:val="none" w:sz="0" w:space="0" w:color="auto"/>
        <w:right w:val="none" w:sz="0" w:space="0" w:color="auto"/>
      </w:divBdr>
    </w:div>
    <w:div w:id="1319530297">
      <w:bodyDiv w:val="1"/>
      <w:marLeft w:val="0"/>
      <w:marRight w:val="0"/>
      <w:marTop w:val="0"/>
      <w:marBottom w:val="0"/>
      <w:divBdr>
        <w:top w:val="none" w:sz="0" w:space="0" w:color="auto"/>
        <w:left w:val="none" w:sz="0" w:space="0" w:color="auto"/>
        <w:bottom w:val="none" w:sz="0" w:space="0" w:color="auto"/>
        <w:right w:val="none" w:sz="0" w:space="0" w:color="auto"/>
      </w:divBdr>
    </w:div>
    <w:div w:id="1401252421">
      <w:bodyDiv w:val="1"/>
      <w:marLeft w:val="0"/>
      <w:marRight w:val="0"/>
      <w:marTop w:val="0"/>
      <w:marBottom w:val="0"/>
      <w:divBdr>
        <w:top w:val="none" w:sz="0" w:space="0" w:color="auto"/>
        <w:left w:val="none" w:sz="0" w:space="0" w:color="auto"/>
        <w:bottom w:val="none" w:sz="0" w:space="0" w:color="auto"/>
        <w:right w:val="none" w:sz="0" w:space="0" w:color="auto"/>
      </w:divBdr>
    </w:div>
    <w:div w:id="19639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8F76-B61E-4F39-A691-914F4915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Pages>
  <Words>1505</Words>
  <Characters>10586</Characters>
  <Application>Microsoft Office Word</Application>
  <DocSecurity>0</DocSecurity>
  <Lines>199</Lines>
  <Paragraphs>69</Paragraphs>
  <ScaleCrop>false</ScaleCrop>
  <HeadingPairs>
    <vt:vector size="2" baseType="variant">
      <vt:variant>
        <vt:lpstr>Title</vt:lpstr>
      </vt:variant>
      <vt:variant>
        <vt:i4>1</vt:i4>
      </vt:variant>
    </vt:vector>
  </HeadingPairs>
  <TitlesOfParts>
    <vt:vector size="1" baseType="lpstr">
      <vt:lpstr>Grozījums Ministru kabineta 2010.gada 13.aprīļa noteikumos Nr.361 „Noteikumi par darbības programmas „Uzņēmējdarbība un inovācijas” papildinājuma 2.1.2.1.1.apakšaktivitāti „Kompetences centri””</vt:lpstr>
    </vt:vector>
  </TitlesOfParts>
  <Company>Finanšu ministrija</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Nr.361 „Noteikumi par darbības programmas „Uzņēmējdarbība un inovācijas” papildinājuma 2.1.2.1.1.apakšaktivitāti „Kompetences centri””</dc:title>
  <dc:subject>Grozījums Ministru kabineta 2010.gada 13.aprīļa noteikumos Nr.361 „Noteikumi par darbības programmas „Uzņēmējdarbība un inovācijas” papildinājuma 2.1.2.1.1.apakšaktivitāti „Kompetences centri””</dc:subject>
  <dc:creator>Gatis Silovs</dc:creator>
  <cp:keywords/>
  <dc:description>67013209, Gatis.Silovs@em.gov.lv</dc:description>
  <cp:lastModifiedBy>Gatis Silovs</cp:lastModifiedBy>
  <cp:revision>23</cp:revision>
  <cp:lastPrinted>2013-03-22T14:22:00Z</cp:lastPrinted>
  <dcterms:created xsi:type="dcterms:W3CDTF">2013-10-18T14:21:00Z</dcterms:created>
  <dcterms:modified xsi:type="dcterms:W3CDTF">2013-10-31T09:13:00Z</dcterms:modified>
</cp:coreProperties>
</file>