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8D" w:rsidRPr="008B3E34" w:rsidRDefault="0005188D" w:rsidP="0005188D">
      <w:pPr>
        <w:pStyle w:val="Heading1"/>
        <w:spacing w:before="0" w:after="0" w:line="276" w:lineRule="auto"/>
        <w:jc w:val="right"/>
        <w:rPr>
          <w:rFonts w:ascii="Times New Roman" w:hAnsi="Times New Roman" w:cs="Times New Roman"/>
          <w:b w:val="0"/>
          <w:sz w:val="25"/>
          <w:szCs w:val="25"/>
        </w:rPr>
      </w:pPr>
      <w:r w:rsidRPr="008B3E34">
        <w:rPr>
          <w:rFonts w:ascii="Times New Roman" w:hAnsi="Times New Roman" w:cs="Times New Roman"/>
          <w:b w:val="0"/>
          <w:sz w:val="25"/>
          <w:szCs w:val="25"/>
        </w:rPr>
        <w:t>3. pielikums</w:t>
      </w:r>
    </w:p>
    <w:p w:rsidR="0005188D" w:rsidRPr="008B3E34" w:rsidRDefault="0005188D" w:rsidP="0005188D">
      <w:pPr>
        <w:spacing w:after="0"/>
        <w:jc w:val="right"/>
        <w:rPr>
          <w:rFonts w:ascii="Times New Roman" w:hAnsi="Times New Roman" w:cs="Times New Roman"/>
          <w:sz w:val="25"/>
          <w:szCs w:val="25"/>
        </w:rPr>
      </w:pPr>
      <w:r w:rsidRPr="008B3E34">
        <w:rPr>
          <w:rFonts w:ascii="Times New Roman" w:hAnsi="Times New Roman" w:cs="Times New Roman"/>
          <w:sz w:val="25"/>
          <w:szCs w:val="25"/>
        </w:rPr>
        <w:t>Ministru kabineta</w:t>
      </w:r>
    </w:p>
    <w:p w:rsidR="0005188D" w:rsidRPr="008B3E34" w:rsidRDefault="0005188D" w:rsidP="0005188D">
      <w:pPr>
        <w:spacing w:after="0"/>
        <w:jc w:val="right"/>
        <w:rPr>
          <w:rFonts w:ascii="Times New Roman" w:hAnsi="Times New Roman" w:cs="Times New Roman"/>
          <w:sz w:val="25"/>
          <w:szCs w:val="25"/>
        </w:rPr>
      </w:pPr>
      <w:r w:rsidRPr="008B3E34">
        <w:rPr>
          <w:rFonts w:ascii="Times New Roman" w:hAnsi="Times New Roman" w:cs="Times New Roman"/>
          <w:sz w:val="25"/>
          <w:szCs w:val="25"/>
        </w:rPr>
        <w:t xml:space="preserve">2011.gada </w:t>
      </w:r>
      <w:r w:rsidR="00086D6D" w:rsidRPr="008B3E34">
        <w:rPr>
          <w:sz w:val="25"/>
          <w:szCs w:val="25"/>
        </w:rPr>
        <w:t>___._______</w:t>
      </w:r>
    </w:p>
    <w:p w:rsidR="0005188D" w:rsidRPr="008B3E34" w:rsidRDefault="0005188D" w:rsidP="0005188D">
      <w:pPr>
        <w:spacing w:after="0"/>
        <w:jc w:val="right"/>
        <w:rPr>
          <w:rFonts w:ascii="Times New Roman" w:hAnsi="Times New Roman" w:cs="Times New Roman"/>
          <w:sz w:val="25"/>
          <w:szCs w:val="25"/>
        </w:rPr>
      </w:pPr>
      <w:r w:rsidRPr="008B3E34">
        <w:rPr>
          <w:rFonts w:ascii="Times New Roman" w:hAnsi="Times New Roman" w:cs="Times New Roman"/>
          <w:sz w:val="25"/>
          <w:szCs w:val="25"/>
        </w:rPr>
        <w:t>noteikumiem Nr._________</w:t>
      </w:r>
    </w:p>
    <w:p w:rsidR="00C4489F" w:rsidRPr="008B3E34" w:rsidRDefault="00C4489F" w:rsidP="00C4489F">
      <w:pPr>
        <w:pStyle w:val="naisnod"/>
        <w:rPr>
          <w:sz w:val="25"/>
          <w:szCs w:val="25"/>
        </w:rPr>
      </w:pPr>
      <w:r w:rsidRPr="008B3E34">
        <w:rPr>
          <w:sz w:val="25"/>
          <w:szCs w:val="25"/>
        </w:rPr>
        <w:t>Nozares, kurām nav paredzēts atbalsts</w:t>
      </w:r>
    </w:p>
    <w:p w:rsidR="00C4489F" w:rsidRPr="008B3E34" w:rsidRDefault="00C4489F" w:rsidP="00C4489F">
      <w:pPr>
        <w:pStyle w:val="naisnod"/>
        <w:rPr>
          <w:sz w:val="25"/>
          <w:szCs w:val="25"/>
        </w:rPr>
      </w:pPr>
      <w:r w:rsidRPr="008B3E34">
        <w:rPr>
          <w:sz w:val="25"/>
          <w:szCs w:val="25"/>
        </w:rPr>
        <w:t> </w:t>
      </w:r>
    </w:p>
    <w:p w:rsidR="00C4489F" w:rsidRPr="008B3E34" w:rsidRDefault="00C4489F" w:rsidP="00C4489F">
      <w:pPr>
        <w:pStyle w:val="naisf"/>
        <w:rPr>
          <w:sz w:val="25"/>
          <w:szCs w:val="25"/>
        </w:rPr>
      </w:pPr>
      <w:r w:rsidRPr="008B3E34">
        <w:rPr>
          <w:sz w:val="25"/>
          <w:szCs w:val="25"/>
        </w:rPr>
        <w:t xml:space="preserve">Darbības programmas </w:t>
      </w:r>
      <w:r w:rsidR="00456AB8" w:rsidRPr="008B3E34">
        <w:rPr>
          <w:sz w:val="25"/>
          <w:szCs w:val="25"/>
        </w:rPr>
        <w:t>„</w:t>
      </w:r>
      <w:r w:rsidRPr="008B3E34">
        <w:rPr>
          <w:sz w:val="25"/>
          <w:szCs w:val="25"/>
        </w:rPr>
        <w:t>Uzņēmējdarbība un inovācijas</w:t>
      </w:r>
      <w:r w:rsidR="00456AB8" w:rsidRPr="008B3E34">
        <w:rPr>
          <w:sz w:val="25"/>
          <w:szCs w:val="25"/>
        </w:rPr>
        <w:t>”</w:t>
      </w:r>
      <w:r w:rsidRPr="008B3E34">
        <w:rPr>
          <w:sz w:val="25"/>
          <w:szCs w:val="25"/>
        </w:rPr>
        <w:t xml:space="preserve"> papildinājuma 2.1.prioritātes </w:t>
      </w:r>
      <w:r w:rsidR="00456AB8" w:rsidRPr="008B3E34">
        <w:rPr>
          <w:sz w:val="25"/>
          <w:szCs w:val="25"/>
        </w:rPr>
        <w:t>„</w:t>
      </w:r>
      <w:r w:rsidRPr="008B3E34">
        <w:rPr>
          <w:sz w:val="25"/>
          <w:szCs w:val="25"/>
        </w:rPr>
        <w:t>Zinātne un inovācijas</w:t>
      </w:r>
      <w:r w:rsidR="00456AB8" w:rsidRPr="008B3E34">
        <w:rPr>
          <w:sz w:val="25"/>
          <w:szCs w:val="25"/>
        </w:rPr>
        <w:t>”</w:t>
      </w:r>
      <w:r w:rsidRPr="008B3E34">
        <w:rPr>
          <w:sz w:val="25"/>
          <w:szCs w:val="25"/>
        </w:rPr>
        <w:t xml:space="preserve"> 2.1.2.pasākuma </w:t>
      </w:r>
      <w:r w:rsidR="00456AB8" w:rsidRPr="008B3E34">
        <w:rPr>
          <w:sz w:val="25"/>
          <w:szCs w:val="25"/>
        </w:rPr>
        <w:t>„</w:t>
      </w:r>
      <w:r w:rsidRPr="008B3E34">
        <w:rPr>
          <w:sz w:val="25"/>
          <w:szCs w:val="25"/>
        </w:rPr>
        <w:t>Inovācijas</w:t>
      </w:r>
      <w:r w:rsidR="00456AB8" w:rsidRPr="008B3E34">
        <w:rPr>
          <w:sz w:val="25"/>
          <w:szCs w:val="25"/>
        </w:rPr>
        <w:t>”</w:t>
      </w:r>
      <w:r w:rsidRPr="008B3E34">
        <w:rPr>
          <w:sz w:val="25"/>
          <w:szCs w:val="25"/>
        </w:rPr>
        <w:t xml:space="preserve"> 2.1.2.4. aktivitāt</w:t>
      </w:r>
      <w:r w:rsidR="00053596" w:rsidRPr="008B3E34">
        <w:rPr>
          <w:sz w:val="25"/>
          <w:szCs w:val="25"/>
        </w:rPr>
        <w:t>ē</w:t>
      </w:r>
      <w:r w:rsidRPr="008B3E34">
        <w:rPr>
          <w:sz w:val="25"/>
          <w:szCs w:val="25"/>
        </w:rPr>
        <w:t xml:space="preserve"> </w:t>
      </w:r>
      <w:r w:rsidR="00456AB8" w:rsidRPr="008B3E34">
        <w:rPr>
          <w:sz w:val="25"/>
          <w:szCs w:val="25"/>
        </w:rPr>
        <w:t>„</w:t>
      </w:r>
      <w:r w:rsidRPr="008B3E34">
        <w:rPr>
          <w:bCs/>
          <w:sz w:val="25"/>
          <w:szCs w:val="25"/>
        </w:rPr>
        <w:t>Augstas pievienotās vērtības investīcijas</w:t>
      </w:r>
      <w:r w:rsidR="00456AB8" w:rsidRPr="008B3E34">
        <w:rPr>
          <w:sz w:val="25"/>
          <w:szCs w:val="25"/>
        </w:rPr>
        <w:t>”</w:t>
      </w:r>
      <w:r w:rsidRPr="008B3E34">
        <w:rPr>
          <w:sz w:val="25"/>
          <w:szCs w:val="25"/>
        </w:rPr>
        <w:t xml:space="preserve"> finansējums netiek sniegts šādās nozarēs:</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1. Vairumtirdzniecība un mazumtirdzniecība (ierobežojumus nosaka saskaņā ar NACE 2.red.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G sadaļu </w:t>
      </w:r>
      <w:r w:rsidR="00456AB8" w:rsidRPr="008B3E34">
        <w:rPr>
          <w:sz w:val="25"/>
          <w:szCs w:val="25"/>
        </w:rPr>
        <w:t>„</w:t>
      </w:r>
      <w:r w:rsidRPr="008B3E34">
        <w:rPr>
          <w:sz w:val="25"/>
          <w:szCs w:val="25"/>
        </w:rPr>
        <w:t xml:space="preserve">Vairumtirdzniecība un mazumtirdzniecība; automobiļu un motociklu remonts", izņemot grupu 45.2 </w:t>
      </w:r>
      <w:r w:rsidR="00456AB8" w:rsidRPr="008B3E34">
        <w:rPr>
          <w:sz w:val="25"/>
          <w:szCs w:val="25"/>
        </w:rPr>
        <w:t>„</w:t>
      </w:r>
      <w:r w:rsidRPr="008B3E34">
        <w:rPr>
          <w:sz w:val="25"/>
          <w:szCs w:val="25"/>
        </w:rPr>
        <w:t>Automobiļu apkope un remonts</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G sekciju "Vairumtirdzniecība un mazumtirdzniecība; automobiļu, motociklu individuālās lietošanas priekšmetu, sadzīves aparatūras un iekārtu remonts", izņemot grupu 50.2 </w:t>
      </w:r>
      <w:r w:rsidR="00456AB8" w:rsidRPr="008B3E34">
        <w:rPr>
          <w:sz w:val="25"/>
          <w:szCs w:val="25"/>
        </w:rPr>
        <w:t>„</w:t>
      </w:r>
      <w:r w:rsidRPr="008B3E34">
        <w:rPr>
          <w:sz w:val="25"/>
          <w:szCs w:val="25"/>
        </w:rPr>
        <w:t>Automobiļu apkope un remonts</w:t>
      </w:r>
      <w:r w:rsidR="00456AB8" w:rsidRPr="008B3E34">
        <w:rPr>
          <w:sz w:val="25"/>
          <w:szCs w:val="25"/>
        </w:rPr>
        <w:t>”</w:t>
      </w:r>
      <w:r w:rsidRPr="008B3E34">
        <w:rPr>
          <w:sz w:val="25"/>
          <w:szCs w:val="25"/>
        </w:rPr>
        <w:t xml:space="preserve"> un grupu 52.7 </w:t>
      </w:r>
      <w:r w:rsidR="00456AB8" w:rsidRPr="008B3E34">
        <w:rPr>
          <w:sz w:val="25"/>
          <w:szCs w:val="25"/>
        </w:rPr>
        <w:t>„</w:t>
      </w:r>
      <w:r w:rsidRPr="008B3E34">
        <w:rPr>
          <w:sz w:val="25"/>
          <w:szCs w:val="25"/>
        </w:rPr>
        <w:t>Individuālās lietošanas priekšmetu, sadzīves aparatūras un iekārtu remonts</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2. Finanšu starpniecība (ierobežojumus nosaka saskaņā ar NACE 2.red.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K sadaļu </w:t>
      </w:r>
      <w:r w:rsidR="00456AB8" w:rsidRPr="008B3E34">
        <w:rPr>
          <w:sz w:val="25"/>
          <w:szCs w:val="25"/>
        </w:rPr>
        <w:t>„</w:t>
      </w:r>
      <w:r w:rsidRPr="008B3E34">
        <w:rPr>
          <w:sz w:val="25"/>
          <w:szCs w:val="25"/>
        </w:rPr>
        <w:t>Finanšu un apdrošināšanas darbības</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J sekciju </w:t>
      </w:r>
      <w:r w:rsidR="00456AB8" w:rsidRPr="008B3E34">
        <w:rPr>
          <w:sz w:val="25"/>
          <w:szCs w:val="25"/>
        </w:rPr>
        <w:t>„</w:t>
      </w:r>
      <w:r w:rsidRPr="008B3E34">
        <w:rPr>
          <w:sz w:val="25"/>
          <w:szCs w:val="25"/>
        </w:rPr>
        <w:t>Finanšu starpniecība</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3. Komercpakalpojumi (ierobežojumus nosaka saskaņā ar NACE 2.red.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L sadaļu </w:t>
      </w:r>
      <w:r w:rsidR="00456AB8" w:rsidRPr="008B3E34">
        <w:rPr>
          <w:sz w:val="25"/>
          <w:szCs w:val="25"/>
        </w:rPr>
        <w:t>„</w:t>
      </w:r>
      <w:r w:rsidRPr="008B3E34">
        <w:rPr>
          <w:sz w:val="25"/>
          <w:szCs w:val="25"/>
        </w:rPr>
        <w:t>Operācijas ar nekustamo īpašumu</w:t>
      </w:r>
      <w:r w:rsidR="00D4296B" w:rsidRPr="008B3E34">
        <w:rPr>
          <w:sz w:val="25"/>
          <w:szCs w:val="25"/>
        </w:rPr>
        <w:t xml:space="preserve">„ </w:t>
      </w:r>
      <w:r w:rsidRPr="008B3E34">
        <w:rPr>
          <w:sz w:val="25"/>
          <w:szCs w:val="25"/>
        </w:rPr>
        <w:t xml:space="preserve">un 77.nodaļu </w:t>
      </w:r>
      <w:r w:rsidR="00456AB8" w:rsidRPr="008B3E34">
        <w:rPr>
          <w:sz w:val="25"/>
          <w:szCs w:val="25"/>
        </w:rPr>
        <w:t>„</w:t>
      </w:r>
      <w:r w:rsidRPr="008B3E34">
        <w:rPr>
          <w:sz w:val="25"/>
          <w:szCs w:val="25"/>
        </w:rPr>
        <w:t>Iznomāšana un ekspluatācijas līzings</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70.nodaļu </w:t>
      </w:r>
      <w:r w:rsidR="00456AB8" w:rsidRPr="008B3E34">
        <w:rPr>
          <w:sz w:val="25"/>
          <w:szCs w:val="25"/>
        </w:rPr>
        <w:t>„</w:t>
      </w:r>
      <w:r w:rsidRPr="008B3E34">
        <w:rPr>
          <w:sz w:val="25"/>
          <w:szCs w:val="25"/>
        </w:rPr>
        <w:t>Operācijas ar nekustamo īpašumu</w:t>
      </w:r>
      <w:r w:rsidR="00456AB8" w:rsidRPr="008B3E34">
        <w:rPr>
          <w:sz w:val="25"/>
          <w:szCs w:val="25"/>
        </w:rPr>
        <w:t>”</w:t>
      </w:r>
      <w:r w:rsidRPr="008B3E34">
        <w:rPr>
          <w:sz w:val="25"/>
          <w:szCs w:val="25"/>
        </w:rPr>
        <w:t xml:space="preserve"> un 71.nodaļu </w:t>
      </w:r>
      <w:r w:rsidR="00456AB8" w:rsidRPr="008B3E34">
        <w:rPr>
          <w:sz w:val="25"/>
          <w:szCs w:val="25"/>
        </w:rPr>
        <w:t>„</w:t>
      </w:r>
      <w:r w:rsidRPr="008B3E34">
        <w:rPr>
          <w:sz w:val="25"/>
          <w:szCs w:val="25"/>
        </w:rPr>
        <w:t>Transportlīdzekļu, mašīnu un iekārtu, individuālās lietošanas priekšmetu, sadzīves aparatūras un iekārtu iznomāšana</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4. Azartspēles un derības (ierobežojumus nosaka saskaņā ar NACE 2.red.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92.nodaļu </w:t>
      </w:r>
      <w:r w:rsidR="00456AB8" w:rsidRPr="008B3E34">
        <w:rPr>
          <w:sz w:val="25"/>
          <w:szCs w:val="25"/>
        </w:rPr>
        <w:t>„</w:t>
      </w:r>
      <w:r w:rsidRPr="008B3E34">
        <w:rPr>
          <w:sz w:val="25"/>
          <w:szCs w:val="25"/>
        </w:rPr>
        <w:t>Azartspēles un derības</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klasi 92.71 </w:t>
      </w:r>
      <w:r w:rsidR="00456AB8" w:rsidRPr="008B3E34">
        <w:rPr>
          <w:sz w:val="25"/>
          <w:szCs w:val="25"/>
        </w:rPr>
        <w:t>„</w:t>
      </w:r>
      <w:r w:rsidRPr="008B3E34">
        <w:rPr>
          <w:sz w:val="25"/>
          <w:szCs w:val="25"/>
        </w:rPr>
        <w:t>Azartspēles un derības</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 xml:space="preserve">5. Alus un alkoholisko dzērienu ražošana (ierobežojumus nosaka saskaņā ar NACE 2.red. </w:t>
      </w:r>
      <w:r w:rsidR="00D4296B" w:rsidRPr="008B3E34">
        <w:rPr>
          <w:sz w:val="25"/>
          <w:szCs w:val="25"/>
        </w:rPr>
        <w:t>saimniecisko darbību statistiskās klasifikācijas</w:t>
      </w:r>
      <w:r w:rsidR="00D4296B" w:rsidRPr="008B3E34">
        <w:rPr>
          <w:bCs/>
          <w:sz w:val="25"/>
          <w:szCs w:val="25"/>
        </w:rPr>
        <w:t xml:space="preserve"> kodu</w:t>
      </w:r>
      <w:r w:rsidR="00D4296B" w:rsidRPr="008B3E34">
        <w:rPr>
          <w:sz w:val="25"/>
          <w:szCs w:val="25"/>
        </w:rPr>
        <w:t xml:space="preserve"> </w:t>
      </w:r>
      <w:r w:rsidRPr="008B3E34">
        <w:rPr>
          <w:sz w:val="25"/>
          <w:szCs w:val="25"/>
        </w:rPr>
        <w:t xml:space="preserve">11.nodaļu </w:t>
      </w:r>
      <w:r w:rsidR="00456AB8" w:rsidRPr="008B3E34">
        <w:rPr>
          <w:sz w:val="25"/>
          <w:szCs w:val="25"/>
        </w:rPr>
        <w:t>„</w:t>
      </w:r>
      <w:r w:rsidRPr="008B3E34">
        <w:rPr>
          <w:sz w:val="25"/>
          <w:szCs w:val="25"/>
        </w:rPr>
        <w:t>Dzērienu ražošana</w:t>
      </w:r>
      <w:r w:rsidR="00456AB8" w:rsidRPr="008B3E34">
        <w:rPr>
          <w:sz w:val="25"/>
          <w:szCs w:val="25"/>
        </w:rPr>
        <w:t>”</w:t>
      </w:r>
      <w:r w:rsidRPr="008B3E34">
        <w:rPr>
          <w:sz w:val="25"/>
          <w:szCs w:val="25"/>
        </w:rPr>
        <w:t xml:space="preserve">, izņemot klasi 11.06 </w:t>
      </w:r>
      <w:r w:rsidR="00456AB8" w:rsidRPr="008B3E34">
        <w:rPr>
          <w:sz w:val="25"/>
          <w:szCs w:val="25"/>
        </w:rPr>
        <w:t>„</w:t>
      </w:r>
      <w:r w:rsidRPr="008B3E34">
        <w:rPr>
          <w:sz w:val="25"/>
          <w:szCs w:val="25"/>
        </w:rPr>
        <w:t>Iesala ražošana</w:t>
      </w:r>
      <w:r w:rsidR="00456AB8" w:rsidRPr="008B3E34">
        <w:rPr>
          <w:sz w:val="25"/>
          <w:szCs w:val="25"/>
        </w:rPr>
        <w:t>”</w:t>
      </w:r>
      <w:r w:rsidRPr="008B3E34">
        <w:rPr>
          <w:sz w:val="25"/>
          <w:szCs w:val="25"/>
        </w:rPr>
        <w:t xml:space="preserve"> un klasi 11.07 </w:t>
      </w:r>
      <w:r w:rsidR="00456AB8" w:rsidRPr="008B3E34">
        <w:rPr>
          <w:sz w:val="25"/>
          <w:szCs w:val="25"/>
        </w:rPr>
        <w:lastRenderedPageBreak/>
        <w:t>„</w:t>
      </w:r>
      <w:r w:rsidRPr="008B3E34">
        <w:rPr>
          <w:sz w:val="25"/>
          <w:szCs w:val="25"/>
        </w:rPr>
        <w:t>Bezalkohola dzērienu ražošana, minerālūdeņu un pudelēs iepildītu citu ūdeņu ražošana</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grupu 15.9 </w:t>
      </w:r>
      <w:r w:rsidR="00456AB8" w:rsidRPr="008B3E34">
        <w:rPr>
          <w:sz w:val="25"/>
          <w:szCs w:val="25"/>
        </w:rPr>
        <w:t>„</w:t>
      </w:r>
      <w:r w:rsidRPr="008B3E34">
        <w:rPr>
          <w:sz w:val="25"/>
          <w:szCs w:val="25"/>
        </w:rPr>
        <w:t>Dzērienu ražošana</w:t>
      </w:r>
      <w:r w:rsidR="00456AB8" w:rsidRPr="008B3E34">
        <w:rPr>
          <w:sz w:val="25"/>
          <w:szCs w:val="25"/>
        </w:rPr>
        <w:t>”</w:t>
      </w:r>
      <w:r w:rsidRPr="008B3E34">
        <w:rPr>
          <w:sz w:val="25"/>
          <w:szCs w:val="25"/>
        </w:rPr>
        <w:t xml:space="preserve">, izņemot klasi 15.97 </w:t>
      </w:r>
      <w:r w:rsidR="00456AB8" w:rsidRPr="008B3E34">
        <w:rPr>
          <w:sz w:val="25"/>
          <w:szCs w:val="25"/>
        </w:rPr>
        <w:t>„</w:t>
      </w:r>
      <w:r w:rsidRPr="008B3E34">
        <w:rPr>
          <w:sz w:val="25"/>
          <w:szCs w:val="25"/>
        </w:rPr>
        <w:t>Iesala ražošana</w:t>
      </w:r>
      <w:r w:rsidR="00456AB8" w:rsidRPr="008B3E34">
        <w:rPr>
          <w:sz w:val="25"/>
          <w:szCs w:val="25"/>
        </w:rPr>
        <w:t>”</w:t>
      </w:r>
      <w:r w:rsidRPr="008B3E34">
        <w:rPr>
          <w:sz w:val="25"/>
          <w:szCs w:val="25"/>
        </w:rPr>
        <w:t xml:space="preserve"> un klasi 15.98 </w:t>
      </w:r>
      <w:r w:rsidR="00456AB8" w:rsidRPr="008B3E34">
        <w:rPr>
          <w:sz w:val="25"/>
          <w:szCs w:val="25"/>
        </w:rPr>
        <w:t>„</w:t>
      </w:r>
      <w:r w:rsidRPr="008B3E34">
        <w:rPr>
          <w:sz w:val="25"/>
          <w:szCs w:val="25"/>
        </w:rPr>
        <w:t>Minerālūdeņu un bezalkoholisko dzērienu ražošana</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6. Tabakas izstrādājumu ražošana (ierobežojumus nosaka saskaņā ar NACE 2.red.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12.nodaļu </w:t>
      </w:r>
      <w:r w:rsidR="00456AB8" w:rsidRPr="008B3E34">
        <w:rPr>
          <w:sz w:val="25"/>
          <w:szCs w:val="25"/>
        </w:rPr>
        <w:t>„</w:t>
      </w:r>
      <w:r w:rsidRPr="008B3E34">
        <w:rPr>
          <w:sz w:val="25"/>
          <w:szCs w:val="25"/>
        </w:rPr>
        <w:t>Tabakas izstrādājumu ražošana</w:t>
      </w:r>
      <w:r w:rsidR="00456AB8" w:rsidRPr="008B3E34">
        <w:rPr>
          <w:sz w:val="25"/>
          <w:szCs w:val="25"/>
        </w:rPr>
        <w:t>”</w:t>
      </w:r>
      <w:r w:rsidRPr="008B3E34">
        <w:rPr>
          <w:sz w:val="25"/>
          <w:szCs w:val="25"/>
        </w:rPr>
        <w:t xml:space="preserve"> (NACE 1.1.red. </w:t>
      </w:r>
      <w:r w:rsidR="00D4296B" w:rsidRPr="008B3E34">
        <w:rPr>
          <w:sz w:val="25"/>
          <w:szCs w:val="25"/>
        </w:rPr>
        <w:t>saimniecisko darbību statistiskās klasifikācijas</w:t>
      </w:r>
      <w:r w:rsidR="00D4296B" w:rsidRPr="008B3E34">
        <w:rPr>
          <w:bCs/>
          <w:sz w:val="25"/>
          <w:szCs w:val="25"/>
        </w:rPr>
        <w:t xml:space="preserve"> kodu</w:t>
      </w:r>
      <w:r w:rsidR="00D4296B" w:rsidRPr="008B3E34">
        <w:rPr>
          <w:sz w:val="25"/>
          <w:szCs w:val="25"/>
        </w:rPr>
        <w:t xml:space="preserve"> </w:t>
      </w:r>
      <w:r w:rsidRPr="008B3E34">
        <w:rPr>
          <w:sz w:val="25"/>
          <w:szCs w:val="25"/>
        </w:rPr>
        <w:t xml:space="preserve">16.nodaļu </w:t>
      </w:r>
      <w:r w:rsidR="00456AB8" w:rsidRPr="008B3E34">
        <w:rPr>
          <w:sz w:val="25"/>
          <w:szCs w:val="25"/>
        </w:rPr>
        <w:t>„</w:t>
      </w:r>
      <w:r w:rsidRPr="008B3E34">
        <w:rPr>
          <w:sz w:val="25"/>
          <w:szCs w:val="25"/>
        </w:rPr>
        <w:t>Tabakas izstrādājumu ražošana</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 xml:space="preserve">7. Zivsaimniecība un akvakultūra: </w:t>
      </w:r>
    </w:p>
    <w:p w:rsidR="00C4489F" w:rsidRPr="008B3E34" w:rsidRDefault="00C4489F" w:rsidP="00C4489F">
      <w:pPr>
        <w:pStyle w:val="naisf"/>
        <w:spacing w:before="75"/>
        <w:rPr>
          <w:sz w:val="25"/>
          <w:szCs w:val="25"/>
        </w:rPr>
      </w:pPr>
      <w:r w:rsidRPr="008B3E34">
        <w:rPr>
          <w:sz w:val="25"/>
          <w:szCs w:val="25"/>
        </w:rPr>
        <w:t>7.1. atbalsts netiek sniegts pasākumiem zivsaimniecības un akvakultūras nozarē, ko reglamentē Padomes 1999.gada 17.decembra Regula (EK) Nr.</w:t>
      </w:r>
      <w:hyperlink r:id="rId6" w:tooltip="REGULA" w:history="1">
        <w:r w:rsidRPr="008B3E34">
          <w:rPr>
            <w:rStyle w:val="Hyperlink"/>
            <w:sz w:val="25"/>
            <w:szCs w:val="25"/>
          </w:rPr>
          <w:t>104/2000</w:t>
        </w:r>
      </w:hyperlink>
      <w:r w:rsidRPr="008B3E34">
        <w:rPr>
          <w:sz w:val="25"/>
          <w:szCs w:val="25"/>
        </w:rPr>
        <w:t xml:space="preserve"> par zivsaimniecības un akvakultūras produktu tirgu kopīgo organizāciju;</w:t>
      </w:r>
    </w:p>
    <w:p w:rsidR="00C4489F" w:rsidRPr="008B3E34" w:rsidRDefault="00C4489F" w:rsidP="00C4489F">
      <w:pPr>
        <w:pStyle w:val="naisf"/>
        <w:spacing w:before="75"/>
        <w:rPr>
          <w:sz w:val="25"/>
          <w:szCs w:val="25"/>
        </w:rPr>
      </w:pPr>
      <w:r w:rsidRPr="008B3E34">
        <w:rPr>
          <w:sz w:val="25"/>
          <w:szCs w:val="25"/>
        </w:rPr>
        <w:t xml:space="preserve">7.2. zivsaimniecības un akvakultūras nozare ietilpst NACE 2.red. </w:t>
      </w:r>
      <w:r w:rsidR="00D4296B" w:rsidRPr="008B3E34">
        <w:rPr>
          <w:sz w:val="25"/>
          <w:szCs w:val="25"/>
        </w:rPr>
        <w:t>saimniecisko darbību statistiskās klasifikācijas</w:t>
      </w:r>
      <w:r w:rsidR="00D4296B" w:rsidRPr="008B3E34">
        <w:rPr>
          <w:bCs/>
          <w:sz w:val="25"/>
          <w:szCs w:val="25"/>
        </w:rPr>
        <w:t xml:space="preserve"> kodu</w:t>
      </w:r>
      <w:r w:rsidR="00D4296B" w:rsidRPr="008B3E34">
        <w:rPr>
          <w:sz w:val="25"/>
          <w:szCs w:val="25"/>
        </w:rPr>
        <w:t xml:space="preserve"> </w:t>
      </w:r>
      <w:r w:rsidRPr="008B3E34">
        <w:rPr>
          <w:sz w:val="25"/>
          <w:szCs w:val="25"/>
        </w:rPr>
        <w:t xml:space="preserve">03.nodaļā </w:t>
      </w:r>
      <w:r w:rsidR="00456AB8" w:rsidRPr="008B3E34">
        <w:rPr>
          <w:sz w:val="25"/>
          <w:szCs w:val="25"/>
        </w:rPr>
        <w:t>„</w:t>
      </w:r>
      <w:r w:rsidRPr="008B3E34">
        <w:rPr>
          <w:sz w:val="25"/>
          <w:szCs w:val="25"/>
        </w:rPr>
        <w:t>Zivsaimniecība</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B sekcijā </w:t>
      </w:r>
      <w:r w:rsidR="00456AB8" w:rsidRPr="008B3E34">
        <w:rPr>
          <w:sz w:val="25"/>
          <w:szCs w:val="25"/>
        </w:rPr>
        <w:t>„</w:t>
      </w:r>
      <w:r w:rsidRPr="008B3E34">
        <w:rPr>
          <w:sz w:val="25"/>
          <w:szCs w:val="25"/>
        </w:rPr>
        <w:t>Zvejniecība</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8. Kuģu būve:</w:t>
      </w:r>
    </w:p>
    <w:p w:rsidR="00C4489F" w:rsidRPr="008B3E34" w:rsidRDefault="00C4489F" w:rsidP="00C4489F">
      <w:pPr>
        <w:pStyle w:val="naisf"/>
        <w:spacing w:before="75"/>
        <w:rPr>
          <w:sz w:val="25"/>
          <w:szCs w:val="25"/>
        </w:rPr>
      </w:pPr>
      <w:r w:rsidRPr="008B3E34">
        <w:rPr>
          <w:sz w:val="25"/>
          <w:szCs w:val="25"/>
        </w:rPr>
        <w:t xml:space="preserve">8.1. atbilstoši Nostādnēm par valsts atbalstu kuģu būvei (Eiropas Savienības Oficiālais Vēstnesis, 2003.gada 30.decembris, C 317, 11.lpp.) kuģu būve tiek definēta kā </w:t>
      </w:r>
      <w:proofErr w:type="spellStart"/>
      <w:r w:rsidRPr="008B3E34">
        <w:rPr>
          <w:sz w:val="25"/>
          <w:szCs w:val="25"/>
        </w:rPr>
        <w:t>pašpiedziņas</w:t>
      </w:r>
      <w:proofErr w:type="spellEnd"/>
      <w:r w:rsidRPr="008B3E34">
        <w:rPr>
          <w:sz w:val="25"/>
          <w:szCs w:val="25"/>
        </w:rPr>
        <w:t xml:space="preserve"> jūras tirdzniecības kuģu būve Eiropas Savienībā;</w:t>
      </w:r>
    </w:p>
    <w:p w:rsidR="00C4489F" w:rsidRPr="008B3E34" w:rsidRDefault="00C4489F" w:rsidP="00C4489F">
      <w:pPr>
        <w:pStyle w:val="naisf"/>
        <w:spacing w:before="75"/>
        <w:rPr>
          <w:sz w:val="25"/>
          <w:szCs w:val="25"/>
        </w:rPr>
      </w:pPr>
      <w:r w:rsidRPr="008B3E34">
        <w:rPr>
          <w:sz w:val="25"/>
          <w:szCs w:val="25"/>
        </w:rPr>
        <w:t>8.2. kuģu būves nozare ietilpst NACE 2.red.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klasē 30.11 </w:t>
      </w:r>
      <w:r w:rsidR="00456AB8" w:rsidRPr="008B3E34">
        <w:rPr>
          <w:sz w:val="25"/>
          <w:szCs w:val="25"/>
        </w:rPr>
        <w:t>„</w:t>
      </w:r>
      <w:r w:rsidRPr="008B3E34">
        <w:rPr>
          <w:sz w:val="25"/>
          <w:szCs w:val="25"/>
        </w:rPr>
        <w:t>Kuģu un peldošo iekārtu būve</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klasē 35.11 </w:t>
      </w:r>
      <w:r w:rsidR="00456AB8" w:rsidRPr="008B3E34">
        <w:rPr>
          <w:sz w:val="25"/>
          <w:szCs w:val="25"/>
        </w:rPr>
        <w:t>„</w:t>
      </w:r>
      <w:r w:rsidRPr="008B3E34">
        <w:rPr>
          <w:sz w:val="25"/>
          <w:szCs w:val="25"/>
        </w:rPr>
        <w:t>Kuģu būve un remonts</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9. Ogļu rūpniecība:</w:t>
      </w:r>
    </w:p>
    <w:p w:rsidR="00C4489F" w:rsidRPr="008B3E34" w:rsidRDefault="00C4489F" w:rsidP="00C4489F">
      <w:pPr>
        <w:pStyle w:val="naisf"/>
        <w:spacing w:before="75"/>
        <w:rPr>
          <w:sz w:val="25"/>
          <w:szCs w:val="25"/>
        </w:rPr>
      </w:pPr>
      <w:r w:rsidRPr="008B3E34">
        <w:rPr>
          <w:sz w:val="25"/>
          <w:szCs w:val="25"/>
        </w:rPr>
        <w:t>9.1. atbilstoši Padomes 2002.gada 23.jūlija Regulai Nr.</w:t>
      </w:r>
      <w:hyperlink r:id="rId7" w:tooltip="REGULA" w:history="1">
        <w:r w:rsidRPr="008B3E34">
          <w:rPr>
            <w:rStyle w:val="Hyperlink"/>
            <w:sz w:val="25"/>
            <w:szCs w:val="25"/>
          </w:rPr>
          <w:t>1407/2002</w:t>
        </w:r>
      </w:hyperlink>
      <w:r w:rsidRPr="008B3E34">
        <w:rPr>
          <w:sz w:val="25"/>
          <w:szCs w:val="25"/>
        </w:rPr>
        <w:t xml:space="preserve"> par valsts atbalstu ogļu rūpniecībai (Eiropas Savienības Oficiālais Vēstnesis, 2006.gada 2.augusts, L 205, 1.–8.lpp.) ogles tiek definētas kā augstas kvalitātes, vidējas kvalitātes, kā arī zemas kvalitātes A un B kategorijas ogles ANO Eiropas Ekonomikas komisijas izstrādātās starptautiskās ogļu kodifikācijas sistēmas nozīmē (Starptautiskā vidējas kvalitātes un augstas kvalitātes ogļu kodifikācijas sistēma (1998), Ogļu slāņa starptautiskā klasifikācija (1998) un Starptautiskā zemas kvalitātes ogļu kodifikācijas sistēma (1999));</w:t>
      </w:r>
    </w:p>
    <w:p w:rsidR="00C4489F" w:rsidRPr="008B3E34" w:rsidRDefault="00C4489F" w:rsidP="00C4489F">
      <w:pPr>
        <w:pStyle w:val="naisf"/>
        <w:spacing w:before="75"/>
        <w:rPr>
          <w:sz w:val="25"/>
          <w:szCs w:val="25"/>
        </w:rPr>
      </w:pPr>
      <w:r w:rsidRPr="008B3E34">
        <w:rPr>
          <w:sz w:val="25"/>
          <w:szCs w:val="25"/>
        </w:rPr>
        <w:t>9.2. ogļu rūpniecības nozare ietilpst NACE 2.red.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nodaļā 05 </w:t>
      </w:r>
      <w:r w:rsidR="00456AB8" w:rsidRPr="008B3E34">
        <w:rPr>
          <w:sz w:val="25"/>
          <w:szCs w:val="25"/>
        </w:rPr>
        <w:t>„</w:t>
      </w:r>
      <w:r w:rsidRPr="008B3E34">
        <w:rPr>
          <w:sz w:val="25"/>
          <w:szCs w:val="25"/>
        </w:rPr>
        <w:t>Ogļu un brūnogļu (</w:t>
      </w:r>
      <w:proofErr w:type="spellStart"/>
      <w:r w:rsidRPr="008B3E34">
        <w:rPr>
          <w:sz w:val="25"/>
          <w:szCs w:val="25"/>
        </w:rPr>
        <w:t>lignīta</w:t>
      </w:r>
      <w:proofErr w:type="spellEnd"/>
      <w:r w:rsidRPr="008B3E34">
        <w:rPr>
          <w:sz w:val="25"/>
          <w:szCs w:val="25"/>
        </w:rPr>
        <w:t>) ieguve</w:t>
      </w:r>
      <w:r w:rsidR="00456AB8" w:rsidRPr="008B3E34">
        <w:rPr>
          <w:sz w:val="25"/>
          <w:szCs w:val="25"/>
        </w:rPr>
        <w:t>”</w:t>
      </w:r>
      <w:r w:rsidRPr="008B3E34">
        <w:rPr>
          <w:sz w:val="25"/>
          <w:szCs w:val="25"/>
        </w:rPr>
        <w:t xml:space="preserve"> (NACE 1.1.red. grupā 10.1 </w:t>
      </w:r>
      <w:r w:rsidR="00456AB8" w:rsidRPr="008B3E34">
        <w:rPr>
          <w:sz w:val="25"/>
          <w:szCs w:val="25"/>
        </w:rPr>
        <w:t>„</w:t>
      </w:r>
      <w:r w:rsidRPr="008B3E34">
        <w:rPr>
          <w:sz w:val="25"/>
          <w:szCs w:val="25"/>
        </w:rPr>
        <w:t>Akmeņogļu ieguve, apstrāde un aglomerācija</w:t>
      </w:r>
      <w:r w:rsidR="00456AB8" w:rsidRPr="008B3E34">
        <w:rPr>
          <w:sz w:val="25"/>
          <w:szCs w:val="25"/>
        </w:rPr>
        <w:t xml:space="preserve">” </w:t>
      </w:r>
      <w:r w:rsidRPr="008B3E34">
        <w:rPr>
          <w:sz w:val="25"/>
          <w:szCs w:val="25"/>
        </w:rPr>
        <w:t xml:space="preserve">un grupā 10.2 </w:t>
      </w:r>
      <w:r w:rsidR="00456AB8" w:rsidRPr="008B3E34">
        <w:rPr>
          <w:sz w:val="25"/>
          <w:szCs w:val="25"/>
        </w:rPr>
        <w:t>„</w:t>
      </w:r>
      <w:r w:rsidRPr="008B3E34">
        <w:rPr>
          <w:sz w:val="25"/>
          <w:szCs w:val="25"/>
        </w:rPr>
        <w:t>Brūnogļu (</w:t>
      </w:r>
      <w:proofErr w:type="spellStart"/>
      <w:r w:rsidRPr="008B3E34">
        <w:rPr>
          <w:sz w:val="25"/>
          <w:szCs w:val="25"/>
        </w:rPr>
        <w:t>lignīta</w:t>
      </w:r>
      <w:proofErr w:type="spellEnd"/>
      <w:r w:rsidRPr="008B3E34">
        <w:rPr>
          <w:sz w:val="25"/>
          <w:szCs w:val="25"/>
        </w:rPr>
        <w:t>) ieguve, apstrāde un aglomerācija</w:t>
      </w:r>
      <w:r w:rsidR="00456AB8" w:rsidRPr="008B3E34">
        <w:rPr>
          <w:sz w:val="25"/>
          <w:szCs w:val="25"/>
        </w:rPr>
        <w:t>”</w:t>
      </w:r>
      <w:r w:rsidRPr="008B3E34">
        <w:rPr>
          <w:sz w:val="25"/>
          <w:szCs w:val="25"/>
        </w:rPr>
        <w:t>).</w:t>
      </w:r>
    </w:p>
    <w:p w:rsidR="00F46AD9" w:rsidRPr="008B3E34" w:rsidRDefault="00C4489F" w:rsidP="00F46AD9">
      <w:pPr>
        <w:pStyle w:val="naisf"/>
        <w:spacing w:before="75"/>
        <w:rPr>
          <w:sz w:val="25"/>
          <w:szCs w:val="25"/>
        </w:rPr>
      </w:pPr>
      <w:r w:rsidRPr="008B3E34">
        <w:rPr>
          <w:sz w:val="25"/>
          <w:szCs w:val="25"/>
        </w:rPr>
        <w:t> </w:t>
      </w:r>
    </w:p>
    <w:p w:rsidR="00F46AD9" w:rsidRPr="008B3E34" w:rsidRDefault="00F46AD9" w:rsidP="00F46AD9">
      <w:pPr>
        <w:pStyle w:val="naisf"/>
        <w:spacing w:before="75"/>
        <w:rPr>
          <w:sz w:val="25"/>
          <w:szCs w:val="25"/>
        </w:rPr>
      </w:pPr>
      <w:r w:rsidRPr="008B3E34">
        <w:rPr>
          <w:sz w:val="25"/>
          <w:szCs w:val="25"/>
        </w:rPr>
        <w:t xml:space="preserve">10. </w:t>
      </w:r>
      <w:r w:rsidR="00C21E2D" w:rsidRPr="008B3E34">
        <w:rPr>
          <w:sz w:val="25"/>
          <w:szCs w:val="25"/>
        </w:rPr>
        <w:t>T</w:t>
      </w:r>
      <w:r w:rsidRPr="008B3E34">
        <w:rPr>
          <w:sz w:val="25"/>
          <w:szCs w:val="25"/>
        </w:rPr>
        <w:t xml:space="preserve">ērauda rūpniecība. Atbilstoši Valsts reģionālā atbalsta pamatnostādņu 2007.–2013.gadam 1.pielikumam (Eiropas Savienības Oficiālais Vēstnesis, </w:t>
      </w:r>
      <w:r w:rsidRPr="008B3E34">
        <w:rPr>
          <w:sz w:val="25"/>
          <w:szCs w:val="25"/>
        </w:rPr>
        <w:lastRenderedPageBreak/>
        <w:t>2006.gada 4.marts, C 54, 33.–34.lpp.) tērauda rūpniecības nozares ierobežojums ir attiecināms uz komersantiem, kas ražo šādus produktus: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85"/>
        <w:gridCol w:w="2597"/>
        <w:gridCol w:w="4440"/>
      </w:tblGrid>
      <w:tr w:rsidR="00F46AD9" w:rsidRPr="008B3E34" w:rsidTr="00C3427C">
        <w:trPr>
          <w:trHeight w:val="737"/>
        </w:trPr>
        <w:tc>
          <w:tcPr>
            <w:tcW w:w="1395" w:type="dxa"/>
            <w:tcBorders>
              <w:top w:val="outset" w:sz="6" w:space="0" w:color="auto"/>
              <w:left w:val="outset" w:sz="6" w:space="0" w:color="auto"/>
              <w:bottom w:val="outset" w:sz="6" w:space="0" w:color="auto"/>
              <w:right w:val="outset" w:sz="6" w:space="0" w:color="auto"/>
            </w:tcBorders>
            <w:vAlign w:val="center"/>
          </w:tcPr>
          <w:p w:rsidR="00F46AD9" w:rsidRPr="008B3E34" w:rsidRDefault="00F46AD9" w:rsidP="00C3427C">
            <w:pPr>
              <w:pStyle w:val="naisc"/>
              <w:spacing w:before="0" w:after="0"/>
              <w:ind w:firstLine="8"/>
              <w:rPr>
                <w:sz w:val="25"/>
                <w:szCs w:val="25"/>
              </w:rPr>
            </w:pPr>
            <w:r w:rsidRPr="008B3E34">
              <w:rPr>
                <w:sz w:val="25"/>
                <w:szCs w:val="25"/>
              </w:rPr>
              <w:t>Nr.</w:t>
            </w:r>
            <w:r w:rsidRPr="008B3E34">
              <w:rPr>
                <w:sz w:val="25"/>
                <w:szCs w:val="25"/>
              </w:rPr>
              <w:br/>
              <w:t>p.k.</w:t>
            </w:r>
          </w:p>
        </w:tc>
        <w:tc>
          <w:tcPr>
            <w:tcW w:w="2745" w:type="dxa"/>
            <w:tcBorders>
              <w:top w:val="outset" w:sz="6" w:space="0" w:color="auto"/>
              <w:left w:val="outset" w:sz="6" w:space="0" w:color="auto"/>
              <w:bottom w:val="outset" w:sz="6" w:space="0" w:color="auto"/>
              <w:right w:val="outset" w:sz="6" w:space="0" w:color="auto"/>
            </w:tcBorders>
            <w:vAlign w:val="center"/>
          </w:tcPr>
          <w:p w:rsidR="00F46AD9" w:rsidRPr="008B3E34" w:rsidRDefault="00F46AD9" w:rsidP="00C3427C">
            <w:pPr>
              <w:pStyle w:val="naisc"/>
              <w:spacing w:before="0" w:after="0"/>
              <w:ind w:firstLine="8"/>
              <w:rPr>
                <w:sz w:val="25"/>
                <w:szCs w:val="25"/>
              </w:rPr>
            </w:pPr>
            <w:r w:rsidRPr="008B3E34">
              <w:rPr>
                <w:sz w:val="25"/>
                <w:szCs w:val="25"/>
              </w:rPr>
              <w:t>Izstrādājums</w:t>
            </w:r>
          </w:p>
        </w:tc>
        <w:tc>
          <w:tcPr>
            <w:tcW w:w="4947" w:type="dxa"/>
            <w:tcBorders>
              <w:top w:val="outset" w:sz="6" w:space="0" w:color="auto"/>
              <w:left w:val="outset" w:sz="6" w:space="0" w:color="auto"/>
              <w:bottom w:val="outset" w:sz="6" w:space="0" w:color="auto"/>
              <w:right w:val="outset" w:sz="6" w:space="0" w:color="auto"/>
            </w:tcBorders>
            <w:vAlign w:val="center"/>
          </w:tcPr>
          <w:p w:rsidR="00F46AD9" w:rsidRPr="008B3E34" w:rsidRDefault="00F46AD9" w:rsidP="00C3427C">
            <w:pPr>
              <w:pStyle w:val="naisc"/>
              <w:spacing w:before="0" w:after="0"/>
              <w:ind w:firstLine="8"/>
              <w:rPr>
                <w:sz w:val="25"/>
                <w:szCs w:val="25"/>
              </w:rPr>
            </w:pPr>
            <w:r w:rsidRPr="008B3E34">
              <w:rPr>
                <w:sz w:val="25"/>
                <w:szCs w:val="25"/>
              </w:rPr>
              <w:t>Kombinētās nomenklatūras kods (KN 2007)</w:t>
            </w:r>
            <w:r w:rsidRPr="008B3E34">
              <w:rPr>
                <w:sz w:val="25"/>
                <w:szCs w:val="25"/>
                <w:vertAlign w:val="superscript"/>
              </w:rPr>
              <w:t>1</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čuguns</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7201</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10.2.</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ferosakausējumi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7202 11 20, 7202 11 80, 7202 99 10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10.3.</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dzelzsrūdas tiešā reducēšanā iegūtie produkti un citi porainās dzelzs produkti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7203</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10.4.</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dzelzs un neleģētais tērauds</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7206</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10.5.</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dzelzs vai neleģētā tērauda pusfabrikāti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 xml:space="preserve">7207 11 </w:t>
            </w:r>
            <w:proofErr w:type="spellStart"/>
            <w:r w:rsidRPr="008B3E34">
              <w:rPr>
                <w:rFonts w:ascii="Times New Roman" w:eastAsia="Calibri" w:hAnsi="Times New Roman" w:cs="Times New Roman"/>
                <w:sz w:val="25"/>
                <w:szCs w:val="25"/>
              </w:rPr>
              <w:t>11</w:t>
            </w:r>
            <w:proofErr w:type="spellEnd"/>
            <w:r w:rsidRPr="008B3E34">
              <w:rPr>
                <w:rFonts w:ascii="Times New Roman" w:eastAsia="Calibri" w:hAnsi="Times New Roman" w:cs="Times New Roman"/>
                <w:sz w:val="25"/>
                <w:szCs w:val="25"/>
              </w:rPr>
              <w:t>, 7207 11 14, 7207 11 16, 7207 12 10, 7207 19 12, 7207 19 80, 7207 20 11, 7207 20 15, 7207 20 17, 7207 20 32, 7207 20 52, 7207 20 80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10.6.</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dzelzs vai neleģētā tērauda plakani velmējumi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7208 10 00, 7208 25 00, 7208 26 00, 7208 27 00, 7208 36 00, 7208 37 00, 7208 38 00, 7208 39 00, 7208 40 00, 7208 51, 7208 52, 7208 53, 7208 54 00, 7208 90, 7209 15 00, 7209 16, 7209 17, 7209 18, 7209 25 00, 7209 26, 7209 27, 7209 28, 7209 90, 7210 11 00, 7210 12, 7210 20 00, 7210 30 00, 7210 41 00, 7210 49 00, 7210 50 00, 7210 61 00, 7210 69 00, 7210 70, 7210 90, 7211 13 00, 7211 14 00, 7211 19 00, 7211 23, 7211 29 00, 7211 90, 7212 10, 7212 20 00, 7212 30 00, 7212 40, 7212 50, 7212 60 00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10.7.</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dzelzs vai neleģētā tērauda karsti velmēti stieņi brīvi tītos saišķos</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7213 10 00, 7213 20 00, 7213 91, 7213 99</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10.8.</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pārējie dzelzs vai neleģētā tērauda stieņi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7214 20 00, 7214 30 00, 7214 91, 7214 99, 7215 90 00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10.9.</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 xml:space="preserve">dzelzs un neleģētā tērauda leņķi, </w:t>
            </w:r>
            <w:proofErr w:type="spellStart"/>
            <w:r w:rsidRPr="008B3E34">
              <w:rPr>
                <w:rFonts w:ascii="Times New Roman" w:eastAsia="Calibri" w:hAnsi="Times New Roman" w:cs="Times New Roman"/>
                <w:sz w:val="25"/>
                <w:szCs w:val="25"/>
              </w:rPr>
              <w:t>fasonprofili</w:t>
            </w:r>
            <w:proofErr w:type="spellEnd"/>
            <w:r w:rsidRPr="008B3E34">
              <w:rPr>
                <w:rFonts w:ascii="Times New Roman" w:eastAsia="Calibri" w:hAnsi="Times New Roman" w:cs="Times New Roman"/>
                <w:sz w:val="25"/>
                <w:szCs w:val="25"/>
              </w:rPr>
              <w:t xml:space="preserve"> un speciālie </w:t>
            </w:r>
            <w:r w:rsidRPr="008B3E34">
              <w:rPr>
                <w:rFonts w:ascii="Times New Roman" w:eastAsia="Calibri" w:hAnsi="Times New Roman" w:cs="Times New Roman"/>
                <w:sz w:val="25"/>
                <w:szCs w:val="25"/>
              </w:rPr>
              <w:lastRenderedPageBreak/>
              <w:t>profili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lastRenderedPageBreak/>
              <w:t>7216 10 00, 7216 21 00, 7216 22 00, 7216 31, 7216 32, 7216 33, 7216 40, 7216 50, 7216 99 00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lastRenderedPageBreak/>
              <w:t>10.10.</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nerūsējošs tērauds</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7218 10 00, 7218 91 10, 7218 91 80, 7218 99 11, 7218 99 20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10.11.</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nerūsējošā tērauda plakani velmējumi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7219 11 00, 7219 12, 7219 13, 7219 14, 7219 21, 7219 22, 7219 23 00, 7219 24 00, 7219 31 00, 7219 32, 7219 33, 7219 34, 7219 35, 7219 90, 7220 11 00, 7220 12 00, 7220 20, 7220 90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10.12.</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nerūsējošā tērauda stieņi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7221 00, 7222 11, 7222 19, 7222 30 97, 7222 40 10, 7222 40 90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10.13.</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citāda leģētā tērauda plakani velmējumi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7225 11 00, 7225 19, 7225 30, 7225 40, 7225 50, 7225 91 00, 7225 92 00, 7225 99 00, 7226 11 00, 7226 19, 7226 20 00, 7226 91, 7226 92 00, 7226 99</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10.14.</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citāda leģētā tērauda stieņi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7224 10, 7224 90 02, 7224 90 03, 7224 90 05, 7224 90 07, 7224 90 14, 7224 90 31, 7224 90 38, 7227 10 00, 7227 20 00, 7227 90, 7228 10 20, 7228 20 10, 7228 20 91, 7228 30 20, 7228 30 41, 7228 30 49, 7228 30 61, 7228 30 69, 7228 30 70, 7228 30 89, 7228 60, 7228 70, 7228 80 00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10.15.</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proofErr w:type="spellStart"/>
            <w:r w:rsidRPr="008B3E34">
              <w:rPr>
                <w:rFonts w:ascii="Times New Roman" w:eastAsia="Calibri" w:hAnsi="Times New Roman" w:cs="Times New Roman"/>
                <w:sz w:val="25"/>
                <w:szCs w:val="25"/>
              </w:rPr>
              <w:t>rievkonstrukcijas</w:t>
            </w:r>
            <w:proofErr w:type="spellEnd"/>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7301 10 00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10.16.</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sliedes un gulšņi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7302 10 21, 7302 10 23, 7302 10 29, 7302 10 40, 7302 10 50, 7302 10 90, 7302 40 00, 7302 90 00</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10.17.</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 xml:space="preserve">bezšuvju caurules, cauruļvadi un </w:t>
            </w:r>
            <w:proofErr w:type="spellStart"/>
            <w:r w:rsidRPr="008B3E34">
              <w:rPr>
                <w:rFonts w:ascii="Times New Roman" w:eastAsia="Calibri" w:hAnsi="Times New Roman" w:cs="Times New Roman"/>
                <w:sz w:val="25"/>
                <w:szCs w:val="25"/>
              </w:rPr>
              <w:t>dobie</w:t>
            </w:r>
            <w:proofErr w:type="spellEnd"/>
            <w:r w:rsidRPr="008B3E34">
              <w:rPr>
                <w:rFonts w:ascii="Times New Roman" w:eastAsia="Calibri" w:hAnsi="Times New Roman" w:cs="Times New Roman"/>
                <w:sz w:val="25"/>
                <w:szCs w:val="25"/>
              </w:rPr>
              <w:t xml:space="preserve"> profili</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7303 00, 7304</w:t>
            </w:r>
          </w:p>
        </w:tc>
      </w:tr>
      <w:tr w:rsidR="00F46AD9" w:rsidRPr="008B3E34" w:rsidTr="00C3427C">
        <w:tc>
          <w:tcPr>
            <w:tcW w:w="139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pStyle w:val="naiskr"/>
              <w:spacing w:before="0" w:after="0"/>
              <w:ind w:firstLine="8"/>
              <w:rPr>
                <w:sz w:val="25"/>
                <w:szCs w:val="25"/>
              </w:rPr>
            </w:pPr>
            <w:r w:rsidRPr="008B3E34">
              <w:rPr>
                <w:sz w:val="25"/>
                <w:szCs w:val="25"/>
              </w:rPr>
              <w:t>10.18.</w:t>
            </w:r>
          </w:p>
        </w:tc>
        <w:tc>
          <w:tcPr>
            <w:tcW w:w="2745"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metināta dzelzs vai tērauda caurules un cauruļvadi, kuru ārējais diametrs pārsniedz</w:t>
            </w:r>
          </w:p>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406,4 mm</w:t>
            </w:r>
          </w:p>
        </w:tc>
        <w:tc>
          <w:tcPr>
            <w:tcW w:w="4947" w:type="dxa"/>
            <w:tcBorders>
              <w:top w:val="outset" w:sz="6" w:space="0" w:color="auto"/>
              <w:left w:val="outset" w:sz="6" w:space="0" w:color="auto"/>
              <w:bottom w:val="outset" w:sz="6" w:space="0" w:color="auto"/>
              <w:right w:val="outset" w:sz="6" w:space="0" w:color="auto"/>
            </w:tcBorders>
          </w:tcPr>
          <w:p w:rsidR="00F46AD9" w:rsidRPr="008B3E34" w:rsidRDefault="00F46AD9" w:rsidP="00C3427C">
            <w:pPr>
              <w:ind w:firstLine="8"/>
              <w:rPr>
                <w:rFonts w:ascii="Times New Roman" w:eastAsia="Calibri" w:hAnsi="Times New Roman" w:cs="Times New Roman"/>
                <w:sz w:val="25"/>
                <w:szCs w:val="25"/>
              </w:rPr>
            </w:pPr>
            <w:r w:rsidRPr="008B3E34">
              <w:rPr>
                <w:rFonts w:ascii="Times New Roman" w:eastAsia="Calibri" w:hAnsi="Times New Roman" w:cs="Times New Roman"/>
                <w:sz w:val="25"/>
                <w:szCs w:val="25"/>
              </w:rPr>
              <w:t>7305</w:t>
            </w:r>
          </w:p>
        </w:tc>
      </w:tr>
    </w:tbl>
    <w:p w:rsidR="00F46AD9" w:rsidRPr="008B3E34" w:rsidRDefault="00F46AD9" w:rsidP="00F46AD9">
      <w:pPr>
        <w:pStyle w:val="FootnoteText"/>
        <w:ind w:firstLine="720"/>
        <w:jc w:val="both"/>
        <w:rPr>
          <w:sz w:val="25"/>
          <w:szCs w:val="25"/>
        </w:rPr>
      </w:pPr>
      <w:r w:rsidRPr="008B3E34">
        <w:rPr>
          <w:sz w:val="25"/>
          <w:szCs w:val="25"/>
        </w:rPr>
        <w:t>Piezīme.</w:t>
      </w:r>
    </w:p>
    <w:p w:rsidR="00C4489F" w:rsidRPr="008B3E34" w:rsidRDefault="00F46AD9" w:rsidP="00F46AD9">
      <w:pPr>
        <w:autoSpaceDE w:val="0"/>
        <w:autoSpaceDN w:val="0"/>
        <w:adjustRightInd w:val="0"/>
        <w:ind w:firstLine="720"/>
        <w:jc w:val="both"/>
        <w:rPr>
          <w:rFonts w:ascii="Times New Roman" w:hAnsi="Times New Roman" w:cs="Times New Roman"/>
          <w:sz w:val="25"/>
          <w:szCs w:val="25"/>
        </w:rPr>
      </w:pPr>
      <w:r w:rsidRPr="008B3E34">
        <w:rPr>
          <w:rFonts w:ascii="Times New Roman" w:eastAsia="Calibri" w:hAnsi="Times New Roman" w:cs="Times New Roman"/>
          <w:sz w:val="25"/>
          <w:szCs w:val="25"/>
          <w:vertAlign w:val="superscript"/>
        </w:rPr>
        <w:lastRenderedPageBreak/>
        <w:t>1 </w:t>
      </w:r>
      <w:r w:rsidRPr="008B3E34">
        <w:rPr>
          <w:rStyle w:val="Strong"/>
          <w:rFonts w:ascii="Times New Roman" w:eastAsia="Calibri" w:hAnsi="Times New Roman" w:cs="Times New Roman"/>
          <w:b w:val="0"/>
          <w:sz w:val="25"/>
          <w:szCs w:val="25"/>
        </w:rPr>
        <w:t>Komisijas 2006.gada 17.oktobra Regula (EK) Nr.1549/2006, ar ko groza I pielikumu Padomes Regulā (</w:t>
      </w:r>
      <w:smartTag w:uri="schemas-tilde-lv/tildestengine" w:element="currency2">
        <w:smartTagPr>
          <w:attr w:name="currency_id" w:val="14"/>
          <w:attr w:name="currency_key" w:val="EEK"/>
          <w:attr w:name="currency_value" w:val="1"/>
          <w:attr w:name="currency_text" w:val="EEK"/>
        </w:smartTagPr>
        <w:smartTag w:uri="schemas-tilde-lv/tildestengine" w:element="veidnes">
          <w:smartTagPr>
            <w:attr w:name="currency_text" w:val="EEK"/>
            <w:attr w:name="currency_value" w:val="1"/>
            <w:attr w:name="currency_key" w:val="EEK"/>
            <w:attr w:name="currency_id" w:val="14"/>
          </w:smartTagPr>
          <w:r w:rsidRPr="008B3E34">
            <w:rPr>
              <w:rStyle w:val="Strong"/>
              <w:rFonts w:ascii="Times New Roman" w:eastAsia="Calibri" w:hAnsi="Times New Roman" w:cs="Times New Roman"/>
              <w:b w:val="0"/>
              <w:sz w:val="25"/>
              <w:szCs w:val="25"/>
            </w:rPr>
            <w:t>EEK</w:t>
          </w:r>
        </w:smartTag>
      </w:smartTag>
      <w:r w:rsidRPr="008B3E34">
        <w:rPr>
          <w:rStyle w:val="Strong"/>
          <w:rFonts w:ascii="Times New Roman" w:eastAsia="Calibri" w:hAnsi="Times New Roman" w:cs="Times New Roman"/>
          <w:b w:val="0"/>
          <w:sz w:val="25"/>
          <w:szCs w:val="25"/>
        </w:rPr>
        <w:t>) Nr.2658/87 par tarifu un statistikas nomenklatūru un kopējo muitas tarifu</w:t>
      </w:r>
      <w:r w:rsidRPr="008B3E34">
        <w:rPr>
          <w:rFonts w:ascii="Times New Roman" w:eastAsia="Calibri" w:hAnsi="Times New Roman" w:cs="Times New Roman"/>
          <w:sz w:val="25"/>
          <w:szCs w:val="25"/>
        </w:rPr>
        <w:t xml:space="preserve"> (Eiropas Savienības Oficiālais Vēstnesis, 2006.gada 31.oktobris, L 301, 448.–472.lpp.</w:t>
      </w:r>
      <w:r w:rsidRPr="008B3E34">
        <w:rPr>
          <w:rStyle w:val="Strong"/>
          <w:rFonts w:ascii="Times New Roman" w:eastAsia="Calibri" w:hAnsi="Times New Roman" w:cs="Times New Roman"/>
          <w:b w:val="0"/>
          <w:sz w:val="25"/>
          <w:szCs w:val="25"/>
        </w:rPr>
        <w:t>).</w:t>
      </w:r>
      <w:r w:rsidR="00C4489F" w:rsidRPr="008B3E34">
        <w:rPr>
          <w:rFonts w:ascii="Times New Roman" w:hAnsi="Times New Roman" w:cs="Times New Roman"/>
          <w:sz w:val="25"/>
          <w:szCs w:val="25"/>
        </w:rPr>
        <w:t> </w:t>
      </w:r>
    </w:p>
    <w:p w:rsidR="00C4489F" w:rsidRPr="008B3E34" w:rsidRDefault="00C4489F" w:rsidP="00C4489F">
      <w:pPr>
        <w:pStyle w:val="naisf"/>
        <w:spacing w:before="75"/>
        <w:rPr>
          <w:sz w:val="25"/>
          <w:szCs w:val="25"/>
        </w:rPr>
      </w:pPr>
      <w:r w:rsidRPr="008B3E34">
        <w:rPr>
          <w:sz w:val="25"/>
          <w:szCs w:val="25"/>
        </w:rPr>
        <w:t>11. Sintētisko šķiedru ražošanas nozare:</w:t>
      </w:r>
    </w:p>
    <w:p w:rsidR="00C4489F" w:rsidRPr="008B3E34" w:rsidRDefault="00C4489F" w:rsidP="00C4489F">
      <w:pPr>
        <w:pStyle w:val="naisf"/>
        <w:spacing w:before="75"/>
        <w:rPr>
          <w:sz w:val="25"/>
          <w:szCs w:val="25"/>
        </w:rPr>
      </w:pPr>
      <w:r w:rsidRPr="008B3E34">
        <w:rPr>
          <w:sz w:val="25"/>
          <w:szCs w:val="25"/>
        </w:rPr>
        <w:t>11.1. sintētisko šķiedru nozare ir:</w:t>
      </w:r>
    </w:p>
    <w:p w:rsidR="00C4489F" w:rsidRPr="008B3E34" w:rsidRDefault="00C4489F" w:rsidP="00C4489F">
      <w:pPr>
        <w:pStyle w:val="naisf"/>
        <w:spacing w:before="75"/>
        <w:rPr>
          <w:sz w:val="25"/>
          <w:szCs w:val="25"/>
        </w:rPr>
      </w:pPr>
      <w:r w:rsidRPr="008B3E34">
        <w:rPr>
          <w:sz w:val="25"/>
          <w:szCs w:val="25"/>
        </w:rPr>
        <w:t xml:space="preserve">11.1.1. visu veidu poliestera, poliamīda, akrila vai polipropilēna šķiedru un diegu (neatkarīgi no to izmantošanas veida) </w:t>
      </w:r>
      <w:proofErr w:type="spellStart"/>
      <w:r w:rsidRPr="008B3E34">
        <w:rPr>
          <w:sz w:val="25"/>
          <w:szCs w:val="25"/>
        </w:rPr>
        <w:t>ekstrūzija</w:t>
      </w:r>
      <w:proofErr w:type="spellEnd"/>
      <w:r w:rsidRPr="008B3E34">
        <w:rPr>
          <w:sz w:val="25"/>
          <w:szCs w:val="25"/>
        </w:rPr>
        <w:t>/</w:t>
      </w:r>
      <w:proofErr w:type="spellStart"/>
      <w:r w:rsidRPr="008B3E34">
        <w:rPr>
          <w:sz w:val="25"/>
          <w:szCs w:val="25"/>
        </w:rPr>
        <w:t>teksturēšana</w:t>
      </w:r>
      <w:proofErr w:type="spellEnd"/>
      <w:r w:rsidRPr="008B3E34">
        <w:rPr>
          <w:sz w:val="25"/>
          <w:szCs w:val="25"/>
        </w:rPr>
        <w:t>;</w:t>
      </w:r>
    </w:p>
    <w:p w:rsidR="00C4489F" w:rsidRPr="008B3E34" w:rsidRDefault="00C4489F" w:rsidP="00C4489F">
      <w:pPr>
        <w:pStyle w:val="naisf"/>
        <w:spacing w:before="75"/>
        <w:rPr>
          <w:sz w:val="25"/>
          <w:szCs w:val="25"/>
        </w:rPr>
      </w:pPr>
      <w:r w:rsidRPr="008B3E34">
        <w:rPr>
          <w:sz w:val="25"/>
          <w:szCs w:val="25"/>
        </w:rPr>
        <w:t xml:space="preserve">11.1.2. polimerizācija (ieskaitot </w:t>
      </w:r>
      <w:proofErr w:type="spellStart"/>
      <w:r w:rsidRPr="008B3E34">
        <w:rPr>
          <w:sz w:val="25"/>
          <w:szCs w:val="25"/>
        </w:rPr>
        <w:t>polikondensāciju</w:t>
      </w:r>
      <w:proofErr w:type="spellEnd"/>
      <w:r w:rsidRPr="008B3E34">
        <w:rPr>
          <w:sz w:val="25"/>
          <w:szCs w:val="25"/>
        </w:rPr>
        <w:t xml:space="preserve">), ja tā ir apvienota ar </w:t>
      </w:r>
      <w:proofErr w:type="spellStart"/>
      <w:r w:rsidRPr="008B3E34">
        <w:rPr>
          <w:sz w:val="25"/>
          <w:szCs w:val="25"/>
        </w:rPr>
        <w:t>ekstrūziju</w:t>
      </w:r>
      <w:proofErr w:type="spellEnd"/>
      <w:r w:rsidRPr="008B3E34">
        <w:rPr>
          <w:sz w:val="25"/>
          <w:szCs w:val="25"/>
        </w:rPr>
        <w:t xml:space="preserve"> izmantoto iekārtu ziņā;</w:t>
      </w:r>
    </w:p>
    <w:p w:rsidR="00C4489F" w:rsidRPr="008B3E34" w:rsidRDefault="00C4489F" w:rsidP="00C4489F">
      <w:pPr>
        <w:pStyle w:val="naisf"/>
        <w:spacing w:before="75"/>
        <w:rPr>
          <w:sz w:val="25"/>
          <w:szCs w:val="25"/>
        </w:rPr>
      </w:pPr>
      <w:r w:rsidRPr="008B3E34">
        <w:rPr>
          <w:sz w:val="25"/>
          <w:szCs w:val="25"/>
        </w:rPr>
        <w:t xml:space="preserve">11.1.3. jebkādi palīgprocesi, kas saistīti ar vienlaicīgu </w:t>
      </w:r>
      <w:proofErr w:type="spellStart"/>
      <w:r w:rsidRPr="008B3E34">
        <w:rPr>
          <w:sz w:val="25"/>
          <w:szCs w:val="25"/>
        </w:rPr>
        <w:t>ekstrūzijas</w:t>
      </w:r>
      <w:proofErr w:type="spellEnd"/>
      <w:r w:rsidRPr="008B3E34">
        <w:rPr>
          <w:sz w:val="25"/>
          <w:szCs w:val="25"/>
        </w:rPr>
        <w:t xml:space="preserve">/ </w:t>
      </w:r>
      <w:proofErr w:type="spellStart"/>
      <w:r w:rsidRPr="008B3E34">
        <w:rPr>
          <w:sz w:val="25"/>
          <w:szCs w:val="25"/>
        </w:rPr>
        <w:t>teksturēšanas</w:t>
      </w:r>
      <w:proofErr w:type="spellEnd"/>
      <w:r w:rsidRPr="008B3E34">
        <w:rPr>
          <w:sz w:val="25"/>
          <w:szCs w:val="25"/>
        </w:rPr>
        <w:t xml:space="preserve"> jaudu uzstādīšanu, ko veic potenciālais atbalsta saņēmējs vai cits tās grupas uzņēmums, kurā tas ietilpst, un kuri attiecīgajā uzņēmējdarbības veidā izmantoto iekārtu ziņā parasti tiek apvienoti ar šādām jaudām;</w:t>
      </w:r>
    </w:p>
    <w:p w:rsidR="00C4489F" w:rsidRPr="008B3E34" w:rsidRDefault="00C4489F" w:rsidP="00C4489F">
      <w:pPr>
        <w:pStyle w:val="naisf"/>
        <w:spacing w:before="75"/>
        <w:rPr>
          <w:sz w:val="25"/>
          <w:szCs w:val="25"/>
        </w:rPr>
      </w:pPr>
      <w:r w:rsidRPr="008B3E34">
        <w:rPr>
          <w:sz w:val="25"/>
          <w:szCs w:val="25"/>
        </w:rPr>
        <w:t xml:space="preserve">11.2. sintētisko šķiedru ražošanas nozare ietilpst NACE 2.red. </w:t>
      </w:r>
      <w:r w:rsidR="00D4296B" w:rsidRPr="008B3E34">
        <w:rPr>
          <w:sz w:val="25"/>
          <w:szCs w:val="25"/>
        </w:rPr>
        <w:t>saimniecisko darbību statistiskās klasifikācijas</w:t>
      </w:r>
      <w:r w:rsidR="00D4296B" w:rsidRPr="008B3E34">
        <w:rPr>
          <w:bCs/>
          <w:sz w:val="25"/>
          <w:szCs w:val="25"/>
        </w:rPr>
        <w:t xml:space="preserve"> kodu</w:t>
      </w:r>
      <w:r w:rsidR="00D4296B" w:rsidRPr="008B3E34">
        <w:rPr>
          <w:sz w:val="25"/>
          <w:szCs w:val="25"/>
        </w:rPr>
        <w:t xml:space="preserve"> </w:t>
      </w:r>
      <w:r w:rsidRPr="008B3E34">
        <w:rPr>
          <w:sz w:val="25"/>
          <w:szCs w:val="25"/>
        </w:rPr>
        <w:t xml:space="preserve">grupā 20.6 </w:t>
      </w:r>
      <w:r w:rsidR="00456AB8" w:rsidRPr="008B3E34">
        <w:rPr>
          <w:sz w:val="25"/>
          <w:szCs w:val="25"/>
        </w:rPr>
        <w:t>„</w:t>
      </w:r>
      <w:r w:rsidRPr="008B3E34">
        <w:rPr>
          <w:sz w:val="25"/>
          <w:szCs w:val="25"/>
        </w:rPr>
        <w:t>Sintētisko šķiedru ražošana</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grupā 24.7 </w:t>
      </w:r>
      <w:r w:rsidR="00456AB8" w:rsidRPr="008B3E34">
        <w:rPr>
          <w:sz w:val="25"/>
          <w:szCs w:val="25"/>
        </w:rPr>
        <w:t>„</w:t>
      </w:r>
      <w:r w:rsidRPr="008B3E34">
        <w:rPr>
          <w:sz w:val="25"/>
          <w:szCs w:val="25"/>
        </w:rPr>
        <w:t>Sintētisko šķiedru ražošana</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12. Līguma par Eiropas Savienības darbību I pielikumā minēto lauksaimniecības produktu primārā ražošana. Atbalsts tiek sniegts lauksaimniecības produktu apstrādei un tirdzniecībai, izņemot tādu produktu ražošanu un tirdzniecību, kas atdarina vai aizstāj pienu un piena produktus, kā norādīts Padomes 2007.gada 22.oktobra Regulā (EK) Nr.</w:t>
      </w:r>
      <w:hyperlink r:id="rId8" w:tooltip="REGULA" w:history="1">
        <w:r w:rsidRPr="008B3E34">
          <w:rPr>
            <w:rStyle w:val="Hyperlink"/>
            <w:sz w:val="25"/>
            <w:szCs w:val="25"/>
          </w:rPr>
          <w:t>1234/2007</w:t>
        </w:r>
      </w:hyperlink>
      <w:r w:rsidRPr="008B3E34">
        <w:rPr>
          <w:sz w:val="25"/>
          <w:szCs w:val="25"/>
        </w:rPr>
        <w:t>, ar ko izveido lauksaimniecības tirgu kopīgu organizāciju un paredz īpašus noteikumus dažiem lauksaimniecības produktiem (Vienotā TKO regula), un izņemot produktus ar kombinētās nomenklatūras (KN) kodiem 4502, 4503 un 4504 (korķa izstrādājumi).</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 xml:space="preserve">13. Elektroenerģija, gāzes apgāde, siltumapgāde un gaisa kondicionēšana (ierobežojumu nosaka saskaņā ar NACE 2.red. </w:t>
      </w:r>
      <w:r w:rsidR="00D4296B" w:rsidRPr="008B3E34">
        <w:rPr>
          <w:sz w:val="25"/>
          <w:szCs w:val="25"/>
        </w:rPr>
        <w:t>saimniecisko darbību statistiskās klasifikācijas</w:t>
      </w:r>
      <w:r w:rsidR="00D4296B" w:rsidRPr="008B3E34">
        <w:rPr>
          <w:bCs/>
          <w:sz w:val="25"/>
          <w:szCs w:val="25"/>
        </w:rPr>
        <w:t xml:space="preserve"> kodu</w:t>
      </w:r>
      <w:r w:rsidR="00D4296B" w:rsidRPr="008B3E34">
        <w:rPr>
          <w:sz w:val="25"/>
          <w:szCs w:val="25"/>
        </w:rPr>
        <w:t xml:space="preserve"> </w:t>
      </w:r>
      <w:r w:rsidRPr="008B3E34">
        <w:rPr>
          <w:sz w:val="25"/>
          <w:szCs w:val="25"/>
        </w:rPr>
        <w:t xml:space="preserve">D sadaļu </w:t>
      </w:r>
      <w:r w:rsidR="00456AB8" w:rsidRPr="008B3E34">
        <w:rPr>
          <w:sz w:val="25"/>
          <w:szCs w:val="25"/>
        </w:rPr>
        <w:t>„</w:t>
      </w:r>
      <w:r w:rsidRPr="008B3E34">
        <w:rPr>
          <w:sz w:val="25"/>
          <w:szCs w:val="25"/>
        </w:rPr>
        <w:t>Elektroenerģija, gāzes apgāde, siltumapgāde un gaisa kondicionēšana</w:t>
      </w:r>
      <w:r w:rsidR="00456AB8" w:rsidRPr="008B3E34">
        <w:rPr>
          <w:sz w:val="25"/>
          <w:szCs w:val="25"/>
        </w:rPr>
        <w:t>”</w:t>
      </w:r>
      <w:r w:rsidRPr="008B3E34">
        <w:rPr>
          <w:sz w:val="25"/>
          <w:szCs w:val="25"/>
        </w:rPr>
        <w:t xml:space="preserve"> (NACE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40.nodaļu </w:t>
      </w:r>
      <w:r w:rsidR="00456AB8" w:rsidRPr="008B3E34">
        <w:rPr>
          <w:sz w:val="25"/>
          <w:szCs w:val="25"/>
        </w:rPr>
        <w:t>„</w:t>
      </w:r>
      <w:r w:rsidRPr="008B3E34">
        <w:rPr>
          <w:sz w:val="25"/>
          <w:szCs w:val="25"/>
        </w:rPr>
        <w:t>Elektroenerģija, gāzes, tvaika un karstā ūdens apgāde</w:t>
      </w:r>
      <w:r w:rsidR="00456AB8" w:rsidRPr="008B3E34">
        <w:rPr>
          <w:sz w:val="25"/>
          <w:szCs w:val="25"/>
        </w:rPr>
        <w:t>”</w:t>
      </w:r>
      <w:r w:rsidRPr="008B3E34">
        <w:rPr>
          <w:sz w:val="25"/>
          <w:szCs w:val="25"/>
        </w:rPr>
        <w:t xml:space="preserve">)) un elektroenerģijas, tvaiku, biodegvielas vai biogāzes iegūšana no atkritumiem (ietilpst NACE 2.red. </w:t>
      </w:r>
      <w:r w:rsidR="00D4296B" w:rsidRPr="008B3E34">
        <w:rPr>
          <w:sz w:val="25"/>
          <w:szCs w:val="25"/>
        </w:rPr>
        <w:t>saimniecisko darbību statistiskās klasifikācijas</w:t>
      </w:r>
      <w:r w:rsidR="00D4296B" w:rsidRPr="008B3E34">
        <w:rPr>
          <w:bCs/>
          <w:sz w:val="25"/>
          <w:szCs w:val="25"/>
        </w:rPr>
        <w:t xml:space="preserve"> kodu</w:t>
      </w:r>
      <w:r w:rsidR="00D4296B" w:rsidRPr="008B3E34">
        <w:rPr>
          <w:sz w:val="25"/>
          <w:szCs w:val="25"/>
        </w:rPr>
        <w:t xml:space="preserve"> </w:t>
      </w:r>
      <w:r w:rsidRPr="008B3E34">
        <w:rPr>
          <w:sz w:val="25"/>
          <w:szCs w:val="25"/>
        </w:rPr>
        <w:t xml:space="preserve">klasē 38.21 </w:t>
      </w:r>
      <w:r w:rsidR="00456AB8" w:rsidRPr="008B3E34">
        <w:rPr>
          <w:sz w:val="25"/>
          <w:szCs w:val="25"/>
        </w:rPr>
        <w:t>„</w:t>
      </w:r>
      <w:r w:rsidRPr="008B3E34">
        <w:rPr>
          <w:sz w:val="25"/>
          <w:szCs w:val="25"/>
        </w:rPr>
        <w:t>Atkritumu apstrāde un izvietošana (izņemot bīstamos atkritumus)</w:t>
      </w:r>
      <w:r w:rsidR="00456AB8" w:rsidRPr="008B3E34">
        <w:rPr>
          <w:sz w:val="25"/>
          <w:szCs w:val="25"/>
        </w:rPr>
        <w:t>”</w:t>
      </w:r>
      <w:r w:rsidRPr="008B3E34">
        <w:rPr>
          <w:sz w:val="25"/>
          <w:szCs w:val="25"/>
        </w:rPr>
        <w:t xml:space="preserve"> (NACE 1.1.red. </w:t>
      </w:r>
      <w:r w:rsidR="00D4296B" w:rsidRPr="008B3E34">
        <w:rPr>
          <w:sz w:val="25"/>
          <w:szCs w:val="25"/>
        </w:rPr>
        <w:t>saimniecisko darbību statistiskās klasifikācijas</w:t>
      </w:r>
      <w:r w:rsidR="00D4296B" w:rsidRPr="008B3E34">
        <w:rPr>
          <w:bCs/>
          <w:sz w:val="25"/>
          <w:szCs w:val="25"/>
        </w:rPr>
        <w:t xml:space="preserve"> kodu</w:t>
      </w:r>
      <w:r w:rsidR="00D4296B" w:rsidRPr="008B3E34">
        <w:rPr>
          <w:sz w:val="25"/>
          <w:szCs w:val="25"/>
        </w:rPr>
        <w:t xml:space="preserve"> </w:t>
      </w:r>
      <w:r w:rsidRPr="008B3E34">
        <w:rPr>
          <w:sz w:val="25"/>
          <w:szCs w:val="25"/>
        </w:rPr>
        <w:t xml:space="preserve">klase 90.02 </w:t>
      </w:r>
      <w:r w:rsidR="00456AB8" w:rsidRPr="008B3E34">
        <w:rPr>
          <w:sz w:val="25"/>
          <w:szCs w:val="25"/>
        </w:rPr>
        <w:t>„</w:t>
      </w:r>
      <w:r w:rsidRPr="008B3E34">
        <w:rPr>
          <w:sz w:val="25"/>
          <w:szCs w:val="25"/>
        </w:rPr>
        <w:t>Atkritumu savākšana un apstrāde</w:t>
      </w:r>
      <w:r w:rsidR="00456AB8" w:rsidRPr="008B3E34">
        <w:rPr>
          <w:sz w:val="25"/>
          <w:szCs w:val="25"/>
        </w:rPr>
        <w:t>”</w:t>
      </w:r>
      <w:r w:rsidRPr="008B3E34">
        <w:rPr>
          <w:sz w:val="25"/>
          <w:szCs w:val="25"/>
        </w:rPr>
        <w:t>)).</w:t>
      </w:r>
    </w:p>
    <w:p w:rsidR="00C4489F" w:rsidRPr="008B3E34" w:rsidRDefault="00C4489F" w:rsidP="00C4489F">
      <w:pPr>
        <w:pStyle w:val="naisf"/>
        <w:spacing w:before="75"/>
        <w:rPr>
          <w:sz w:val="25"/>
          <w:szCs w:val="25"/>
        </w:rPr>
      </w:pPr>
      <w:r w:rsidRPr="008B3E34">
        <w:rPr>
          <w:sz w:val="25"/>
          <w:szCs w:val="25"/>
        </w:rPr>
        <w:t> </w:t>
      </w:r>
    </w:p>
    <w:p w:rsidR="00C4489F" w:rsidRPr="008B3E34" w:rsidRDefault="00C4489F" w:rsidP="00C4489F">
      <w:pPr>
        <w:pStyle w:val="naisf"/>
        <w:spacing w:before="75"/>
        <w:rPr>
          <w:sz w:val="25"/>
          <w:szCs w:val="25"/>
        </w:rPr>
      </w:pPr>
      <w:r w:rsidRPr="008B3E34">
        <w:rPr>
          <w:sz w:val="25"/>
          <w:szCs w:val="25"/>
        </w:rPr>
        <w:t xml:space="preserve">14. Ieroču un munīcijas ražošana (ierobežojumus nosaka saskaņā ar NACE 2.red. </w:t>
      </w:r>
      <w:r w:rsidR="00D4296B" w:rsidRPr="008B3E34">
        <w:rPr>
          <w:sz w:val="25"/>
          <w:szCs w:val="25"/>
        </w:rPr>
        <w:t>saimniecisko darbību statistiskās klasifikācijas</w:t>
      </w:r>
      <w:r w:rsidR="00D4296B" w:rsidRPr="008B3E34">
        <w:rPr>
          <w:bCs/>
          <w:sz w:val="25"/>
          <w:szCs w:val="25"/>
        </w:rPr>
        <w:t xml:space="preserve"> kodu</w:t>
      </w:r>
      <w:r w:rsidR="00D4296B" w:rsidRPr="008B3E34">
        <w:rPr>
          <w:sz w:val="25"/>
          <w:szCs w:val="25"/>
        </w:rPr>
        <w:t xml:space="preserve"> </w:t>
      </w:r>
      <w:r w:rsidRPr="008B3E34">
        <w:rPr>
          <w:sz w:val="25"/>
          <w:szCs w:val="25"/>
        </w:rPr>
        <w:t xml:space="preserve">25.4 grupu </w:t>
      </w:r>
      <w:r w:rsidR="00456AB8" w:rsidRPr="008B3E34">
        <w:rPr>
          <w:sz w:val="25"/>
          <w:szCs w:val="25"/>
        </w:rPr>
        <w:t>„</w:t>
      </w:r>
      <w:r w:rsidRPr="008B3E34">
        <w:rPr>
          <w:sz w:val="25"/>
          <w:szCs w:val="25"/>
        </w:rPr>
        <w:t>Ieroču un munīcijas ražošana</w:t>
      </w:r>
      <w:r w:rsidR="00456AB8" w:rsidRPr="008B3E34">
        <w:rPr>
          <w:sz w:val="25"/>
          <w:szCs w:val="25"/>
        </w:rPr>
        <w:t>”</w:t>
      </w:r>
      <w:r w:rsidRPr="008B3E34">
        <w:rPr>
          <w:sz w:val="25"/>
          <w:szCs w:val="25"/>
        </w:rPr>
        <w:t xml:space="preserve"> un 30.4 grupu </w:t>
      </w:r>
      <w:r w:rsidR="00456AB8" w:rsidRPr="008B3E34">
        <w:rPr>
          <w:sz w:val="25"/>
          <w:szCs w:val="25"/>
        </w:rPr>
        <w:t>„</w:t>
      </w:r>
      <w:r w:rsidRPr="008B3E34">
        <w:rPr>
          <w:sz w:val="25"/>
          <w:szCs w:val="25"/>
        </w:rPr>
        <w:t>Militāro kaujas transportlīdzekļu ražošana</w:t>
      </w:r>
      <w:r w:rsidR="00456AB8" w:rsidRPr="008B3E34">
        <w:rPr>
          <w:sz w:val="25"/>
          <w:szCs w:val="25"/>
        </w:rPr>
        <w:t>”</w:t>
      </w:r>
      <w:r w:rsidRPr="008B3E34">
        <w:rPr>
          <w:sz w:val="25"/>
          <w:szCs w:val="25"/>
        </w:rPr>
        <w:t xml:space="preserve"> </w:t>
      </w:r>
      <w:r w:rsidRPr="008B3E34">
        <w:rPr>
          <w:sz w:val="25"/>
          <w:szCs w:val="25"/>
        </w:rPr>
        <w:lastRenderedPageBreak/>
        <w:t>(NACE 1.1.red.</w:t>
      </w:r>
      <w:r w:rsidR="00D4296B" w:rsidRPr="008B3E34">
        <w:rPr>
          <w:sz w:val="25"/>
          <w:szCs w:val="25"/>
        </w:rPr>
        <w:t xml:space="preserve"> saimniecisko darbību statistiskās klasifikācijas</w:t>
      </w:r>
      <w:r w:rsidR="00D4296B" w:rsidRPr="008B3E34">
        <w:rPr>
          <w:bCs/>
          <w:sz w:val="25"/>
          <w:szCs w:val="25"/>
        </w:rPr>
        <w:t xml:space="preserve"> kodu</w:t>
      </w:r>
      <w:r w:rsidRPr="008B3E34">
        <w:rPr>
          <w:sz w:val="25"/>
          <w:szCs w:val="25"/>
        </w:rPr>
        <w:t xml:space="preserve"> 29.6 grupu </w:t>
      </w:r>
      <w:r w:rsidR="00456AB8" w:rsidRPr="008B3E34">
        <w:rPr>
          <w:sz w:val="25"/>
          <w:szCs w:val="25"/>
        </w:rPr>
        <w:t>„</w:t>
      </w:r>
      <w:r w:rsidRPr="008B3E34">
        <w:rPr>
          <w:sz w:val="25"/>
          <w:szCs w:val="25"/>
        </w:rPr>
        <w:t>Ieroču un munīcijas ražošana</w:t>
      </w:r>
      <w:r w:rsidR="00456AB8" w:rsidRPr="008B3E34">
        <w:rPr>
          <w:sz w:val="25"/>
          <w:szCs w:val="25"/>
        </w:rPr>
        <w:t>”</w:t>
      </w:r>
      <w:r w:rsidRPr="008B3E34">
        <w:rPr>
          <w:sz w:val="25"/>
          <w:szCs w:val="25"/>
        </w:rPr>
        <w:t>)).</w:t>
      </w:r>
    </w:p>
    <w:p w:rsidR="0005188D" w:rsidRPr="008B3E34" w:rsidRDefault="0005188D" w:rsidP="00C4489F">
      <w:pPr>
        <w:pStyle w:val="naisf"/>
        <w:spacing w:before="75"/>
        <w:rPr>
          <w:sz w:val="25"/>
          <w:szCs w:val="25"/>
        </w:rPr>
      </w:pPr>
    </w:p>
    <w:p w:rsidR="0005188D" w:rsidRPr="008B3E34" w:rsidRDefault="0005188D" w:rsidP="00C4489F">
      <w:pPr>
        <w:pStyle w:val="naisf"/>
        <w:spacing w:before="75"/>
        <w:rPr>
          <w:sz w:val="25"/>
          <w:szCs w:val="25"/>
        </w:rPr>
      </w:pPr>
      <w:r w:rsidRPr="008B3E34">
        <w:rPr>
          <w:sz w:val="25"/>
          <w:szCs w:val="25"/>
        </w:rPr>
        <w:t>15. Transporta nozarē netiek segti izdevumi transportlīdzekļu (kustamu aktīvu) iegādei.</w:t>
      </w:r>
    </w:p>
    <w:p w:rsidR="00C4489F" w:rsidRPr="008B3E34" w:rsidRDefault="00C4489F" w:rsidP="00C4489F">
      <w:pPr>
        <w:pStyle w:val="naisf"/>
        <w:spacing w:before="75"/>
        <w:rPr>
          <w:sz w:val="25"/>
          <w:szCs w:val="25"/>
        </w:rPr>
      </w:pPr>
      <w:r w:rsidRPr="008B3E34">
        <w:rPr>
          <w:sz w:val="25"/>
          <w:szCs w:val="25"/>
        </w:rPr>
        <w:t> </w:t>
      </w:r>
    </w:p>
    <w:p w:rsidR="006C6C78" w:rsidRPr="008B3E34" w:rsidRDefault="006C6C78" w:rsidP="008B3E34">
      <w:pPr>
        <w:pStyle w:val="naisf"/>
        <w:spacing w:before="75"/>
        <w:ind w:firstLine="0"/>
        <w:rPr>
          <w:sz w:val="25"/>
          <w:szCs w:val="25"/>
        </w:rPr>
      </w:pPr>
    </w:p>
    <w:p w:rsidR="006C6C78" w:rsidRPr="008B3E34" w:rsidRDefault="006C6C78" w:rsidP="00C4489F">
      <w:pPr>
        <w:pStyle w:val="naisf"/>
        <w:spacing w:before="75"/>
        <w:rPr>
          <w:color w:val="000000" w:themeColor="text1"/>
          <w:sz w:val="25"/>
          <w:szCs w:val="25"/>
        </w:rPr>
      </w:pPr>
    </w:p>
    <w:p w:rsidR="00F045EB" w:rsidRPr="008B3E34" w:rsidRDefault="00F045EB" w:rsidP="00F045EB">
      <w:pPr>
        <w:pStyle w:val="Signature"/>
        <w:tabs>
          <w:tab w:val="left" w:pos="6663"/>
          <w:tab w:val="left" w:pos="7655"/>
        </w:tabs>
        <w:spacing w:before="0"/>
        <w:ind w:firstLine="0"/>
        <w:rPr>
          <w:sz w:val="25"/>
          <w:szCs w:val="25"/>
          <w:lang w:val="lv-LV"/>
        </w:rPr>
      </w:pPr>
      <w:r w:rsidRPr="008B3E34">
        <w:rPr>
          <w:sz w:val="25"/>
          <w:szCs w:val="25"/>
          <w:lang w:val="lv-LV"/>
        </w:rPr>
        <w:t>Ekonomikas ministrs                                                                              A.Kampars</w:t>
      </w:r>
    </w:p>
    <w:p w:rsidR="00F045EB" w:rsidRPr="008B3E34" w:rsidRDefault="00F045EB" w:rsidP="00F045EB">
      <w:pPr>
        <w:pStyle w:val="naisf"/>
        <w:spacing w:before="0" w:after="0"/>
        <w:rPr>
          <w:sz w:val="25"/>
          <w:szCs w:val="25"/>
        </w:rPr>
      </w:pPr>
    </w:p>
    <w:p w:rsidR="00F045EB" w:rsidRPr="008B3E34" w:rsidRDefault="00F045EB" w:rsidP="00F045EB">
      <w:pPr>
        <w:tabs>
          <w:tab w:val="left" w:pos="720"/>
        </w:tabs>
        <w:autoSpaceDE w:val="0"/>
        <w:autoSpaceDN w:val="0"/>
        <w:adjustRightInd w:val="0"/>
        <w:spacing w:after="0" w:line="240" w:lineRule="auto"/>
        <w:rPr>
          <w:rFonts w:ascii="Times New Roman" w:hAnsi="Times New Roman"/>
          <w:sz w:val="25"/>
          <w:szCs w:val="25"/>
          <w:lang w:bidi="lo-LA"/>
        </w:rPr>
      </w:pPr>
    </w:p>
    <w:p w:rsidR="00F045EB" w:rsidRPr="008B3E34" w:rsidRDefault="00F045EB" w:rsidP="00F045EB">
      <w:pPr>
        <w:tabs>
          <w:tab w:val="left" w:pos="720"/>
        </w:tabs>
        <w:autoSpaceDE w:val="0"/>
        <w:autoSpaceDN w:val="0"/>
        <w:adjustRightInd w:val="0"/>
        <w:spacing w:after="0" w:line="240" w:lineRule="auto"/>
        <w:rPr>
          <w:rFonts w:ascii="Times New Roman" w:hAnsi="Times New Roman"/>
          <w:sz w:val="25"/>
          <w:szCs w:val="25"/>
          <w:lang w:bidi="lo-LA"/>
        </w:rPr>
      </w:pPr>
      <w:r w:rsidRPr="008B3E34">
        <w:rPr>
          <w:rFonts w:ascii="Times New Roman" w:hAnsi="Times New Roman"/>
          <w:sz w:val="25"/>
          <w:szCs w:val="25"/>
          <w:lang w:bidi="lo-LA"/>
        </w:rPr>
        <w:t>Iesniedzējs:</w:t>
      </w:r>
    </w:p>
    <w:p w:rsidR="00F045EB" w:rsidRPr="008B3E34" w:rsidRDefault="00F045EB" w:rsidP="00F045EB">
      <w:pPr>
        <w:pStyle w:val="Signature"/>
        <w:tabs>
          <w:tab w:val="left" w:pos="7655"/>
        </w:tabs>
        <w:spacing w:before="0"/>
        <w:ind w:firstLine="0"/>
        <w:rPr>
          <w:sz w:val="25"/>
          <w:szCs w:val="25"/>
          <w:lang w:val="lv-LV"/>
        </w:rPr>
      </w:pPr>
      <w:r w:rsidRPr="008B3E34">
        <w:rPr>
          <w:sz w:val="25"/>
          <w:szCs w:val="25"/>
          <w:lang w:val="lv-LV"/>
        </w:rPr>
        <w:t>Ekonomikas ministrs                                                                              A.Kampars</w:t>
      </w:r>
    </w:p>
    <w:p w:rsidR="00F045EB" w:rsidRPr="008B3E34" w:rsidRDefault="00F045EB" w:rsidP="00F045EB">
      <w:pPr>
        <w:pStyle w:val="EnvelopeReturn"/>
        <w:spacing w:before="0"/>
        <w:rPr>
          <w:sz w:val="25"/>
          <w:szCs w:val="25"/>
          <w:lang w:val="lv-LV"/>
        </w:rPr>
      </w:pPr>
    </w:p>
    <w:p w:rsidR="00F045EB" w:rsidRPr="008B3E34" w:rsidRDefault="00F045EB" w:rsidP="00F045EB">
      <w:pPr>
        <w:pStyle w:val="EnvelopeReturn"/>
        <w:tabs>
          <w:tab w:val="left" w:pos="8222"/>
        </w:tabs>
        <w:spacing w:before="0"/>
        <w:rPr>
          <w:sz w:val="25"/>
          <w:szCs w:val="25"/>
          <w:lang w:val="lv-LV"/>
        </w:rPr>
      </w:pPr>
    </w:p>
    <w:p w:rsidR="00F045EB" w:rsidRPr="008B3E34" w:rsidRDefault="00F045EB" w:rsidP="00F045EB">
      <w:pPr>
        <w:pStyle w:val="EnvelopeReturn"/>
        <w:tabs>
          <w:tab w:val="left" w:pos="8222"/>
        </w:tabs>
        <w:spacing w:before="0"/>
        <w:rPr>
          <w:sz w:val="25"/>
          <w:szCs w:val="25"/>
          <w:lang w:val="lv-LV"/>
        </w:rPr>
      </w:pPr>
      <w:r w:rsidRPr="008B3E34">
        <w:rPr>
          <w:sz w:val="25"/>
          <w:szCs w:val="25"/>
          <w:lang w:val="lv-LV"/>
        </w:rPr>
        <w:t xml:space="preserve">Vīza: Valsts sekretārs                                                                             J.Pūce </w:t>
      </w: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Default="006C6C78" w:rsidP="006C6C78">
      <w:pPr>
        <w:pStyle w:val="naislab"/>
        <w:spacing w:before="0" w:after="0"/>
        <w:jc w:val="left"/>
        <w:rPr>
          <w:sz w:val="20"/>
          <w:szCs w:val="20"/>
        </w:rPr>
      </w:pPr>
    </w:p>
    <w:p w:rsidR="006C6C78" w:rsidRPr="006C6C78" w:rsidRDefault="006C0714" w:rsidP="006C6C78">
      <w:pPr>
        <w:pStyle w:val="naislab"/>
        <w:spacing w:before="0" w:after="0"/>
        <w:jc w:val="left"/>
        <w:rPr>
          <w:sz w:val="20"/>
          <w:szCs w:val="20"/>
        </w:rPr>
      </w:pPr>
      <w:r>
        <w:rPr>
          <w:sz w:val="20"/>
          <w:szCs w:val="20"/>
        </w:rPr>
        <w:t>2011.10.13. 10:59</w:t>
      </w:r>
    </w:p>
    <w:p w:rsidR="006C6C78" w:rsidRPr="006C6C78" w:rsidRDefault="004014E6" w:rsidP="006C6C78">
      <w:pPr>
        <w:pStyle w:val="naislab"/>
        <w:spacing w:before="0" w:after="0"/>
        <w:jc w:val="left"/>
        <w:rPr>
          <w:sz w:val="20"/>
          <w:szCs w:val="20"/>
        </w:rPr>
      </w:pPr>
      <w:fldSimple w:instr=" NUMWORDS   \* MERGEFORMAT ">
        <w:r w:rsidR="006C0714" w:rsidRPr="006C0714">
          <w:rPr>
            <w:noProof/>
            <w:sz w:val="20"/>
            <w:szCs w:val="20"/>
          </w:rPr>
          <w:t>1482</w:t>
        </w:r>
      </w:fldSimple>
    </w:p>
    <w:p w:rsidR="006C6C78" w:rsidRPr="006C6C78" w:rsidRDefault="006C6C78" w:rsidP="006C6C78">
      <w:pPr>
        <w:pStyle w:val="naislab"/>
        <w:spacing w:before="0" w:after="0"/>
        <w:jc w:val="left"/>
        <w:rPr>
          <w:sz w:val="20"/>
          <w:szCs w:val="20"/>
        </w:rPr>
      </w:pPr>
      <w:r w:rsidRPr="006C6C78">
        <w:rPr>
          <w:sz w:val="20"/>
          <w:szCs w:val="20"/>
        </w:rPr>
        <w:t>Māris Krūmiņš</w:t>
      </w:r>
    </w:p>
    <w:p w:rsidR="006C6C78" w:rsidRPr="006C6C78" w:rsidRDefault="004014E6" w:rsidP="006C6C78">
      <w:pPr>
        <w:pStyle w:val="naislab"/>
        <w:spacing w:before="0" w:after="0"/>
        <w:jc w:val="left"/>
        <w:rPr>
          <w:sz w:val="20"/>
          <w:szCs w:val="20"/>
        </w:rPr>
      </w:pPr>
      <w:hyperlink r:id="rId9" w:history="1">
        <w:r w:rsidR="006C6C78" w:rsidRPr="006C6C78">
          <w:rPr>
            <w:rStyle w:val="Hyperlink"/>
            <w:sz w:val="20"/>
            <w:szCs w:val="20"/>
          </w:rPr>
          <w:t>Maris.Krumins@em.gov</w:t>
        </w:r>
      </w:hyperlink>
      <w:r w:rsidR="006C6C78" w:rsidRPr="006C6C78">
        <w:rPr>
          <w:sz w:val="20"/>
          <w:szCs w:val="20"/>
        </w:rPr>
        <w:t xml:space="preserve">, 67013082 </w:t>
      </w:r>
    </w:p>
    <w:sectPr w:rsidR="006C6C78" w:rsidRPr="006C6C78" w:rsidSect="00F153E0">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7E" w:rsidRDefault="00490B7E" w:rsidP="007A42C7">
      <w:pPr>
        <w:spacing w:after="0" w:line="240" w:lineRule="auto"/>
      </w:pPr>
      <w:r>
        <w:separator/>
      </w:r>
    </w:p>
  </w:endnote>
  <w:endnote w:type="continuationSeparator" w:id="0">
    <w:p w:rsidR="00490B7E" w:rsidRDefault="00490B7E" w:rsidP="007A4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C7" w:rsidRPr="007A42C7" w:rsidRDefault="007A42C7" w:rsidP="00F52EF1">
    <w:pPr>
      <w:pStyle w:val="Footer"/>
      <w:jc w:val="both"/>
      <w:rPr>
        <w:rFonts w:ascii="Times New Roman" w:hAnsi="Times New Roman" w:cs="Times New Roman"/>
        <w:sz w:val="20"/>
        <w:szCs w:val="20"/>
      </w:rPr>
    </w:pPr>
    <w:r w:rsidRPr="007A42C7">
      <w:rPr>
        <w:rFonts w:ascii="Times New Roman" w:hAnsi="Times New Roman" w:cs="Times New Roman"/>
        <w:sz w:val="20"/>
        <w:szCs w:val="20"/>
      </w:rPr>
      <w:t>EMNotp0</w:t>
    </w:r>
    <w:r>
      <w:rPr>
        <w:rFonts w:ascii="Times New Roman" w:hAnsi="Times New Roman" w:cs="Times New Roman"/>
        <w:sz w:val="20"/>
        <w:szCs w:val="20"/>
      </w:rPr>
      <w:t>3</w:t>
    </w:r>
    <w:r w:rsidRPr="007A42C7">
      <w:rPr>
        <w:rFonts w:ascii="Times New Roman" w:hAnsi="Times New Roman" w:cs="Times New Roman"/>
        <w:sz w:val="20"/>
        <w:szCs w:val="20"/>
      </w:rPr>
      <w:t>_</w:t>
    </w:r>
    <w:r w:rsidR="006C0714">
      <w:rPr>
        <w:rFonts w:ascii="Times New Roman" w:hAnsi="Times New Roman" w:cs="Times New Roman"/>
        <w:sz w:val="20"/>
        <w:szCs w:val="20"/>
      </w:rPr>
      <w:t>13</w:t>
    </w:r>
    <w:r w:rsidR="008B3E34">
      <w:rPr>
        <w:rFonts w:ascii="Times New Roman" w:hAnsi="Times New Roman" w:cs="Times New Roman"/>
        <w:sz w:val="20"/>
        <w:szCs w:val="20"/>
      </w:rPr>
      <w:t>10</w:t>
    </w:r>
    <w:r w:rsidR="00074AF5" w:rsidRPr="007A42C7">
      <w:rPr>
        <w:rFonts w:ascii="Times New Roman" w:hAnsi="Times New Roman" w:cs="Times New Roman"/>
        <w:sz w:val="20"/>
        <w:szCs w:val="20"/>
      </w:rPr>
      <w:t>11</w:t>
    </w:r>
    <w:r w:rsidRPr="007A42C7">
      <w:rPr>
        <w:rFonts w:ascii="Times New Roman" w:hAnsi="Times New Roman" w:cs="Times New Roman"/>
        <w:sz w:val="20"/>
        <w:szCs w:val="20"/>
      </w:rPr>
      <w:t xml:space="preserve">_2124_2.kārta; </w:t>
    </w:r>
    <w:bookmarkStart w:id="0" w:name="OLE_LINK3"/>
    <w:bookmarkStart w:id="1" w:name="OLE_LINK4"/>
    <w:bookmarkStart w:id="2" w:name="OLE_LINK12"/>
    <w:bookmarkStart w:id="3" w:name="OLE_LINK13"/>
    <w:bookmarkStart w:id="4" w:name="_Hlk305673204"/>
    <w:r w:rsidRPr="007A42C7">
      <w:rPr>
        <w:rFonts w:ascii="Times New Roman" w:hAnsi="Times New Roman" w:cs="Times New Roman"/>
        <w:sz w:val="20"/>
        <w:szCs w:val="20"/>
      </w:rPr>
      <w:t xml:space="preserve">Noteikumi par darbības programmas </w:t>
    </w:r>
    <w:r w:rsidR="008061DE">
      <w:rPr>
        <w:rFonts w:ascii="Times New Roman" w:hAnsi="Times New Roman" w:cs="Times New Roman"/>
        <w:sz w:val="20"/>
        <w:szCs w:val="20"/>
        <w:lang w:bidi="he-IL"/>
      </w:rPr>
      <w:t>„</w:t>
    </w:r>
    <w:r w:rsidRPr="007A42C7">
      <w:rPr>
        <w:rFonts w:ascii="Times New Roman" w:hAnsi="Times New Roman" w:cs="Times New Roman"/>
        <w:sz w:val="20"/>
        <w:szCs w:val="20"/>
      </w:rPr>
      <w:t>Uzņēmējdarbība un inovācijas</w:t>
    </w:r>
    <w:r w:rsidR="008061DE">
      <w:rPr>
        <w:rFonts w:ascii="Times New Roman" w:hAnsi="Times New Roman" w:cs="Times New Roman"/>
        <w:sz w:val="20"/>
        <w:szCs w:val="20"/>
        <w:lang w:bidi="he-IL"/>
      </w:rPr>
      <w:t>”</w:t>
    </w:r>
    <w:r w:rsidRPr="007A42C7">
      <w:rPr>
        <w:rFonts w:ascii="Times New Roman" w:hAnsi="Times New Roman" w:cs="Times New Roman"/>
        <w:sz w:val="20"/>
        <w:szCs w:val="20"/>
      </w:rPr>
      <w:t xml:space="preserve"> </w:t>
    </w:r>
    <w:r w:rsidRPr="00BF5975">
      <w:rPr>
        <w:rFonts w:ascii="Times New Roman" w:hAnsi="Times New Roman" w:cs="Times New Roman"/>
        <w:sz w:val="20"/>
        <w:szCs w:val="20"/>
      </w:rPr>
      <w:t>papildinājuma 2.1.2.4.aktivitāt</w:t>
    </w:r>
    <w:r w:rsidR="00053596">
      <w:rPr>
        <w:rFonts w:ascii="Times New Roman" w:hAnsi="Times New Roman" w:cs="Times New Roman"/>
        <w:sz w:val="20"/>
        <w:szCs w:val="20"/>
      </w:rPr>
      <w:t>es</w:t>
    </w:r>
    <w:r w:rsidRPr="00BF5975">
      <w:rPr>
        <w:rFonts w:ascii="Times New Roman" w:hAnsi="Times New Roman" w:cs="Times New Roman"/>
        <w:sz w:val="20"/>
        <w:szCs w:val="20"/>
      </w:rPr>
      <w:t xml:space="preserve"> </w:t>
    </w:r>
    <w:r w:rsidR="008061DE">
      <w:rPr>
        <w:rFonts w:ascii="Times New Roman" w:hAnsi="Times New Roman" w:cs="Times New Roman"/>
        <w:sz w:val="20"/>
        <w:szCs w:val="20"/>
        <w:lang w:bidi="he-IL"/>
      </w:rPr>
      <w:t>„</w:t>
    </w:r>
    <w:r w:rsidRPr="00BF5975">
      <w:rPr>
        <w:rFonts w:ascii="Times New Roman" w:hAnsi="Times New Roman" w:cs="Times New Roman"/>
        <w:bCs/>
        <w:sz w:val="20"/>
        <w:szCs w:val="20"/>
      </w:rPr>
      <w:t>Augstas pievienotās vērtības investīcijas</w:t>
    </w:r>
    <w:r w:rsidR="008061DE">
      <w:rPr>
        <w:rFonts w:ascii="Times New Roman" w:hAnsi="Times New Roman" w:cs="Times New Roman"/>
        <w:sz w:val="20"/>
        <w:szCs w:val="20"/>
        <w:lang w:bidi="he-IL"/>
      </w:rPr>
      <w:t>”</w:t>
    </w:r>
    <w:r w:rsidRPr="00BF5975">
      <w:rPr>
        <w:rFonts w:ascii="Times New Roman" w:hAnsi="Times New Roman" w:cs="Times New Roman"/>
        <w:sz w:val="20"/>
        <w:szCs w:val="20"/>
      </w:rPr>
      <w:t xml:space="preserve"> </w:t>
    </w:r>
    <w:bookmarkEnd w:id="0"/>
    <w:bookmarkEnd w:id="1"/>
    <w:r w:rsidR="00FD4C09">
      <w:rPr>
        <w:rFonts w:ascii="Times New Roman" w:hAnsi="Times New Roman" w:cs="Times New Roman"/>
        <w:sz w:val="20"/>
        <w:szCs w:val="20"/>
      </w:rPr>
      <w:t>projektu iesniegumu atlases otro un turpmākajām kārtām</w:t>
    </w:r>
    <w:bookmarkEnd w:id="2"/>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4B" w:rsidRDefault="00A1384B" w:rsidP="00A1384B">
    <w:pPr>
      <w:pStyle w:val="Footer"/>
      <w:jc w:val="both"/>
    </w:pPr>
    <w:r w:rsidRPr="007A42C7">
      <w:rPr>
        <w:rFonts w:ascii="Times New Roman" w:hAnsi="Times New Roman" w:cs="Times New Roman"/>
        <w:sz w:val="20"/>
        <w:szCs w:val="20"/>
      </w:rPr>
      <w:t>EMNotp0</w:t>
    </w:r>
    <w:r>
      <w:rPr>
        <w:rFonts w:ascii="Times New Roman" w:hAnsi="Times New Roman" w:cs="Times New Roman"/>
        <w:sz w:val="20"/>
        <w:szCs w:val="20"/>
      </w:rPr>
      <w:t>3</w:t>
    </w:r>
    <w:r w:rsidRPr="007A42C7">
      <w:rPr>
        <w:rFonts w:ascii="Times New Roman" w:hAnsi="Times New Roman" w:cs="Times New Roman"/>
        <w:sz w:val="20"/>
        <w:szCs w:val="20"/>
      </w:rPr>
      <w:t>_</w:t>
    </w:r>
    <w:r w:rsidR="006C0714">
      <w:rPr>
        <w:rFonts w:ascii="Times New Roman" w:hAnsi="Times New Roman" w:cs="Times New Roman"/>
        <w:sz w:val="20"/>
        <w:szCs w:val="20"/>
      </w:rPr>
      <w:t>13</w:t>
    </w:r>
    <w:r w:rsidR="008B3E34">
      <w:rPr>
        <w:rFonts w:ascii="Times New Roman" w:hAnsi="Times New Roman" w:cs="Times New Roman"/>
        <w:sz w:val="20"/>
        <w:szCs w:val="20"/>
      </w:rPr>
      <w:t>10</w:t>
    </w:r>
    <w:r w:rsidR="00074AF5" w:rsidRPr="007A42C7">
      <w:rPr>
        <w:rFonts w:ascii="Times New Roman" w:hAnsi="Times New Roman" w:cs="Times New Roman"/>
        <w:sz w:val="20"/>
        <w:szCs w:val="20"/>
      </w:rPr>
      <w:t>11</w:t>
    </w:r>
    <w:r w:rsidRPr="007A42C7">
      <w:rPr>
        <w:rFonts w:ascii="Times New Roman" w:hAnsi="Times New Roman" w:cs="Times New Roman"/>
        <w:sz w:val="20"/>
        <w:szCs w:val="20"/>
      </w:rPr>
      <w:t xml:space="preserve">_2124_2.kārta; Noteikumi par darbības programmas </w:t>
    </w:r>
    <w:r>
      <w:rPr>
        <w:rFonts w:ascii="Times New Roman" w:hAnsi="Times New Roman" w:cs="Times New Roman"/>
        <w:sz w:val="20"/>
        <w:szCs w:val="20"/>
        <w:lang w:bidi="he-IL"/>
      </w:rPr>
      <w:t>„</w:t>
    </w:r>
    <w:r w:rsidRPr="007A42C7">
      <w:rPr>
        <w:rFonts w:ascii="Times New Roman" w:hAnsi="Times New Roman" w:cs="Times New Roman"/>
        <w:sz w:val="20"/>
        <w:szCs w:val="20"/>
      </w:rPr>
      <w:t>Uzņēmējdarbība un inovācijas</w:t>
    </w:r>
    <w:r>
      <w:rPr>
        <w:rFonts w:ascii="Times New Roman" w:hAnsi="Times New Roman" w:cs="Times New Roman"/>
        <w:sz w:val="20"/>
        <w:szCs w:val="20"/>
        <w:lang w:bidi="he-IL"/>
      </w:rPr>
      <w:t>”</w:t>
    </w:r>
    <w:r w:rsidRPr="007A42C7">
      <w:rPr>
        <w:rFonts w:ascii="Times New Roman" w:hAnsi="Times New Roman" w:cs="Times New Roman"/>
        <w:sz w:val="20"/>
        <w:szCs w:val="20"/>
      </w:rPr>
      <w:t xml:space="preserve"> </w:t>
    </w:r>
    <w:r w:rsidRPr="00BF5975">
      <w:rPr>
        <w:rFonts w:ascii="Times New Roman" w:hAnsi="Times New Roman" w:cs="Times New Roman"/>
        <w:sz w:val="20"/>
        <w:szCs w:val="20"/>
      </w:rPr>
      <w:t>papildinājuma 2.1.2.4.aktivitāt</w:t>
    </w:r>
    <w:r>
      <w:rPr>
        <w:rFonts w:ascii="Times New Roman" w:hAnsi="Times New Roman" w:cs="Times New Roman"/>
        <w:sz w:val="20"/>
        <w:szCs w:val="20"/>
      </w:rPr>
      <w:t>es</w:t>
    </w:r>
    <w:r w:rsidRPr="00BF5975">
      <w:rPr>
        <w:rFonts w:ascii="Times New Roman" w:hAnsi="Times New Roman" w:cs="Times New Roman"/>
        <w:sz w:val="20"/>
        <w:szCs w:val="20"/>
      </w:rPr>
      <w:t xml:space="preserve"> </w:t>
    </w:r>
    <w:r>
      <w:rPr>
        <w:rFonts w:ascii="Times New Roman" w:hAnsi="Times New Roman" w:cs="Times New Roman"/>
        <w:sz w:val="20"/>
        <w:szCs w:val="20"/>
        <w:lang w:bidi="he-IL"/>
      </w:rPr>
      <w:t>„</w:t>
    </w:r>
    <w:r w:rsidRPr="00BF5975">
      <w:rPr>
        <w:rFonts w:ascii="Times New Roman" w:hAnsi="Times New Roman" w:cs="Times New Roman"/>
        <w:bCs/>
        <w:sz w:val="20"/>
        <w:szCs w:val="20"/>
      </w:rPr>
      <w:t>Augstas pievienotās vērtības investīcijas</w:t>
    </w:r>
    <w:r>
      <w:rPr>
        <w:rFonts w:ascii="Times New Roman" w:hAnsi="Times New Roman" w:cs="Times New Roman"/>
        <w:sz w:val="20"/>
        <w:szCs w:val="20"/>
        <w:lang w:bidi="he-IL"/>
      </w:rPr>
      <w:t>”</w:t>
    </w:r>
    <w:r w:rsidRPr="00BF5975">
      <w:rPr>
        <w:rFonts w:ascii="Times New Roman" w:hAnsi="Times New Roman" w:cs="Times New Roman"/>
        <w:sz w:val="20"/>
        <w:szCs w:val="20"/>
      </w:rPr>
      <w:t xml:space="preserve"> </w:t>
    </w:r>
    <w:r>
      <w:rPr>
        <w:rFonts w:ascii="Times New Roman" w:hAnsi="Times New Roman" w:cs="Times New Roman"/>
        <w:sz w:val="20"/>
        <w:szCs w:val="20"/>
      </w:rPr>
      <w:t>projektu iesniegumu atlases otro un turpmākajām kārtām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7E" w:rsidRDefault="00490B7E" w:rsidP="007A42C7">
      <w:pPr>
        <w:spacing w:after="0" w:line="240" w:lineRule="auto"/>
      </w:pPr>
      <w:r>
        <w:separator/>
      </w:r>
    </w:p>
  </w:footnote>
  <w:footnote w:type="continuationSeparator" w:id="0">
    <w:p w:rsidR="00490B7E" w:rsidRDefault="00490B7E" w:rsidP="007A4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7058"/>
      <w:docPartObj>
        <w:docPartGallery w:val="Page Numbers (Top of Page)"/>
        <w:docPartUnique/>
      </w:docPartObj>
    </w:sdtPr>
    <w:sdtEndPr>
      <w:rPr>
        <w:rFonts w:ascii="Times New Roman" w:hAnsi="Times New Roman" w:cs="Times New Roman"/>
      </w:rPr>
    </w:sdtEndPr>
    <w:sdtContent>
      <w:p w:rsidR="00F153E0" w:rsidRPr="00F153E0" w:rsidRDefault="004014E6">
        <w:pPr>
          <w:pStyle w:val="Header"/>
          <w:jc w:val="center"/>
          <w:rPr>
            <w:rFonts w:ascii="Times New Roman" w:hAnsi="Times New Roman" w:cs="Times New Roman"/>
          </w:rPr>
        </w:pPr>
        <w:r w:rsidRPr="00F153E0">
          <w:rPr>
            <w:rFonts w:ascii="Times New Roman" w:hAnsi="Times New Roman" w:cs="Times New Roman"/>
          </w:rPr>
          <w:fldChar w:fldCharType="begin"/>
        </w:r>
        <w:r w:rsidR="00F153E0" w:rsidRPr="00F153E0">
          <w:rPr>
            <w:rFonts w:ascii="Times New Roman" w:hAnsi="Times New Roman" w:cs="Times New Roman"/>
          </w:rPr>
          <w:instrText xml:space="preserve"> PAGE   \* MERGEFORMAT </w:instrText>
        </w:r>
        <w:r w:rsidRPr="00F153E0">
          <w:rPr>
            <w:rFonts w:ascii="Times New Roman" w:hAnsi="Times New Roman" w:cs="Times New Roman"/>
          </w:rPr>
          <w:fldChar w:fldCharType="separate"/>
        </w:r>
        <w:r w:rsidR="006C0714">
          <w:rPr>
            <w:rFonts w:ascii="Times New Roman" w:hAnsi="Times New Roman" w:cs="Times New Roman"/>
            <w:noProof/>
          </w:rPr>
          <w:t>6</w:t>
        </w:r>
        <w:r w:rsidRPr="00F153E0">
          <w:rPr>
            <w:rFonts w:ascii="Times New Roman" w:hAnsi="Times New Roman" w:cs="Times New Roman"/>
          </w:rPr>
          <w:fldChar w:fldCharType="end"/>
        </w:r>
      </w:p>
    </w:sdtContent>
  </w:sdt>
  <w:p w:rsidR="00F153E0" w:rsidRDefault="00F153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489F"/>
    <w:rsid w:val="00042CC1"/>
    <w:rsid w:val="0005188D"/>
    <w:rsid w:val="00053596"/>
    <w:rsid w:val="00074AF5"/>
    <w:rsid w:val="00086D6D"/>
    <w:rsid w:val="00103DE8"/>
    <w:rsid w:val="0013022D"/>
    <w:rsid w:val="001376E8"/>
    <w:rsid w:val="00145114"/>
    <w:rsid w:val="0015342A"/>
    <w:rsid w:val="001A713A"/>
    <w:rsid w:val="001E0737"/>
    <w:rsid w:val="001F0C67"/>
    <w:rsid w:val="00234A09"/>
    <w:rsid w:val="00285C46"/>
    <w:rsid w:val="002A0654"/>
    <w:rsid w:val="00323536"/>
    <w:rsid w:val="00386B8C"/>
    <w:rsid w:val="00392AB6"/>
    <w:rsid w:val="003E50DA"/>
    <w:rsid w:val="004014E6"/>
    <w:rsid w:val="00446C8D"/>
    <w:rsid w:val="00456AB8"/>
    <w:rsid w:val="004804E8"/>
    <w:rsid w:val="00490B7E"/>
    <w:rsid w:val="004B1191"/>
    <w:rsid w:val="004D65E2"/>
    <w:rsid w:val="004E2B0D"/>
    <w:rsid w:val="00507419"/>
    <w:rsid w:val="00510533"/>
    <w:rsid w:val="00541A36"/>
    <w:rsid w:val="00553007"/>
    <w:rsid w:val="005A0A5B"/>
    <w:rsid w:val="005C04A4"/>
    <w:rsid w:val="005C13D4"/>
    <w:rsid w:val="005F52FF"/>
    <w:rsid w:val="006060CB"/>
    <w:rsid w:val="0062061F"/>
    <w:rsid w:val="0063381B"/>
    <w:rsid w:val="00636462"/>
    <w:rsid w:val="006505E5"/>
    <w:rsid w:val="006563BE"/>
    <w:rsid w:val="00660766"/>
    <w:rsid w:val="006660DE"/>
    <w:rsid w:val="00676FE6"/>
    <w:rsid w:val="006778B0"/>
    <w:rsid w:val="006937BD"/>
    <w:rsid w:val="006C0714"/>
    <w:rsid w:val="006C29D6"/>
    <w:rsid w:val="006C6C78"/>
    <w:rsid w:val="006C6DA9"/>
    <w:rsid w:val="006C6E43"/>
    <w:rsid w:val="006D308E"/>
    <w:rsid w:val="007334ED"/>
    <w:rsid w:val="00765D15"/>
    <w:rsid w:val="00770B4C"/>
    <w:rsid w:val="007A42C7"/>
    <w:rsid w:val="008061DE"/>
    <w:rsid w:val="008204A6"/>
    <w:rsid w:val="00880BA4"/>
    <w:rsid w:val="008B3E34"/>
    <w:rsid w:val="008D373C"/>
    <w:rsid w:val="008E25F8"/>
    <w:rsid w:val="0094234E"/>
    <w:rsid w:val="00955766"/>
    <w:rsid w:val="009E392C"/>
    <w:rsid w:val="00A0089D"/>
    <w:rsid w:val="00A1384B"/>
    <w:rsid w:val="00A35400"/>
    <w:rsid w:val="00A72B00"/>
    <w:rsid w:val="00A73BA2"/>
    <w:rsid w:val="00A8517F"/>
    <w:rsid w:val="00B460D3"/>
    <w:rsid w:val="00BB00F7"/>
    <w:rsid w:val="00BF5975"/>
    <w:rsid w:val="00C019A5"/>
    <w:rsid w:val="00C21E2D"/>
    <w:rsid w:val="00C2520A"/>
    <w:rsid w:val="00C355D6"/>
    <w:rsid w:val="00C4489F"/>
    <w:rsid w:val="00C53992"/>
    <w:rsid w:val="00C870E4"/>
    <w:rsid w:val="00CA7F36"/>
    <w:rsid w:val="00CB166E"/>
    <w:rsid w:val="00CE1E68"/>
    <w:rsid w:val="00D01B41"/>
    <w:rsid w:val="00D4296B"/>
    <w:rsid w:val="00D57BC1"/>
    <w:rsid w:val="00DB1BAB"/>
    <w:rsid w:val="00E467BE"/>
    <w:rsid w:val="00EB642A"/>
    <w:rsid w:val="00F045EB"/>
    <w:rsid w:val="00F15088"/>
    <w:rsid w:val="00F153E0"/>
    <w:rsid w:val="00F17943"/>
    <w:rsid w:val="00F32AD0"/>
    <w:rsid w:val="00F33BC4"/>
    <w:rsid w:val="00F46AD9"/>
    <w:rsid w:val="00F52EF1"/>
    <w:rsid w:val="00F85540"/>
    <w:rsid w:val="00FD4C09"/>
    <w:rsid w:val="00FE33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ED"/>
  </w:style>
  <w:style w:type="paragraph" w:styleId="Heading1">
    <w:name w:val="heading 1"/>
    <w:basedOn w:val="Normal"/>
    <w:next w:val="Normal"/>
    <w:link w:val="Heading1Char"/>
    <w:qFormat/>
    <w:rsid w:val="0005188D"/>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6C6C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C4489F"/>
    <w:pPr>
      <w:spacing w:before="22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4489F"/>
    <w:pPr>
      <w:spacing w:before="225"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C4489F"/>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4489F"/>
    <w:rPr>
      <w:color w:val="0000FF"/>
      <w:u w:val="single"/>
    </w:rPr>
  </w:style>
  <w:style w:type="character" w:customStyle="1" w:styleId="Heading1Char">
    <w:name w:val="Heading 1 Char"/>
    <w:basedOn w:val="DefaultParagraphFont"/>
    <w:link w:val="Heading1"/>
    <w:rsid w:val="0005188D"/>
    <w:rPr>
      <w:rFonts w:ascii="Arial" w:eastAsia="Times New Roman" w:hAnsi="Arial" w:cs="Arial"/>
      <w:b/>
      <w:bCs/>
      <w:kern w:val="32"/>
      <w:sz w:val="32"/>
      <w:szCs w:val="32"/>
      <w:lang w:eastAsia="lv-LV"/>
    </w:rPr>
  </w:style>
  <w:style w:type="paragraph" w:customStyle="1" w:styleId="naisc">
    <w:name w:val="naisc"/>
    <w:basedOn w:val="Normal"/>
    <w:rsid w:val="00F46AD9"/>
    <w:pPr>
      <w:spacing w:before="68" w:after="68"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F46AD9"/>
    <w:pPr>
      <w:spacing w:before="68" w:after="68"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F46AD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F46AD9"/>
    <w:rPr>
      <w:rFonts w:ascii="Times New Roman" w:eastAsia="Times New Roman" w:hAnsi="Times New Roman" w:cs="Times New Roman"/>
      <w:sz w:val="20"/>
      <w:szCs w:val="20"/>
      <w:lang w:eastAsia="lv-LV"/>
    </w:rPr>
  </w:style>
  <w:style w:type="character" w:styleId="Strong">
    <w:name w:val="Strong"/>
    <w:basedOn w:val="DefaultParagraphFont"/>
    <w:qFormat/>
    <w:rsid w:val="00F46AD9"/>
    <w:rPr>
      <w:b/>
      <w:bCs/>
    </w:rPr>
  </w:style>
  <w:style w:type="paragraph" w:styleId="Header">
    <w:name w:val="header"/>
    <w:basedOn w:val="Normal"/>
    <w:link w:val="HeaderChar"/>
    <w:uiPriority w:val="99"/>
    <w:unhideWhenUsed/>
    <w:rsid w:val="007A42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2C7"/>
  </w:style>
  <w:style w:type="paragraph" w:styleId="Footer">
    <w:name w:val="footer"/>
    <w:basedOn w:val="Normal"/>
    <w:link w:val="FooterChar"/>
    <w:uiPriority w:val="99"/>
    <w:semiHidden/>
    <w:unhideWhenUsed/>
    <w:rsid w:val="007A42C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A42C7"/>
  </w:style>
  <w:style w:type="character" w:customStyle="1" w:styleId="Heading3Char">
    <w:name w:val="Heading 3 Char"/>
    <w:basedOn w:val="DefaultParagraphFont"/>
    <w:link w:val="Heading3"/>
    <w:uiPriority w:val="9"/>
    <w:semiHidden/>
    <w:rsid w:val="006C6C7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F52FF"/>
    <w:rPr>
      <w:sz w:val="16"/>
      <w:szCs w:val="16"/>
    </w:rPr>
  </w:style>
  <w:style w:type="paragraph" w:styleId="CommentText">
    <w:name w:val="annotation text"/>
    <w:basedOn w:val="Normal"/>
    <w:link w:val="CommentTextChar"/>
    <w:uiPriority w:val="99"/>
    <w:semiHidden/>
    <w:unhideWhenUsed/>
    <w:rsid w:val="005F52FF"/>
    <w:pPr>
      <w:spacing w:line="240" w:lineRule="auto"/>
    </w:pPr>
    <w:rPr>
      <w:sz w:val="20"/>
      <w:szCs w:val="20"/>
    </w:rPr>
  </w:style>
  <w:style w:type="character" w:customStyle="1" w:styleId="CommentTextChar">
    <w:name w:val="Comment Text Char"/>
    <w:basedOn w:val="DefaultParagraphFont"/>
    <w:link w:val="CommentText"/>
    <w:uiPriority w:val="99"/>
    <w:semiHidden/>
    <w:rsid w:val="005F52FF"/>
    <w:rPr>
      <w:sz w:val="20"/>
      <w:szCs w:val="20"/>
    </w:rPr>
  </w:style>
  <w:style w:type="paragraph" w:styleId="CommentSubject">
    <w:name w:val="annotation subject"/>
    <w:basedOn w:val="CommentText"/>
    <w:next w:val="CommentText"/>
    <w:link w:val="CommentSubjectChar"/>
    <w:uiPriority w:val="99"/>
    <w:semiHidden/>
    <w:unhideWhenUsed/>
    <w:rsid w:val="005F52FF"/>
    <w:rPr>
      <w:b/>
      <w:bCs/>
    </w:rPr>
  </w:style>
  <w:style w:type="character" w:customStyle="1" w:styleId="CommentSubjectChar">
    <w:name w:val="Comment Subject Char"/>
    <w:basedOn w:val="CommentTextChar"/>
    <w:link w:val="CommentSubject"/>
    <w:uiPriority w:val="99"/>
    <w:semiHidden/>
    <w:rsid w:val="005F52FF"/>
    <w:rPr>
      <w:b/>
      <w:bCs/>
    </w:rPr>
  </w:style>
  <w:style w:type="paragraph" w:styleId="BalloonText">
    <w:name w:val="Balloon Text"/>
    <w:basedOn w:val="Normal"/>
    <w:link w:val="BalloonTextChar"/>
    <w:uiPriority w:val="99"/>
    <w:semiHidden/>
    <w:unhideWhenUsed/>
    <w:rsid w:val="005F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FF"/>
    <w:rPr>
      <w:rFonts w:ascii="Tahoma" w:hAnsi="Tahoma" w:cs="Tahoma"/>
      <w:sz w:val="16"/>
      <w:szCs w:val="16"/>
    </w:rPr>
  </w:style>
  <w:style w:type="paragraph" w:styleId="EnvelopeReturn">
    <w:name w:val="envelope return"/>
    <w:basedOn w:val="Normal"/>
    <w:semiHidden/>
    <w:unhideWhenUsed/>
    <w:rsid w:val="00F045EB"/>
    <w:pPr>
      <w:keepLines/>
      <w:widowControl w:val="0"/>
      <w:spacing w:before="600" w:after="0" w:line="240" w:lineRule="auto"/>
    </w:pPr>
    <w:rPr>
      <w:rFonts w:ascii="Times New Roman" w:eastAsia="Times New Roman" w:hAnsi="Times New Roman" w:cs="Times New Roman"/>
      <w:sz w:val="26"/>
      <w:szCs w:val="20"/>
      <w:lang w:val="en-AU"/>
    </w:rPr>
  </w:style>
  <w:style w:type="paragraph" w:styleId="Signature">
    <w:name w:val="Signature"/>
    <w:basedOn w:val="Normal"/>
    <w:next w:val="EnvelopeReturn"/>
    <w:link w:val="SignatureChar"/>
    <w:semiHidden/>
    <w:unhideWhenUsed/>
    <w:rsid w:val="00F045EB"/>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semiHidden/>
    <w:rsid w:val="00F045EB"/>
    <w:rPr>
      <w:rFonts w:ascii="Times New Roman" w:eastAsia="Times New Roman" w:hAnsi="Times New Roman" w:cs="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276060255">
      <w:bodyDiv w:val="1"/>
      <w:marLeft w:val="0"/>
      <w:marRight w:val="0"/>
      <w:marTop w:val="0"/>
      <w:marBottom w:val="0"/>
      <w:divBdr>
        <w:top w:val="none" w:sz="0" w:space="0" w:color="auto"/>
        <w:left w:val="none" w:sz="0" w:space="0" w:color="auto"/>
        <w:bottom w:val="none" w:sz="0" w:space="0" w:color="auto"/>
        <w:right w:val="none" w:sz="0" w:space="0" w:color="auto"/>
      </w:divBdr>
    </w:div>
    <w:div w:id="7283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7R12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nais.lv/naiser/esdoc.cfm?esid=32002R1407"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nais.lv/naiser/esdoc.cfm?esid=32000R010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is.Krumins@e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1566</Words>
  <Characters>9759</Characters>
  <Application>Microsoft Office Word</Application>
  <DocSecurity>0</DocSecurity>
  <Lines>295</Lines>
  <Paragraphs>121</Paragraphs>
  <ScaleCrop>false</ScaleCrop>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2.1.2.4.aktivitātes „Augstas pievienotās vērtības investīcijas” projektu iesniegumu atlases otro un turpmākajām kārtām</dc:title>
  <dc:subject>3.pielikums</dc:subject>
  <dc:creator>Māris Krūmiņš</dc:creator>
  <dc:description>Maris.Krumins@em.gov.lv, 67013082</dc:description>
  <cp:lastModifiedBy>kruminsM</cp:lastModifiedBy>
  <cp:revision>22</cp:revision>
  <cp:lastPrinted>2011-08-08T10:18:00Z</cp:lastPrinted>
  <dcterms:created xsi:type="dcterms:W3CDTF">2011-08-05T06:21:00Z</dcterms:created>
  <dcterms:modified xsi:type="dcterms:W3CDTF">2011-10-13T07:59:00Z</dcterms:modified>
</cp:coreProperties>
</file>