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rawings/drawing1.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2.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drawings/drawing3.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27" w:rsidRPr="00DB6391" w:rsidRDefault="00DB6391" w:rsidP="00D3638E">
      <w:pPr>
        <w:jc w:val="center"/>
        <w:rPr>
          <w:b/>
          <w:sz w:val="32"/>
          <w:szCs w:val="32"/>
        </w:rPr>
      </w:pPr>
      <w:r w:rsidRPr="00DB6391">
        <w:rPr>
          <w:b/>
          <w:sz w:val="32"/>
          <w:szCs w:val="32"/>
        </w:rPr>
        <w:t xml:space="preserve">5.pielikums. </w:t>
      </w:r>
      <w:r w:rsidR="00D3638E" w:rsidRPr="00DB6391">
        <w:rPr>
          <w:b/>
          <w:sz w:val="32"/>
          <w:szCs w:val="32"/>
        </w:rPr>
        <w:t>Apstrādes rūpniecības raksturojums</w:t>
      </w:r>
    </w:p>
    <w:p w:rsidR="00D3638E" w:rsidRDefault="00D3638E" w:rsidP="00E85D27">
      <w:pPr>
        <w:pStyle w:val="BodyTextIndent2"/>
        <w:ind w:firstLine="0"/>
        <w:jc w:val="center"/>
        <w:rPr>
          <w:rFonts w:ascii="Garamond" w:hAnsi="Garamond"/>
          <w:b/>
          <w:sz w:val="21"/>
          <w:szCs w:val="21"/>
        </w:rPr>
      </w:pPr>
    </w:p>
    <w:p w:rsidR="007B05D2" w:rsidRPr="003A3EC5" w:rsidRDefault="003A3EC5" w:rsidP="003A3EC5">
      <w:pPr>
        <w:spacing w:after="60"/>
        <w:ind w:left="567" w:hanging="567"/>
        <w:rPr>
          <w:rFonts w:cs="Times New Roman"/>
          <w:b/>
          <w:color w:val="000000"/>
          <w:szCs w:val="26"/>
        </w:rPr>
      </w:pPr>
      <w:r w:rsidRPr="003A3EC5">
        <w:rPr>
          <w:rFonts w:cs="Times New Roman"/>
          <w:b/>
          <w:color w:val="000000"/>
          <w:szCs w:val="26"/>
        </w:rPr>
        <w:t>1.</w:t>
      </w:r>
      <w:r>
        <w:rPr>
          <w:rFonts w:cs="Times New Roman"/>
          <w:b/>
          <w:color w:val="000000"/>
          <w:szCs w:val="26"/>
        </w:rPr>
        <w:t xml:space="preserve"> </w:t>
      </w:r>
      <w:r w:rsidR="007B05D2" w:rsidRPr="003A3EC5">
        <w:rPr>
          <w:rFonts w:cs="Times New Roman"/>
          <w:b/>
          <w:color w:val="000000"/>
          <w:szCs w:val="26"/>
        </w:rPr>
        <w:t>Latvijas apstrādes rūpniecības attīstības tendences</w:t>
      </w:r>
    </w:p>
    <w:p w:rsidR="00CA7E4D" w:rsidRPr="003A3EC5" w:rsidRDefault="00CA7E4D" w:rsidP="00EE594B">
      <w:pPr>
        <w:ind w:firstLine="426"/>
        <w:jc w:val="both"/>
        <w:rPr>
          <w:rFonts w:cs="Times New Roman"/>
          <w:color w:val="000000"/>
          <w:szCs w:val="28"/>
        </w:rPr>
      </w:pPr>
      <w:r w:rsidRPr="003A3EC5">
        <w:rPr>
          <w:rFonts w:cs="Times New Roman"/>
          <w:color w:val="000000"/>
          <w:szCs w:val="28"/>
        </w:rPr>
        <w:t>Krīzes ietekmē, ievērojami sarūkot gan iekšējam, gan ārējam pieprasījumam, apstrādes rūpniecības produkcijas apjomi ievērojami saruka un vidēji 2009. gadā tie bija par ¼ daļu mazāki nekā pirms krīzes – 2007. gadā. Latvijas rūpniecības konkurētspēja lielā mērā balstās uz relatīvi lētu darbaspēku un zemām vispārējām izmaksām. 2006. un 2007. gadā darbaspēka izmaksu un cenu pieauguma dēļ šīs priekšrocības lielā mērā tika zaudētas. Turpretim krīzes laikā kopējais algu līmenis un cenas iekšējā tirgū samazinājās, kas uzlaboja Latvijas ražotāju konkurētspēju.</w:t>
      </w:r>
    </w:p>
    <w:p w:rsidR="00A52A6F" w:rsidRPr="003A3EC5" w:rsidRDefault="00A52A6F" w:rsidP="00EE594B">
      <w:pPr>
        <w:ind w:firstLine="426"/>
        <w:jc w:val="both"/>
        <w:rPr>
          <w:rFonts w:cs="Times New Roman"/>
          <w:color w:val="000000"/>
          <w:szCs w:val="28"/>
        </w:rPr>
      </w:pPr>
      <w:r w:rsidRPr="003A3EC5">
        <w:rPr>
          <w:rFonts w:cs="Times New Roman"/>
          <w:color w:val="000000"/>
          <w:szCs w:val="28"/>
        </w:rPr>
        <w:t xml:space="preserve">Krīzes laikā, samazinoties kopējam algu līmenim un cenām iekšējā tirgū, uzlabojās Latvijas ražotāju konkurētspēja, kas bija pamats eksporta pieaugumam un līdz ar to arī </w:t>
      </w:r>
      <w:r w:rsidR="00CA7E4D" w:rsidRPr="003A3EC5">
        <w:rPr>
          <w:rFonts w:cs="Times New Roman"/>
          <w:color w:val="000000"/>
          <w:szCs w:val="28"/>
        </w:rPr>
        <w:t>apstrādes rūpniecības</w:t>
      </w:r>
      <w:r w:rsidRPr="003A3EC5">
        <w:rPr>
          <w:rFonts w:cs="Times New Roman"/>
          <w:color w:val="000000"/>
          <w:szCs w:val="28"/>
        </w:rPr>
        <w:t xml:space="preserve"> attīstībai.</w:t>
      </w:r>
    </w:p>
    <w:p w:rsidR="00EB46D6" w:rsidRPr="003A3EC5" w:rsidRDefault="00A91869" w:rsidP="00A91869">
      <w:pPr>
        <w:pStyle w:val="BodyTextIndent2"/>
        <w:ind w:firstLine="0"/>
        <w:jc w:val="right"/>
        <w:rPr>
          <w:sz w:val="28"/>
          <w:szCs w:val="28"/>
        </w:rPr>
      </w:pPr>
      <w:r w:rsidRPr="003A3EC5">
        <w:rPr>
          <w:sz w:val="28"/>
          <w:szCs w:val="28"/>
        </w:rPr>
        <w:t>1.attēls</w:t>
      </w:r>
    </w:p>
    <w:p w:rsidR="00E85D27" w:rsidRPr="00CA7E4D" w:rsidRDefault="002670BB" w:rsidP="002670BB">
      <w:pPr>
        <w:pStyle w:val="Heading2"/>
        <w:spacing w:after="120"/>
        <w:jc w:val="center"/>
        <w:rPr>
          <w:rFonts w:cs="Times New Roman"/>
          <w:b w:val="0"/>
          <w:sz w:val="26"/>
        </w:rPr>
      </w:pPr>
      <w:r w:rsidRPr="00164AC2">
        <w:rPr>
          <w:rFonts w:cs="Times New Roman"/>
          <w:sz w:val="28"/>
          <w:szCs w:val="28"/>
        </w:rPr>
        <w:t>Nozares īpatsvars, ražošanas apjomu izmaiņas un eksporta īpatsvars realizācijā</w:t>
      </w:r>
      <w:r w:rsidR="00DB6391">
        <w:rPr>
          <w:rStyle w:val="FootnoteReference"/>
          <w:rFonts w:cs="Times New Roman"/>
          <w:b w:val="0"/>
          <w:sz w:val="26"/>
        </w:rPr>
        <w:footnoteReference w:id="1"/>
      </w:r>
    </w:p>
    <w:p w:rsidR="002D2168" w:rsidRDefault="00263630" w:rsidP="00A91869">
      <w:r w:rsidRPr="00467CBC">
        <w:rPr>
          <w:rFonts w:ascii="Garamond" w:hAnsi="Garamond"/>
          <w:noProof/>
          <w:sz w:val="21"/>
          <w:szCs w:val="21"/>
          <w:lang w:eastAsia="lv-LV"/>
        </w:rPr>
        <w:drawing>
          <wp:inline distT="0" distB="0" distL="0" distR="0" wp14:anchorId="1907A05F" wp14:editId="54A01382">
            <wp:extent cx="5838825" cy="30480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1869" w:rsidRDefault="00A91869" w:rsidP="00A91869">
      <w:r>
        <w:t> </w:t>
      </w:r>
    </w:p>
    <w:p w:rsidR="009D516C" w:rsidRPr="003A3EC5" w:rsidRDefault="009D516C" w:rsidP="00EE594B">
      <w:pPr>
        <w:ind w:firstLine="426"/>
        <w:jc w:val="both"/>
        <w:rPr>
          <w:rFonts w:cs="Times New Roman"/>
          <w:color w:val="000000"/>
          <w:szCs w:val="28"/>
        </w:rPr>
      </w:pPr>
      <w:r w:rsidRPr="003A3EC5">
        <w:rPr>
          <w:rFonts w:cs="Times New Roman"/>
          <w:color w:val="000000"/>
          <w:szCs w:val="28"/>
        </w:rPr>
        <w:t>Kopš 2009. gada otrās puses ražošanas apjomi apstrādes rūpniecībā pieaug. Atjaunojoties ekonomikas izaugsmei, apstrādes rūpniecības pieauguma tempi bija krietni straujāki nekā kopējā tautsaimniecības izaugsme. Apstrādes rūpniecība paš</w:t>
      </w:r>
      <w:r w:rsidR="00CA7E4D" w:rsidRPr="003A3EC5">
        <w:rPr>
          <w:rFonts w:cs="Times New Roman"/>
          <w:color w:val="000000"/>
          <w:szCs w:val="28"/>
        </w:rPr>
        <w:t xml:space="preserve">laik </w:t>
      </w:r>
      <w:r w:rsidRPr="003A3EC5">
        <w:rPr>
          <w:rFonts w:cs="Times New Roman"/>
          <w:color w:val="000000"/>
          <w:szCs w:val="28"/>
        </w:rPr>
        <w:t xml:space="preserve"> ir galvenais tautsaimniecības izaugsmes virzītājs.</w:t>
      </w:r>
    </w:p>
    <w:p w:rsidR="009D516C" w:rsidRPr="003A3EC5" w:rsidRDefault="00CA7E4D" w:rsidP="00EE594B">
      <w:pPr>
        <w:ind w:firstLine="426"/>
        <w:jc w:val="both"/>
        <w:rPr>
          <w:rFonts w:cs="Times New Roman"/>
          <w:color w:val="000000"/>
          <w:szCs w:val="28"/>
        </w:rPr>
      </w:pPr>
      <w:r w:rsidRPr="003A3EC5">
        <w:rPr>
          <w:rFonts w:cs="Times New Roman"/>
          <w:color w:val="000000"/>
          <w:szCs w:val="28"/>
        </w:rPr>
        <w:t>Gan 2011.</w:t>
      </w:r>
      <w:r w:rsidR="00F33123">
        <w:rPr>
          <w:rFonts w:cs="Times New Roman"/>
          <w:color w:val="000000"/>
          <w:szCs w:val="28"/>
        </w:rPr>
        <w:t>gadā</w:t>
      </w:r>
      <w:r w:rsidRPr="003A3EC5">
        <w:rPr>
          <w:rFonts w:cs="Times New Roman"/>
          <w:color w:val="000000"/>
          <w:szCs w:val="28"/>
        </w:rPr>
        <w:t xml:space="preserve">, gan 2012. gadā apstrādes rūpniecībā saglabājās stabila izaugsme. </w:t>
      </w:r>
      <w:r w:rsidR="009D516C" w:rsidRPr="003A3EC5">
        <w:rPr>
          <w:rFonts w:cs="Times New Roman"/>
          <w:color w:val="000000"/>
          <w:szCs w:val="28"/>
        </w:rPr>
        <w:t xml:space="preserve">Neraugoties uz saspringto ekonomisko situāciju un pat vērojamo </w:t>
      </w:r>
      <w:proofErr w:type="spellStart"/>
      <w:r w:rsidR="009D516C" w:rsidRPr="003A3EC5">
        <w:rPr>
          <w:rFonts w:cs="Times New Roman"/>
          <w:color w:val="000000"/>
          <w:szCs w:val="28"/>
        </w:rPr>
        <w:t>recesiju</w:t>
      </w:r>
      <w:proofErr w:type="spellEnd"/>
      <w:r w:rsidR="009D516C" w:rsidRPr="003A3EC5">
        <w:rPr>
          <w:rFonts w:cs="Times New Roman"/>
          <w:color w:val="000000"/>
          <w:szCs w:val="28"/>
        </w:rPr>
        <w:t xml:space="preserve"> vairākās ES valstīs, Latvijas apstrādes rūpniecība bija noturīga pret ārējās vides satricinājumiem. </w:t>
      </w:r>
      <w:r w:rsidRPr="003A3EC5">
        <w:rPr>
          <w:rFonts w:cs="Times New Roman"/>
          <w:color w:val="000000"/>
          <w:szCs w:val="28"/>
        </w:rPr>
        <w:t>2012.gadā apstrādes rūpniecībā saražotās produkcijas apjomi bija par 6,3% lie</w:t>
      </w:r>
      <w:r w:rsidR="007B05D2" w:rsidRPr="003A3EC5">
        <w:rPr>
          <w:rFonts w:cs="Times New Roman"/>
          <w:color w:val="000000"/>
          <w:szCs w:val="28"/>
        </w:rPr>
        <w:t>l</w:t>
      </w:r>
      <w:r w:rsidRPr="003A3EC5">
        <w:rPr>
          <w:rFonts w:cs="Times New Roman"/>
          <w:color w:val="000000"/>
          <w:szCs w:val="28"/>
        </w:rPr>
        <w:t>āki nekā pirms krīzes 2007.gadā.</w:t>
      </w:r>
    </w:p>
    <w:p w:rsidR="00A52A6F" w:rsidRPr="003A3EC5" w:rsidRDefault="00CA7E4D" w:rsidP="00CA7E4D">
      <w:pPr>
        <w:jc w:val="right"/>
        <w:rPr>
          <w:szCs w:val="28"/>
        </w:rPr>
      </w:pPr>
      <w:r w:rsidRPr="003A3EC5">
        <w:rPr>
          <w:szCs w:val="28"/>
        </w:rPr>
        <w:lastRenderedPageBreak/>
        <w:t>2.attēls</w:t>
      </w:r>
    </w:p>
    <w:p w:rsidR="002670BB" w:rsidRDefault="002670BB" w:rsidP="002670BB">
      <w:pPr>
        <w:jc w:val="center"/>
        <w:rPr>
          <w:szCs w:val="28"/>
        </w:rPr>
      </w:pPr>
      <w:r w:rsidRPr="003A3EC5">
        <w:rPr>
          <w:b/>
          <w:szCs w:val="28"/>
        </w:rPr>
        <w:t xml:space="preserve">Ražošanas apjomu </w:t>
      </w:r>
      <w:r w:rsidR="00C22FFE">
        <w:rPr>
          <w:b/>
          <w:szCs w:val="28"/>
        </w:rPr>
        <w:t xml:space="preserve">un darba vietu skaita </w:t>
      </w:r>
      <w:r w:rsidRPr="003A3EC5">
        <w:rPr>
          <w:b/>
          <w:szCs w:val="28"/>
        </w:rPr>
        <w:t>izmaiņas apstrādes rūpniecības apakšnozarēs</w:t>
      </w:r>
      <w:r w:rsidR="00C22FFE">
        <w:rPr>
          <w:b/>
          <w:szCs w:val="28"/>
        </w:rPr>
        <w:t xml:space="preserve"> </w:t>
      </w:r>
      <w:r w:rsidRPr="003A3EC5">
        <w:rPr>
          <w:szCs w:val="28"/>
        </w:rPr>
        <w:t>2005.gads = 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C22FFE" w:rsidTr="00C22FFE">
        <w:tc>
          <w:tcPr>
            <w:tcW w:w="3095" w:type="dxa"/>
            <w:vAlign w:val="center"/>
          </w:tcPr>
          <w:p w:rsidR="00C22FFE" w:rsidRPr="00D67686" w:rsidRDefault="00C22FFE" w:rsidP="00C22FFE">
            <w:pPr>
              <w:spacing w:before="120"/>
              <w:jc w:val="center"/>
              <w:rPr>
                <w:sz w:val="18"/>
                <w:szCs w:val="18"/>
              </w:rPr>
            </w:pPr>
            <w:r w:rsidRPr="000F1ABC">
              <w:rPr>
                <w:color w:val="000000"/>
                <w:sz w:val="22"/>
              </w:rPr>
              <w:t>Pārtikas rūpniecība</w:t>
            </w:r>
          </w:p>
        </w:tc>
        <w:tc>
          <w:tcPr>
            <w:tcW w:w="3096" w:type="dxa"/>
            <w:vAlign w:val="center"/>
          </w:tcPr>
          <w:p w:rsidR="00C22FFE" w:rsidRPr="00D67686" w:rsidRDefault="00C22FFE" w:rsidP="00C22FFE">
            <w:pPr>
              <w:spacing w:before="120"/>
              <w:jc w:val="center"/>
              <w:rPr>
                <w:sz w:val="18"/>
                <w:szCs w:val="18"/>
              </w:rPr>
            </w:pPr>
            <w:r w:rsidRPr="000F1ABC">
              <w:rPr>
                <w:color w:val="000000"/>
                <w:sz w:val="22"/>
              </w:rPr>
              <w:t>Vieglā rūpniecība</w:t>
            </w:r>
          </w:p>
        </w:tc>
        <w:tc>
          <w:tcPr>
            <w:tcW w:w="3096" w:type="dxa"/>
            <w:vAlign w:val="center"/>
          </w:tcPr>
          <w:p w:rsidR="00C22FFE" w:rsidRDefault="00C22FFE" w:rsidP="00C22FFE">
            <w:pPr>
              <w:spacing w:before="120"/>
              <w:jc w:val="center"/>
              <w:rPr>
                <w:color w:val="000000"/>
                <w:sz w:val="22"/>
              </w:rPr>
            </w:pPr>
            <w:r w:rsidRPr="000F1ABC">
              <w:rPr>
                <w:color w:val="000000"/>
                <w:sz w:val="22"/>
              </w:rPr>
              <w:t>Kokapstrāde</w:t>
            </w:r>
          </w:p>
        </w:tc>
      </w:tr>
      <w:tr w:rsidR="00C22FFE" w:rsidTr="00C22FFE">
        <w:tc>
          <w:tcPr>
            <w:tcW w:w="3095" w:type="dxa"/>
            <w:vAlign w:val="center"/>
          </w:tcPr>
          <w:p w:rsidR="00C22FFE" w:rsidRPr="00D67686" w:rsidRDefault="00C22FFE" w:rsidP="00C22FFE">
            <w:pPr>
              <w:spacing w:after="20"/>
              <w:jc w:val="center"/>
              <w:rPr>
                <w:sz w:val="18"/>
                <w:szCs w:val="18"/>
              </w:rPr>
            </w:pPr>
            <w:r w:rsidRPr="0058369E">
              <w:rPr>
                <w:noProof/>
                <w:sz w:val="18"/>
                <w:szCs w:val="18"/>
              </w:rPr>
              <w:drawing>
                <wp:inline distT="0" distB="0" distL="0" distR="0" wp14:anchorId="132C796F" wp14:editId="2C3B6447">
                  <wp:extent cx="1808329" cy="1221475"/>
                  <wp:effectExtent l="0" t="0" r="1905" b="0"/>
                  <wp:docPr id="23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096" w:type="dxa"/>
            <w:vAlign w:val="center"/>
          </w:tcPr>
          <w:p w:rsidR="00C22FFE" w:rsidRPr="00D67686" w:rsidRDefault="00C22FFE" w:rsidP="00C22FFE">
            <w:pPr>
              <w:spacing w:after="20"/>
              <w:jc w:val="center"/>
              <w:rPr>
                <w:sz w:val="18"/>
                <w:szCs w:val="18"/>
              </w:rPr>
            </w:pPr>
            <w:r w:rsidRPr="0058369E">
              <w:rPr>
                <w:noProof/>
                <w:sz w:val="18"/>
                <w:szCs w:val="18"/>
              </w:rPr>
              <w:drawing>
                <wp:inline distT="0" distB="0" distL="0" distR="0" wp14:anchorId="7D82C02C" wp14:editId="1C1343A9">
                  <wp:extent cx="1808329" cy="1221475"/>
                  <wp:effectExtent l="0" t="0" r="1905" b="0"/>
                  <wp:docPr id="1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096" w:type="dxa"/>
            <w:vAlign w:val="center"/>
          </w:tcPr>
          <w:p w:rsidR="00C22FFE" w:rsidRDefault="00C22FFE" w:rsidP="00C22FFE">
            <w:pPr>
              <w:spacing w:after="20"/>
              <w:jc w:val="center"/>
              <w:rPr>
                <w:color w:val="000000"/>
                <w:sz w:val="22"/>
              </w:rPr>
            </w:pPr>
            <w:r w:rsidRPr="0058369E">
              <w:rPr>
                <w:noProof/>
                <w:sz w:val="18"/>
                <w:szCs w:val="18"/>
              </w:rPr>
              <w:drawing>
                <wp:inline distT="0" distB="0" distL="0" distR="0" wp14:anchorId="2A175E9F" wp14:editId="5D95C464">
                  <wp:extent cx="1808329" cy="1221475"/>
                  <wp:effectExtent l="0" t="0" r="1905" b="0"/>
                  <wp:docPr id="1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22FFE" w:rsidRPr="008A4860" w:rsidTr="00C22FFE">
        <w:tc>
          <w:tcPr>
            <w:tcW w:w="3095" w:type="dxa"/>
            <w:vAlign w:val="center"/>
          </w:tcPr>
          <w:p w:rsidR="00C22FFE" w:rsidRPr="008A4860" w:rsidRDefault="00C22FFE" w:rsidP="00C22FFE">
            <w:pPr>
              <w:spacing w:before="120"/>
              <w:jc w:val="center"/>
              <w:rPr>
                <w:color w:val="000000"/>
                <w:sz w:val="22"/>
              </w:rPr>
            </w:pPr>
            <w:r w:rsidRPr="000F1ABC">
              <w:rPr>
                <w:color w:val="000000"/>
                <w:sz w:val="22"/>
              </w:rPr>
              <w:t>Papīra ražošana un poligrāfija</w:t>
            </w:r>
          </w:p>
        </w:tc>
        <w:tc>
          <w:tcPr>
            <w:tcW w:w="3096" w:type="dxa"/>
            <w:vAlign w:val="center"/>
          </w:tcPr>
          <w:p w:rsidR="00C22FFE" w:rsidRPr="008A4860" w:rsidRDefault="00C22FFE" w:rsidP="00C22FFE">
            <w:pPr>
              <w:spacing w:before="120"/>
              <w:jc w:val="center"/>
              <w:rPr>
                <w:color w:val="000000"/>
                <w:sz w:val="22"/>
              </w:rPr>
            </w:pPr>
            <w:r w:rsidRPr="000F1ABC">
              <w:rPr>
                <w:color w:val="000000"/>
                <w:sz w:val="22"/>
              </w:rPr>
              <w:t>Ķīmiskā rūpniecība</w:t>
            </w:r>
          </w:p>
        </w:tc>
        <w:tc>
          <w:tcPr>
            <w:tcW w:w="3096" w:type="dxa"/>
            <w:vAlign w:val="center"/>
          </w:tcPr>
          <w:p w:rsidR="00C22FFE" w:rsidRDefault="00C22FFE" w:rsidP="00C22FFE">
            <w:pPr>
              <w:spacing w:before="120"/>
              <w:jc w:val="center"/>
              <w:rPr>
                <w:color w:val="000000"/>
                <w:sz w:val="22"/>
              </w:rPr>
            </w:pPr>
            <w:r w:rsidRPr="000F1ABC">
              <w:rPr>
                <w:color w:val="000000"/>
                <w:sz w:val="22"/>
              </w:rPr>
              <w:t>Nemetālisko minerālu ražošana</w:t>
            </w:r>
          </w:p>
        </w:tc>
      </w:tr>
      <w:tr w:rsidR="00C22FFE" w:rsidTr="00C22FFE">
        <w:tc>
          <w:tcPr>
            <w:tcW w:w="3095" w:type="dxa"/>
            <w:vAlign w:val="center"/>
          </w:tcPr>
          <w:p w:rsidR="00C22FFE" w:rsidRPr="00D67686" w:rsidRDefault="00C22FFE" w:rsidP="00C22FFE">
            <w:pPr>
              <w:spacing w:after="20"/>
              <w:jc w:val="center"/>
              <w:rPr>
                <w:sz w:val="18"/>
                <w:szCs w:val="18"/>
              </w:rPr>
            </w:pPr>
            <w:r w:rsidRPr="0058369E">
              <w:rPr>
                <w:noProof/>
                <w:sz w:val="18"/>
                <w:szCs w:val="18"/>
              </w:rPr>
              <w:drawing>
                <wp:inline distT="0" distB="0" distL="0" distR="0" wp14:anchorId="7BBCF25C" wp14:editId="1AAAAEC2">
                  <wp:extent cx="1808329" cy="1221475"/>
                  <wp:effectExtent l="0" t="0" r="1905" b="0"/>
                  <wp:docPr id="1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3096" w:type="dxa"/>
            <w:vAlign w:val="center"/>
          </w:tcPr>
          <w:p w:rsidR="00C22FFE" w:rsidRPr="00D67686" w:rsidRDefault="00C22FFE" w:rsidP="00C22FFE">
            <w:pPr>
              <w:spacing w:after="20"/>
              <w:jc w:val="center"/>
              <w:rPr>
                <w:sz w:val="18"/>
                <w:szCs w:val="18"/>
              </w:rPr>
            </w:pPr>
            <w:r w:rsidRPr="0058369E">
              <w:rPr>
                <w:noProof/>
                <w:sz w:val="18"/>
                <w:szCs w:val="18"/>
              </w:rPr>
              <w:drawing>
                <wp:inline distT="0" distB="0" distL="0" distR="0" wp14:anchorId="20FEFB35" wp14:editId="70F7D29A">
                  <wp:extent cx="1808329" cy="1221475"/>
                  <wp:effectExtent l="0" t="0" r="1905" b="0"/>
                  <wp:docPr id="1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096" w:type="dxa"/>
            <w:vAlign w:val="center"/>
          </w:tcPr>
          <w:p w:rsidR="00C22FFE" w:rsidRDefault="00C22FFE" w:rsidP="00C22FFE">
            <w:pPr>
              <w:spacing w:after="20"/>
              <w:jc w:val="center"/>
              <w:rPr>
                <w:color w:val="000000"/>
                <w:sz w:val="22"/>
              </w:rPr>
            </w:pPr>
            <w:r w:rsidRPr="0058369E">
              <w:rPr>
                <w:noProof/>
                <w:sz w:val="18"/>
                <w:szCs w:val="18"/>
              </w:rPr>
              <w:drawing>
                <wp:inline distT="0" distB="0" distL="0" distR="0" wp14:anchorId="6E57608B" wp14:editId="291FA56A">
                  <wp:extent cx="1808329" cy="1221475"/>
                  <wp:effectExtent l="0" t="0" r="1905" b="0"/>
                  <wp:docPr id="1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22FFE" w:rsidRPr="008A4860" w:rsidTr="00C22FFE">
        <w:tc>
          <w:tcPr>
            <w:tcW w:w="3095" w:type="dxa"/>
            <w:vAlign w:val="bottom"/>
          </w:tcPr>
          <w:p w:rsidR="00C22FFE" w:rsidRPr="008A4860" w:rsidRDefault="00C22FFE" w:rsidP="00C22FFE">
            <w:pPr>
              <w:spacing w:before="120"/>
              <w:jc w:val="center"/>
              <w:rPr>
                <w:color w:val="000000"/>
                <w:sz w:val="22"/>
              </w:rPr>
            </w:pPr>
            <w:r w:rsidRPr="000F1ABC">
              <w:rPr>
                <w:color w:val="000000"/>
                <w:sz w:val="22"/>
              </w:rPr>
              <w:t>Metāl</w:t>
            </w:r>
            <w:r>
              <w:rPr>
                <w:color w:val="000000"/>
                <w:sz w:val="22"/>
              </w:rPr>
              <w:t>apstrāde</w:t>
            </w:r>
          </w:p>
        </w:tc>
        <w:tc>
          <w:tcPr>
            <w:tcW w:w="3096" w:type="dxa"/>
            <w:vAlign w:val="bottom"/>
          </w:tcPr>
          <w:p w:rsidR="00C22FFE" w:rsidRPr="008A4860" w:rsidRDefault="00C22FFE" w:rsidP="00C22FFE">
            <w:pPr>
              <w:spacing w:before="120"/>
              <w:jc w:val="center"/>
              <w:rPr>
                <w:color w:val="000000"/>
                <w:sz w:val="22"/>
              </w:rPr>
            </w:pPr>
            <w:r>
              <w:rPr>
                <w:color w:val="000000"/>
                <w:sz w:val="22"/>
              </w:rPr>
              <w:t>Elektrisko</w:t>
            </w:r>
            <w:r w:rsidRPr="000F1ABC">
              <w:rPr>
                <w:color w:val="000000"/>
                <w:sz w:val="22"/>
              </w:rPr>
              <w:t xml:space="preserve"> ierīču ražošana</w:t>
            </w:r>
          </w:p>
        </w:tc>
        <w:tc>
          <w:tcPr>
            <w:tcW w:w="3096" w:type="dxa"/>
            <w:vAlign w:val="bottom"/>
          </w:tcPr>
          <w:p w:rsidR="00C22FFE" w:rsidRDefault="00C22FFE" w:rsidP="00C22FFE">
            <w:pPr>
              <w:spacing w:before="120"/>
              <w:jc w:val="center"/>
              <w:rPr>
                <w:color w:val="000000"/>
                <w:sz w:val="22"/>
              </w:rPr>
            </w:pPr>
            <w:r w:rsidRPr="000F1ABC">
              <w:rPr>
                <w:color w:val="000000"/>
                <w:sz w:val="22"/>
              </w:rPr>
              <w:t>Mašīnu un iekārtu ražošana</w:t>
            </w:r>
          </w:p>
        </w:tc>
      </w:tr>
      <w:tr w:rsidR="00C22FFE" w:rsidTr="00C22FFE">
        <w:tc>
          <w:tcPr>
            <w:tcW w:w="3095" w:type="dxa"/>
            <w:vAlign w:val="center"/>
          </w:tcPr>
          <w:p w:rsidR="00C22FFE" w:rsidRPr="00D67686" w:rsidRDefault="00C22FFE" w:rsidP="00C22FFE">
            <w:pPr>
              <w:spacing w:after="20"/>
              <w:jc w:val="center"/>
              <w:rPr>
                <w:sz w:val="18"/>
                <w:szCs w:val="18"/>
              </w:rPr>
            </w:pPr>
            <w:r w:rsidRPr="0058369E">
              <w:rPr>
                <w:noProof/>
                <w:sz w:val="18"/>
                <w:szCs w:val="18"/>
              </w:rPr>
              <w:drawing>
                <wp:inline distT="0" distB="0" distL="0" distR="0" wp14:anchorId="08710FCD" wp14:editId="7477F0A1">
                  <wp:extent cx="1808329" cy="1221475"/>
                  <wp:effectExtent l="0" t="0" r="0" b="0"/>
                  <wp:docPr id="1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096" w:type="dxa"/>
            <w:vAlign w:val="center"/>
          </w:tcPr>
          <w:p w:rsidR="00C22FFE" w:rsidRPr="00D67686" w:rsidRDefault="00C22FFE" w:rsidP="00C22FFE">
            <w:pPr>
              <w:spacing w:after="20"/>
              <w:jc w:val="center"/>
              <w:rPr>
                <w:sz w:val="18"/>
                <w:szCs w:val="18"/>
              </w:rPr>
            </w:pPr>
            <w:r w:rsidRPr="0058369E">
              <w:rPr>
                <w:noProof/>
                <w:sz w:val="18"/>
                <w:szCs w:val="18"/>
              </w:rPr>
              <w:drawing>
                <wp:inline distT="0" distB="0" distL="0" distR="0" wp14:anchorId="3857436E" wp14:editId="06C29EDE">
                  <wp:extent cx="1808329" cy="1221475"/>
                  <wp:effectExtent l="0" t="0" r="1905" b="0"/>
                  <wp:docPr id="17"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096" w:type="dxa"/>
            <w:vAlign w:val="center"/>
          </w:tcPr>
          <w:p w:rsidR="00C22FFE" w:rsidRDefault="00C22FFE" w:rsidP="00C22FFE">
            <w:pPr>
              <w:spacing w:after="20"/>
              <w:jc w:val="center"/>
              <w:rPr>
                <w:color w:val="000000"/>
                <w:sz w:val="22"/>
              </w:rPr>
            </w:pPr>
            <w:r w:rsidRPr="0058369E">
              <w:rPr>
                <w:noProof/>
                <w:sz w:val="18"/>
                <w:szCs w:val="18"/>
              </w:rPr>
              <w:drawing>
                <wp:inline distT="0" distB="0" distL="0" distR="0" wp14:anchorId="73555E32" wp14:editId="2D0BA32B">
                  <wp:extent cx="1808329" cy="1221475"/>
                  <wp:effectExtent l="0" t="0" r="1905" b="0"/>
                  <wp:docPr id="18"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C22FFE" w:rsidRPr="008A4860" w:rsidTr="00C22FFE">
        <w:tc>
          <w:tcPr>
            <w:tcW w:w="3095" w:type="dxa"/>
            <w:vAlign w:val="center"/>
          </w:tcPr>
          <w:p w:rsidR="00C22FFE" w:rsidRPr="008A4860" w:rsidRDefault="00C22FFE" w:rsidP="00C22FFE">
            <w:pPr>
              <w:spacing w:before="120"/>
              <w:jc w:val="center"/>
              <w:rPr>
                <w:color w:val="000000"/>
                <w:sz w:val="22"/>
              </w:rPr>
            </w:pPr>
            <w:r w:rsidRPr="000F1ABC">
              <w:rPr>
                <w:color w:val="000000"/>
                <w:sz w:val="22"/>
              </w:rPr>
              <w:t>Transportlīdzekļu ražošana</w:t>
            </w:r>
          </w:p>
        </w:tc>
        <w:tc>
          <w:tcPr>
            <w:tcW w:w="3096" w:type="dxa"/>
            <w:vAlign w:val="center"/>
          </w:tcPr>
          <w:p w:rsidR="00C22FFE" w:rsidRPr="008A4860" w:rsidRDefault="00C22FFE" w:rsidP="00C22FFE">
            <w:pPr>
              <w:spacing w:before="120"/>
              <w:jc w:val="center"/>
              <w:rPr>
                <w:color w:val="000000"/>
                <w:sz w:val="22"/>
              </w:rPr>
            </w:pPr>
          </w:p>
        </w:tc>
        <w:tc>
          <w:tcPr>
            <w:tcW w:w="3096" w:type="dxa"/>
            <w:vAlign w:val="center"/>
          </w:tcPr>
          <w:p w:rsidR="00C22FFE" w:rsidRDefault="00C22FFE" w:rsidP="00C22FFE">
            <w:pPr>
              <w:spacing w:before="120"/>
              <w:jc w:val="center"/>
              <w:rPr>
                <w:color w:val="000000"/>
                <w:sz w:val="22"/>
              </w:rPr>
            </w:pPr>
          </w:p>
        </w:tc>
      </w:tr>
      <w:tr w:rsidR="00C22FFE" w:rsidTr="00C22FFE">
        <w:tc>
          <w:tcPr>
            <w:tcW w:w="3095" w:type="dxa"/>
            <w:vAlign w:val="center"/>
          </w:tcPr>
          <w:p w:rsidR="00C22FFE" w:rsidRPr="00D67686" w:rsidRDefault="00C22FFE" w:rsidP="00C22FFE">
            <w:pPr>
              <w:spacing w:after="20"/>
              <w:jc w:val="center"/>
              <w:rPr>
                <w:sz w:val="18"/>
                <w:szCs w:val="18"/>
              </w:rPr>
            </w:pPr>
            <w:r w:rsidRPr="0058369E">
              <w:rPr>
                <w:noProof/>
                <w:sz w:val="18"/>
                <w:szCs w:val="18"/>
              </w:rPr>
              <w:drawing>
                <wp:inline distT="0" distB="0" distL="0" distR="0" wp14:anchorId="359264A3" wp14:editId="4C2B95A9">
                  <wp:extent cx="1808329" cy="1221475"/>
                  <wp:effectExtent l="0" t="0" r="1905" b="0"/>
                  <wp:docPr id="19"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096" w:type="dxa"/>
            <w:vAlign w:val="center"/>
          </w:tcPr>
          <w:p w:rsidR="00C22FFE" w:rsidRPr="00D67686" w:rsidRDefault="00C22FFE" w:rsidP="00C22FFE">
            <w:pPr>
              <w:spacing w:after="20"/>
              <w:jc w:val="center"/>
              <w:rPr>
                <w:sz w:val="18"/>
                <w:szCs w:val="18"/>
              </w:rPr>
            </w:pPr>
          </w:p>
        </w:tc>
        <w:tc>
          <w:tcPr>
            <w:tcW w:w="3096" w:type="dxa"/>
            <w:vAlign w:val="center"/>
          </w:tcPr>
          <w:p w:rsidR="00C22FFE" w:rsidRDefault="00C22FFE" w:rsidP="00C22FFE">
            <w:pPr>
              <w:spacing w:after="20"/>
              <w:jc w:val="center"/>
              <w:rPr>
                <w:color w:val="000000"/>
                <w:sz w:val="22"/>
              </w:rPr>
            </w:pPr>
          </w:p>
        </w:tc>
      </w:tr>
    </w:tbl>
    <w:p w:rsidR="00C22FFE" w:rsidRDefault="00C22FFE" w:rsidP="00EE594B">
      <w:pPr>
        <w:ind w:firstLine="426"/>
        <w:jc w:val="both"/>
        <w:rPr>
          <w:rFonts w:cs="Times New Roman"/>
          <w:color w:val="000000"/>
          <w:szCs w:val="28"/>
        </w:rPr>
      </w:pPr>
    </w:p>
    <w:p w:rsidR="009D516C" w:rsidRDefault="009D516C" w:rsidP="00EE594B">
      <w:pPr>
        <w:ind w:firstLine="426"/>
        <w:jc w:val="both"/>
        <w:rPr>
          <w:rFonts w:cs="Times New Roman"/>
          <w:color w:val="000000"/>
          <w:szCs w:val="28"/>
        </w:rPr>
      </w:pPr>
      <w:r w:rsidRPr="003A3EC5">
        <w:rPr>
          <w:rFonts w:cs="Times New Roman"/>
          <w:color w:val="000000"/>
          <w:szCs w:val="28"/>
        </w:rPr>
        <w:t>Nozīmīgākais devums kopējā apstrādes rūpniecības izaugsmē pēdējos gados ir kokapstrāde</w:t>
      </w:r>
      <w:r w:rsidR="00F33123">
        <w:rPr>
          <w:rFonts w:cs="Times New Roman"/>
          <w:color w:val="000000"/>
          <w:szCs w:val="28"/>
        </w:rPr>
        <w:t>s</w:t>
      </w:r>
      <w:r w:rsidRPr="003A3EC5">
        <w:rPr>
          <w:rFonts w:cs="Times New Roman"/>
          <w:color w:val="000000"/>
          <w:szCs w:val="28"/>
        </w:rPr>
        <w:t xml:space="preserve"> un metālapstrādes nozar</w:t>
      </w:r>
      <w:r w:rsidR="00F33123">
        <w:rPr>
          <w:rFonts w:cs="Times New Roman"/>
          <w:color w:val="000000"/>
          <w:szCs w:val="28"/>
        </w:rPr>
        <w:t>ēm</w:t>
      </w:r>
      <w:r w:rsidRPr="003A3EC5">
        <w:rPr>
          <w:rFonts w:cs="Times New Roman"/>
          <w:color w:val="000000"/>
          <w:szCs w:val="28"/>
        </w:rPr>
        <w:t>. Ražošanas apjomi ievērojami ir pieauguši datoru, elektronisko un optisko iekārtu, transportlīdzekļu ražošanā, mašīnu</w:t>
      </w:r>
      <w:r w:rsidR="00CA7E4D" w:rsidRPr="003A3EC5">
        <w:rPr>
          <w:rFonts w:cs="Times New Roman"/>
          <w:color w:val="000000"/>
          <w:szCs w:val="28"/>
        </w:rPr>
        <w:t xml:space="preserve"> un iekārtu</w:t>
      </w:r>
      <w:r w:rsidRPr="003A3EC5">
        <w:rPr>
          <w:rFonts w:cs="Times New Roman"/>
          <w:color w:val="000000"/>
          <w:szCs w:val="28"/>
        </w:rPr>
        <w:t xml:space="preserve"> ražošanā</w:t>
      </w:r>
      <w:r w:rsidR="00CA7E4D" w:rsidRPr="003A3EC5">
        <w:rPr>
          <w:rFonts w:cs="Times New Roman"/>
          <w:color w:val="000000"/>
          <w:szCs w:val="28"/>
        </w:rPr>
        <w:t xml:space="preserve"> (</w:t>
      </w:r>
      <w:proofErr w:type="spellStart"/>
      <w:r w:rsidR="00CA7E4D" w:rsidRPr="003A3EC5">
        <w:rPr>
          <w:rFonts w:cs="Times New Roman"/>
          <w:color w:val="000000"/>
          <w:szCs w:val="28"/>
        </w:rPr>
        <w:t>skat</w:t>
      </w:r>
      <w:proofErr w:type="spellEnd"/>
      <w:r w:rsidR="00CA7E4D" w:rsidRPr="003A3EC5">
        <w:rPr>
          <w:rFonts w:cs="Times New Roman"/>
          <w:color w:val="000000"/>
          <w:szCs w:val="28"/>
        </w:rPr>
        <w:t>. 2.atttēlu)</w:t>
      </w:r>
      <w:r w:rsidRPr="003A3EC5">
        <w:rPr>
          <w:rFonts w:cs="Times New Roman"/>
          <w:color w:val="000000"/>
          <w:szCs w:val="28"/>
        </w:rPr>
        <w:t>.</w:t>
      </w:r>
      <w:r w:rsidR="00CA7E4D" w:rsidRPr="003A3EC5">
        <w:rPr>
          <w:rFonts w:cs="Times New Roman"/>
          <w:color w:val="000000"/>
          <w:szCs w:val="28"/>
        </w:rPr>
        <w:t xml:space="preserve"> Jāatzīmē, ka šajās nozarēs vairāk nekā 70% no visas saražotās produkcijas tiek eksportēta (</w:t>
      </w:r>
      <w:proofErr w:type="spellStart"/>
      <w:r w:rsidR="00CA7E4D" w:rsidRPr="003A3EC5">
        <w:rPr>
          <w:rFonts w:cs="Times New Roman"/>
          <w:color w:val="000000"/>
          <w:szCs w:val="28"/>
        </w:rPr>
        <w:t>skat</w:t>
      </w:r>
      <w:proofErr w:type="spellEnd"/>
      <w:r w:rsidR="00CA7E4D" w:rsidRPr="003A3EC5">
        <w:rPr>
          <w:rFonts w:cs="Times New Roman"/>
          <w:color w:val="000000"/>
          <w:szCs w:val="28"/>
        </w:rPr>
        <w:t>. 1.attēlu), kā arī pēdējos gados strauj</w:t>
      </w:r>
      <w:r w:rsidR="00EA064E">
        <w:rPr>
          <w:rFonts w:cs="Times New Roman"/>
          <w:color w:val="000000"/>
          <w:szCs w:val="28"/>
        </w:rPr>
        <w:t>i</w:t>
      </w:r>
      <w:r w:rsidR="00CA7E4D" w:rsidRPr="003A3EC5">
        <w:rPr>
          <w:rFonts w:cs="Times New Roman"/>
          <w:color w:val="000000"/>
          <w:szCs w:val="28"/>
        </w:rPr>
        <w:t xml:space="preserve"> augusi produktivitāte (</w:t>
      </w:r>
      <w:proofErr w:type="spellStart"/>
      <w:r w:rsidR="00CA7E4D" w:rsidRPr="003A3EC5">
        <w:rPr>
          <w:rFonts w:cs="Times New Roman"/>
          <w:color w:val="000000"/>
          <w:szCs w:val="28"/>
        </w:rPr>
        <w:t>skat</w:t>
      </w:r>
      <w:proofErr w:type="spellEnd"/>
      <w:r w:rsidR="00CA7E4D" w:rsidRPr="003A3EC5">
        <w:rPr>
          <w:rFonts w:cs="Times New Roman"/>
          <w:color w:val="000000"/>
          <w:szCs w:val="28"/>
        </w:rPr>
        <w:t xml:space="preserve">. </w:t>
      </w:r>
      <w:r w:rsidR="003A6354">
        <w:rPr>
          <w:rFonts w:cs="Times New Roman"/>
          <w:color w:val="000000"/>
          <w:szCs w:val="28"/>
        </w:rPr>
        <w:t>4</w:t>
      </w:r>
      <w:r w:rsidR="00CA7E4D" w:rsidRPr="003A3EC5">
        <w:rPr>
          <w:rFonts w:cs="Times New Roman"/>
          <w:color w:val="000000"/>
          <w:szCs w:val="28"/>
        </w:rPr>
        <w:t>.attēlu).</w:t>
      </w:r>
    </w:p>
    <w:p w:rsidR="00BF7019" w:rsidRPr="003A3EC5" w:rsidRDefault="00BF7019" w:rsidP="00BF7019">
      <w:pPr>
        <w:ind w:firstLine="720"/>
        <w:jc w:val="both"/>
        <w:rPr>
          <w:rFonts w:cs="Times New Roman"/>
          <w:color w:val="000000"/>
          <w:szCs w:val="28"/>
        </w:rPr>
      </w:pPr>
      <w:r w:rsidRPr="003A3EC5">
        <w:rPr>
          <w:rFonts w:cs="Times New Roman"/>
          <w:color w:val="000000"/>
          <w:szCs w:val="28"/>
        </w:rPr>
        <w:t>Būtiskais ražošanas apjomu pieaugums apstrādes rūpniecībā veicina arī pieprasījuma pieaugumu pēc darbaspēka. 2012. gadā apstrādes rūpniecībā bija par 5,2% vairāk nodarbināto nekā gadu iepriekš. Apstrādes rūpniecībai ir nozīmīgākais pienesums jaunu darbavietu radīšanā tautsaimniecībā kopumā – nozare ir nodrošinājusi piektdaļu no visām jaunajām darba</w:t>
      </w:r>
      <w:r w:rsidR="00F33123">
        <w:rPr>
          <w:rFonts w:cs="Times New Roman"/>
          <w:color w:val="000000"/>
          <w:szCs w:val="28"/>
        </w:rPr>
        <w:t xml:space="preserve"> </w:t>
      </w:r>
      <w:r w:rsidRPr="003A3EC5">
        <w:rPr>
          <w:rFonts w:cs="Times New Roman"/>
          <w:color w:val="000000"/>
          <w:szCs w:val="28"/>
        </w:rPr>
        <w:t xml:space="preserve">vietām. </w:t>
      </w:r>
    </w:p>
    <w:p w:rsidR="00C22FFE" w:rsidRPr="003A3EC5" w:rsidRDefault="00C22FFE" w:rsidP="00C22FFE">
      <w:pPr>
        <w:pStyle w:val="Heading2"/>
        <w:spacing w:after="0"/>
        <w:jc w:val="right"/>
        <w:rPr>
          <w:b w:val="0"/>
          <w:sz w:val="28"/>
          <w:szCs w:val="28"/>
        </w:rPr>
      </w:pPr>
      <w:r>
        <w:rPr>
          <w:b w:val="0"/>
          <w:sz w:val="28"/>
          <w:szCs w:val="28"/>
        </w:rPr>
        <w:lastRenderedPageBreak/>
        <w:t>3</w:t>
      </w:r>
      <w:r w:rsidRPr="003A3EC5">
        <w:rPr>
          <w:b w:val="0"/>
          <w:sz w:val="28"/>
          <w:szCs w:val="28"/>
        </w:rPr>
        <w:t>.attēls</w:t>
      </w:r>
    </w:p>
    <w:p w:rsidR="00C22FFE" w:rsidRDefault="00C22FFE" w:rsidP="00C22FFE">
      <w:pPr>
        <w:jc w:val="center"/>
        <w:rPr>
          <w:szCs w:val="28"/>
        </w:rPr>
      </w:pPr>
      <w:r w:rsidRPr="003A3EC5">
        <w:rPr>
          <w:b/>
          <w:szCs w:val="28"/>
        </w:rPr>
        <w:t xml:space="preserve">Ražošanas apjomu </w:t>
      </w:r>
      <w:r>
        <w:rPr>
          <w:b/>
          <w:szCs w:val="28"/>
        </w:rPr>
        <w:t xml:space="preserve">un darba vietu skaita </w:t>
      </w:r>
      <w:r w:rsidRPr="003A3EC5">
        <w:rPr>
          <w:b/>
          <w:szCs w:val="28"/>
        </w:rPr>
        <w:t>izmaiņas apstrādes rūpniecības apakšnozarēs</w:t>
      </w:r>
      <w:r>
        <w:rPr>
          <w:b/>
          <w:szCs w:val="28"/>
        </w:rPr>
        <w:t xml:space="preserve"> </w:t>
      </w:r>
      <w:r>
        <w:rPr>
          <w:szCs w:val="28"/>
        </w:rPr>
        <w:t>2012</w:t>
      </w:r>
      <w:r w:rsidRPr="003A3EC5">
        <w:rPr>
          <w:szCs w:val="28"/>
        </w:rPr>
        <w:t>.gads</w:t>
      </w:r>
      <w:r>
        <w:rPr>
          <w:szCs w:val="28"/>
        </w:rPr>
        <w:t xml:space="preserve"> pret 2009.gadu</w:t>
      </w:r>
    </w:p>
    <w:p w:rsidR="006E5449" w:rsidRDefault="006E5449" w:rsidP="006E5449">
      <w:pPr>
        <w:jc w:val="right"/>
        <w:rPr>
          <w:szCs w:val="28"/>
        </w:rPr>
      </w:pPr>
    </w:p>
    <w:p w:rsidR="00C22FFE" w:rsidRDefault="00C22FFE" w:rsidP="006E5449">
      <w:pPr>
        <w:pStyle w:val="Heading2"/>
        <w:spacing w:after="0"/>
        <w:jc w:val="right"/>
        <w:rPr>
          <w:b w:val="0"/>
          <w:sz w:val="28"/>
          <w:szCs w:val="28"/>
        </w:rPr>
      </w:pPr>
      <w:r w:rsidRPr="0058369E">
        <w:rPr>
          <w:noProof/>
          <w:sz w:val="18"/>
          <w:szCs w:val="18"/>
          <w:lang w:eastAsia="lv-LV"/>
        </w:rPr>
        <w:drawing>
          <wp:inline distT="0" distB="0" distL="0" distR="0" wp14:anchorId="7D010726" wp14:editId="2B7C33B8">
            <wp:extent cx="5572125" cy="2505075"/>
            <wp:effectExtent l="0" t="0" r="0" b="0"/>
            <wp:docPr id="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7019" w:rsidRDefault="00BF7019" w:rsidP="00B702D1">
      <w:pPr>
        <w:pStyle w:val="Heading2"/>
        <w:spacing w:after="0"/>
        <w:ind w:firstLine="720"/>
        <w:jc w:val="both"/>
        <w:rPr>
          <w:b w:val="0"/>
          <w:sz w:val="28"/>
          <w:szCs w:val="28"/>
        </w:rPr>
      </w:pPr>
    </w:p>
    <w:p w:rsidR="00B702D1" w:rsidRDefault="00B702D1" w:rsidP="005A2B3B">
      <w:pPr>
        <w:pStyle w:val="Heading2"/>
        <w:spacing w:after="0"/>
        <w:ind w:firstLine="426"/>
        <w:jc w:val="both"/>
        <w:rPr>
          <w:b w:val="0"/>
          <w:sz w:val="28"/>
          <w:szCs w:val="28"/>
        </w:rPr>
      </w:pPr>
      <w:r>
        <w:rPr>
          <w:b w:val="0"/>
          <w:sz w:val="28"/>
          <w:szCs w:val="28"/>
        </w:rPr>
        <w:t xml:space="preserve">2012.gadā gandrīz visās apstrādes rūpniecības apakšnozarēs (izņemot pārtikas rūpniecību) ražošanas apjomi, salīdzinot ar </w:t>
      </w:r>
      <w:r w:rsidR="00C22FFE">
        <w:rPr>
          <w:b w:val="0"/>
          <w:sz w:val="28"/>
          <w:szCs w:val="28"/>
        </w:rPr>
        <w:t>krīzes zemāk</w:t>
      </w:r>
      <w:r>
        <w:rPr>
          <w:b w:val="0"/>
          <w:sz w:val="28"/>
          <w:szCs w:val="28"/>
        </w:rPr>
        <w:t>o</w:t>
      </w:r>
      <w:r w:rsidR="00C22FFE">
        <w:rPr>
          <w:b w:val="0"/>
          <w:sz w:val="28"/>
          <w:szCs w:val="28"/>
        </w:rPr>
        <w:t xml:space="preserve"> </w:t>
      </w:r>
      <w:r>
        <w:rPr>
          <w:b w:val="0"/>
          <w:sz w:val="28"/>
          <w:szCs w:val="28"/>
        </w:rPr>
        <w:t>ražošanas līmeni 2009.gadā, ir ievērojami auguši. Pieaugums galvenokārt ir saistīts ar produktivitātes pieaugumu un mazākā mērā ar nodarbināto skaita palielināšanos. Pārtikas rūpniecības vājāka izaugsme ir saist</w:t>
      </w:r>
      <w:r w:rsidR="00F60432">
        <w:rPr>
          <w:b w:val="0"/>
          <w:sz w:val="28"/>
          <w:szCs w:val="28"/>
        </w:rPr>
        <w:t xml:space="preserve">īta </w:t>
      </w:r>
      <w:r>
        <w:rPr>
          <w:b w:val="0"/>
          <w:sz w:val="28"/>
          <w:szCs w:val="28"/>
        </w:rPr>
        <w:t>ar lielu iekšējā tirgus daļu kopējā nozares realizācijā, tādēļ</w:t>
      </w:r>
      <w:r w:rsidR="00F60432">
        <w:rPr>
          <w:b w:val="0"/>
          <w:sz w:val="28"/>
          <w:szCs w:val="28"/>
        </w:rPr>
        <w:t>,</w:t>
      </w:r>
      <w:r>
        <w:rPr>
          <w:b w:val="0"/>
          <w:sz w:val="28"/>
          <w:szCs w:val="28"/>
        </w:rPr>
        <w:t xml:space="preserve"> saglabājoties vājam pieprasījumam iekšējā tirgū, arī nozares attīstība pēc</w:t>
      </w:r>
      <w:r w:rsidR="00F60432">
        <w:rPr>
          <w:b w:val="0"/>
          <w:sz w:val="28"/>
          <w:szCs w:val="28"/>
        </w:rPr>
        <w:t xml:space="preserve"> </w:t>
      </w:r>
      <w:r>
        <w:rPr>
          <w:b w:val="0"/>
          <w:sz w:val="28"/>
          <w:szCs w:val="28"/>
        </w:rPr>
        <w:t>krīzes gados bija lēnāka nekā citās nozarēs, kur</w:t>
      </w:r>
      <w:r w:rsidR="00F60432">
        <w:rPr>
          <w:b w:val="0"/>
          <w:sz w:val="28"/>
          <w:szCs w:val="28"/>
        </w:rPr>
        <w:t>ās</w:t>
      </w:r>
      <w:r>
        <w:rPr>
          <w:b w:val="0"/>
          <w:sz w:val="28"/>
          <w:szCs w:val="28"/>
        </w:rPr>
        <w:t xml:space="preserve"> liel</w:t>
      </w:r>
      <w:r w:rsidR="00F60432">
        <w:rPr>
          <w:b w:val="0"/>
          <w:sz w:val="28"/>
          <w:szCs w:val="28"/>
        </w:rPr>
        <w:t xml:space="preserve">āka </w:t>
      </w:r>
      <w:r>
        <w:rPr>
          <w:b w:val="0"/>
          <w:sz w:val="28"/>
          <w:szCs w:val="28"/>
        </w:rPr>
        <w:t>daļa no saražotās produkcijas ti</w:t>
      </w:r>
      <w:r w:rsidR="00BF7019">
        <w:rPr>
          <w:b w:val="0"/>
          <w:sz w:val="28"/>
          <w:szCs w:val="28"/>
        </w:rPr>
        <w:t>ek</w:t>
      </w:r>
      <w:r>
        <w:rPr>
          <w:b w:val="0"/>
          <w:sz w:val="28"/>
          <w:szCs w:val="28"/>
        </w:rPr>
        <w:t xml:space="preserve"> realizēta ārējos tirgos.</w:t>
      </w:r>
    </w:p>
    <w:p w:rsidR="00B702D1" w:rsidRDefault="00B702D1" w:rsidP="006E5449">
      <w:pPr>
        <w:pStyle w:val="Heading2"/>
        <w:spacing w:after="0"/>
        <w:jc w:val="right"/>
        <w:rPr>
          <w:b w:val="0"/>
          <w:sz w:val="28"/>
          <w:szCs w:val="28"/>
        </w:rPr>
      </w:pPr>
    </w:p>
    <w:p w:rsidR="006E5449" w:rsidRPr="003A3EC5" w:rsidRDefault="00C22FFE" w:rsidP="006E5449">
      <w:pPr>
        <w:pStyle w:val="Heading2"/>
        <w:spacing w:after="0"/>
        <w:jc w:val="right"/>
        <w:rPr>
          <w:b w:val="0"/>
          <w:sz w:val="28"/>
          <w:szCs w:val="28"/>
        </w:rPr>
      </w:pPr>
      <w:r>
        <w:rPr>
          <w:b w:val="0"/>
          <w:sz w:val="28"/>
          <w:szCs w:val="28"/>
        </w:rPr>
        <w:t>4</w:t>
      </w:r>
      <w:r w:rsidR="006E5449" w:rsidRPr="003A3EC5">
        <w:rPr>
          <w:b w:val="0"/>
          <w:sz w:val="28"/>
          <w:szCs w:val="28"/>
        </w:rPr>
        <w:t>.attēls</w:t>
      </w:r>
    </w:p>
    <w:p w:rsidR="006E5449" w:rsidRPr="003A3EC5" w:rsidRDefault="006E5449" w:rsidP="006E5449">
      <w:pPr>
        <w:pStyle w:val="Heading2"/>
        <w:spacing w:after="120"/>
        <w:jc w:val="center"/>
        <w:rPr>
          <w:sz w:val="28"/>
          <w:szCs w:val="28"/>
        </w:rPr>
      </w:pPr>
      <w:r w:rsidRPr="003A3EC5">
        <w:rPr>
          <w:sz w:val="28"/>
          <w:szCs w:val="28"/>
        </w:rPr>
        <w:t>Produktivitātes izmaiņas</w:t>
      </w:r>
    </w:p>
    <w:p w:rsidR="006E5449" w:rsidRDefault="00494874" w:rsidP="006E5449">
      <w:pPr>
        <w:jc w:val="center"/>
      </w:pPr>
      <w:r w:rsidRPr="0058369E">
        <w:rPr>
          <w:noProof/>
          <w:sz w:val="18"/>
          <w:szCs w:val="18"/>
          <w:lang w:eastAsia="lv-LV"/>
        </w:rPr>
        <w:drawing>
          <wp:inline distT="0" distB="0" distL="0" distR="0" wp14:anchorId="0CA363EB" wp14:editId="733CF301">
            <wp:extent cx="5572125" cy="2809875"/>
            <wp:effectExtent l="0" t="0" r="0" b="0"/>
            <wp:docPr id="24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5449" w:rsidRDefault="006E5449" w:rsidP="006E5449">
      <w:pPr>
        <w:ind w:firstLine="284"/>
        <w:jc w:val="center"/>
        <w:rPr>
          <w:rFonts w:cs="Times New Roman"/>
          <w:color w:val="000000"/>
          <w:szCs w:val="28"/>
        </w:rPr>
      </w:pPr>
    </w:p>
    <w:p w:rsidR="003A6354" w:rsidRPr="003A3EC5" w:rsidRDefault="003A6354" w:rsidP="005A2B3B">
      <w:pPr>
        <w:ind w:firstLine="426"/>
        <w:jc w:val="both"/>
        <w:rPr>
          <w:rFonts w:cs="Times New Roman"/>
          <w:color w:val="000000"/>
          <w:szCs w:val="28"/>
        </w:rPr>
      </w:pPr>
      <w:r>
        <w:rPr>
          <w:rFonts w:cs="Times New Roman"/>
          <w:color w:val="000000"/>
          <w:szCs w:val="28"/>
        </w:rPr>
        <w:lastRenderedPageBreak/>
        <w:t>N</w:t>
      </w:r>
      <w:r w:rsidRPr="003A3EC5">
        <w:rPr>
          <w:rFonts w:cs="Times New Roman"/>
          <w:color w:val="000000"/>
          <w:szCs w:val="28"/>
        </w:rPr>
        <w:t xml:space="preserve">odarbināto skaita pieaugums apstrādes rūpniecībā ir ievērojami lēnāks nekā </w:t>
      </w:r>
      <w:r>
        <w:rPr>
          <w:rFonts w:cs="Times New Roman"/>
          <w:color w:val="000000"/>
          <w:szCs w:val="28"/>
        </w:rPr>
        <w:t xml:space="preserve">ražošanas apjomu </w:t>
      </w:r>
      <w:r w:rsidRPr="003A3EC5">
        <w:rPr>
          <w:rFonts w:cs="Times New Roman"/>
          <w:color w:val="000000"/>
          <w:szCs w:val="28"/>
        </w:rPr>
        <w:t>kāpums</w:t>
      </w:r>
      <w:r>
        <w:rPr>
          <w:rFonts w:cs="Times New Roman"/>
          <w:color w:val="000000"/>
          <w:szCs w:val="28"/>
        </w:rPr>
        <w:t xml:space="preserve"> – </w:t>
      </w:r>
      <w:r w:rsidRPr="003A3EC5">
        <w:rPr>
          <w:rFonts w:cs="Times New Roman"/>
          <w:color w:val="000000"/>
          <w:szCs w:val="28"/>
        </w:rPr>
        <w:t>lielāks devums izaugsm</w:t>
      </w:r>
      <w:r>
        <w:rPr>
          <w:rFonts w:cs="Times New Roman"/>
          <w:color w:val="000000"/>
          <w:szCs w:val="28"/>
        </w:rPr>
        <w:t>ē ir produktivitātes pieaugumam.</w:t>
      </w:r>
    </w:p>
    <w:p w:rsidR="006E5449" w:rsidRPr="003A3EC5" w:rsidRDefault="00C22FFE" w:rsidP="006E5449">
      <w:pPr>
        <w:jc w:val="right"/>
        <w:rPr>
          <w:szCs w:val="28"/>
        </w:rPr>
      </w:pPr>
      <w:r>
        <w:rPr>
          <w:szCs w:val="28"/>
        </w:rPr>
        <w:t>5</w:t>
      </w:r>
      <w:r w:rsidR="006E5449" w:rsidRPr="003A3EC5">
        <w:rPr>
          <w:szCs w:val="28"/>
        </w:rPr>
        <w:t>.attēls</w:t>
      </w:r>
    </w:p>
    <w:p w:rsidR="006E5449" w:rsidRPr="003A3EC5" w:rsidRDefault="006E5449" w:rsidP="006E5449">
      <w:pPr>
        <w:pStyle w:val="Heading2"/>
        <w:spacing w:after="0"/>
        <w:jc w:val="center"/>
        <w:rPr>
          <w:sz w:val="28"/>
          <w:szCs w:val="28"/>
        </w:rPr>
      </w:pPr>
      <w:r w:rsidRPr="003A3EC5">
        <w:rPr>
          <w:sz w:val="28"/>
          <w:szCs w:val="28"/>
        </w:rPr>
        <w:t>Nodarbināto skaits un tā izmaiņas</w:t>
      </w:r>
    </w:p>
    <w:p w:rsidR="006E5449" w:rsidRDefault="006E5449" w:rsidP="006E5449">
      <w:r w:rsidRPr="0058369E">
        <w:rPr>
          <w:noProof/>
          <w:sz w:val="18"/>
          <w:szCs w:val="18"/>
          <w:lang w:eastAsia="lv-LV"/>
        </w:rPr>
        <w:drawing>
          <wp:inline distT="0" distB="0" distL="0" distR="0" wp14:anchorId="729A89C2" wp14:editId="2DA3BDE8">
            <wp:extent cx="5571460" cy="2775097"/>
            <wp:effectExtent l="0" t="0" r="0" b="0"/>
            <wp:docPr id="24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E5449" w:rsidRDefault="006E5449" w:rsidP="006E5449">
      <w:pPr>
        <w:jc w:val="right"/>
        <w:rPr>
          <w:szCs w:val="28"/>
        </w:rPr>
      </w:pPr>
    </w:p>
    <w:p w:rsidR="00D9231C" w:rsidRDefault="00D9231C" w:rsidP="00D9231C">
      <w:pPr>
        <w:ind w:firstLine="426"/>
        <w:jc w:val="both"/>
        <w:rPr>
          <w:szCs w:val="28"/>
        </w:rPr>
      </w:pPr>
      <w:r>
        <w:rPr>
          <w:szCs w:val="28"/>
        </w:rPr>
        <w:t>Pēc nodarbināto skaita lielākās apstrādes rūpniecības nozares ir pārtikas rūpniecība un kokapstrāde, kurās ir nodarbināti vairāk nekā 40% no visiem apstrādes rūpniecībā strādājošajiem. Salīdzinājumā ar 2009.gadu apjomīg</w:t>
      </w:r>
      <w:r w:rsidR="00F60432">
        <w:rPr>
          <w:szCs w:val="28"/>
        </w:rPr>
        <w:t xml:space="preserve">ākais </w:t>
      </w:r>
      <w:r>
        <w:rPr>
          <w:szCs w:val="28"/>
        </w:rPr>
        <w:t>nodarbin</w:t>
      </w:r>
      <w:r w:rsidR="00F60432">
        <w:rPr>
          <w:szCs w:val="28"/>
        </w:rPr>
        <w:t>āto skaita</w:t>
      </w:r>
      <w:r>
        <w:rPr>
          <w:szCs w:val="28"/>
        </w:rPr>
        <w:t xml:space="preserve"> pieaugums bija metālapstrādē, kokapstrādē, kā arī mašīnu, iekārtu un transportlīdzekļu ražošanā (</w:t>
      </w:r>
      <w:proofErr w:type="spellStart"/>
      <w:r>
        <w:rPr>
          <w:szCs w:val="28"/>
        </w:rPr>
        <w:t>skat</w:t>
      </w:r>
      <w:proofErr w:type="spellEnd"/>
      <w:r>
        <w:rPr>
          <w:szCs w:val="28"/>
        </w:rPr>
        <w:t>. 5.attēlu). Jāatzīmē, ka pārtikas rūpniecībā nodarbināto skaits 2012.gadā bija mazāks nekā 2009.gadā.</w:t>
      </w:r>
    </w:p>
    <w:p w:rsidR="00D9231C" w:rsidRDefault="00D9231C" w:rsidP="006E5449">
      <w:pPr>
        <w:jc w:val="right"/>
        <w:rPr>
          <w:szCs w:val="28"/>
        </w:rPr>
      </w:pPr>
    </w:p>
    <w:p w:rsidR="006E5449" w:rsidRPr="003A3EC5" w:rsidRDefault="003A6354" w:rsidP="006E5449">
      <w:pPr>
        <w:jc w:val="right"/>
        <w:rPr>
          <w:szCs w:val="28"/>
        </w:rPr>
      </w:pPr>
      <w:r>
        <w:rPr>
          <w:szCs w:val="28"/>
        </w:rPr>
        <w:t>6</w:t>
      </w:r>
      <w:r w:rsidR="006E5449" w:rsidRPr="003A3EC5">
        <w:rPr>
          <w:szCs w:val="28"/>
        </w:rPr>
        <w:t>.attēls</w:t>
      </w:r>
    </w:p>
    <w:p w:rsidR="006E5449" w:rsidRDefault="006E5449" w:rsidP="006E5449">
      <w:pPr>
        <w:pStyle w:val="Heading2"/>
        <w:spacing w:after="0"/>
        <w:jc w:val="center"/>
        <w:rPr>
          <w:noProof/>
          <w:sz w:val="18"/>
          <w:szCs w:val="18"/>
          <w:lang w:eastAsia="lv-LV"/>
        </w:rPr>
      </w:pPr>
      <w:r w:rsidRPr="003A3EC5">
        <w:rPr>
          <w:sz w:val="28"/>
          <w:szCs w:val="28"/>
        </w:rPr>
        <w:t>Produktivitātes un nodarbināto skaita dinamika</w:t>
      </w:r>
    </w:p>
    <w:p w:rsidR="006E5449" w:rsidRDefault="00494874" w:rsidP="006E5449">
      <w:pPr>
        <w:rPr>
          <w:lang w:eastAsia="lv-LV"/>
        </w:rPr>
      </w:pPr>
      <w:r w:rsidRPr="0058369E">
        <w:rPr>
          <w:noProof/>
          <w:sz w:val="18"/>
          <w:szCs w:val="18"/>
          <w:lang w:eastAsia="lv-LV"/>
        </w:rPr>
        <w:drawing>
          <wp:inline distT="0" distB="0" distL="0" distR="0" wp14:anchorId="605AB1A5" wp14:editId="125DE162">
            <wp:extent cx="5572125" cy="2924175"/>
            <wp:effectExtent l="0" t="0" r="0" b="0"/>
            <wp:docPr id="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E5449" w:rsidRDefault="00D9231C" w:rsidP="00D9231C">
      <w:pPr>
        <w:ind w:firstLine="426"/>
        <w:jc w:val="both"/>
        <w:rPr>
          <w:lang w:eastAsia="lv-LV"/>
        </w:rPr>
      </w:pPr>
      <w:r>
        <w:rPr>
          <w:lang w:eastAsia="lv-LV"/>
        </w:rPr>
        <w:lastRenderedPageBreak/>
        <w:t>Vērtējot nozaru izaugsmes faktorus pēc 2009.gada, redzams, ka nozaru ražošanas apjomu pieaugumu noteica gan intensīva rakstura faktori (produktivitātes palielinājums), gan arī ekstensīvie faktori (nodarbināto skaita pieaugums). Kā redzams 6.attēlā, tad visās nozarēs lielāka loma bija tieši intensīvajiem faktoriem, kas lielā mērā ir saist</w:t>
      </w:r>
      <w:r w:rsidR="00F60432">
        <w:rPr>
          <w:lang w:eastAsia="lv-LV"/>
        </w:rPr>
        <w:t xml:space="preserve">īts </w:t>
      </w:r>
      <w:r>
        <w:rPr>
          <w:lang w:eastAsia="lv-LV"/>
        </w:rPr>
        <w:t>ar ražošanas procesa racionalizēšanu krīzes laik</w:t>
      </w:r>
      <w:r w:rsidR="00160797">
        <w:rPr>
          <w:lang w:eastAsia="lv-LV"/>
        </w:rPr>
        <w:t>ā.</w:t>
      </w:r>
    </w:p>
    <w:p w:rsidR="00160797" w:rsidRPr="00670D8D" w:rsidRDefault="00160797" w:rsidP="00D9231C">
      <w:pPr>
        <w:ind w:firstLine="426"/>
        <w:jc w:val="both"/>
        <w:rPr>
          <w:lang w:eastAsia="lv-LV"/>
        </w:rPr>
      </w:pPr>
      <w:r>
        <w:rPr>
          <w:lang w:eastAsia="lv-LV"/>
        </w:rPr>
        <w:t>Kopš 2009.gada produktivitātes pieaugums ir bijis straujāks nekā darbaspēka  izmaksu kāpums, kas nozīmē, ka Latvijas ražotāju konkurētspēja ārējos tirgos uzlabojas.</w:t>
      </w:r>
    </w:p>
    <w:p w:rsidR="00D9231C" w:rsidRPr="003A3EC5" w:rsidRDefault="00D9231C" w:rsidP="00D9231C">
      <w:pPr>
        <w:jc w:val="right"/>
        <w:rPr>
          <w:szCs w:val="28"/>
        </w:rPr>
      </w:pPr>
      <w:r>
        <w:rPr>
          <w:szCs w:val="28"/>
        </w:rPr>
        <w:t>7</w:t>
      </w:r>
      <w:r w:rsidRPr="003A3EC5">
        <w:rPr>
          <w:szCs w:val="28"/>
        </w:rPr>
        <w:t>.attēls</w:t>
      </w:r>
    </w:p>
    <w:p w:rsidR="00D9231C" w:rsidRDefault="00D9231C" w:rsidP="00D9231C">
      <w:pPr>
        <w:pStyle w:val="Heading2"/>
        <w:spacing w:after="0"/>
        <w:jc w:val="center"/>
        <w:rPr>
          <w:sz w:val="28"/>
          <w:szCs w:val="28"/>
        </w:rPr>
      </w:pPr>
      <w:r>
        <w:rPr>
          <w:sz w:val="28"/>
          <w:szCs w:val="28"/>
        </w:rPr>
        <w:t>Produkcijas vienības darbaspēka izmaksas apstrādes rūpniecībā</w:t>
      </w:r>
    </w:p>
    <w:p w:rsidR="00D9231C" w:rsidRPr="00D9231C" w:rsidRDefault="00D9231C" w:rsidP="00D9231C">
      <w:pPr>
        <w:pStyle w:val="Heading2"/>
        <w:spacing w:after="0"/>
        <w:jc w:val="center"/>
        <w:rPr>
          <w:b w:val="0"/>
          <w:sz w:val="28"/>
          <w:szCs w:val="28"/>
        </w:rPr>
      </w:pPr>
      <w:r w:rsidRPr="00D9231C">
        <w:rPr>
          <w:b w:val="0"/>
          <w:sz w:val="28"/>
          <w:szCs w:val="28"/>
        </w:rPr>
        <w:t>Nominālais ULC, 2005.gads = 100</w:t>
      </w:r>
    </w:p>
    <w:p w:rsidR="005A2B3B" w:rsidRDefault="005A2B3B" w:rsidP="006E5449">
      <w:pPr>
        <w:spacing w:after="60"/>
        <w:ind w:left="567" w:hanging="567"/>
        <w:jc w:val="both"/>
        <w:rPr>
          <w:rFonts w:cs="Times New Roman"/>
          <w:b/>
          <w:color w:val="000000"/>
          <w:szCs w:val="26"/>
        </w:rPr>
      </w:pPr>
    </w:p>
    <w:p w:rsidR="005A2B3B" w:rsidRDefault="005A2B3B" w:rsidP="006E5449">
      <w:pPr>
        <w:spacing w:after="60"/>
        <w:ind w:left="567" w:hanging="567"/>
        <w:jc w:val="both"/>
        <w:rPr>
          <w:rFonts w:cs="Times New Roman"/>
          <w:b/>
          <w:color w:val="000000"/>
          <w:szCs w:val="26"/>
        </w:rPr>
      </w:pPr>
      <w:r w:rsidRPr="0058369E">
        <w:rPr>
          <w:noProof/>
          <w:sz w:val="18"/>
          <w:szCs w:val="18"/>
          <w:lang w:eastAsia="lv-LV"/>
        </w:rPr>
        <w:drawing>
          <wp:inline distT="0" distB="0" distL="0" distR="0" wp14:anchorId="34F530D9" wp14:editId="3D5FCFA5">
            <wp:extent cx="5572125" cy="2228850"/>
            <wp:effectExtent l="0" t="0" r="0" b="0"/>
            <wp:docPr id="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231C" w:rsidRDefault="00D9231C" w:rsidP="006E5449">
      <w:pPr>
        <w:spacing w:after="60"/>
        <w:ind w:left="567" w:hanging="567"/>
        <w:jc w:val="both"/>
        <w:rPr>
          <w:rFonts w:cs="Times New Roman"/>
          <w:b/>
          <w:color w:val="000000"/>
          <w:szCs w:val="26"/>
        </w:rPr>
      </w:pPr>
    </w:p>
    <w:p w:rsidR="00160797" w:rsidRPr="003A3EC5" w:rsidRDefault="00160797" w:rsidP="00160797">
      <w:pPr>
        <w:jc w:val="right"/>
        <w:rPr>
          <w:szCs w:val="28"/>
        </w:rPr>
      </w:pPr>
      <w:r>
        <w:rPr>
          <w:szCs w:val="28"/>
        </w:rPr>
        <w:t>8</w:t>
      </w:r>
      <w:r w:rsidRPr="003A3EC5">
        <w:rPr>
          <w:szCs w:val="28"/>
        </w:rPr>
        <w:t>.attēls</w:t>
      </w:r>
    </w:p>
    <w:p w:rsidR="00160797" w:rsidRDefault="00160797" w:rsidP="00160797">
      <w:pPr>
        <w:jc w:val="center"/>
        <w:rPr>
          <w:szCs w:val="28"/>
        </w:rPr>
      </w:pPr>
      <w:r>
        <w:rPr>
          <w:b/>
          <w:szCs w:val="28"/>
        </w:rPr>
        <w:t>Produktivitāte un darbaspēka izmaksas</w:t>
      </w:r>
      <w:r w:rsidRPr="003A3EC5">
        <w:rPr>
          <w:b/>
          <w:szCs w:val="28"/>
        </w:rPr>
        <w:t xml:space="preserve"> </w:t>
      </w:r>
      <w:r>
        <w:rPr>
          <w:b/>
          <w:szCs w:val="28"/>
        </w:rPr>
        <w:t xml:space="preserve">Latvijas </w:t>
      </w:r>
      <w:r w:rsidRPr="003A3EC5">
        <w:rPr>
          <w:b/>
          <w:szCs w:val="28"/>
        </w:rPr>
        <w:t>apstrādes rūpniecības apakšnozarēs</w:t>
      </w:r>
      <w:r>
        <w:rPr>
          <w:b/>
          <w:szCs w:val="28"/>
        </w:rPr>
        <w:t xml:space="preserve">, </w:t>
      </w:r>
      <w:r w:rsidRPr="006932AF">
        <w:rPr>
          <w:szCs w:val="28"/>
        </w:rPr>
        <w:t>2005.</w:t>
      </w:r>
      <w:r>
        <w:rPr>
          <w:szCs w:val="28"/>
        </w:rPr>
        <w:t xml:space="preserve"> - 2010</w:t>
      </w:r>
      <w:r w:rsidRPr="003A3EC5">
        <w:rPr>
          <w:szCs w:val="28"/>
        </w:rPr>
        <w:t>.gads</w:t>
      </w:r>
    </w:p>
    <w:p w:rsidR="00160797" w:rsidRDefault="00160797" w:rsidP="00160797">
      <w:pPr>
        <w:jc w:val="center"/>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60797" w:rsidTr="005E60C8">
        <w:tc>
          <w:tcPr>
            <w:tcW w:w="4643" w:type="dxa"/>
            <w:vAlign w:val="center"/>
          </w:tcPr>
          <w:p w:rsidR="00160797" w:rsidRPr="00D67686" w:rsidRDefault="00160797" w:rsidP="005E60C8">
            <w:pPr>
              <w:spacing w:before="120"/>
              <w:jc w:val="center"/>
              <w:rPr>
                <w:sz w:val="18"/>
                <w:szCs w:val="18"/>
              </w:rPr>
            </w:pPr>
            <w:r w:rsidRPr="000F1ABC">
              <w:rPr>
                <w:color w:val="000000"/>
                <w:sz w:val="22"/>
              </w:rPr>
              <w:t>Pārtikas rūpniecība</w:t>
            </w:r>
          </w:p>
        </w:tc>
        <w:tc>
          <w:tcPr>
            <w:tcW w:w="4644" w:type="dxa"/>
            <w:vAlign w:val="center"/>
          </w:tcPr>
          <w:p w:rsidR="00160797" w:rsidRPr="00D67686" w:rsidRDefault="00160797" w:rsidP="005E60C8">
            <w:pPr>
              <w:spacing w:before="120"/>
              <w:jc w:val="center"/>
              <w:rPr>
                <w:sz w:val="18"/>
                <w:szCs w:val="18"/>
              </w:rPr>
            </w:pPr>
            <w:r w:rsidRPr="000F1ABC">
              <w:rPr>
                <w:color w:val="000000"/>
                <w:sz w:val="22"/>
              </w:rPr>
              <w:t>Vieglā rūpniecība</w:t>
            </w:r>
          </w:p>
        </w:tc>
      </w:tr>
      <w:tr w:rsidR="00160797" w:rsidTr="005E60C8">
        <w:tc>
          <w:tcPr>
            <w:tcW w:w="4643" w:type="dxa"/>
          </w:tcPr>
          <w:p w:rsidR="00160797" w:rsidRDefault="00160797" w:rsidP="005E60C8">
            <w:pPr>
              <w:jc w:val="center"/>
              <w:rPr>
                <w:szCs w:val="28"/>
              </w:rPr>
            </w:pPr>
            <w:r w:rsidRPr="0058369E">
              <w:rPr>
                <w:noProof/>
                <w:sz w:val="18"/>
                <w:szCs w:val="18"/>
              </w:rPr>
              <w:drawing>
                <wp:inline distT="0" distB="0" distL="0" distR="0" wp14:anchorId="3703E429" wp14:editId="2B54C925">
                  <wp:extent cx="2806995" cy="1265275"/>
                  <wp:effectExtent l="0" t="0" r="0" b="0"/>
                  <wp:docPr id="24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44" w:type="dxa"/>
          </w:tcPr>
          <w:p w:rsidR="00160797" w:rsidRDefault="00160797" w:rsidP="005E60C8">
            <w:pPr>
              <w:jc w:val="center"/>
              <w:rPr>
                <w:szCs w:val="28"/>
              </w:rPr>
            </w:pPr>
            <w:r w:rsidRPr="0058369E">
              <w:rPr>
                <w:noProof/>
                <w:sz w:val="18"/>
                <w:szCs w:val="18"/>
              </w:rPr>
              <w:drawing>
                <wp:inline distT="0" distB="0" distL="0" distR="0" wp14:anchorId="6EB55885" wp14:editId="3E11DC7B">
                  <wp:extent cx="2806995" cy="1265275"/>
                  <wp:effectExtent l="0" t="0" r="0" b="0"/>
                  <wp:docPr id="257"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60797" w:rsidRPr="00801875" w:rsidTr="005E60C8">
        <w:tc>
          <w:tcPr>
            <w:tcW w:w="4643" w:type="dxa"/>
          </w:tcPr>
          <w:p w:rsidR="00160797" w:rsidRPr="00801875" w:rsidRDefault="00160797" w:rsidP="005E60C8">
            <w:pPr>
              <w:spacing w:before="120"/>
              <w:jc w:val="center"/>
              <w:rPr>
                <w:color w:val="000000"/>
                <w:sz w:val="22"/>
              </w:rPr>
            </w:pPr>
            <w:r w:rsidRPr="000F1ABC">
              <w:rPr>
                <w:color w:val="000000"/>
                <w:sz w:val="22"/>
              </w:rPr>
              <w:t>Kokapstrāde</w:t>
            </w:r>
          </w:p>
        </w:tc>
        <w:tc>
          <w:tcPr>
            <w:tcW w:w="4644" w:type="dxa"/>
          </w:tcPr>
          <w:p w:rsidR="00160797" w:rsidRPr="00801875" w:rsidRDefault="00160797" w:rsidP="005E60C8">
            <w:pPr>
              <w:spacing w:before="120"/>
              <w:jc w:val="center"/>
              <w:rPr>
                <w:color w:val="000000"/>
                <w:sz w:val="22"/>
              </w:rPr>
            </w:pPr>
            <w:r w:rsidRPr="000F1ABC">
              <w:rPr>
                <w:color w:val="000000"/>
                <w:sz w:val="22"/>
              </w:rPr>
              <w:t>Papīra ražošana un poligrāfija</w:t>
            </w:r>
          </w:p>
        </w:tc>
      </w:tr>
      <w:tr w:rsidR="00160797" w:rsidTr="005E60C8">
        <w:tc>
          <w:tcPr>
            <w:tcW w:w="4643" w:type="dxa"/>
          </w:tcPr>
          <w:p w:rsidR="00160797" w:rsidRDefault="00160797" w:rsidP="005E60C8">
            <w:pPr>
              <w:jc w:val="center"/>
              <w:rPr>
                <w:szCs w:val="28"/>
              </w:rPr>
            </w:pPr>
            <w:r w:rsidRPr="0058369E">
              <w:rPr>
                <w:noProof/>
                <w:sz w:val="18"/>
                <w:szCs w:val="18"/>
              </w:rPr>
              <w:drawing>
                <wp:inline distT="0" distB="0" distL="0" distR="0" wp14:anchorId="4E441F64" wp14:editId="26752ED3">
                  <wp:extent cx="2806995" cy="1275907"/>
                  <wp:effectExtent l="0" t="0" r="0" b="635"/>
                  <wp:docPr id="258"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644" w:type="dxa"/>
          </w:tcPr>
          <w:p w:rsidR="00160797" w:rsidRDefault="00160797" w:rsidP="005E60C8">
            <w:pPr>
              <w:jc w:val="center"/>
              <w:rPr>
                <w:szCs w:val="28"/>
              </w:rPr>
            </w:pPr>
            <w:r w:rsidRPr="0058369E">
              <w:rPr>
                <w:noProof/>
                <w:sz w:val="18"/>
                <w:szCs w:val="18"/>
              </w:rPr>
              <w:drawing>
                <wp:inline distT="0" distB="0" distL="0" distR="0" wp14:anchorId="789212EA" wp14:editId="16EC990A">
                  <wp:extent cx="2806995" cy="1275907"/>
                  <wp:effectExtent l="0" t="0" r="0" b="635"/>
                  <wp:docPr id="259"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60797" w:rsidRPr="00801875" w:rsidTr="005E60C8">
        <w:tc>
          <w:tcPr>
            <w:tcW w:w="4643" w:type="dxa"/>
            <w:vAlign w:val="center"/>
          </w:tcPr>
          <w:p w:rsidR="00160797" w:rsidRPr="008A4860" w:rsidRDefault="00160797" w:rsidP="005E60C8">
            <w:pPr>
              <w:spacing w:before="120"/>
              <w:jc w:val="center"/>
              <w:rPr>
                <w:color w:val="000000"/>
                <w:sz w:val="22"/>
              </w:rPr>
            </w:pPr>
            <w:r w:rsidRPr="000F1ABC">
              <w:rPr>
                <w:color w:val="000000"/>
                <w:sz w:val="22"/>
              </w:rPr>
              <w:lastRenderedPageBreak/>
              <w:t>Ķīmiskā rūpniecība</w:t>
            </w:r>
          </w:p>
        </w:tc>
        <w:tc>
          <w:tcPr>
            <w:tcW w:w="4644" w:type="dxa"/>
            <w:vAlign w:val="center"/>
          </w:tcPr>
          <w:p w:rsidR="00160797" w:rsidRDefault="00160797" w:rsidP="005E60C8">
            <w:pPr>
              <w:spacing w:before="120"/>
              <w:jc w:val="center"/>
              <w:rPr>
                <w:color w:val="000000"/>
                <w:sz w:val="22"/>
              </w:rPr>
            </w:pPr>
            <w:r w:rsidRPr="000F1ABC">
              <w:rPr>
                <w:color w:val="000000"/>
                <w:sz w:val="22"/>
              </w:rPr>
              <w:t>Nemetālisko minerālu ražošana</w:t>
            </w:r>
          </w:p>
        </w:tc>
      </w:tr>
      <w:tr w:rsidR="00160797" w:rsidTr="005E60C8">
        <w:tc>
          <w:tcPr>
            <w:tcW w:w="4643" w:type="dxa"/>
          </w:tcPr>
          <w:p w:rsidR="00160797" w:rsidRDefault="00160797" w:rsidP="005E60C8">
            <w:pPr>
              <w:jc w:val="center"/>
              <w:rPr>
                <w:szCs w:val="28"/>
              </w:rPr>
            </w:pPr>
            <w:r w:rsidRPr="0058369E">
              <w:rPr>
                <w:noProof/>
                <w:sz w:val="18"/>
                <w:szCs w:val="18"/>
              </w:rPr>
              <w:drawing>
                <wp:inline distT="0" distB="0" distL="0" distR="0" wp14:anchorId="0DB7DC0B" wp14:editId="61814971">
                  <wp:extent cx="2806995" cy="1244009"/>
                  <wp:effectExtent l="0" t="0" r="0" b="0"/>
                  <wp:docPr id="260"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644" w:type="dxa"/>
          </w:tcPr>
          <w:p w:rsidR="00160797" w:rsidRDefault="00160797" w:rsidP="005E60C8">
            <w:pPr>
              <w:jc w:val="center"/>
              <w:rPr>
                <w:szCs w:val="28"/>
              </w:rPr>
            </w:pPr>
            <w:r w:rsidRPr="0058369E">
              <w:rPr>
                <w:noProof/>
                <w:sz w:val="18"/>
                <w:szCs w:val="18"/>
              </w:rPr>
              <w:drawing>
                <wp:inline distT="0" distB="0" distL="0" distR="0" wp14:anchorId="37EB5DC7" wp14:editId="5B795A15">
                  <wp:extent cx="2806995" cy="1244009"/>
                  <wp:effectExtent l="0" t="0" r="0" b="0"/>
                  <wp:docPr id="26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60797" w:rsidRPr="00801875" w:rsidTr="005E60C8">
        <w:tc>
          <w:tcPr>
            <w:tcW w:w="4643" w:type="dxa"/>
            <w:vAlign w:val="bottom"/>
          </w:tcPr>
          <w:p w:rsidR="00160797" w:rsidRPr="008A4860" w:rsidRDefault="00160797" w:rsidP="005E60C8">
            <w:pPr>
              <w:spacing w:before="120"/>
              <w:jc w:val="center"/>
              <w:rPr>
                <w:color w:val="000000"/>
                <w:sz w:val="22"/>
              </w:rPr>
            </w:pPr>
            <w:r w:rsidRPr="000F1ABC">
              <w:rPr>
                <w:color w:val="000000"/>
                <w:sz w:val="22"/>
              </w:rPr>
              <w:t>Metāl</w:t>
            </w:r>
            <w:r>
              <w:rPr>
                <w:color w:val="000000"/>
                <w:sz w:val="22"/>
              </w:rPr>
              <w:t>apstrāde</w:t>
            </w:r>
          </w:p>
        </w:tc>
        <w:tc>
          <w:tcPr>
            <w:tcW w:w="4644" w:type="dxa"/>
            <w:vAlign w:val="bottom"/>
          </w:tcPr>
          <w:p w:rsidR="00160797" w:rsidRPr="008A4860" w:rsidRDefault="00160797" w:rsidP="005E60C8">
            <w:pPr>
              <w:spacing w:before="120"/>
              <w:jc w:val="center"/>
              <w:rPr>
                <w:color w:val="000000"/>
                <w:sz w:val="22"/>
              </w:rPr>
            </w:pPr>
            <w:r>
              <w:rPr>
                <w:color w:val="000000"/>
                <w:sz w:val="22"/>
              </w:rPr>
              <w:t>Elektrisko</w:t>
            </w:r>
            <w:r w:rsidRPr="000F1ABC">
              <w:rPr>
                <w:color w:val="000000"/>
                <w:sz w:val="22"/>
              </w:rPr>
              <w:t xml:space="preserve"> ierīču ražošana</w:t>
            </w:r>
          </w:p>
        </w:tc>
      </w:tr>
      <w:tr w:rsidR="00160797" w:rsidTr="005E60C8">
        <w:tc>
          <w:tcPr>
            <w:tcW w:w="4643" w:type="dxa"/>
          </w:tcPr>
          <w:p w:rsidR="00160797" w:rsidRDefault="00160797" w:rsidP="005E60C8">
            <w:pPr>
              <w:jc w:val="center"/>
              <w:rPr>
                <w:szCs w:val="28"/>
              </w:rPr>
            </w:pPr>
            <w:r w:rsidRPr="0058369E">
              <w:rPr>
                <w:noProof/>
                <w:sz w:val="18"/>
                <w:szCs w:val="18"/>
              </w:rPr>
              <w:drawing>
                <wp:inline distT="0" distB="0" distL="0" distR="0" wp14:anchorId="5981B9B5" wp14:editId="60BE4C0A">
                  <wp:extent cx="2806995" cy="1265274"/>
                  <wp:effectExtent l="0" t="0" r="0" b="0"/>
                  <wp:docPr id="26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644" w:type="dxa"/>
          </w:tcPr>
          <w:p w:rsidR="00160797" w:rsidRDefault="00160797" w:rsidP="005E60C8">
            <w:pPr>
              <w:jc w:val="center"/>
              <w:rPr>
                <w:szCs w:val="28"/>
              </w:rPr>
            </w:pPr>
            <w:r w:rsidRPr="0058369E">
              <w:rPr>
                <w:noProof/>
                <w:sz w:val="18"/>
                <w:szCs w:val="18"/>
              </w:rPr>
              <w:drawing>
                <wp:inline distT="0" distB="0" distL="0" distR="0" wp14:anchorId="7F77FC10" wp14:editId="390DE940">
                  <wp:extent cx="2806995" cy="1265274"/>
                  <wp:effectExtent l="0" t="0" r="0" b="0"/>
                  <wp:docPr id="26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160797" w:rsidRPr="00801875" w:rsidTr="005E60C8">
        <w:tc>
          <w:tcPr>
            <w:tcW w:w="4643" w:type="dxa"/>
          </w:tcPr>
          <w:p w:rsidR="00160797" w:rsidRPr="00801875" w:rsidRDefault="00160797" w:rsidP="005E60C8">
            <w:pPr>
              <w:spacing w:before="120"/>
              <w:jc w:val="center"/>
              <w:rPr>
                <w:color w:val="000000"/>
                <w:sz w:val="22"/>
              </w:rPr>
            </w:pPr>
            <w:r w:rsidRPr="000F1ABC">
              <w:rPr>
                <w:color w:val="000000"/>
                <w:sz w:val="22"/>
              </w:rPr>
              <w:t>Mašīnu un iekārtu ražošana</w:t>
            </w:r>
          </w:p>
        </w:tc>
        <w:tc>
          <w:tcPr>
            <w:tcW w:w="4644" w:type="dxa"/>
          </w:tcPr>
          <w:p w:rsidR="00160797" w:rsidRPr="00801875" w:rsidRDefault="00160797" w:rsidP="005E60C8">
            <w:pPr>
              <w:spacing w:before="120"/>
              <w:jc w:val="center"/>
              <w:rPr>
                <w:color w:val="000000"/>
                <w:sz w:val="22"/>
              </w:rPr>
            </w:pPr>
            <w:r w:rsidRPr="000F1ABC">
              <w:rPr>
                <w:color w:val="000000"/>
                <w:sz w:val="22"/>
              </w:rPr>
              <w:t>Transportlīdzekļu ražošana</w:t>
            </w:r>
          </w:p>
        </w:tc>
      </w:tr>
      <w:tr w:rsidR="00160797" w:rsidTr="005E60C8">
        <w:tc>
          <w:tcPr>
            <w:tcW w:w="4643" w:type="dxa"/>
          </w:tcPr>
          <w:p w:rsidR="00160797" w:rsidRDefault="00160797" w:rsidP="005E60C8">
            <w:pPr>
              <w:jc w:val="center"/>
              <w:rPr>
                <w:szCs w:val="28"/>
              </w:rPr>
            </w:pPr>
            <w:r w:rsidRPr="0058369E">
              <w:rPr>
                <w:noProof/>
                <w:sz w:val="18"/>
                <w:szCs w:val="18"/>
              </w:rPr>
              <w:drawing>
                <wp:inline distT="0" distB="0" distL="0" distR="0" wp14:anchorId="65BA0441" wp14:editId="2C4220CF">
                  <wp:extent cx="2806995" cy="1275907"/>
                  <wp:effectExtent l="0" t="0" r="0" b="635"/>
                  <wp:docPr id="26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644" w:type="dxa"/>
          </w:tcPr>
          <w:p w:rsidR="00160797" w:rsidRDefault="00160797" w:rsidP="005E60C8">
            <w:pPr>
              <w:jc w:val="center"/>
              <w:rPr>
                <w:szCs w:val="28"/>
              </w:rPr>
            </w:pPr>
            <w:r w:rsidRPr="0058369E">
              <w:rPr>
                <w:noProof/>
                <w:sz w:val="18"/>
                <w:szCs w:val="18"/>
              </w:rPr>
              <w:drawing>
                <wp:inline distT="0" distB="0" distL="0" distR="0" wp14:anchorId="7FF16DF3" wp14:editId="6C1411CA">
                  <wp:extent cx="2806995" cy="1275907"/>
                  <wp:effectExtent l="0" t="0" r="0" b="635"/>
                  <wp:docPr id="26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160797" w:rsidRDefault="00160797" w:rsidP="00160797">
      <w:pPr>
        <w:jc w:val="center"/>
        <w:rPr>
          <w:sz w:val="12"/>
          <w:szCs w:val="26"/>
        </w:rPr>
      </w:pPr>
    </w:p>
    <w:p w:rsidR="00160797" w:rsidRPr="007B05D2" w:rsidRDefault="00160797" w:rsidP="00160797">
      <w:pPr>
        <w:jc w:val="center"/>
        <w:rPr>
          <w:sz w:val="12"/>
          <w:szCs w:val="26"/>
        </w:rPr>
      </w:pPr>
    </w:p>
    <w:p w:rsidR="00160797" w:rsidRDefault="00160797" w:rsidP="00160797">
      <w:pPr>
        <w:spacing w:after="60"/>
        <w:ind w:left="567" w:hanging="567"/>
        <w:jc w:val="both"/>
        <w:rPr>
          <w:rFonts w:cs="Times New Roman"/>
          <w:b/>
          <w:color w:val="000000"/>
          <w:szCs w:val="26"/>
        </w:rPr>
      </w:pPr>
    </w:p>
    <w:p w:rsidR="00160797" w:rsidRPr="00160797" w:rsidRDefault="00160797" w:rsidP="00160797">
      <w:pPr>
        <w:spacing w:after="60"/>
        <w:ind w:left="567" w:hanging="567"/>
        <w:jc w:val="both"/>
        <w:rPr>
          <w:rFonts w:cs="Times New Roman"/>
          <w:color w:val="000000"/>
          <w:szCs w:val="26"/>
        </w:rPr>
      </w:pPr>
    </w:p>
    <w:p w:rsidR="00160797" w:rsidRDefault="00160797" w:rsidP="00160797">
      <w:pPr>
        <w:rPr>
          <w:rFonts w:cs="Times New Roman"/>
          <w:b/>
          <w:color w:val="000000"/>
          <w:szCs w:val="26"/>
        </w:rPr>
      </w:pPr>
      <w:r>
        <w:rPr>
          <w:rFonts w:cs="Times New Roman"/>
          <w:b/>
          <w:color w:val="000000"/>
          <w:szCs w:val="26"/>
        </w:rPr>
        <w:br w:type="page"/>
      </w:r>
    </w:p>
    <w:p w:rsidR="006E5449" w:rsidRPr="00A7732D" w:rsidRDefault="006E5449" w:rsidP="006E5449">
      <w:pPr>
        <w:spacing w:after="60"/>
        <w:ind w:left="567" w:hanging="567"/>
        <w:jc w:val="both"/>
        <w:rPr>
          <w:rFonts w:cs="Times New Roman"/>
          <w:b/>
          <w:color w:val="000000"/>
          <w:szCs w:val="26"/>
        </w:rPr>
      </w:pPr>
      <w:r w:rsidRPr="00A7732D">
        <w:rPr>
          <w:rFonts w:cs="Times New Roman"/>
          <w:b/>
          <w:color w:val="000000"/>
          <w:szCs w:val="26"/>
        </w:rPr>
        <w:lastRenderedPageBreak/>
        <w:t>2. Latvijas, Baltijas jūras reģiona un jauno ES dalībvalstu apstrādes rūpniecības nozaru salīdzinājums</w:t>
      </w:r>
    </w:p>
    <w:p w:rsidR="006E5449" w:rsidRDefault="006E5449" w:rsidP="006E5449">
      <w:pPr>
        <w:ind w:firstLine="567"/>
        <w:jc w:val="both"/>
        <w:rPr>
          <w:szCs w:val="28"/>
        </w:rPr>
      </w:pPr>
    </w:p>
    <w:p w:rsidR="006E5449" w:rsidRPr="003A3EC5" w:rsidRDefault="006E5449" w:rsidP="005A2B3B">
      <w:pPr>
        <w:ind w:firstLine="426"/>
        <w:jc w:val="both"/>
        <w:rPr>
          <w:szCs w:val="28"/>
        </w:rPr>
      </w:pPr>
      <w:r w:rsidRPr="003A3EC5">
        <w:rPr>
          <w:szCs w:val="28"/>
        </w:rPr>
        <w:t>Aplūkojot kopumā apstrādes rūpniecību, redzams, ka jaunajās ES dalībvalstīs produktivitāte un darbaspēka izmaksas ir ievērojami zemākas nekā tādās Baltijas jūras reģiona valstīs kā Vācija, Somija, Zviedrija un Dānija (</w:t>
      </w:r>
      <w:proofErr w:type="spellStart"/>
      <w:r w:rsidRPr="003A3EC5">
        <w:rPr>
          <w:szCs w:val="28"/>
        </w:rPr>
        <w:t>skat</w:t>
      </w:r>
      <w:proofErr w:type="spellEnd"/>
      <w:r w:rsidRPr="003A3EC5">
        <w:rPr>
          <w:szCs w:val="28"/>
        </w:rPr>
        <w:t xml:space="preserve">. </w:t>
      </w:r>
      <w:r w:rsidR="00160797">
        <w:rPr>
          <w:szCs w:val="28"/>
        </w:rPr>
        <w:t>9</w:t>
      </w:r>
      <w:r w:rsidRPr="003A3EC5">
        <w:rPr>
          <w:szCs w:val="28"/>
        </w:rPr>
        <w:t>.</w:t>
      </w:r>
      <w:r w:rsidR="0097261E">
        <w:rPr>
          <w:szCs w:val="28"/>
        </w:rPr>
        <w:t xml:space="preserve"> un 10. </w:t>
      </w:r>
      <w:r w:rsidRPr="003A3EC5">
        <w:rPr>
          <w:szCs w:val="28"/>
        </w:rPr>
        <w:t xml:space="preserve">attēlu). </w:t>
      </w:r>
    </w:p>
    <w:p w:rsidR="006E5449" w:rsidRPr="003A3EC5" w:rsidRDefault="00160797" w:rsidP="006E5449">
      <w:pPr>
        <w:jc w:val="right"/>
        <w:rPr>
          <w:szCs w:val="28"/>
        </w:rPr>
      </w:pPr>
      <w:r>
        <w:rPr>
          <w:szCs w:val="28"/>
        </w:rPr>
        <w:t>9</w:t>
      </w:r>
      <w:r w:rsidR="006E5449" w:rsidRPr="003A3EC5">
        <w:rPr>
          <w:szCs w:val="28"/>
        </w:rPr>
        <w:t>.attēls</w:t>
      </w:r>
    </w:p>
    <w:p w:rsidR="006E5449" w:rsidRPr="003A3EC5" w:rsidRDefault="006E5449" w:rsidP="0097261E">
      <w:pPr>
        <w:pStyle w:val="Heading2"/>
        <w:spacing w:after="0"/>
        <w:jc w:val="center"/>
        <w:rPr>
          <w:rFonts w:cs="Times New Roman"/>
          <w:b w:val="0"/>
          <w:sz w:val="28"/>
          <w:szCs w:val="28"/>
        </w:rPr>
      </w:pPr>
      <w:r w:rsidRPr="003A3EC5">
        <w:rPr>
          <w:rFonts w:cs="Times New Roman"/>
          <w:sz w:val="28"/>
          <w:szCs w:val="28"/>
        </w:rPr>
        <w:t>Apstrādes rūpniecības pievienotā vērtība, darbaspēka izmaksas un produktivitāte</w:t>
      </w:r>
      <w:r w:rsidRPr="00DD431B">
        <w:rPr>
          <w:rStyle w:val="FootnoteReference"/>
          <w:rFonts w:cs="Times New Roman"/>
          <w:b w:val="0"/>
          <w:sz w:val="28"/>
          <w:szCs w:val="28"/>
        </w:rPr>
        <w:footnoteReference w:id="2"/>
      </w:r>
    </w:p>
    <w:p w:rsidR="006E5449" w:rsidRDefault="006E5449" w:rsidP="006E5449">
      <w:r w:rsidRPr="0014570E">
        <w:rPr>
          <w:rFonts w:ascii="Garamond" w:hAnsi="Garamond"/>
          <w:noProof/>
          <w:sz w:val="25"/>
          <w:szCs w:val="21"/>
          <w:lang w:eastAsia="lv-LV"/>
        </w:rPr>
        <w:drawing>
          <wp:inline distT="0" distB="0" distL="0" distR="0" wp14:anchorId="27050624" wp14:editId="06C94F06">
            <wp:extent cx="5838825" cy="1790700"/>
            <wp:effectExtent l="0" t="0" r="0" b="0"/>
            <wp:docPr id="2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E5449" w:rsidRPr="00C837B0" w:rsidRDefault="006E5449" w:rsidP="006E5449">
      <w:pPr>
        <w:jc w:val="both"/>
        <w:rPr>
          <w:sz w:val="12"/>
        </w:rPr>
      </w:pPr>
    </w:p>
    <w:p w:rsidR="006E5449" w:rsidRDefault="006E5449" w:rsidP="006E5449">
      <w:pPr>
        <w:jc w:val="both"/>
        <w:rPr>
          <w:szCs w:val="28"/>
        </w:rPr>
      </w:pPr>
      <w:r w:rsidRPr="0014570E">
        <w:rPr>
          <w:rFonts w:ascii="Garamond" w:hAnsi="Garamond"/>
          <w:noProof/>
          <w:sz w:val="25"/>
          <w:szCs w:val="21"/>
          <w:lang w:eastAsia="lv-LV"/>
        </w:rPr>
        <w:drawing>
          <wp:inline distT="0" distB="0" distL="0" distR="0" wp14:anchorId="73E958A4" wp14:editId="59FA8602">
            <wp:extent cx="5762625" cy="1647825"/>
            <wp:effectExtent l="0" t="0" r="0" b="0"/>
            <wp:docPr id="24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E5449" w:rsidRDefault="006E5449" w:rsidP="006E5449">
      <w:pPr>
        <w:ind w:firstLine="426"/>
        <w:jc w:val="both"/>
        <w:rPr>
          <w:szCs w:val="28"/>
        </w:rPr>
      </w:pPr>
    </w:p>
    <w:p w:rsidR="006E5449" w:rsidRDefault="0097261E" w:rsidP="006E5449">
      <w:pPr>
        <w:jc w:val="right"/>
        <w:rPr>
          <w:szCs w:val="28"/>
        </w:rPr>
      </w:pPr>
      <w:r>
        <w:rPr>
          <w:szCs w:val="28"/>
        </w:rPr>
        <w:t>10</w:t>
      </w:r>
      <w:r w:rsidR="006E5449">
        <w:rPr>
          <w:szCs w:val="28"/>
        </w:rPr>
        <w:t>.attēls</w:t>
      </w:r>
    </w:p>
    <w:p w:rsidR="006E5449" w:rsidRDefault="006E5449" w:rsidP="006E5449">
      <w:pPr>
        <w:jc w:val="center"/>
        <w:rPr>
          <w:szCs w:val="28"/>
        </w:rPr>
      </w:pPr>
      <w:r>
        <w:rPr>
          <w:b/>
          <w:szCs w:val="28"/>
        </w:rPr>
        <w:t>Produktivitāte un darbaspēka izmaksas</w:t>
      </w:r>
      <w:r w:rsidRPr="003A3EC5">
        <w:rPr>
          <w:b/>
          <w:szCs w:val="28"/>
        </w:rPr>
        <w:t xml:space="preserve"> apstrādes rūpniecības apakšnozarēs</w:t>
      </w:r>
      <w:r>
        <w:rPr>
          <w:b/>
          <w:szCs w:val="28"/>
        </w:rPr>
        <w:t xml:space="preserve">, </w:t>
      </w:r>
      <w:r>
        <w:rPr>
          <w:szCs w:val="28"/>
        </w:rPr>
        <w:t>2010</w:t>
      </w:r>
      <w:r w:rsidRPr="003A3EC5">
        <w:rPr>
          <w:szCs w:val="28"/>
        </w:rPr>
        <w:t>.gads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E5449" w:rsidTr="00A60A7E">
        <w:tc>
          <w:tcPr>
            <w:tcW w:w="4643" w:type="dxa"/>
            <w:vAlign w:val="center"/>
          </w:tcPr>
          <w:p w:rsidR="006E5449" w:rsidRPr="00D67686" w:rsidRDefault="006E5449" w:rsidP="0097261E">
            <w:pPr>
              <w:jc w:val="center"/>
              <w:rPr>
                <w:sz w:val="18"/>
                <w:szCs w:val="18"/>
              </w:rPr>
            </w:pPr>
            <w:r w:rsidRPr="000F1ABC">
              <w:rPr>
                <w:color w:val="000000"/>
                <w:sz w:val="22"/>
              </w:rPr>
              <w:t>Pārtikas rūpniecība</w:t>
            </w:r>
          </w:p>
        </w:tc>
        <w:tc>
          <w:tcPr>
            <w:tcW w:w="4644" w:type="dxa"/>
            <w:vAlign w:val="center"/>
          </w:tcPr>
          <w:p w:rsidR="006E5449" w:rsidRPr="00D67686" w:rsidRDefault="006E5449" w:rsidP="0097261E">
            <w:pPr>
              <w:jc w:val="center"/>
              <w:rPr>
                <w:sz w:val="18"/>
                <w:szCs w:val="18"/>
              </w:rPr>
            </w:pPr>
            <w:r w:rsidRPr="000F1ABC">
              <w:rPr>
                <w:color w:val="000000"/>
                <w:sz w:val="22"/>
              </w:rPr>
              <w:t>Vieglā rūpniecība</w:t>
            </w:r>
          </w:p>
        </w:tc>
      </w:tr>
      <w:tr w:rsidR="006E5449" w:rsidTr="00A60A7E">
        <w:tc>
          <w:tcPr>
            <w:tcW w:w="4643" w:type="dxa"/>
          </w:tcPr>
          <w:p w:rsidR="006E5449" w:rsidRDefault="006E5449" w:rsidP="00A60A7E">
            <w:pPr>
              <w:jc w:val="center"/>
              <w:rPr>
                <w:szCs w:val="28"/>
              </w:rPr>
            </w:pPr>
            <w:r w:rsidRPr="0058369E">
              <w:rPr>
                <w:noProof/>
                <w:sz w:val="18"/>
                <w:szCs w:val="18"/>
              </w:rPr>
              <w:drawing>
                <wp:inline distT="0" distB="0" distL="0" distR="0" wp14:anchorId="21A51DC2" wp14:editId="56736DAC">
                  <wp:extent cx="2809875" cy="1771650"/>
                  <wp:effectExtent l="0" t="0" r="0" b="0"/>
                  <wp:docPr id="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644" w:type="dxa"/>
          </w:tcPr>
          <w:p w:rsidR="006E5449" w:rsidRDefault="006E5449" w:rsidP="00A60A7E">
            <w:pPr>
              <w:jc w:val="center"/>
              <w:rPr>
                <w:szCs w:val="28"/>
              </w:rPr>
            </w:pPr>
            <w:r w:rsidRPr="0058369E">
              <w:rPr>
                <w:noProof/>
                <w:sz w:val="18"/>
                <w:szCs w:val="18"/>
              </w:rPr>
              <w:drawing>
                <wp:inline distT="0" distB="0" distL="0" distR="0" wp14:anchorId="2543434A" wp14:editId="207945A0">
                  <wp:extent cx="2809875" cy="1771650"/>
                  <wp:effectExtent l="0" t="0" r="0" b="0"/>
                  <wp:docPr id="248"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6E5449" w:rsidRPr="00801875" w:rsidTr="00A60A7E">
        <w:tc>
          <w:tcPr>
            <w:tcW w:w="4643" w:type="dxa"/>
          </w:tcPr>
          <w:p w:rsidR="006E5449" w:rsidRPr="00801875" w:rsidRDefault="006E5449" w:rsidP="00A60A7E">
            <w:pPr>
              <w:spacing w:before="120"/>
              <w:jc w:val="center"/>
              <w:rPr>
                <w:color w:val="000000"/>
                <w:sz w:val="22"/>
              </w:rPr>
            </w:pPr>
            <w:r w:rsidRPr="000F1ABC">
              <w:rPr>
                <w:color w:val="000000"/>
                <w:sz w:val="22"/>
              </w:rPr>
              <w:lastRenderedPageBreak/>
              <w:t>Kokapstrāde</w:t>
            </w:r>
          </w:p>
        </w:tc>
        <w:tc>
          <w:tcPr>
            <w:tcW w:w="4644" w:type="dxa"/>
          </w:tcPr>
          <w:p w:rsidR="006E5449" w:rsidRPr="00801875" w:rsidRDefault="006E5449" w:rsidP="00A60A7E">
            <w:pPr>
              <w:spacing w:before="120"/>
              <w:jc w:val="center"/>
              <w:rPr>
                <w:color w:val="000000"/>
                <w:sz w:val="22"/>
              </w:rPr>
            </w:pPr>
            <w:r w:rsidRPr="000F1ABC">
              <w:rPr>
                <w:color w:val="000000"/>
                <w:sz w:val="22"/>
              </w:rPr>
              <w:t>Papīra ražošana un poligrāfija</w:t>
            </w:r>
          </w:p>
        </w:tc>
      </w:tr>
      <w:tr w:rsidR="006E5449" w:rsidTr="00A60A7E">
        <w:tc>
          <w:tcPr>
            <w:tcW w:w="4643" w:type="dxa"/>
          </w:tcPr>
          <w:p w:rsidR="006E5449" w:rsidRDefault="006E5449" w:rsidP="00A60A7E">
            <w:pPr>
              <w:jc w:val="center"/>
              <w:rPr>
                <w:szCs w:val="28"/>
              </w:rPr>
            </w:pPr>
            <w:r w:rsidRPr="0058369E">
              <w:rPr>
                <w:noProof/>
                <w:sz w:val="18"/>
                <w:szCs w:val="18"/>
              </w:rPr>
              <w:drawing>
                <wp:inline distT="0" distB="0" distL="0" distR="0" wp14:anchorId="38CE3CBC" wp14:editId="5AFCD56E">
                  <wp:extent cx="2812211" cy="1897811"/>
                  <wp:effectExtent l="0" t="0" r="0" b="7620"/>
                  <wp:docPr id="249"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644" w:type="dxa"/>
          </w:tcPr>
          <w:p w:rsidR="006E5449" w:rsidRDefault="006E5449" w:rsidP="00A60A7E">
            <w:pPr>
              <w:jc w:val="center"/>
              <w:rPr>
                <w:szCs w:val="28"/>
              </w:rPr>
            </w:pPr>
            <w:r w:rsidRPr="0058369E">
              <w:rPr>
                <w:noProof/>
                <w:sz w:val="18"/>
                <w:szCs w:val="18"/>
              </w:rPr>
              <w:drawing>
                <wp:inline distT="0" distB="0" distL="0" distR="0" wp14:anchorId="3094D4B3" wp14:editId="58B0948B">
                  <wp:extent cx="2812211" cy="1897811"/>
                  <wp:effectExtent l="0" t="0" r="0" b="7620"/>
                  <wp:docPr id="250"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6E5449" w:rsidRPr="00801875" w:rsidTr="00A60A7E">
        <w:tc>
          <w:tcPr>
            <w:tcW w:w="4643" w:type="dxa"/>
            <w:vAlign w:val="center"/>
          </w:tcPr>
          <w:p w:rsidR="006E5449" w:rsidRPr="008A4860" w:rsidRDefault="006E5449" w:rsidP="00A60A7E">
            <w:pPr>
              <w:spacing w:before="120"/>
              <w:jc w:val="center"/>
              <w:rPr>
                <w:color w:val="000000"/>
                <w:sz w:val="22"/>
              </w:rPr>
            </w:pPr>
            <w:r w:rsidRPr="000F1ABC">
              <w:rPr>
                <w:color w:val="000000"/>
                <w:sz w:val="22"/>
              </w:rPr>
              <w:t>Ķīmiskā rūpniecība</w:t>
            </w:r>
          </w:p>
        </w:tc>
        <w:tc>
          <w:tcPr>
            <w:tcW w:w="4644" w:type="dxa"/>
            <w:vAlign w:val="center"/>
          </w:tcPr>
          <w:p w:rsidR="006E5449" w:rsidRDefault="006E5449" w:rsidP="00A60A7E">
            <w:pPr>
              <w:spacing w:before="120"/>
              <w:jc w:val="center"/>
              <w:rPr>
                <w:color w:val="000000"/>
                <w:sz w:val="22"/>
              </w:rPr>
            </w:pPr>
            <w:r w:rsidRPr="000F1ABC">
              <w:rPr>
                <w:color w:val="000000"/>
                <w:sz w:val="22"/>
              </w:rPr>
              <w:t>Nemetālisko minerālu ražošana</w:t>
            </w:r>
          </w:p>
        </w:tc>
      </w:tr>
      <w:tr w:rsidR="006E5449" w:rsidTr="00A60A7E">
        <w:tc>
          <w:tcPr>
            <w:tcW w:w="4643" w:type="dxa"/>
          </w:tcPr>
          <w:p w:rsidR="006E5449" w:rsidRDefault="006E5449" w:rsidP="00A60A7E">
            <w:pPr>
              <w:jc w:val="center"/>
              <w:rPr>
                <w:szCs w:val="28"/>
              </w:rPr>
            </w:pPr>
            <w:r w:rsidRPr="0058369E">
              <w:rPr>
                <w:noProof/>
                <w:sz w:val="18"/>
                <w:szCs w:val="18"/>
              </w:rPr>
              <w:drawing>
                <wp:inline distT="0" distB="0" distL="0" distR="0" wp14:anchorId="3D244693" wp14:editId="33B450BE">
                  <wp:extent cx="2809875" cy="1771650"/>
                  <wp:effectExtent l="0" t="0" r="0" b="0"/>
                  <wp:docPr id="25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644" w:type="dxa"/>
          </w:tcPr>
          <w:p w:rsidR="006E5449" w:rsidRDefault="006E5449" w:rsidP="00A60A7E">
            <w:pPr>
              <w:jc w:val="center"/>
              <w:rPr>
                <w:szCs w:val="28"/>
              </w:rPr>
            </w:pPr>
            <w:r w:rsidRPr="0058369E">
              <w:rPr>
                <w:noProof/>
                <w:sz w:val="18"/>
                <w:szCs w:val="18"/>
              </w:rPr>
              <w:drawing>
                <wp:inline distT="0" distB="0" distL="0" distR="0" wp14:anchorId="278A4C9C" wp14:editId="7FA9D05D">
                  <wp:extent cx="2809875" cy="1771650"/>
                  <wp:effectExtent l="0" t="0" r="0" b="0"/>
                  <wp:docPr id="252"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6E5449" w:rsidRPr="00801875" w:rsidTr="00A60A7E">
        <w:tc>
          <w:tcPr>
            <w:tcW w:w="4643" w:type="dxa"/>
            <w:vAlign w:val="bottom"/>
          </w:tcPr>
          <w:p w:rsidR="006E5449" w:rsidRPr="008A4860" w:rsidRDefault="006E5449" w:rsidP="00A60A7E">
            <w:pPr>
              <w:spacing w:before="120"/>
              <w:jc w:val="center"/>
              <w:rPr>
                <w:color w:val="000000"/>
                <w:sz w:val="22"/>
              </w:rPr>
            </w:pPr>
            <w:r w:rsidRPr="000F1ABC">
              <w:rPr>
                <w:color w:val="000000"/>
                <w:sz w:val="22"/>
              </w:rPr>
              <w:t>Metāl</w:t>
            </w:r>
            <w:r>
              <w:rPr>
                <w:color w:val="000000"/>
                <w:sz w:val="22"/>
              </w:rPr>
              <w:t>apstrāde</w:t>
            </w:r>
          </w:p>
        </w:tc>
        <w:tc>
          <w:tcPr>
            <w:tcW w:w="4644" w:type="dxa"/>
            <w:vAlign w:val="bottom"/>
          </w:tcPr>
          <w:p w:rsidR="006E5449" w:rsidRPr="008A4860" w:rsidRDefault="006E5449" w:rsidP="00A60A7E">
            <w:pPr>
              <w:spacing w:before="120"/>
              <w:jc w:val="center"/>
              <w:rPr>
                <w:color w:val="000000"/>
                <w:sz w:val="22"/>
              </w:rPr>
            </w:pPr>
            <w:r>
              <w:rPr>
                <w:color w:val="000000"/>
                <w:sz w:val="22"/>
              </w:rPr>
              <w:t>Elektrisko</w:t>
            </w:r>
            <w:r w:rsidRPr="000F1ABC">
              <w:rPr>
                <w:color w:val="000000"/>
                <w:sz w:val="22"/>
              </w:rPr>
              <w:t xml:space="preserve"> ierīču ražošana</w:t>
            </w:r>
          </w:p>
        </w:tc>
      </w:tr>
      <w:tr w:rsidR="006E5449" w:rsidTr="00A60A7E">
        <w:tc>
          <w:tcPr>
            <w:tcW w:w="4643" w:type="dxa"/>
          </w:tcPr>
          <w:p w:rsidR="006E5449" w:rsidRDefault="006E5449" w:rsidP="00A60A7E">
            <w:pPr>
              <w:jc w:val="center"/>
              <w:rPr>
                <w:szCs w:val="28"/>
              </w:rPr>
            </w:pPr>
            <w:r w:rsidRPr="0058369E">
              <w:rPr>
                <w:noProof/>
                <w:sz w:val="18"/>
                <w:szCs w:val="18"/>
              </w:rPr>
              <w:drawing>
                <wp:inline distT="0" distB="0" distL="0" distR="0" wp14:anchorId="6D8BCF74" wp14:editId="27A29964">
                  <wp:extent cx="2812211" cy="1897811"/>
                  <wp:effectExtent l="0" t="0" r="0" b="7620"/>
                  <wp:docPr id="25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644" w:type="dxa"/>
          </w:tcPr>
          <w:p w:rsidR="006E5449" w:rsidRDefault="006E5449" w:rsidP="00A60A7E">
            <w:pPr>
              <w:jc w:val="center"/>
              <w:rPr>
                <w:szCs w:val="28"/>
              </w:rPr>
            </w:pPr>
            <w:r w:rsidRPr="0058369E">
              <w:rPr>
                <w:noProof/>
                <w:sz w:val="18"/>
                <w:szCs w:val="18"/>
              </w:rPr>
              <w:drawing>
                <wp:inline distT="0" distB="0" distL="0" distR="0" wp14:anchorId="23E35BBC" wp14:editId="6442FCEF">
                  <wp:extent cx="2812211" cy="1897811"/>
                  <wp:effectExtent l="0" t="0" r="0" b="7620"/>
                  <wp:docPr id="25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6E5449" w:rsidRPr="00801875" w:rsidTr="00A60A7E">
        <w:tc>
          <w:tcPr>
            <w:tcW w:w="4643" w:type="dxa"/>
          </w:tcPr>
          <w:p w:rsidR="006E5449" w:rsidRPr="00801875" w:rsidRDefault="006E5449" w:rsidP="00A60A7E">
            <w:pPr>
              <w:spacing w:before="120"/>
              <w:jc w:val="center"/>
              <w:rPr>
                <w:color w:val="000000"/>
                <w:sz w:val="22"/>
              </w:rPr>
            </w:pPr>
            <w:r w:rsidRPr="000F1ABC">
              <w:rPr>
                <w:color w:val="000000"/>
                <w:sz w:val="22"/>
              </w:rPr>
              <w:t>Mašīnu un iekārtu ražošana</w:t>
            </w:r>
          </w:p>
        </w:tc>
        <w:tc>
          <w:tcPr>
            <w:tcW w:w="4644" w:type="dxa"/>
          </w:tcPr>
          <w:p w:rsidR="006E5449" w:rsidRPr="00801875" w:rsidRDefault="006E5449" w:rsidP="00A60A7E">
            <w:pPr>
              <w:spacing w:before="120"/>
              <w:jc w:val="center"/>
              <w:rPr>
                <w:color w:val="000000"/>
                <w:sz w:val="22"/>
              </w:rPr>
            </w:pPr>
            <w:r w:rsidRPr="000F1ABC">
              <w:rPr>
                <w:color w:val="000000"/>
                <w:sz w:val="22"/>
              </w:rPr>
              <w:t>Transportlīdzekļu ražošana</w:t>
            </w:r>
          </w:p>
        </w:tc>
      </w:tr>
      <w:tr w:rsidR="006E5449" w:rsidTr="00A60A7E">
        <w:tc>
          <w:tcPr>
            <w:tcW w:w="4643" w:type="dxa"/>
          </w:tcPr>
          <w:p w:rsidR="006E5449" w:rsidRDefault="006E5449" w:rsidP="00A60A7E">
            <w:pPr>
              <w:jc w:val="center"/>
              <w:rPr>
                <w:szCs w:val="28"/>
              </w:rPr>
            </w:pPr>
            <w:r w:rsidRPr="0058369E">
              <w:rPr>
                <w:noProof/>
                <w:sz w:val="18"/>
                <w:szCs w:val="18"/>
              </w:rPr>
              <w:drawing>
                <wp:inline distT="0" distB="0" distL="0" distR="0" wp14:anchorId="3EAF881D" wp14:editId="6F05A6BC">
                  <wp:extent cx="2812211" cy="1897811"/>
                  <wp:effectExtent l="0" t="0" r="0" b="7620"/>
                  <wp:docPr id="25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644" w:type="dxa"/>
          </w:tcPr>
          <w:p w:rsidR="006E5449" w:rsidRDefault="006E5449" w:rsidP="00A60A7E">
            <w:pPr>
              <w:jc w:val="center"/>
              <w:rPr>
                <w:szCs w:val="28"/>
              </w:rPr>
            </w:pPr>
            <w:r w:rsidRPr="0058369E">
              <w:rPr>
                <w:noProof/>
                <w:sz w:val="18"/>
                <w:szCs w:val="18"/>
              </w:rPr>
              <w:drawing>
                <wp:inline distT="0" distB="0" distL="0" distR="0" wp14:anchorId="46DA7135" wp14:editId="4535E248">
                  <wp:extent cx="2812211" cy="1897811"/>
                  <wp:effectExtent l="0" t="0" r="0" b="7620"/>
                  <wp:docPr id="25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6E5449" w:rsidRDefault="006E5449" w:rsidP="006E5449">
      <w:pPr>
        <w:jc w:val="center"/>
        <w:rPr>
          <w:szCs w:val="28"/>
        </w:rPr>
      </w:pPr>
    </w:p>
    <w:p w:rsidR="0097261E" w:rsidRDefault="0097261E" w:rsidP="0097261E">
      <w:pPr>
        <w:ind w:firstLine="426"/>
        <w:jc w:val="both"/>
        <w:rPr>
          <w:szCs w:val="28"/>
        </w:rPr>
      </w:pPr>
      <w:r>
        <w:rPr>
          <w:szCs w:val="28"/>
        </w:rPr>
        <w:t xml:space="preserve">Lai arī </w:t>
      </w:r>
      <w:r w:rsidRPr="003A3EC5">
        <w:rPr>
          <w:szCs w:val="28"/>
        </w:rPr>
        <w:t xml:space="preserve">produktivitāte un darbaspēka izmaksas </w:t>
      </w:r>
      <w:r>
        <w:rPr>
          <w:szCs w:val="28"/>
        </w:rPr>
        <w:t xml:space="preserve">Latvijā </w:t>
      </w:r>
      <w:r w:rsidRPr="003A3EC5">
        <w:rPr>
          <w:szCs w:val="28"/>
        </w:rPr>
        <w:t xml:space="preserve">ir ievērojami zemākas nekā </w:t>
      </w:r>
      <w:r>
        <w:rPr>
          <w:szCs w:val="28"/>
        </w:rPr>
        <w:t>Vācijā</w:t>
      </w:r>
      <w:r w:rsidRPr="003A3EC5">
        <w:rPr>
          <w:szCs w:val="28"/>
        </w:rPr>
        <w:t>, Somij</w:t>
      </w:r>
      <w:r>
        <w:rPr>
          <w:szCs w:val="28"/>
        </w:rPr>
        <w:t xml:space="preserve">ā, Zviedrijā, Dānijā un atsevišķās nozarēs arī zemākas nekā </w:t>
      </w:r>
      <w:r>
        <w:rPr>
          <w:szCs w:val="28"/>
        </w:rPr>
        <w:lastRenderedPageBreak/>
        <w:t xml:space="preserve">pārējās jaunajās dalībvalstīs, tomēr apstrādes rūpniecības rentabilitātes rādītāji neatpaliek </w:t>
      </w:r>
      <w:r w:rsidR="00F60432">
        <w:rPr>
          <w:szCs w:val="28"/>
        </w:rPr>
        <w:t xml:space="preserve">no </w:t>
      </w:r>
      <w:r>
        <w:rPr>
          <w:szCs w:val="28"/>
        </w:rPr>
        <w:t>citām valstīm. Tas nozīmē, ka Latvijas apstrādes rūpniecības konkurētspējas priekšrocības pašreiz ir lētais darbaspēks.</w:t>
      </w:r>
      <w:r w:rsidR="00E25A53">
        <w:rPr>
          <w:szCs w:val="28"/>
        </w:rPr>
        <w:t xml:space="preserve"> Gan lētais darbaspēks, gan vienlaikus augstā rentabilitāte nerada stimulus uzņēmējdarbības modeļa maiņai un citu salīdzinošo priekšrocību radīšanai.</w:t>
      </w:r>
    </w:p>
    <w:p w:rsidR="0097261E" w:rsidRPr="003A3EC5" w:rsidRDefault="0097261E" w:rsidP="0097261E">
      <w:pPr>
        <w:ind w:firstLine="426"/>
        <w:jc w:val="both"/>
        <w:rPr>
          <w:szCs w:val="28"/>
        </w:rPr>
      </w:pPr>
      <w:r w:rsidRPr="003A3EC5">
        <w:rPr>
          <w:szCs w:val="28"/>
        </w:rPr>
        <w:t xml:space="preserve">Ņemot vērā, ka brīva darbaspēka kustības apstākļos ilgstoši uzturēt zemas darbaspēka izmaksas nebūs iespējams, Latvijā un arī pārējās jaunajās ES dalībvalstīs apstrādes rūpniecības paplašināšanās iespējas ir saistītas vienīgi ar produktivitātes pieaugumu. </w:t>
      </w:r>
    </w:p>
    <w:p w:rsidR="006E5449" w:rsidRPr="003A3EC5" w:rsidRDefault="0097261E" w:rsidP="006E5449">
      <w:pPr>
        <w:ind w:firstLine="426"/>
        <w:jc w:val="both"/>
        <w:rPr>
          <w:szCs w:val="28"/>
        </w:rPr>
      </w:pPr>
      <w:r>
        <w:rPr>
          <w:szCs w:val="28"/>
        </w:rPr>
        <w:t>Lai arī pašlaik rentabilitāte kopumā apstrādes rūpniecībā Latvijā salīdzinājumā ar citām valstīm ir augsta, tomēr apstrādes rūpniecības struktūrā izteikti dominē zemo tehnoloģiju nozares</w:t>
      </w:r>
      <w:r w:rsidRPr="0097261E">
        <w:rPr>
          <w:szCs w:val="28"/>
        </w:rPr>
        <w:t xml:space="preserve"> </w:t>
      </w:r>
      <w:r w:rsidRPr="003A3EC5">
        <w:rPr>
          <w:szCs w:val="28"/>
        </w:rPr>
        <w:t>(</w:t>
      </w:r>
      <w:proofErr w:type="spellStart"/>
      <w:r w:rsidRPr="003A3EC5">
        <w:rPr>
          <w:szCs w:val="28"/>
        </w:rPr>
        <w:t>skat</w:t>
      </w:r>
      <w:proofErr w:type="spellEnd"/>
      <w:r w:rsidRPr="003A3EC5">
        <w:rPr>
          <w:szCs w:val="28"/>
        </w:rPr>
        <w:t xml:space="preserve">. </w:t>
      </w:r>
      <w:r>
        <w:rPr>
          <w:szCs w:val="28"/>
        </w:rPr>
        <w:t>11</w:t>
      </w:r>
      <w:r w:rsidRPr="003A3EC5">
        <w:rPr>
          <w:szCs w:val="28"/>
        </w:rPr>
        <w:t>.attēlu).</w:t>
      </w:r>
      <w:r>
        <w:rPr>
          <w:szCs w:val="28"/>
        </w:rPr>
        <w:t xml:space="preserve"> Atšķirība ir sevišķi </w:t>
      </w:r>
      <w:r w:rsidR="006E5449" w:rsidRPr="003A3EC5">
        <w:rPr>
          <w:szCs w:val="28"/>
        </w:rPr>
        <w:t>izteikt</w:t>
      </w:r>
      <w:r>
        <w:rPr>
          <w:szCs w:val="28"/>
        </w:rPr>
        <w:t>a</w:t>
      </w:r>
      <w:r w:rsidR="006E5449" w:rsidRPr="003A3EC5">
        <w:rPr>
          <w:szCs w:val="28"/>
        </w:rPr>
        <w:t>, salīdzinot Latviju ar pārējām Baltijas jūras reģiona valstīm.</w:t>
      </w:r>
    </w:p>
    <w:p w:rsidR="006E5449" w:rsidRPr="003A3EC5" w:rsidRDefault="006E5449" w:rsidP="006E5449">
      <w:pPr>
        <w:jc w:val="right"/>
        <w:rPr>
          <w:szCs w:val="28"/>
        </w:rPr>
      </w:pPr>
      <w:r>
        <w:rPr>
          <w:szCs w:val="28"/>
        </w:rPr>
        <w:t>11</w:t>
      </w:r>
      <w:r w:rsidRPr="003A3EC5">
        <w:rPr>
          <w:szCs w:val="28"/>
        </w:rPr>
        <w:t>.attēls</w:t>
      </w:r>
    </w:p>
    <w:p w:rsidR="006E5449" w:rsidRPr="003A3EC5" w:rsidRDefault="006E5449" w:rsidP="006E5449">
      <w:pPr>
        <w:jc w:val="center"/>
        <w:rPr>
          <w:rFonts w:cs="Times New Roman"/>
          <w:b/>
          <w:color w:val="000000"/>
          <w:szCs w:val="28"/>
        </w:rPr>
      </w:pPr>
      <w:r w:rsidRPr="003A3EC5">
        <w:rPr>
          <w:rFonts w:cs="Times New Roman"/>
          <w:b/>
          <w:color w:val="000000"/>
          <w:szCs w:val="28"/>
        </w:rPr>
        <w:t xml:space="preserve">Apstrādes rūpniecības struktūra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9"/>
        <w:gridCol w:w="52"/>
        <w:gridCol w:w="3732"/>
        <w:gridCol w:w="85"/>
        <w:gridCol w:w="1543"/>
        <w:gridCol w:w="106"/>
      </w:tblGrid>
      <w:tr w:rsidR="006E5449" w:rsidRPr="003A3EC5" w:rsidTr="0097261E">
        <w:trPr>
          <w:gridAfter w:val="1"/>
          <w:wAfter w:w="57" w:type="pct"/>
        </w:trPr>
        <w:tc>
          <w:tcPr>
            <w:tcW w:w="4943" w:type="pct"/>
            <w:gridSpan w:val="5"/>
            <w:vAlign w:val="center"/>
          </w:tcPr>
          <w:p w:rsidR="006E5449" w:rsidRPr="003A3EC5" w:rsidRDefault="006E5449" w:rsidP="00A60A7E">
            <w:pPr>
              <w:spacing w:before="120"/>
              <w:jc w:val="center"/>
              <w:rPr>
                <w:b/>
                <w:color w:val="000000"/>
                <w:sz w:val="28"/>
                <w:szCs w:val="28"/>
              </w:rPr>
            </w:pPr>
            <w:r w:rsidRPr="003A3EC5">
              <w:rPr>
                <w:b/>
                <w:color w:val="000000"/>
                <w:sz w:val="28"/>
                <w:szCs w:val="28"/>
              </w:rPr>
              <w:t>Pēc tehnoloģiskā līmeņa</w:t>
            </w:r>
          </w:p>
        </w:tc>
      </w:tr>
      <w:tr w:rsidR="006E5449" w:rsidRPr="00C837B0" w:rsidTr="0097261E">
        <w:trPr>
          <w:gridAfter w:val="1"/>
          <w:wAfter w:w="57" w:type="pct"/>
        </w:trPr>
        <w:tc>
          <w:tcPr>
            <w:tcW w:w="2057" w:type="pct"/>
            <w:gridSpan w:val="2"/>
            <w:vAlign w:val="center"/>
          </w:tcPr>
          <w:p w:rsidR="006E5449" w:rsidRPr="00C837B0" w:rsidRDefault="006E5449" w:rsidP="00A60A7E">
            <w:pPr>
              <w:spacing w:before="120"/>
              <w:jc w:val="center"/>
              <w:rPr>
                <w:sz w:val="22"/>
                <w:szCs w:val="22"/>
              </w:rPr>
            </w:pPr>
            <w:r w:rsidRPr="00C837B0">
              <w:rPr>
                <w:color w:val="000000"/>
                <w:sz w:val="22"/>
                <w:szCs w:val="22"/>
              </w:rPr>
              <w:t>Jaunās ES dalībvalstis</w:t>
            </w:r>
          </w:p>
        </w:tc>
        <w:tc>
          <w:tcPr>
            <w:tcW w:w="2055" w:type="pct"/>
            <w:gridSpan w:val="2"/>
            <w:vAlign w:val="center"/>
          </w:tcPr>
          <w:p w:rsidR="006E5449" w:rsidRPr="00C837B0" w:rsidRDefault="006E5449" w:rsidP="00A60A7E">
            <w:pPr>
              <w:spacing w:before="120"/>
              <w:jc w:val="center"/>
              <w:rPr>
                <w:sz w:val="22"/>
                <w:szCs w:val="22"/>
              </w:rPr>
            </w:pPr>
            <w:r w:rsidRPr="00C837B0">
              <w:rPr>
                <w:color w:val="000000"/>
                <w:sz w:val="22"/>
                <w:szCs w:val="22"/>
              </w:rPr>
              <w:t>Baltijas jūras reģiona valstis</w:t>
            </w:r>
          </w:p>
        </w:tc>
        <w:tc>
          <w:tcPr>
            <w:tcW w:w="830" w:type="pct"/>
          </w:tcPr>
          <w:p w:rsidR="006E5449" w:rsidRPr="00C837B0" w:rsidRDefault="006E5449" w:rsidP="00A60A7E">
            <w:pPr>
              <w:spacing w:before="120"/>
              <w:jc w:val="center"/>
              <w:rPr>
                <w:color w:val="000000"/>
                <w:sz w:val="22"/>
                <w:szCs w:val="22"/>
              </w:rPr>
            </w:pPr>
          </w:p>
        </w:tc>
      </w:tr>
      <w:tr w:rsidR="006E5449" w:rsidRPr="00D67686" w:rsidTr="0097261E">
        <w:trPr>
          <w:gridAfter w:val="1"/>
          <w:wAfter w:w="57" w:type="pct"/>
        </w:trPr>
        <w:tc>
          <w:tcPr>
            <w:tcW w:w="2057" w:type="pct"/>
            <w:gridSpan w:val="2"/>
            <w:vAlign w:val="center"/>
          </w:tcPr>
          <w:p w:rsidR="006E5449" w:rsidRPr="00D67686" w:rsidRDefault="006E5449" w:rsidP="00A60A7E">
            <w:pPr>
              <w:spacing w:after="20"/>
              <w:jc w:val="center"/>
              <w:rPr>
                <w:sz w:val="18"/>
                <w:szCs w:val="18"/>
              </w:rPr>
            </w:pPr>
            <w:r w:rsidRPr="0058369E">
              <w:rPr>
                <w:noProof/>
                <w:sz w:val="18"/>
                <w:szCs w:val="18"/>
              </w:rPr>
              <w:drawing>
                <wp:inline distT="0" distB="0" distL="0" distR="0" wp14:anchorId="77C24481" wp14:editId="72CAEF96">
                  <wp:extent cx="2305050" cy="2203450"/>
                  <wp:effectExtent l="0" t="0" r="0" b="0"/>
                  <wp:docPr id="7"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2055" w:type="pct"/>
            <w:gridSpan w:val="2"/>
            <w:vAlign w:val="center"/>
          </w:tcPr>
          <w:p w:rsidR="006E5449" w:rsidRPr="00D67686" w:rsidRDefault="006E5449" w:rsidP="00A60A7E">
            <w:pPr>
              <w:spacing w:after="20"/>
              <w:jc w:val="center"/>
              <w:rPr>
                <w:sz w:val="18"/>
                <w:szCs w:val="18"/>
              </w:rPr>
            </w:pPr>
            <w:r w:rsidRPr="0058369E">
              <w:rPr>
                <w:noProof/>
                <w:sz w:val="18"/>
                <w:szCs w:val="18"/>
              </w:rPr>
              <w:drawing>
                <wp:inline distT="0" distB="0" distL="0" distR="0" wp14:anchorId="6E564EE4" wp14:editId="001D7559">
                  <wp:extent cx="2305050" cy="2203450"/>
                  <wp:effectExtent l="0" t="0" r="0" b="0"/>
                  <wp:docPr id="24"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830" w:type="pct"/>
          </w:tcPr>
          <w:p w:rsidR="006E5449" w:rsidRPr="0058369E" w:rsidRDefault="006E5449" w:rsidP="00A60A7E">
            <w:pPr>
              <w:spacing w:after="20"/>
              <w:jc w:val="center"/>
              <w:rPr>
                <w:noProof/>
                <w:sz w:val="18"/>
                <w:szCs w:val="18"/>
              </w:rPr>
            </w:pPr>
            <w:r w:rsidRPr="0058369E">
              <w:rPr>
                <w:noProof/>
                <w:sz w:val="18"/>
                <w:szCs w:val="18"/>
              </w:rPr>
              <w:drawing>
                <wp:inline distT="0" distB="0" distL="0" distR="0" wp14:anchorId="052B75D5" wp14:editId="6F541D15">
                  <wp:extent cx="826935" cy="2099144"/>
                  <wp:effectExtent l="0" t="0" r="0" b="0"/>
                  <wp:docPr id="23"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6E5449" w:rsidRPr="003A3EC5" w:rsidTr="0097261E">
        <w:trPr>
          <w:gridAfter w:val="1"/>
          <w:wAfter w:w="57" w:type="pct"/>
        </w:trPr>
        <w:tc>
          <w:tcPr>
            <w:tcW w:w="4943" w:type="pct"/>
            <w:gridSpan w:val="5"/>
            <w:vAlign w:val="center"/>
          </w:tcPr>
          <w:p w:rsidR="006E5449" w:rsidRPr="003A3EC5" w:rsidRDefault="006E5449" w:rsidP="00A60A7E">
            <w:pPr>
              <w:spacing w:before="120"/>
              <w:jc w:val="center"/>
              <w:rPr>
                <w:b/>
                <w:color w:val="000000"/>
                <w:sz w:val="28"/>
                <w:szCs w:val="28"/>
              </w:rPr>
            </w:pPr>
            <w:r w:rsidRPr="003A3EC5">
              <w:rPr>
                <w:b/>
                <w:color w:val="000000"/>
                <w:sz w:val="28"/>
                <w:szCs w:val="28"/>
              </w:rPr>
              <w:t>Pa apakšnozarēm</w:t>
            </w:r>
          </w:p>
        </w:tc>
      </w:tr>
      <w:tr w:rsidR="006E5449" w:rsidRPr="00C837B0" w:rsidTr="0097261E">
        <w:tc>
          <w:tcPr>
            <w:tcW w:w="2029" w:type="pct"/>
            <w:vAlign w:val="center"/>
          </w:tcPr>
          <w:p w:rsidR="006E5449" w:rsidRPr="00C837B0" w:rsidRDefault="006E5449" w:rsidP="00A60A7E">
            <w:pPr>
              <w:spacing w:before="120"/>
              <w:jc w:val="center"/>
              <w:rPr>
                <w:sz w:val="22"/>
                <w:szCs w:val="22"/>
              </w:rPr>
            </w:pPr>
            <w:r w:rsidRPr="00C837B0">
              <w:rPr>
                <w:color w:val="000000"/>
                <w:sz w:val="22"/>
                <w:szCs w:val="22"/>
              </w:rPr>
              <w:t>Jaunās ES dalībvalstis</w:t>
            </w:r>
          </w:p>
        </w:tc>
        <w:tc>
          <w:tcPr>
            <w:tcW w:w="2037" w:type="pct"/>
            <w:gridSpan w:val="2"/>
            <w:vAlign w:val="center"/>
          </w:tcPr>
          <w:p w:rsidR="006E5449" w:rsidRPr="00C837B0" w:rsidRDefault="006E5449" w:rsidP="00A60A7E">
            <w:pPr>
              <w:spacing w:before="120"/>
              <w:jc w:val="center"/>
              <w:rPr>
                <w:sz w:val="22"/>
                <w:szCs w:val="22"/>
              </w:rPr>
            </w:pPr>
            <w:r w:rsidRPr="00C837B0">
              <w:rPr>
                <w:color w:val="000000"/>
                <w:sz w:val="22"/>
                <w:szCs w:val="22"/>
              </w:rPr>
              <w:t>Baltijas jūras reģiona valstis</w:t>
            </w:r>
          </w:p>
        </w:tc>
        <w:tc>
          <w:tcPr>
            <w:tcW w:w="934" w:type="pct"/>
            <w:gridSpan w:val="3"/>
          </w:tcPr>
          <w:p w:rsidR="006E5449" w:rsidRPr="00C837B0" w:rsidRDefault="006E5449" w:rsidP="00A60A7E">
            <w:pPr>
              <w:spacing w:before="120"/>
              <w:jc w:val="center"/>
              <w:rPr>
                <w:color w:val="000000"/>
                <w:sz w:val="22"/>
                <w:szCs w:val="22"/>
              </w:rPr>
            </w:pPr>
          </w:p>
        </w:tc>
      </w:tr>
      <w:tr w:rsidR="006E5449" w:rsidRPr="00D67686" w:rsidTr="0097261E">
        <w:tc>
          <w:tcPr>
            <w:tcW w:w="2029" w:type="pct"/>
            <w:vAlign w:val="center"/>
          </w:tcPr>
          <w:p w:rsidR="006E5449" w:rsidRPr="00D67686" w:rsidRDefault="006E5449" w:rsidP="00A60A7E">
            <w:pPr>
              <w:spacing w:after="20"/>
              <w:jc w:val="center"/>
              <w:rPr>
                <w:sz w:val="18"/>
                <w:szCs w:val="18"/>
              </w:rPr>
            </w:pPr>
            <w:r w:rsidRPr="0058369E">
              <w:rPr>
                <w:noProof/>
                <w:sz w:val="18"/>
                <w:szCs w:val="18"/>
              </w:rPr>
              <w:drawing>
                <wp:inline distT="0" distB="0" distL="0" distR="0" wp14:anchorId="161C4837" wp14:editId="560B2A17">
                  <wp:extent cx="2251494" cy="2406770"/>
                  <wp:effectExtent l="0" t="0" r="0" b="0"/>
                  <wp:docPr id="21"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2037" w:type="pct"/>
            <w:gridSpan w:val="2"/>
            <w:vAlign w:val="center"/>
          </w:tcPr>
          <w:p w:rsidR="006E5449" w:rsidRPr="00D67686" w:rsidRDefault="006E5449" w:rsidP="00A60A7E">
            <w:pPr>
              <w:spacing w:after="20"/>
              <w:jc w:val="center"/>
              <w:rPr>
                <w:sz w:val="18"/>
                <w:szCs w:val="18"/>
              </w:rPr>
            </w:pPr>
            <w:r w:rsidRPr="0058369E">
              <w:rPr>
                <w:noProof/>
                <w:sz w:val="18"/>
                <w:szCs w:val="18"/>
              </w:rPr>
              <w:drawing>
                <wp:inline distT="0" distB="0" distL="0" distR="0" wp14:anchorId="055A9278" wp14:editId="7EB1BE76">
                  <wp:extent cx="2250374" cy="2446317"/>
                  <wp:effectExtent l="0" t="0" r="0" b="0"/>
                  <wp:docPr id="26"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934" w:type="pct"/>
            <w:gridSpan w:val="3"/>
          </w:tcPr>
          <w:p w:rsidR="006E5449" w:rsidRPr="0058369E" w:rsidRDefault="006E5449" w:rsidP="00A60A7E">
            <w:pPr>
              <w:spacing w:after="20"/>
              <w:rPr>
                <w:noProof/>
                <w:sz w:val="18"/>
                <w:szCs w:val="18"/>
              </w:rPr>
            </w:pPr>
            <w:r w:rsidRPr="0058369E">
              <w:rPr>
                <w:noProof/>
                <w:sz w:val="18"/>
                <w:szCs w:val="18"/>
              </w:rPr>
              <w:drawing>
                <wp:inline distT="0" distB="0" distL="0" distR="0" wp14:anchorId="03E4AFE7" wp14:editId="773CEE22">
                  <wp:extent cx="991589" cy="2410691"/>
                  <wp:effectExtent l="0" t="0" r="0" b="8890"/>
                  <wp:docPr id="25" name="Objec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rsidR="006E5449" w:rsidRPr="00B33B3F" w:rsidRDefault="006E5449" w:rsidP="006E5449">
      <w:pPr>
        <w:jc w:val="center"/>
        <w:rPr>
          <w:rFonts w:cs="Times New Roman"/>
          <w:color w:val="000000"/>
          <w:sz w:val="26"/>
          <w:szCs w:val="26"/>
        </w:rPr>
      </w:pPr>
    </w:p>
    <w:p w:rsidR="006E5449" w:rsidRPr="003A3EC5" w:rsidRDefault="006E5449" w:rsidP="006E5449">
      <w:pPr>
        <w:ind w:firstLine="426"/>
        <w:jc w:val="both"/>
        <w:rPr>
          <w:szCs w:val="28"/>
        </w:rPr>
      </w:pPr>
      <w:r w:rsidRPr="003A3EC5">
        <w:rPr>
          <w:szCs w:val="28"/>
        </w:rPr>
        <w:lastRenderedPageBreak/>
        <w:t xml:space="preserve">Lielais zemo tehnoloģiju nozaru īpatsvars Latvijā ir saistīts </w:t>
      </w:r>
      <w:r w:rsidR="0097261E">
        <w:rPr>
          <w:szCs w:val="28"/>
        </w:rPr>
        <w:t xml:space="preserve">ar </w:t>
      </w:r>
      <w:r w:rsidRPr="003A3EC5">
        <w:rPr>
          <w:szCs w:val="28"/>
        </w:rPr>
        <w:t>tādām tradicionālām nozarēm kā pārtikas ražošana un kokapstrāde, kas kopā veido gandrīz pusi no visas pievienotās vērtības apstrādes rūpniecībā. Gan pārtikas rūpniecības, gan kokapstrādes nozares lielais īpatsvars galvenokārt ir saistīts</w:t>
      </w:r>
      <w:r w:rsidR="003263BE">
        <w:rPr>
          <w:szCs w:val="28"/>
        </w:rPr>
        <w:t xml:space="preserve"> ar </w:t>
      </w:r>
      <w:r w:rsidRPr="003A3EC5">
        <w:rPr>
          <w:szCs w:val="28"/>
        </w:rPr>
        <w:t xml:space="preserve"> pieejamajiem resursiem, ko nodrošina lauksaimniecīb</w:t>
      </w:r>
      <w:r w:rsidR="003263BE">
        <w:rPr>
          <w:szCs w:val="28"/>
        </w:rPr>
        <w:t>as un mežsaimniecības nozares.</w:t>
      </w:r>
    </w:p>
    <w:p w:rsidR="006E5449" w:rsidRPr="003A3EC5" w:rsidRDefault="006E5449" w:rsidP="006E5449">
      <w:pPr>
        <w:ind w:firstLine="426"/>
        <w:jc w:val="both"/>
        <w:rPr>
          <w:szCs w:val="28"/>
        </w:rPr>
      </w:pPr>
      <w:r w:rsidRPr="003A3EC5">
        <w:rPr>
          <w:szCs w:val="28"/>
        </w:rPr>
        <w:t>Lai noteiktu Latvijas apstrādes rūpniecības apakšnozaru relatīvo specializāciju, tiek izmantots valsts nozaru specializācijas indekss:</w:t>
      </w:r>
    </w:p>
    <w:p w:rsidR="006E5449" w:rsidRPr="00B33B3F" w:rsidRDefault="006E5449" w:rsidP="006E5449">
      <w:pPr>
        <w:ind w:firstLine="720"/>
        <w:rPr>
          <w:sz w:val="12"/>
          <w:szCs w:val="26"/>
        </w:rPr>
      </w:pPr>
    </w:p>
    <w:p w:rsidR="006E5449" w:rsidRDefault="005A771F" w:rsidP="006E5449">
      <w:pPr>
        <w:rPr>
          <w:sz w:val="26"/>
          <w:szCs w:val="26"/>
        </w:rPr>
      </w:pPr>
      <m:oMath>
        <m:sSub>
          <m:sSubPr>
            <m:ctrlPr>
              <w:rPr>
                <w:rFonts w:ascii="Cambria Math" w:hAnsi="Cambria Math"/>
                <w:b/>
                <w:sz w:val="36"/>
              </w:rPr>
            </m:ctrlPr>
          </m:sSubPr>
          <m:e>
            <m:r>
              <m:rPr>
                <m:sty m:val="b"/>
              </m:rPr>
              <w:rPr>
                <w:rFonts w:ascii="Cambria Math" w:hAnsi="Cambria Math"/>
                <w:sz w:val="36"/>
              </w:rPr>
              <m:t>S</m:t>
            </m:r>
          </m:e>
          <m:sub>
            <m:r>
              <m:rPr>
                <m:sty m:val="b"/>
              </m:rPr>
              <w:rPr>
                <w:rFonts w:ascii="Cambria Math" w:hAnsi="Cambria Math"/>
                <w:sz w:val="36"/>
              </w:rPr>
              <m:t>i,j</m:t>
            </m:r>
          </m:sub>
        </m:sSub>
        <m:r>
          <m:rPr>
            <m:sty m:val="b"/>
          </m:rPr>
          <w:rPr>
            <w:rFonts w:ascii="Cambria Math" w:hAnsi="Cambria Math"/>
            <w:sz w:val="36"/>
          </w:rPr>
          <m:t>=</m:t>
        </m:r>
        <m:f>
          <m:fPr>
            <m:ctrlPr>
              <w:rPr>
                <w:rFonts w:ascii="Cambria Math" w:hAnsi="Cambria Math"/>
                <w:b/>
                <w:sz w:val="36"/>
              </w:rPr>
            </m:ctrlPr>
          </m:fPr>
          <m:num>
            <m:f>
              <m:fPr>
                <m:ctrlPr>
                  <w:rPr>
                    <w:rFonts w:ascii="Cambria Math" w:hAnsi="Cambria Math"/>
                    <w:b/>
                    <w:sz w:val="36"/>
                  </w:rPr>
                </m:ctrlPr>
              </m:fPr>
              <m:num>
                <m:sSub>
                  <m:sSubPr>
                    <m:ctrlPr>
                      <w:rPr>
                        <w:rFonts w:ascii="Cambria Math" w:hAnsi="Cambria Math"/>
                        <w:b/>
                        <w:sz w:val="36"/>
                      </w:rPr>
                    </m:ctrlPr>
                  </m:sSubPr>
                  <m:e>
                    <m:r>
                      <m:rPr>
                        <m:sty m:val="b"/>
                      </m:rPr>
                      <w:rPr>
                        <w:rFonts w:ascii="Cambria Math" w:hAnsi="Cambria Math"/>
                        <w:sz w:val="36"/>
                      </w:rPr>
                      <m:t>PV</m:t>
                    </m:r>
                  </m:e>
                  <m:sub>
                    <m:r>
                      <m:rPr>
                        <m:sty m:val="b"/>
                      </m:rPr>
                      <w:rPr>
                        <w:rFonts w:ascii="Cambria Math" w:hAnsi="Cambria Math"/>
                        <w:sz w:val="36"/>
                      </w:rPr>
                      <m:t>i,j</m:t>
                    </m:r>
                  </m:sub>
                </m:sSub>
              </m:num>
              <m:den>
                <m:nary>
                  <m:naryPr>
                    <m:chr m:val="∑"/>
                    <m:limLoc m:val="undOvr"/>
                    <m:supHide m:val="1"/>
                    <m:ctrlPr>
                      <w:rPr>
                        <w:rFonts w:ascii="Cambria Math" w:hAnsi="Cambria Math"/>
                        <w:b/>
                        <w:sz w:val="36"/>
                      </w:rPr>
                    </m:ctrlPr>
                  </m:naryPr>
                  <m:sub>
                    <m:r>
                      <m:rPr>
                        <m:sty m:val="b"/>
                      </m:rPr>
                      <w:rPr>
                        <w:rFonts w:ascii="Cambria Math" w:hAnsi="Cambria Math"/>
                        <w:sz w:val="36"/>
                      </w:rPr>
                      <m:t>j</m:t>
                    </m:r>
                  </m:sub>
                  <m:sup/>
                  <m:e>
                    <m:sSub>
                      <m:sSubPr>
                        <m:ctrlPr>
                          <w:rPr>
                            <w:rFonts w:ascii="Cambria Math" w:hAnsi="Cambria Math"/>
                            <w:b/>
                            <w:sz w:val="36"/>
                          </w:rPr>
                        </m:ctrlPr>
                      </m:sSubPr>
                      <m:e>
                        <m:r>
                          <m:rPr>
                            <m:sty m:val="b"/>
                          </m:rPr>
                          <w:rPr>
                            <w:rFonts w:ascii="Cambria Math" w:hAnsi="Cambria Math"/>
                            <w:sz w:val="36"/>
                          </w:rPr>
                          <m:t>PV</m:t>
                        </m:r>
                      </m:e>
                      <m:sub>
                        <m:r>
                          <m:rPr>
                            <m:sty m:val="b"/>
                          </m:rPr>
                          <w:rPr>
                            <w:rFonts w:ascii="Cambria Math" w:hAnsi="Cambria Math"/>
                            <w:sz w:val="36"/>
                          </w:rPr>
                          <m:t>i,j</m:t>
                        </m:r>
                      </m:sub>
                    </m:sSub>
                  </m:e>
                </m:nary>
              </m:den>
            </m:f>
          </m:num>
          <m:den>
            <m:f>
              <m:fPr>
                <m:ctrlPr>
                  <w:rPr>
                    <w:rFonts w:ascii="Cambria Math" w:hAnsi="Cambria Math"/>
                    <w:b/>
                    <w:sz w:val="36"/>
                  </w:rPr>
                </m:ctrlPr>
              </m:fPr>
              <m:num>
                <m:sSub>
                  <m:sSubPr>
                    <m:ctrlPr>
                      <w:rPr>
                        <w:rFonts w:ascii="Cambria Math" w:hAnsi="Cambria Math"/>
                        <w:b/>
                        <w:sz w:val="36"/>
                      </w:rPr>
                    </m:ctrlPr>
                  </m:sSubPr>
                  <m:e>
                    <m:r>
                      <m:rPr>
                        <m:sty m:val="b"/>
                      </m:rPr>
                      <w:rPr>
                        <w:rFonts w:ascii="Cambria Math" w:hAnsi="Cambria Math"/>
                        <w:sz w:val="36"/>
                      </w:rPr>
                      <m:t>PV</m:t>
                    </m:r>
                  </m:e>
                  <m:sub>
                    <m:r>
                      <m:rPr>
                        <m:sty m:val="b"/>
                      </m:rPr>
                      <w:rPr>
                        <w:rFonts w:ascii="Cambria Math" w:hAnsi="Cambria Math"/>
                        <w:sz w:val="36"/>
                      </w:rPr>
                      <m:t>reg,j</m:t>
                    </m:r>
                  </m:sub>
                </m:sSub>
              </m:num>
              <m:den>
                <m:nary>
                  <m:naryPr>
                    <m:chr m:val="∑"/>
                    <m:limLoc m:val="undOvr"/>
                    <m:supHide m:val="1"/>
                    <m:ctrlPr>
                      <w:rPr>
                        <w:rFonts w:ascii="Cambria Math" w:hAnsi="Cambria Math"/>
                        <w:b/>
                        <w:sz w:val="36"/>
                      </w:rPr>
                    </m:ctrlPr>
                  </m:naryPr>
                  <m:sub>
                    <m:r>
                      <m:rPr>
                        <m:sty m:val="b"/>
                      </m:rPr>
                      <w:rPr>
                        <w:rFonts w:ascii="Cambria Math" w:hAnsi="Cambria Math"/>
                        <w:sz w:val="36"/>
                      </w:rPr>
                      <m:t>j</m:t>
                    </m:r>
                  </m:sub>
                  <m:sup/>
                  <m:e>
                    <m:sSub>
                      <m:sSubPr>
                        <m:ctrlPr>
                          <w:rPr>
                            <w:rFonts w:ascii="Cambria Math" w:hAnsi="Cambria Math"/>
                            <w:b/>
                            <w:sz w:val="36"/>
                          </w:rPr>
                        </m:ctrlPr>
                      </m:sSubPr>
                      <m:e>
                        <m:r>
                          <m:rPr>
                            <m:sty m:val="b"/>
                          </m:rPr>
                          <w:rPr>
                            <w:rFonts w:ascii="Cambria Math" w:hAnsi="Cambria Math"/>
                            <w:sz w:val="36"/>
                          </w:rPr>
                          <m:t>PV</m:t>
                        </m:r>
                      </m:e>
                      <m:sub>
                        <m:r>
                          <m:rPr>
                            <m:sty m:val="b"/>
                          </m:rPr>
                          <w:rPr>
                            <w:rFonts w:ascii="Cambria Math" w:hAnsi="Cambria Math"/>
                            <w:sz w:val="36"/>
                          </w:rPr>
                          <m:t>reg,j</m:t>
                        </m:r>
                      </m:sub>
                    </m:sSub>
                  </m:e>
                </m:nary>
              </m:den>
            </m:f>
          </m:den>
        </m:f>
      </m:oMath>
      <w:r w:rsidR="006E5449" w:rsidRPr="00A7732D">
        <w:rPr>
          <w:b/>
        </w:rPr>
        <w:t xml:space="preserve"> </w:t>
      </w:r>
      <w:r w:rsidR="006E5449" w:rsidRPr="00B33B3F">
        <w:rPr>
          <w:sz w:val="26"/>
          <w:szCs w:val="26"/>
        </w:rPr>
        <w:t>, kur</w:t>
      </w:r>
    </w:p>
    <w:p w:rsidR="006E5449" w:rsidRDefault="006E5449" w:rsidP="006E5449">
      <w:pPr>
        <w:rPr>
          <w:szCs w:val="28"/>
        </w:rPr>
      </w:pPr>
    </w:p>
    <w:p w:rsidR="006E5449" w:rsidRPr="003A3EC5" w:rsidRDefault="006E5449" w:rsidP="006E5449">
      <w:pPr>
        <w:rPr>
          <w:szCs w:val="28"/>
        </w:rPr>
      </w:pPr>
      <w:r w:rsidRPr="003A3EC5">
        <w:rPr>
          <w:szCs w:val="28"/>
        </w:rPr>
        <w:t xml:space="preserve">PV </w:t>
      </w:r>
      <w:proofErr w:type="spellStart"/>
      <w:r w:rsidRPr="003A3EC5">
        <w:rPr>
          <w:szCs w:val="28"/>
        </w:rPr>
        <w:t>i,j</w:t>
      </w:r>
      <w:proofErr w:type="spellEnd"/>
      <w:r w:rsidRPr="003A3EC5">
        <w:rPr>
          <w:szCs w:val="28"/>
        </w:rPr>
        <w:t xml:space="preserve"> – i valsts pievienotā vērtība j nozarē;</w:t>
      </w:r>
    </w:p>
    <w:p w:rsidR="006E5449" w:rsidRPr="003A3EC5" w:rsidRDefault="006E5449" w:rsidP="006E5449">
      <w:pPr>
        <w:rPr>
          <w:szCs w:val="28"/>
        </w:rPr>
      </w:pPr>
      <w:r w:rsidRPr="003A3EC5">
        <w:rPr>
          <w:szCs w:val="28"/>
        </w:rPr>
        <w:t xml:space="preserve">PV </w:t>
      </w:r>
      <w:proofErr w:type="spellStart"/>
      <w:r w:rsidRPr="003A3EC5">
        <w:rPr>
          <w:szCs w:val="28"/>
        </w:rPr>
        <w:t>reg,j</w:t>
      </w:r>
      <w:proofErr w:type="spellEnd"/>
      <w:r w:rsidRPr="003A3EC5">
        <w:rPr>
          <w:szCs w:val="28"/>
        </w:rPr>
        <w:t xml:space="preserve"> – aplūkojamā reģiona j nozares pievienotā vērtība.</w:t>
      </w:r>
    </w:p>
    <w:p w:rsidR="006E5449" w:rsidRPr="003A3EC5" w:rsidRDefault="006E5449" w:rsidP="006E5449">
      <w:pPr>
        <w:rPr>
          <w:szCs w:val="28"/>
        </w:rPr>
      </w:pPr>
    </w:p>
    <w:p w:rsidR="003263BE" w:rsidRDefault="003263BE" w:rsidP="006E5449">
      <w:pPr>
        <w:ind w:firstLine="426"/>
        <w:rPr>
          <w:szCs w:val="28"/>
        </w:rPr>
      </w:pPr>
    </w:p>
    <w:p w:rsidR="006E5449" w:rsidRPr="003A3EC5" w:rsidRDefault="006E5449" w:rsidP="006E5449">
      <w:pPr>
        <w:ind w:firstLine="426"/>
        <w:rPr>
          <w:szCs w:val="28"/>
        </w:rPr>
      </w:pPr>
      <w:r w:rsidRPr="003A3EC5">
        <w:rPr>
          <w:szCs w:val="28"/>
        </w:rPr>
        <w:t>Savukārt, lai noteiktu katras reģiona valsts kopējo apstrādes rūpniecības specializācijas pakāpi, tiek izmantota sekojoša formula:</w:t>
      </w:r>
    </w:p>
    <w:p w:rsidR="006E5449" w:rsidRPr="003263BE" w:rsidRDefault="005A771F" w:rsidP="006E5449">
      <w:pPr>
        <w:ind w:firstLine="720"/>
        <w:rPr>
          <w:rFonts w:eastAsiaTheme="minorEastAsia"/>
          <w:b/>
        </w:rPr>
      </w:pPr>
      <m:oMathPara>
        <m:oMathParaPr>
          <m:jc m:val="left"/>
        </m:oMathParaPr>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i</m:t>
              </m:r>
            </m:sub>
          </m:sSub>
          <m:r>
            <m:rPr>
              <m:sty m:val="b"/>
            </m:rPr>
            <w:rPr>
              <w:rFonts w:ascii="Cambria Math" w:hAnsi="Cambria Math"/>
            </w:rPr>
            <m:t>=</m:t>
          </m:r>
          <m:rad>
            <m:radPr>
              <m:degHide m:val="1"/>
              <m:ctrlPr>
                <w:rPr>
                  <w:rFonts w:ascii="Cambria Math" w:hAnsi="Cambria Math"/>
                  <w:b/>
                </w:rPr>
              </m:ctrlPr>
            </m:radPr>
            <m:deg/>
            <m:e>
              <m:nary>
                <m:naryPr>
                  <m:chr m:val="∑"/>
                  <m:limLoc m:val="undOvr"/>
                  <m:supHide m:val="1"/>
                  <m:ctrlPr>
                    <w:rPr>
                      <w:rFonts w:ascii="Cambria Math" w:hAnsi="Cambria Math"/>
                      <w:b/>
                      <w:i/>
                    </w:rPr>
                  </m:ctrlPr>
                </m:naryPr>
                <m:sub>
                  <m:r>
                    <m:rPr>
                      <m:sty m:val="bi"/>
                    </m:rPr>
                    <w:rPr>
                      <w:rFonts w:ascii="Cambria Math" w:hAnsi="Cambria Math"/>
                    </w:rPr>
                    <m:t>j</m:t>
                  </m:r>
                </m:sub>
                <m:sup/>
                <m:e>
                  <m:sSup>
                    <m:sSupPr>
                      <m:ctrlPr>
                        <w:rPr>
                          <w:rFonts w:ascii="Cambria Math" w:hAnsi="Cambria Math"/>
                          <w:b/>
                          <w:i/>
                        </w:rPr>
                      </m:ctrlPr>
                    </m:sSupPr>
                    <m:e>
                      <m:r>
                        <m:rPr>
                          <m:sty m:val="bi"/>
                        </m:rPr>
                        <w:rPr>
                          <w:rFonts w:ascii="Cambria Math" w:hAnsi="Cambria Math"/>
                        </w:rPr>
                        <m:t>(1-</m:t>
                      </m:r>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i,j</m:t>
                          </m:r>
                        </m:sub>
                      </m:sSub>
                      <m:r>
                        <m:rPr>
                          <m:sty m:val="bi"/>
                        </m:rPr>
                        <w:rPr>
                          <w:rFonts w:ascii="Cambria Math" w:hAnsi="Cambria Math"/>
                        </w:rPr>
                        <m:t>)</m:t>
                      </m:r>
                    </m:e>
                    <m:sup>
                      <m:r>
                        <m:rPr>
                          <m:sty m:val="bi"/>
                        </m:rPr>
                        <w:rPr>
                          <w:rFonts w:ascii="Cambria Math" w:hAnsi="Cambria Math"/>
                        </w:rPr>
                        <m:t>2</m:t>
                      </m:r>
                    </m:sup>
                  </m:sSup>
                </m:e>
              </m:nary>
            </m:e>
          </m:rad>
        </m:oMath>
      </m:oMathPara>
    </w:p>
    <w:p w:rsidR="003263BE" w:rsidRPr="00B33B3F" w:rsidRDefault="003263BE" w:rsidP="006E5449">
      <w:pPr>
        <w:ind w:firstLine="720"/>
        <w:rPr>
          <w:sz w:val="26"/>
          <w:szCs w:val="26"/>
        </w:rPr>
      </w:pPr>
    </w:p>
    <w:p w:rsidR="006E5449" w:rsidRDefault="006E5449" w:rsidP="006E5449">
      <w:pPr>
        <w:ind w:firstLine="426"/>
        <w:jc w:val="both"/>
        <w:rPr>
          <w:szCs w:val="28"/>
        </w:rPr>
      </w:pPr>
      <w:r w:rsidRPr="003A3EC5">
        <w:rPr>
          <w:szCs w:val="28"/>
        </w:rPr>
        <w:t xml:space="preserve">Jo augstāks ir specializācijas pakāpes indekss, jo mazāka ir diversifikācija apstrādes rūpniecībā, </w:t>
      </w:r>
      <w:proofErr w:type="spellStart"/>
      <w:r w:rsidRPr="003A3EC5">
        <w:rPr>
          <w:szCs w:val="28"/>
        </w:rPr>
        <w:t>t.i</w:t>
      </w:r>
      <w:proofErr w:type="spellEnd"/>
      <w:r w:rsidRPr="003A3EC5">
        <w:rPr>
          <w:szCs w:val="28"/>
        </w:rPr>
        <w:t xml:space="preserve">., apstrādes rūpniecībā izteikti dominē viena vai vairākas apakšnozares. </w:t>
      </w:r>
    </w:p>
    <w:p w:rsidR="003263BE" w:rsidRPr="003A3EC5" w:rsidRDefault="003263BE" w:rsidP="006E5449">
      <w:pPr>
        <w:ind w:firstLine="426"/>
        <w:jc w:val="both"/>
        <w:rPr>
          <w:szCs w:val="28"/>
        </w:rPr>
      </w:pPr>
    </w:p>
    <w:p w:rsidR="006E5449" w:rsidRPr="003A3EC5" w:rsidRDefault="006E5449" w:rsidP="006E5449">
      <w:pPr>
        <w:ind w:firstLine="426"/>
        <w:jc w:val="both"/>
        <w:rPr>
          <w:szCs w:val="28"/>
        </w:rPr>
      </w:pPr>
      <w:r w:rsidRPr="003A3EC5">
        <w:rPr>
          <w:szCs w:val="28"/>
        </w:rPr>
        <w:t>Lielās valstīs rūpniecības specializācijas pakāpe kā likums ir maza (piemēram Polijā un Vācijā), jo liela ekonomika spēj vienlaicīgi attīstīt dažādus segmentus. Savukārt Latvijai apstrādes rūpniecības specializācijas pakāpes indekss ir augsts (4,6 starp jaunajām ES dalībvalstīm un 9,9 starp Baltijas jūras reģiona valstīm)</w:t>
      </w:r>
      <w:r w:rsidR="00F60432">
        <w:rPr>
          <w:szCs w:val="28"/>
        </w:rPr>
        <w:t>,</w:t>
      </w:r>
      <w:r w:rsidRPr="003A3EC5">
        <w:rPr>
          <w:szCs w:val="28"/>
        </w:rPr>
        <w:t xml:space="preserve"> pat salīdzinot ar kaimiņvalstīm Lietuvu un Igauniju, kur rūpniecības diversifikācija ir krietni lielāka (skatīt 1. un 2.tabulu).</w:t>
      </w:r>
    </w:p>
    <w:p w:rsidR="003263BE" w:rsidRPr="003A3EC5" w:rsidRDefault="003263BE" w:rsidP="003263BE">
      <w:pPr>
        <w:ind w:firstLine="426"/>
        <w:jc w:val="both"/>
        <w:rPr>
          <w:szCs w:val="28"/>
        </w:rPr>
      </w:pPr>
      <w:r w:rsidRPr="003A3EC5">
        <w:rPr>
          <w:szCs w:val="28"/>
        </w:rPr>
        <w:t>Latvijas apstrādes rūpniecība ir izteikti specializējusies kokapstrādes nozarē. Latvijā kokapstrādes nozares daļa kopējā apstrādes rūpniecības pievienotajā vērtīb</w:t>
      </w:r>
      <w:r w:rsidR="00F60432">
        <w:rPr>
          <w:szCs w:val="28"/>
        </w:rPr>
        <w:t xml:space="preserve">ā </w:t>
      </w:r>
      <w:r w:rsidRPr="003A3EC5">
        <w:rPr>
          <w:szCs w:val="28"/>
        </w:rPr>
        <w:t>ir 10,5 reizes lielāka nekā vidēji Baltijas jūras reģiona valstīs un gandrīz 5 reizes lielāka nekā vidēji jaunajās ES dalībvalstīs. Šāda atšķirība aplūkoto reģionu griezumā ir saistīta ar to, ka jaunajās ES dalībvalstīs dominē zemo tehnoloģiju nozares pie kurām tiek pieskaitīta arī kokapstrāde. Šī paša iemesla dēļ arī tādās zemo tehnoloģiju nozarēs kā pārtika</w:t>
      </w:r>
      <w:r w:rsidR="00F60432">
        <w:rPr>
          <w:szCs w:val="28"/>
        </w:rPr>
        <w:t>s ražošana un vieglā rūpniecība</w:t>
      </w:r>
      <w:r w:rsidRPr="003A3EC5">
        <w:rPr>
          <w:szCs w:val="28"/>
        </w:rPr>
        <w:t xml:space="preserve"> Latvijai specializācijas pakāpe ir salīdzinoši liela.</w:t>
      </w:r>
    </w:p>
    <w:p w:rsidR="003263BE" w:rsidRDefault="003263BE">
      <w:pPr>
        <w:rPr>
          <w:szCs w:val="28"/>
        </w:rPr>
      </w:pPr>
    </w:p>
    <w:p w:rsidR="003263BE" w:rsidRDefault="003263BE" w:rsidP="006E5449">
      <w:pPr>
        <w:jc w:val="right"/>
        <w:rPr>
          <w:szCs w:val="28"/>
        </w:rPr>
      </w:pPr>
    </w:p>
    <w:p w:rsidR="003263BE" w:rsidRDefault="003263BE" w:rsidP="006E5449">
      <w:pPr>
        <w:jc w:val="right"/>
        <w:rPr>
          <w:szCs w:val="28"/>
        </w:rPr>
      </w:pPr>
    </w:p>
    <w:p w:rsidR="006E5449" w:rsidRPr="003A3EC5" w:rsidRDefault="006E5449" w:rsidP="006E5449">
      <w:pPr>
        <w:jc w:val="right"/>
        <w:rPr>
          <w:szCs w:val="28"/>
        </w:rPr>
      </w:pPr>
      <w:r w:rsidRPr="003A3EC5">
        <w:rPr>
          <w:szCs w:val="28"/>
        </w:rPr>
        <w:lastRenderedPageBreak/>
        <w:t>1.tabula</w:t>
      </w:r>
    </w:p>
    <w:p w:rsidR="006E5449" w:rsidRPr="003A3EC5" w:rsidRDefault="006E5449" w:rsidP="006E5449">
      <w:pPr>
        <w:jc w:val="center"/>
        <w:rPr>
          <w:rFonts w:cs="Times New Roman"/>
          <w:b/>
          <w:color w:val="000000"/>
          <w:szCs w:val="28"/>
        </w:rPr>
      </w:pPr>
      <w:r w:rsidRPr="003A3EC5">
        <w:rPr>
          <w:b/>
          <w:color w:val="000000"/>
          <w:szCs w:val="28"/>
        </w:rPr>
        <w:t>Apstrādes rūpniecības specializācijas koeficienti jaunajās ES dalībvalst</w:t>
      </w:r>
      <w:r w:rsidR="00F60432">
        <w:rPr>
          <w:b/>
          <w:color w:val="000000"/>
          <w:szCs w:val="28"/>
        </w:rPr>
        <w:t>ī</w:t>
      </w:r>
      <w:r w:rsidRPr="003A3EC5">
        <w:rPr>
          <w:b/>
          <w:color w:val="000000"/>
          <w:szCs w:val="28"/>
        </w:rPr>
        <w:t>s</w:t>
      </w:r>
    </w:p>
    <w:p w:rsidR="006E5449" w:rsidRDefault="006E5449" w:rsidP="006E5449">
      <w:pPr>
        <w:jc w:val="center"/>
        <w:rPr>
          <w:rFonts w:cs="Times New Roman"/>
          <w:color w:val="000000"/>
          <w:sz w:val="26"/>
          <w:szCs w:val="26"/>
        </w:rPr>
      </w:pP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47"/>
        <w:gridCol w:w="748"/>
        <w:gridCol w:w="748"/>
        <w:gridCol w:w="748"/>
        <w:gridCol w:w="748"/>
        <w:gridCol w:w="748"/>
        <w:gridCol w:w="748"/>
        <w:gridCol w:w="748"/>
        <w:gridCol w:w="748"/>
        <w:gridCol w:w="748"/>
      </w:tblGrid>
      <w:tr w:rsidR="006E5449" w:rsidRPr="006F0966" w:rsidTr="00054935">
        <w:trPr>
          <w:cantSplit/>
        </w:trPr>
        <w:tc>
          <w:tcPr>
            <w:tcW w:w="1049" w:type="pct"/>
            <w:shd w:val="clear" w:color="000000" w:fill="D9D9D9"/>
            <w:noWrap/>
            <w:vAlign w:val="bottom"/>
            <w:hideMark/>
          </w:tcPr>
          <w:p w:rsidR="006E5449" w:rsidRPr="006F0966" w:rsidRDefault="006E5449" w:rsidP="00A60A7E">
            <w:pPr>
              <w:spacing w:before="60" w:after="60"/>
              <w:rPr>
                <w:rFonts w:ascii="Arial" w:eastAsia="Times New Roman" w:hAnsi="Arial" w:cs="Arial"/>
                <w:b/>
                <w:bCs/>
                <w:sz w:val="16"/>
                <w:szCs w:val="20"/>
                <w:lang w:eastAsia="lv-LV"/>
              </w:rPr>
            </w:pPr>
            <w:r w:rsidRPr="006F0966">
              <w:rPr>
                <w:rFonts w:ascii="Arial" w:eastAsia="Times New Roman" w:hAnsi="Arial" w:cs="Arial"/>
                <w:b/>
                <w:bCs/>
                <w:sz w:val="16"/>
                <w:szCs w:val="20"/>
                <w:lang w:eastAsia="lv-LV"/>
              </w:rPr>
              <w:t> </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Bulgārija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Čehija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Igaunija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Latvija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Lietuva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Ungārija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Polija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Rumānija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Slovēnija</w:t>
            </w:r>
          </w:p>
        </w:tc>
        <w:tc>
          <w:tcPr>
            <w:tcW w:w="395" w:type="pct"/>
            <w:shd w:val="clear" w:color="000000" w:fill="D9D9D9"/>
            <w:noWrap/>
            <w:vAlign w:val="bottom"/>
            <w:hideMark/>
          </w:tcPr>
          <w:p w:rsidR="006E5449" w:rsidRPr="006F0966" w:rsidRDefault="006E5449" w:rsidP="00A60A7E">
            <w:pPr>
              <w:spacing w:before="60" w:after="60"/>
              <w:ind w:left="-107" w:right="-71"/>
              <w:jc w:val="center"/>
              <w:rPr>
                <w:rFonts w:ascii="Arial" w:eastAsia="Times New Roman" w:hAnsi="Arial" w:cs="Arial"/>
                <w:b/>
                <w:bCs/>
                <w:sz w:val="14"/>
                <w:szCs w:val="20"/>
                <w:lang w:eastAsia="lv-LV"/>
              </w:rPr>
            </w:pPr>
            <w:r w:rsidRPr="006F0966">
              <w:rPr>
                <w:rFonts w:ascii="Arial" w:eastAsia="Times New Roman" w:hAnsi="Arial" w:cs="Arial"/>
                <w:b/>
                <w:bCs/>
                <w:sz w:val="14"/>
                <w:szCs w:val="20"/>
                <w:lang w:eastAsia="lv-LV"/>
              </w:rPr>
              <w:t>Slovākija</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Pārtikas rūpniecība</w:t>
            </w:r>
          </w:p>
        </w:tc>
        <w:tc>
          <w:tcPr>
            <w:tcW w:w="395" w:type="pct"/>
            <w:shd w:val="clear" w:color="000000" w:fill="FCF2F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B8CCE7"/>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0,6</w:t>
            </w:r>
          </w:p>
        </w:tc>
        <w:tc>
          <w:tcPr>
            <w:tcW w:w="395" w:type="pct"/>
            <w:shd w:val="clear" w:color="000000" w:fill="DEE7F4"/>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CEBEE"/>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1,5</w:t>
            </w:r>
          </w:p>
        </w:tc>
        <w:tc>
          <w:tcPr>
            <w:tcW w:w="395" w:type="pct"/>
            <w:shd w:val="clear" w:color="000000" w:fill="FCEDF0"/>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1,4</w:t>
            </w:r>
          </w:p>
        </w:tc>
        <w:tc>
          <w:tcPr>
            <w:tcW w:w="395" w:type="pct"/>
            <w:shd w:val="clear" w:color="000000" w:fill="BED0E9"/>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CF6F9"/>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c>
          <w:tcPr>
            <w:tcW w:w="395" w:type="pct"/>
            <w:shd w:val="clear" w:color="000000" w:fill="FCE9EC"/>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1,5</w:t>
            </w:r>
          </w:p>
        </w:tc>
        <w:tc>
          <w:tcPr>
            <w:tcW w:w="395" w:type="pct"/>
            <w:shd w:val="clear" w:color="000000" w:fill="94B3D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0,5</w:t>
            </w:r>
          </w:p>
        </w:tc>
        <w:tc>
          <w:tcPr>
            <w:tcW w:w="395" w:type="pct"/>
            <w:shd w:val="clear" w:color="000000" w:fill="9AB7DC"/>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0,5</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Vieglā rūpniecība</w:t>
            </w:r>
          </w:p>
        </w:tc>
        <w:tc>
          <w:tcPr>
            <w:tcW w:w="395" w:type="pct"/>
            <w:shd w:val="clear" w:color="000000" w:fill="FBBDC0"/>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2,9</w:t>
            </w:r>
          </w:p>
        </w:tc>
        <w:tc>
          <w:tcPr>
            <w:tcW w:w="395" w:type="pct"/>
            <w:shd w:val="clear" w:color="000000" w:fill="A5BEE0"/>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0,5</w:t>
            </w:r>
          </w:p>
        </w:tc>
        <w:tc>
          <w:tcPr>
            <w:tcW w:w="395" w:type="pct"/>
            <w:shd w:val="clear" w:color="000000" w:fill="FCF0F3"/>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FCF6F9"/>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1,2</w:t>
            </w:r>
          </w:p>
        </w:tc>
        <w:tc>
          <w:tcPr>
            <w:tcW w:w="395" w:type="pct"/>
            <w:shd w:val="clear" w:color="000000" w:fill="FCE9EB"/>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1,6</w:t>
            </w:r>
          </w:p>
        </w:tc>
        <w:tc>
          <w:tcPr>
            <w:tcW w:w="395" w:type="pct"/>
            <w:shd w:val="clear" w:color="000000" w:fill="93B2D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0,5</w:t>
            </w:r>
          </w:p>
        </w:tc>
        <w:tc>
          <w:tcPr>
            <w:tcW w:w="395" w:type="pct"/>
            <w:shd w:val="clear" w:color="000000" w:fill="CFDCE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CDBD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2,0</w:t>
            </w:r>
          </w:p>
        </w:tc>
        <w:tc>
          <w:tcPr>
            <w:tcW w:w="395" w:type="pct"/>
            <w:shd w:val="clear" w:color="000000" w:fill="DAE4F3"/>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CFCF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Kokapstrāde</w:t>
            </w:r>
          </w:p>
        </w:tc>
        <w:tc>
          <w:tcPr>
            <w:tcW w:w="395" w:type="pct"/>
            <w:shd w:val="clear" w:color="000000" w:fill="A1BCD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0,5</w:t>
            </w:r>
          </w:p>
        </w:tc>
        <w:tc>
          <w:tcPr>
            <w:tcW w:w="395" w:type="pct"/>
            <w:shd w:val="clear" w:color="000000" w:fill="CEDCE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AA9AC"/>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3,5</w:t>
            </w:r>
          </w:p>
        </w:tc>
        <w:tc>
          <w:tcPr>
            <w:tcW w:w="395" w:type="pct"/>
            <w:shd w:val="clear" w:color="000000" w:fill="F8696B"/>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5,4</w:t>
            </w:r>
          </w:p>
        </w:tc>
        <w:tc>
          <w:tcPr>
            <w:tcW w:w="395" w:type="pct"/>
            <w:shd w:val="clear" w:color="000000" w:fill="FCE5E8"/>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1,7</w:t>
            </w:r>
          </w:p>
        </w:tc>
        <w:tc>
          <w:tcPr>
            <w:tcW w:w="395" w:type="pct"/>
            <w:shd w:val="clear" w:color="000000" w:fill="769DC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0,3</w:t>
            </w:r>
          </w:p>
        </w:tc>
        <w:tc>
          <w:tcPr>
            <w:tcW w:w="395" w:type="pct"/>
            <w:shd w:val="clear" w:color="000000" w:fill="FCFCF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FCF7F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1,1</w:t>
            </w:r>
          </w:p>
        </w:tc>
        <w:tc>
          <w:tcPr>
            <w:tcW w:w="395" w:type="pct"/>
            <w:shd w:val="clear" w:color="000000" w:fill="E3EAF6"/>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CF2F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Papīra ražošana un poligrāfija</w:t>
            </w:r>
          </w:p>
        </w:tc>
        <w:tc>
          <w:tcPr>
            <w:tcW w:w="395" w:type="pct"/>
            <w:shd w:val="clear" w:color="000000" w:fill="FCF4F7"/>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c>
          <w:tcPr>
            <w:tcW w:w="395" w:type="pct"/>
            <w:shd w:val="clear" w:color="000000" w:fill="FCFCF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FCEBED"/>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1,5</w:t>
            </w:r>
          </w:p>
        </w:tc>
        <w:tc>
          <w:tcPr>
            <w:tcW w:w="395" w:type="pct"/>
            <w:shd w:val="clear" w:color="000000" w:fill="FCF3F5"/>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1,3</w:t>
            </w:r>
          </w:p>
        </w:tc>
        <w:tc>
          <w:tcPr>
            <w:tcW w:w="395" w:type="pct"/>
            <w:shd w:val="clear" w:color="000000" w:fill="FCFBF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D1DDE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CF4F7"/>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c>
          <w:tcPr>
            <w:tcW w:w="395" w:type="pct"/>
            <w:shd w:val="clear" w:color="000000" w:fill="B8CCE7"/>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0,6</w:t>
            </w:r>
          </w:p>
        </w:tc>
        <w:tc>
          <w:tcPr>
            <w:tcW w:w="395" w:type="pct"/>
            <w:shd w:val="clear" w:color="000000" w:fill="FCF6F9"/>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c>
          <w:tcPr>
            <w:tcW w:w="395" w:type="pct"/>
            <w:shd w:val="clear" w:color="000000" w:fill="FBFBF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Ķīmiskā rūpniecība</w:t>
            </w:r>
          </w:p>
        </w:tc>
        <w:tc>
          <w:tcPr>
            <w:tcW w:w="395" w:type="pct"/>
            <w:shd w:val="clear" w:color="000000" w:fill="D4DFF0"/>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ECF1F9"/>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0,9</w:t>
            </w:r>
          </w:p>
        </w:tc>
        <w:tc>
          <w:tcPr>
            <w:tcW w:w="395" w:type="pct"/>
            <w:shd w:val="clear" w:color="000000" w:fill="D3DFF0"/>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B5CAE6"/>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0,6</w:t>
            </w:r>
          </w:p>
        </w:tc>
        <w:tc>
          <w:tcPr>
            <w:tcW w:w="395" w:type="pct"/>
            <w:shd w:val="clear" w:color="000000" w:fill="FCE2E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1,8</w:t>
            </w:r>
          </w:p>
        </w:tc>
        <w:tc>
          <w:tcPr>
            <w:tcW w:w="395" w:type="pct"/>
            <w:shd w:val="clear" w:color="000000" w:fill="FCECE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1,5</w:t>
            </w:r>
          </w:p>
        </w:tc>
        <w:tc>
          <w:tcPr>
            <w:tcW w:w="395" w:type="pct"/>
            <w:shd w:val="clear" w:color="000000" w:fill="FCF5F8"/>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c>
          <w:tcPr>
            <w:tcW w:w="395" w:type="pct"/>
            <w:shd w:val="clear" w:color="000000" w:fill="7DA3D2"/>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0,3</w:t>
            </w:r>
          </w:p>
        </w:tc>
        <w:tc>
          <w:tcPr>
            <w:tcW w:w="395" w:type="pct"/>
            <w:shd w:val="clear" w:color="000000" w:fill="FCEBED"/>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1,5</w:t>
            </w:r>
          </w:p>
        </w:tc>
        <w:tc>
          <w:tcPr>
            <w:tcW w:w="395" w:type="pct"/>
            <w:shd w:val="clear" w:color="000000" w:fill="CFDDE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Nemetālisko minerālu ražošana</w:t>
            </w:r>
          </w:p>
        </w:tc>
        <w:tc>
          <w:tcPr>
            <w:tcW w:w="395" w:type="pct"/>
            <w:shd w:val="clear" w:color="000000" w:fill="FCEEF0"/>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1,4</w:t>
            </w:r>
          </w:p>
        </w:tc>
        <w:tc>
          <w:tcPr>
            <w:tcW w:w="395" w:type="pct"/>
            <w:shd w:val="clear" w:color="000000" w:fill="FCF9FC"/>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1,1</w:t>
            </w:r>
          </w:p>
        </w:tc>
        <w:tc>
          <w:tcPr>
            <w:tcW w:w="395" w:type="pct"/>
            <w:shd w:val="clear" w:color="000000" w:fill="FCFBF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FCF4F7"/>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1,2</w:t>
            </w:r>
          </w:p>
        </w:tc>
        <w:tc>
          <w:tcPr>
            <w:tcW w:w="395" w:type="pct"/>
            <w:shd w:val="clear" w:color="000000" w:fill="BDCFE8"/>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C8D7EC"/>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CF0F3"/>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97B5DB"/>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0,5</w:t>
            </w:r>
          </w:p>
        </w:tc>
        <w:tc>
          <w:tcPr>
            <w:tcW w:w="395" w:type="pct"/>
            <w:shd w:val="clear" w:color="000000" w:fill="E8EEF8"/>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0,9</w:t>
            </w:r>
          </w:p>
        </w:tc>
        <w:tc>
          <w:tcPr>
            <w:tcW w:w="395" w:type="pct"/>
            <w:shd w:val="clear" w:color="000000" w:fill="F2F5FB"/>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0,9</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Metālapstrāde</w:t>
            </w:r>
          </w:p>
        </w:tc>
        <w:tc>
          <w:tcPr>
            <w:tcW w:w="395" w:type="pct"/>
            <w:shd w:val="clear" w:color="000000" w:fill="FCF3F6"/>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c>
          <w:tcPr>
            <w:tcW w:w="395" w:type="pct"/>
            <w:shd w:val="clear" w:color="000000" w:fill="FCF8FB"/>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1,1</w:t>
            </w:r>
          </w:p>
        </w:tc>
        <w:tc>
          <w:tcPr>
            <w:tcW w:w="395" w:type="pct"/>
            <w:shd w:val="clear" w:color="000000" w:fill="EFF3F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0,9</w:t>
            </w:r>
          </w:p>
        </w:tc>
        <w:tc>
          <w:tcPr>
            <w:tcW w:w="395" w:type="pct"/>
            <w:shd w:val="clear" w:color="000000" w:fill="E5ECF7"/>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0,9</w:t>
            </w:r>
          </w:p>
        </w:tc>
        <w:tc>
          <w:tcPr>
            <w:tcW w:w="395" w:type="pct"/>
            <w:shd w:val="clear" w:color="000000" w:fill="82A6D4"/>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0,4</w:t>
            </w:r>
          </w:p>
        </w:tc>
        <w:tc>
          <w:tcPr>
            <w:tcW w:w="395" w:type="pct"/>
            <w:shd w:val="clear" w:color="000000" w:fill="C2D3E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CFCFF"/>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E0E8F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CEFF2"/>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1,4</w:t>
            </w:r>
          </w:p>
        </w:tc>
        <w:tc>
          <w:tcPr>
            <w:tcW w:w="395" w:type="pct"/>
            <w:shd w:val="clear" w:color="000000" w:fill="FCE6E9"/>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1,6</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Elektrisko un optisko iekārtu ražošana</w:t>
            </w:r>
          </w:p>
        </w:tc>
        <w:tc>
          <w:tcPr>
            <w:tcW w:w="395" w:type="pct"/>
            <w:shd w:val="clear" w:color="000000" w:fill="CCDAE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CFAFD"/>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FCF0F3"/>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7FA4D3"/>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0,4</w:t>
            </w:r>
          </w:p>
        </w:tc>
        <w:tc>
          <w:tcPr>
            <w:tcW w:w="395" w:type="pct"/>
            <w:shd w:val="clear" w:color="000000" w:fill="91B1D9"/>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0,4</w:t>
            </w:r>
          </w:p>
        </w:tc>
        <w:tc>
          <w:tcPr>
            <w:tcW w:w="395" w:type="pct"/>
            <w:shd w:val="clear" w:color="000000" w:fill="FCF2F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CDDBE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CF1F4"/>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FCEFF2"/>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1,4</w:t>
            </w:r>
          </w:p>
        </w:tc>
        <w:tc>
          <w:tcPr>
            <w:tcW w:w="395" w:type="pct"/>
            <w:shd w:val="clear" w:color="000000" w:fill="FCFAFD"/>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Mašīnu un iekārtu ražošana</w:t>
            </w:r>
          </w:p>
        </w:tc>
        <w:tc>
          <w:tcPr>
            <w:tcW w:w="395" w:type="pct"/>
            <w:shd w:val="clear" w:color="000000" w:fill="E9EFF8"/>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0,9</w:t>
            </w:r>
          </w:p>
        </w:tc>
        <w:tc>
          <w:tcPr>
            <w:tcW w:w="395" w:type="pct"/>
            <w:shd w:val="clear" w:color="000000" w:fill="FCEFF2"/>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1,4</w:t>
            </w:r>
          </w:p>
        </w:tc>
        <w:tc>
          <w:tcPr>
            <w:tcW w:w="395" w:type="pct"/>
            <w:shd w:val="clear" w:color="000000" w:fill="94B3D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0,5</w:t>
            </w:r>
          </w:p>
        </w:tc>
        <w:tc>
          <w:tcPr>
            <w:tcW w:w="395" w:type="pct"/>
            <w:shd w:val="clear" w:color="000000" w:fill="729ACE"/>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0,3</w:t>
            </w:r>
          </w:p>
        </w:tc>
        <w:tc>
          <w:tcPr>
            <w:tcW w:w="395" w:type="pct"/>
            <w:shd w:val="clear" w:color="000000" w:fill="7FA4D3"/>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0,4</w:t>
            </w:r>
          </w:p>
        </w:tc>
        <w:tc>
          <w:tcPr>
            <w:tcW w:w="395" w:type="pct"/>
            <w:shd w:val="clear" w:color="000000" w:fill="FCDEE1"/>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1,9</w:t>
            </w:r>
          </w:p>
        </w:tc>
        <w:tc>
          <w:tcPr>
            <w:tcW w:w="395" w:type="pct"/>
            <w:shd w:val="clear" w:color="000000" w:fill="E0E8F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A9C1E1"/>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0,6</w:t>
            </w:r>
          </w:p>
        </w:tc>
        <w:tc>
          <w:tcPr>
            <w:tcW w:w="395" w:type="pct"/>
            <w:shd w:val="clear" w:color="000000" w:fill="F8F9FD"/>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FBFBF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Transportlīdzekļu ražošana</w:t>
            </w:r>
          </w:p>
        </w:tc>
        <w:tc>
          <w:tcPr>
            <w:tcW w:w="395" w:type="pct"/>
            <w:shd w:val="clear" w:color="000000" w:fill="618FC8"/>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0,2</w:t>
            </w:r>
          </w:p>
        </w:tc>
        <w:tc>
          <w:tcPr>
            <w:tcW w:w="395" w:type="pct"/>
            <w:shd w:val="clear" w:color="000000" w:fill="FCEBED"/>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1,5</w:t>
            </w:r>
          </w:p>
        </w:tc>
        <w:tc>
          <w:tcPr>
            <w:tcW w:w="395" w:type="pct"/>
            <w:shd w:val="clear" w:color="000000" w:fill="83A7D4"/>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0,4</w:t>
            </w:r>
          </w:p>
        </w:tc>
        <w:tc>
          <w:tcPr>
            <w:tcW w:w="395" w:type="pct"/>
            <w:shd w:val="clear" w:color="000000" w:fill="5A8AC6"/>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0,2</w:t>
            </w:r>
          </w:p>
        </w:tc>
        <w:tc>
          <w:tcPr>
            <w:tcW w:w="395" w:type="pct"/>
            <w:shd w:val="clear" w:color="000000" w:fill="6793C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0,2</w:t>
            </w:r>
          </w:p>
        </w:tc>
        <w:tc>
          <w:tcPr>
            <w:tcW w:w="395" w:type="pct"/>
            <w:shd w:val="clear" w:color="000000" w:fill="FCF0F3"/>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C1D3E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CF6F9"/>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c>
          <w:tcPr>
            <w:tcW w:w="395" w:type="pct"/>
            <w:shd w:val="clear" w:color="000000" w:fill="C1D2EA"/>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0,7</w:t>
            </w:r>
          </w:p>
        </w:tc>
        <w:tc>
          <w:tcPr>
            <w:tcW w:w="395" w:type="pct"/>
            <w:shd w:val="clear" w:color="000000" w:fill="FCF5F7"/>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1,2</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Narrow" w:eastAsia="Times New Roman" w:hAnsi="Arial Narrow" w:cs="Arial"/>
                <w:sz w:val="16"/>
                <w:szCs w:val="18"/>
                <w:lang w:eastAsia="lv-LV"/>
              </w:rPr>
            </w:pPr>
            <w:r w:rsidRPr="006F0966">
              <w:rPr>
                <w:rFonts w:ascii="Arial Narrow" w:eastAsia="Times New Roman" w:hAnsi="Arial Narrow" w:cs="Arial"/>
                <w:sz w:val="16"/>
                <w:szCs w:val="18"/>
                <w:lang w:eastAsia="lv-LV"/>
              </w:rPr>
              <w:t>Pārējās nozares</w:t>
            </w:r>
          </w:p>
        </w:tc>
        <w:tc>
          <w:tcPr>
            <w:tcW w:w="395" w:type="pct"/>
            <w:shd w:val="clear" w:color="000000" w:fill="E1E9F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AFAF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FCF2F5"/>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1,3</w:t>
            </w:r>
          </w:p>
        </w:tc>
        <w:tc>
          <w:tcPr>
            <w:tcW w:w="395" w:type="pct"/>
            <w:shd w:val="clear" w:color="000000" w:fill="FCF9FC"/>
            <w:noWrap/>
            <w:vAlign w:val="center"/>
            <w:hideMark/>
          </w:tcPr>
          <w:p w:rsidR="006E5449" w:rsidRPr="006F0966" w:rsidRDefault="006E5449" w:rsidP="00A60A7E">
            <w:pPr>
              <w:spacing w:before="60" w:after="60"/>
              <w:jc w:val="center"/>
              <w:rPr>
                <w:rFonts w:ascii="Arial" w:eastAsia="Times New Roman" w:hAnsi="Arial" w:cs="Arial"/>
                <w:b/>
                <w:sz w:val="16"/>
                <w:szCs w:val="20"/>
                <w:lang w:eastAsia="lv-LV"/>
              </w:rPr>
            </w:pPr>
            <w:r w:rsidRPr="006F0966">
              <w:rPr>
                <w:rFonts w:ascii="Arial" w:eastAsia="Times New Roman" w:hAnsi="Arial" w:cs="Arial"/>
                <w:b/>
                <w:sz w:val="16"/>
                <w:szCs w:val="20"/>
                <w:lang w:eastAsia="lv-LV"/>
              </w:rPr>
              <w:t>1,1</w:t>
            </w:r>
          </w:p>
        </w:tc>
        <w:tc>
          <w:tcPr>
            <w:tcW w:w="395" w:type="pct"/>
            <w:shd w:val="clear" w:color="000000" w:fill="FCEAED"/>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1,5</w:t>
            </w:r>
          </w:p>
        </w:tc>
        <w:tc>
          <w:tcPr>
            <w:tcW w:w="395" w:type="pct"/>
            <w:shd w:val="clear" w:color="000000" w:fill="B6CBE6"/>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0,6</w:t>
            </w:r>
          </w:p>
        </w:tc>
        <w:tc>
          <w:tcPr>
            <w:tcW w:w="395" w:type="pct"/>
            <w:shd w:val="clear" w:color="000000" w:fill="FCF8FB"/>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1,1</w:t>
            </w:r>
          </w:p>
        </w:tc>
        <w:tc>
          <w:tcPr>
            <w:tcW w:w="395" w:type="pct"/>
            <w:shd w:val="clear" w:color="000000" w:fill="FBFBFE"/>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1,0</w:t>
            </w:r>
          </w:p>
        </w:tc>
        <w:tc>
          <w:tcPr>
            <w:tcW w:w="395" w:type="pct"/>
            <w:shd w:val="clear" w:color="000000" w:fill="E2EAF6"/>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0,8</w:t>
            </w:r>
          </w:p>
        </w:tc>
        <w:tc>
          <w:tcPr>
            <w:tcW w:w="395" w:type="pct"/>
            <w:shd w:val="clear" w:color="000000" w:fill="FCF9FC"/>
            <w:noWrap/>
            <w:vAlign w:val="center"/>
            <w:hideMark/>
          </w:tcPr>
          <w:p w:rsidR="006E5449" w:rsidRPr="006F0966" w:rsidRDefault="006E5449" w:rsidP="00A60A7E">
            <w:pPr>
              <w:spacing w:before="60" w:after="60"/>
              <w:jc w:val="center"/>
              <w:rPr>
                <w:rFonts w:ascii="Arial" w:eastAsia="Times New Roman" w:hAnsi="Arial" w:cs="Arial"/>
                <w:sz w:val="16"/>
                <w:szCs w:val="20"/>
                <w:lang w:eastAsia="lv-LV"/>
              </w:rPr>
            </w:pPr>
            <w:r w:rsidRPr="006F0966">
              <w:rPr>
                <w:rFonts w:ascii="Arial" w:eastAsia="Times New Roman" w:hAnsi="Arial" w:cs="Arial"/>
                <w:sz w:val="16"/>
                <w:szCs w:val="20"/>
                <w:lang w:eastAsia="lv-LV"/>
              </w:rPr>
              <w:t>1,1</w:t>
            </w:r>
          </w:p>
        </w:tc>
      </w:tr>
      <w:tr w:rsidR="006E5449" w:rsidRPr="006F0966" w:rsidTr="00054935">
        <w:trPr>
          <w:cantSplit/>
        </w:trPr>
        <w:tc>
          <w:tcPr>
            <w:tcW w:w="1049" w:type="pct"/>
            <w:shd w:val="clear" w:color="auto" w:fill="auto"/>
            <w:noWrap/>
            <w:vAlign w:val="bottom"/>
            <w:hideMark/>
          </w:tcPr>
          <w:p w:rsidR="006E5449" w:rsidRPr="006F0966" w:rsidRDefault="006E5449" w:rsidP="00A60A7E">
            <w:pPr>
              <w:spacing w:before="60" w:after="60"/>
              <w:rPr>
                <w:rFonts w:ascii="Arial" w:eastAsia="Times New Roman" w:hAnsi="Arial" w:cs="Arial"/>
                <w:sz w:val="16"/>
                <w:lang w:eastAsia="lv-LV"/>
              </w:rPr>
            </w:pPr>
            <w:r>
              <w:rPr>
                <w:rFonts w:ascii="Arial Narrow" w:eastAsia="Times New Roman" w:hAnsi="Arial Narrow" w:cs="Arial"/>
                <w:b/>
                <w:sz w:val="18"/>
                <w:szCs w:val="18"/>
                <w:lang w:eastAsia="lv-LV"/>
              </w:rPr>
              <w:t>A</w:t>
            </w:r>
            <w:r w:rsidRPr="00576257">
              <w:rPr>
                <w:rFonts w:ascii="Arial Narrow" w:eastAsia="Times New Roman" w:hAnsi="Arial Narrow" w:cs="Arial"/>
                <w:b/>
                <w:sz w:val="18"/>
                <w:szCs w:val="18"/>
                <w:lang w:eastAsia="lv-LV"/>
              </w:rPr>
              <w:t>pstrādes rūpniecības specializācijas pakāpe</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2,2</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0,9</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2,7</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4,6</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1,9</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1,6</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0,7</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1,6</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1,0</w:t>
            </w:r>
          </w:p>
        </w:tc>
        <w:tc>
          <w:tcPr>
            <w:tcW w:w="395" w:type="pct"/>
            <w:shd w:val="clear" w:color="000000" w:fill="D9D9D9"/>
            <w:noWrap/>
            <w:vAlign w:val="center"/>
            <w:hideMark/>
          </w:tcPr>
          <w:p w:rsidR="006E5449" w:rsidRPr="006F0966" w:rsidRDefault="006E5449" w:rsidP="00A60A7E">
            <w:pPr>
              <w:spacing w:before="60" w:after="60"/>
              <w:jc w:val="center"/>
              <w:rPr>
                <w:rFonts w:ascii="Arial" w:eastAsia="Times New Roman" w:hAnsi="Arial" w:cs="Arial"/>
                <w:b/>
                <w:bCs/>
                <w:sz w:val="20"/>
                <w:lang w:eastAsia="lv-LV"/>
              </w:rPr>
            </w:pPr>
            <w:r w:rsidRPr="006F0966">
              <w:rPr>
                <w:rFonts w:ascii="Arial" w:eastAsia="Times New Roman" w:hAnsi="Arial" w:cs="Arial"/>
                <w:b/>
                <w:bCs/>
                <w:sz w:val="20"/>
                <w:lang w:eastAsia="lv-LV"/>
              </w:rPr>
              <w:t>0,9</w:t>
            </w:r>
          </w:p>
        </w:tc>
      </w:tr>
    </w:tbl>
    <w:p w:rsidR="006E5449" w:rsidRDefault="006E5449" w:rsidP="006E5449">
      <w:pPr>
        <w:jc w:val="center"/>
        <w:rPr>
          <w:rFonts w:cs="Times New Roman"/>
          <w:color w:val="000000"/>
          <w:sz w:val="26"/>
          <w:szCs w:val="26"/>
        </w:rPr>
      </w:pPr>
    </w:p>
    <w:p w:rsidR="006E5449" w:rsidRPr="003A3EC5" w:rsidRDefault="006E5449" w:rsidP="006E5449">
      <w:pPr>
        <w:jc w:val="right"/>
        <w:rPr>
          <w:szCs w:val="28"/>
        </w:rPr>
      </w:pPr>
      <w:r w:rsidRPr="003A3EC5">
        <w:rPr>
          <w:szCs w:val="28"/>
        </w:rPr>
        <w:t>2.tabula</w:t>
      </w:r>
    </w:p>
    <w:p w:rsidR="006E5449" w:rsidRPr="003A3EC5" w:rsidRDefault="006E5449" w:rsidP="006E5449">
      <w:pPr>
        <w:jc w:val="center"/>
        <w:rPr>
          <w:rFonts w:cs="Times New Roman"/>
          <w:b/>
          <w:color w:val="000000"/>
          <w:szCs w:val="28"/>
        </w:rPr>
      </w:pPr>
      <w:r w:rsidRPr="003A3EC5">
        <w:rPr>
          <w:b/>
          <w:color w:val="000000"/>
          <w:szCs w:val="28"/>
        </w:rPr>
        <w:t>Apstrādes rūpniecības specializācijas koeficienti Baltijas jūras reģiona valstīs</w:t>
      </w:r>
    </w:p>
    <w:p w:rsidR="006E5449" w:rsidRDefault="006E5449" w:rsidP="006E5449">
      <w:pPr>
        <w:jc w:val="center"/>
        <w:rPr>
          <w:rFonts w:cs="Times New Roman"/>
          <w:color w:val="000000"/>
          <w:sz w:val="26"/>
          <w:szCs w:val="26"/>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793"/>
        <w:gridCol w:w="792"/>
        <w:gridCol w:w="792"/>
        <w:gridCol w:w="792"/>
        <w:gridCol w:w="792"/>
        <w:gridCol w:w="792"/>
        <w:gridCol w:w="792"/>
        <w:gridCol w:w="828"/>
      </w:tblGrid>
      <w:tr w:rsidR="006E5449" w:rsidRPr="008A3898" w:rsidTr="00A60A7E">
        <w:trPr>
          <w:trHeight w:val="285"/>
        </w:trPr>
        <w:tc>
          <w:tcPr>
            <w:tcW w:w="1581" w:type="pct"/>
            <w:shd w:val="clear" w:color="000000" w:fill="D9D9D9"/>
            <w:noWrap/>
            <w:vAlign w:val="bottom"/>
            <w:hideMark/>
          </w:tcPr>
          <w:p w:rsidR="006E5449" w:rsidRPr="00D43878" w:rsidRDefault="006E5449" w:rsidP="00A60A7E">
            <w:pP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 </w:t>
            </w:r>
          </w:p>
        </w:tc>
        <w:tc>
          <w:tcPr>
            <w:tcW w:w="425" w:type="pct"/>
            <w:shd w:val="clear" w:color="000000" w:fill="D9D9D9"/>
            <w:noWrap/>
            <w:vAlign w:val="center"/>
            <w:hideMark/>
          </w:tcPr>
          <w:p w:rsidR="006E5449" w:rsidRPr="00D43878" w:rsidRDefault="006E5449" w:rsidP="00A60A7E">
            <w:pPr>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Dānija</w:t>
            </w:r>
          </w:p>
        </w:tc>
        <w:tc>
          <w:tcPr>
            <w:tcW w:w="425" w:type="pct"/>
            <w:shd w:val="clear" w:color="000000" w:fill="D9D9D9"/>
            <w:noWrap/>
            <w:vAlign w:val="center"/>
            <w:hideMark/>
          </w:tcPr>
          <w:p w:rsidR="006E5449" w:rsidRPr="00D43878" w:rsidRDefault="006E5449" w:rsidP="00A60A7E">
            <w:pPr>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Vācija</w:t>
            </w:r>
          </w:p>
        </w:tc>
        <w:tc>
          <w:tcPr>
            <w:tcW w:w="425" w:type="pct"/>
            <w:shd w:val="clear" w:color="000000" w:fill="D9D9D9"/>
            <w:noWrap/>
            <w:vAlign w:val="center"/>
            <w:hideMark/>
          </w:tcPr>
          <w:p w:rsidR="006E5449" w:rsidRPr="00D43878" w:rsidRDefault="006E5449" w:rsidP="00A60A7E">
            <w:pPr>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Igaunija</w:t>
            </w:r>
          </w:p>
        </w:tc>
        <w:tc>
          <w:tcPr>
            <w:tcW w:w="425" w:type="pct"/>
            <w:shd w:val="clear" w:color="000000" w:fill="D9D9D9"/>
            <w:noWrap/>
            <w:vAlign w:val="center"/>
            <w:hideMark/>
          </w:tcPr>
          <w:p w:rsidR="006E5449" w:rsidRPr="005972B6" w:rsidRDefault="006E5449" w:rsidP="00A60A7E">
            <w:pPr>
              <w:jc w:val="center"/>
              <w:rPr>
                <w:rFonts w:ascii="Arial Narrow" w:eastAsia="Times New Roman" w:hAnsi="Arial Narrow" w:cs="Arial"/>
                <w:b/>
                <w:bCs/>
                <w:sz w:val="18"/>
                <w:szCs w:val="18"/>
                <w:lang w:eastAsia="lv-LV"/>
              </w:rPr>
            </w:pPr>
            <w:r w:rsidRPr="005972B6">
              <w:rPr>
                <w:rFonts w:ascii="Arial Narrow" w:eastAsia="Times New Roman" w:hAnsi="Arial Narrow" w:cs="Arial"/>
                <w:b/>
                <w:bCs/>
                <w:sz w:val="18"/>
                <w:szCs w:val="18"/>
                <w:lang w:eastAsia="lv-LV"/>
              </w:rPr>
              <w:t>Latvija</w:t>
            </w:r>
          </w:p>
        </w:tc>
        <w:tc>
          <w:tcPr>
            <w:tcW w:w="425" w:type="pct"/>
            <w:shd w:val="clear" w:color="000000" w:fill="D9D9D9"/>
            <w:noWrap/>
            <w:vAlign w:val="center"/>
            <w:hideMark/>
          </w:tcPr>
          <w:p w:rsidR="006E5449" w:rsidRPr="00D43878" w:rsidRDefault="006E5449" w:rsidP="00A60A7E">
            <w:pPr>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Lietuva</w:t>
            </w:r>
          </w:p>
        </w:tc>
        <w:tc>
          <w:tcPr>
            <w:tcW w:w="425" w:type="pct"/>
            <w:shd w:val="clear" w:color="000000" w:fill="D9D9D9"/>
            <w:noWrap/>
            <w:vAlign w:val="center"/>
            <w:hideMark/>
          </w:tcPr>
          <w:p w:rsidR="006E5449" w:rsidRPr="00D43878" w:rsidRDefault="006E5449" w:rsidP="00A60A7E">
            <w:pPr>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Polija</w:t>
            </w:r>
          </w:p>
        </w:tc>
        <w:tc>
          <w:tcPr>
            <w:tcW w:w="425" w:type="pct"/>
            <w:shd w:val="clear" w:color="000000" w:fill="D9D9D9"/>
            <w:noWrap/>
            <w:vAlign w:val="center"/>
            <w:hideMark/>
          </w:tcPr>
          <w:p w:rsidR="006E5449" w:rsidRPr="00D43878" w:rsidRDefault="006E5449" w:rsidP="00A60A7E">
            <w:pPr>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Somija</w:t>
            </w:r>
          </w:p>
        </w:tc>
        <w:tc>
          <w:tcPr>
            <w:tcW w:w="444" w:type="pct"/>
            <w:shd w:val="clear" w:color="000000" w:fill="D9D9D9"/>
            <w:noWrap/>
            <w:vAlign w:val="center"/>
            <w:hideMark/>
          </w:tcPr>
          <w:p w:rsidR="006E5449" w:rsidRPr="00D43878" w:rsidRDefault="006E5449" w:rsidP="00A60A7E">
            <w:pPr>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Zviedrija</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Pārtikas rūpniecība</w:t>
            </w:r>
          </w:p>
        </w:tc>
        <w:tc>
          <w:tcPr>
            <w:tcW w:w="425" w:type="pct"/>
            <w:shd w:val="clear" w:color="000000" w:fill="FCF2F5"/>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1,7</w:t>
            </w:r>
          </w:p>
        </w:tc>
        <w:tc>
          <w:tcPr>
            <w:tcW w:w="425" w:type="pct"/>
            <w:shd w:val="clear" w:color="000000" w:fill="DEE7F4"/>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c>
          <w:tcPr>
            <w:tcW w:w="425" w:type="pct"/>
            <w:shd w:val="clear" w:color="000000" w:fill="FCF5F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1,5</w:t>
            </w:r>
          </w:p>
        </w:tc>
        <w:tc>
          <w:tcPr>
            <w:tcW w:w="425" w:type="pct"/>
            <w:shd w:val="clear" w:color="000000" w:fill="FCE3E6"/>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2,6</w:t>
            </w:r>
          </w:p>
        </w:tc>
        <w:tc>
          <w:tcPr>
            <w:tcW w:w="425" w:type="pct"/>
            <w:shd w:val="clear" w:color="000000" w:fill="FCE4E7"/>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2,6</w:t>
            </w:r>
          </w:p>
        </w:tc>
        <w:tc>
          <w:tcPr>
            <w:tcW w:w="425" w:type="pct"/>
            <w:shd w:val="clear" w:color="000000" w:fill="FCECE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2,0</w:t>
            </w:r>
          </w:p>
        </w:tc>
        <w:tc>
          <w:tcPr>
            <w:tcW w:w="425" w:type="pct"/>
            <w:shd w:val="clear" w:color="000000" w:fill="FBFB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44" w:type="pct"/>
            <w:shd w:val="clear" w:color="000000" w:fill="E0E8F5"/>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0,9</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Vieglā rūpniecība</w:t>
            </w:r>
          </w:p>
        </w:tc>
        <w:tc>
          <w:tcPr>
            <w:tcW w:w="425" w:type="pct"/>
            <w:shd w:val="clear" w:color="000000" w:fill="DEE7F4"/>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c>
          <w:tcPr>
            <w:tcW w:w="425" w:type="pct"/>
            <w:shd w:val="clear" w:color="000000" w:fill="E3EAF6"/>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0,9</w:t>
            </w:r>
          </w:p>
        </w:tc>
        <w:tc>
          <w:tcPr>
            <w:tcW w:w="425" w:type="pct"/>
            <w:shd w:val="clear" w:color="000000" w:fill="FBCED0"/>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4,0</w:t>
            </w:r>
          </w:p>
        </w:tc>
        <w:tc>
          <w:tcPr>
            <w:tcW w:w="425" w:type="pct"/>
            <w:shd w:val="clear" w:color="000000" w:fill="FBD6D9"/>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3,5</w:t>
            </w:r>
          </w:p>
        </w:tc>
        <w:tc>
          <w:tcPr>
            <w:tcW w:w="425" w:type="pct"/>
            <w:shd w:val="clear" w:color="000000" w:fill="FBC3C5"/>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4,7</w:t>
            </w:r>
          </w:p>
        </w:tc>
        <w:tc>
          <w:tcPr>
            <w:tcW w:w="425" w:type="pct"/>
            <w:shd w:val="clear" w:color="000000" w:fill="FCE9EC"/>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2,3</w:t>
            </w:r>
          </w:p>
        </w:tc>
        <w:tc>
          <w:tcPr>
            <w:tcW w:w="425" w:type="pct"/>
            <w:shd w:val="clear" w:color="000000" w:fill="E5EBF6"/>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0,9</w:t>
            </w:r>
          </w:p>
        </w:tc>
        <w:tc>
          <w:tcPr>
            <w:tcW w:w="444" w:type="pct"/>
            <w:shd w:val="clear" w:color="000000" w:fill="9EBAD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0,5</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Kokapstrāde</w:t>
            </w:r>
          </w:p>
        </w:tc>
        <w:tc>
          <w:tcPr>
            <w:tcW w:w="425" w:type="pct"/>
            <w:shd w:val="clear" w:color="000000" w:fill="FCFB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1,1</w:t>
            </w:r>
          </w:p>
        </w:tc>
        <w:tc>
          <w:tcPr>
            <w:tcW w:w="425" w:type="pct"/>
            <w:shd w:val="clear" w:color="000000" w:fill="B6CAE6"/>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0,6</w:t>
            </w:r>
          </w:p>
        </w:tc>
        <w:tc>
          <w:tcPr>
            <w:tcW w:w="425" w:type="pct"/>
            <w:shd w:val="clear" w:color="000000" w:fill="FAA3A6"/>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6,8</w:t>
            </w:r>
          </w:p>
        </w:tc>
        <w:tc>
          <w:tcPr>
            <w:tcW w:w="425" w:type="pct"/>
            <w:shd w:val="clear" w:color="000000" w:fill="F8696B"/>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10,5</w:t>
            </w:r>
          </w:p>
        </w:tc>
        <w:tc>
          <w:tcPr>
            <w:tcW w:w="425" w:type="pct"/>
            <w:shd w:val="clear" w:color="000000" w:fill="FCD9DC"/>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3,3</w:t>
            </w:r>
          </w:p>
        </w:tc>
        <w:tc>
          <w:tcPr>
            <w:tcW w:w="425" w:type="pct"/>
            <w:shd w:val="clear" w:color="000000" w:fill="FCEFF2"/>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1,9</w:t>
            </w:r>
          </w:p>
        </w:tc>
        <w:tc>
          <w:tcPr>
            <w:tcW w:w="425" w:type="pct"/>
            <w:shd w:val="clear" w:color="000000" w:fill="FCEAED"/>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2,2</w:t>
            </w:r>
          </w:p>
        </w:tc>
        <w:tc>
          <w:tcPr>
            <w:tcW w:w="444" w:type="pct"/>
            <w:shd w:val="clear" w:color="000000" w:fill="FCECE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2,0</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Papīra ražošana un poligrāfija</w:t>
            </w:r>
          </w:p>
        </w:tc>
        <w:tc>
          <w:tcPr>
            <w:tcW w:w="425" w:type="pct"/>
            <w:shd w:val="clear" w:color="000000" w:fill="DBE5F3"/>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c>
          <w:tcPr>
            <w:tcW w:w="425" w:type="pct"/>
            <w:shd w:val="clear" w:color="000000" w:fill="D7E2F2"/>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c>
          <w:tcPr>
            <w:tcW w:w="425" w:type="pct"/>
            <w:shd w:val="clear" w:color="000000" w:fill="FCF8FB"/>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1,3</w:t>
            </w:r>
          </w:p>
        </w:tc>
        <w:tc>
          <w:tcPr>
            <w:tcW w:w="425" w:type="pct"/>
            <w:shd w:val="clear" w:color="000000" w:fill="FCFBFE"/>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1,1</w:t>
            </w:r>
          </w:p>
        </w:tc>
        <w:tc>
          <w:tcPr>
            <w:tcW w:w="425" w:type="pct"/>
            <w:shd w:val="clear" w:color="000000" w:fill="E4EBF6"/>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0,9</w:t>
            </w:r>
          </w:p>
        </w:tc>
        <w:tc>
          <w:tcPr>
            <w:tcW w:w="425" w:type="pct"/>
            <w:shd w:val="clear" w:color="000000" w:fill="FCFCF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1,1</w:t>
            </w:r>
          </w:p>
        </w:tc>
        <w:tc>
          <w:tcPr>
            <w:tcW w:w="425" w:type="pct"/>
            <w:shd w:val="clear" w:color="000000" w:fill="FCE1E3"/>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2,8</w:t>
            </w:r>
          </w:p>
        </w:tc>
        <w:tc>
          <w:tcPr>
            <w:tcW w:w="444" w:type="pct"/>
            <w:shd w:val="clear" w:color="000000" w:fill="FCEFF2"/>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1,8</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Ķīmiskā rūpniecība</w:t>
            </w:r>
          </w:p>
        </w:tc>
        <w:tc>
          <w:tcPr>
            <w:tcW w:w="425" w:type="pct"/>
            <w:shd w:val="clear" w:color="000000" w:fill="FCF6F9"/>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1,4</w:t>
            </w:r>
          </w:p>
        </w:tc>
        <w:tc>
          <w:tcPr>
            <w:tcW w:w="425" w:type="pct"/>
            <w:shd w:val="clear" w:color="000000" w:fill="F7F8FD"/>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BBCEE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0,7</w:t>
            </w:r>
          </w:p>
        </w:tc>
        <w:tc>
          <w:tcPr>
            <w:tcW w:w="425" w:type="pct"/>
            <w:shd w:val="clear" w:color="000000" w:fill="A3BDDF"/>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0,5</w:t>
            </w:r>
          </w:p>
        </w:tc>
        <w:tc>
          <w:tcPr>
            <w:tcW w:w="425" w:type="pct"/>
            <w:shd w:val="clear" w:color="000000" w:fill="FCF5F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1,5</w:t>
            </w:r>
          </w:p>
        </w:tc>
        <w:tc>
          <w:tcPr>
            <w:tcW w:w="425" w:type="pct"/>
            <w:shd w:val="clear" w:color="000000" w:fill="FCFCF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D0DDE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c>
          <w:tcPr>
            <w:tcW w:w="444" w:type="pct"/>
            <w:shd w:val="clear" w:color="000000" w:fill="FCFB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1,1</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Nemetālisko minerālu ražošana</w:t>
            </w:r>
          </w:p>
        </w:tc>
        <w:tc>
          <w:tcPr>
            <w:tcW w:w="425" w:type="pct"/>
            <w:shd w:val="clear" w:color="000000" w:fill="FCFCF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E9EFF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0,9</w:t>
            </w:r>
          </w:p>
        </w:tc>
        <w:tc>
          <w:tcPr>
            <w:tcW w:w="425" w:type="pct"/>
            <w:shd w:val="clear" w:color="000000" w:fill="FCF5F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1,5</w:t>
            </w:r>
          </w:p>
        </w:tc>
        <w:tc>
          <w:tcPr>
            <w:tcW w:w="425" w:type="pct"/>
            <w:shd w:val="clear" w:color="000000" w:fill="FCEFF2"/>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1,8</w:t>
            </w:r>
          </w:p>
        </w:tc>
        <w:tc>
          <w:tcPr>
            <w:tcW w:w="425" w:type="pct"/>
            <w:shd w:val="clear" w:color="000000" w:fill="FAFA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FCEDF0"/>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2,0</w:t>
            </w:r>
          </w:p>
        </w:tc>
        <w:tc>
          <w:tcPr>
            <w:tcW w:w="425" w:type="pct"/>
            <w:shd w:val="clear" w:color="000000" w:fill="FCFB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1,1</w:t>
            </w:r>
          </w:p>
        </w:tc>
        <w:tc>
          <w:tcPr>
            <w:tcW w:w="444" w:type="pct"/>
            <w:shd w:val="clear" w:color="000000" w:fill="CDDBE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Metālapstrāde</w:t>
            </w:r>
          </w:p>
        </w:tc>
        <w:tc>
          <w:tcPr>
            <w:tcW w:w="425" w:type="pct"/>
            <w:shd w:val="clear" w:color="000000" w:fill="D5E0F1"/>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c>
          <w:tcPr>
            <w:tcW w:w="425" w:type="pct"/>
            <w:shd w:val="clear" w:color="000000" w:fill="FCFCF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E8EEF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0,9</w:t>
            </w:r>
          </w:p>
        </w:tc>
        <w:tc>
          <w:tcPr>
            <w:tcW w:w="425" w:type="pct"/>
            <w:shd w:val="clear" w:color="000000" w:fill="DFE7F4"/>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0,8</w:t>
            </w:r>
          </w:p>
        </w:tc>
        <w:tc>
          <w:tcPr>
            <w:tcW w:w="425" w:type="pct"/>
            <w:shd w:val="clear" w:color="000000" w:fill="84A7D4"/>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0,4</w:t>
            </w:r>
          </w:p>
        </w:tc>
        <w:tc>
          <w:tcPr>
            <w:tcW w:w="425" w:type="pct"/>
            <w:shd w:val="clear" w:color="000000" w:fill="F5F7FC"/>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F8F9FD"/>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44" w:type="pct"/>
            <w:shd w:val="clear" w:color="000000" w:fill="FCFB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1,1</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Elektrisko un optisko iekārtu ražošana</w:t>
            </w:r>
          </w:p>
        </w:tc>
        <w:tc>
          <w:tcPr>
            <w:tcW w:w="425" w:type="pct"/>
            <w:shd w:val="clear" w:color="000000" w:fill="DBE5F3"/>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c>
          <w:tcPr>
            <w:tcW w:w="425" w:type="pct"/>
            <w:shd w:val="clear" w:color="000000" w:fill="FCFCF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FCFCF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709ACE"/>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0,3</w:t>
            </w:r>
          </w:p>
        </w:tc>
        <w:tc>
          <w:tcPr>
            <w:tcW w:w="425" w:type="pct"/>
            <w:shd w:val="clear" w:color="000000" w:fill="7DA3D2"/>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0,3</w:t>
            </w:r>
          </w:p>
        </w:tc>
        <w:tc>
          <w:tcPr>
            <w:tcW w:w="425" w:type="pct"/>
            <w:shd w:val="clear" w:color="000000" w:fill="A7C0E1"/>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0,6</w:t>
            </w:r>
          </w:p>
        </w:tc>
        <w:tc>
          <w:tcPr>
            <w:tcW w:w="425" w:type="pct"/>
            <w:shd w:val="clear" w:color="000000" w:fill="FCF6F9"/>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1,4</w:t>
            </w:r>
          </w:p>
        </w:tc>
        <w:tc>
          <w:tcPr>
            <w:tcW w:w="444" w:type="pct"/>
            <w:shd w:val="clear" w:color="000000" w:fill="FCFCF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Mašīnu un iekārtu ražošana</w:t>
            </w:r>
          </w:p>
        </w:tc>
        <w:tc>
          <w:tcPr>
            <w:tcW w:w="425" w:type="pct"/>
            <w:shd w:val="clear" w:color="000000" w:fill="FCFAFD"/>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1,2</w:t>
            </w:r>
          </w:p>
        </w:tc>
        <w:tc>
          <w:tcPr>
            <w:tcW w:w="425" w:type="pct"/>
            <w:shd w:val="clear" w:color="000000" w:fill="FCFB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1,1</w:t>
            </w:r>
          </w:p>
        </w:tc>
        <w:tc>
          <w:tcPr>
            <w:tcW w:w="425" w:type="pct"/>
            <w:shd w:val="clear" w:color="000000" w:fill="6995CB"/>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0,2</w:t>
            </w:r>
          </w:p>
        </w:tc>
        <w:tc>
          <w:tcPr>
            <w:tcW w:w="425" w:type="pct"/>
            <w:shd w:val="clear" w:color="000000" w:fill="5A8AC6"/>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0,1</w:t>
            </w:r>
          </w:p>
        </w:tc>
        <w:tc>
          <w:tcPr>
            <w:tcW w:w="425" w:type="pct"/>
            <w:shd w:val="clear" w:color="000000" w:fill="608EC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0,2</w:t>
            </w:r>
          </w:p>
        </w:tc>
        <w:tc>
          <w:tcPr>
            <w:tcW w:w="425" w:type="pct"/>
            <w:shd w:val="clear" w:color="000000" w:fill="8DADD7"/>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0,4</w:t>
            </w:r>
          </w:p>
        </w:tc>
        <w:tc>
          <w:tcPr>
            <w:tcW w:w="425" w:type="pct"/>
            <w:shd w:val="clear" w:color="000000" w:fill="FAFAFE"/>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44" w:type="pct"/>
            <w:shd w:val="clear" w:color="000000" w:fill="E2EAF6"/>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0,9</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Transportlīdzekļu ražošana</w:t>
            </w:r>
          </w:p>
        </w:tc>
        <w:tc>
          <w:tcPr>
            <w:tcW w:w="425" w:type="pct"/>
            <w:shd w:val="clear" w:color="000000" w:fill="5A8AC6"/>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0,1</w:t>
            </w:r>
          </w:p>
        </w:tc>
        <w:tc>
          <w:tcPr>
            <w:tcW w:w="425" w:type="pct"/>
            <w:shd w:val="clear" w:color="000000" w:fill="FCFAFD"/>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1,2</w:t>
            </w:r>
          </w:p>
        </w:tc>
        <w:tc>
          <w:tcPr>
            <w:tcW w:w="425" w:type="pct"/>
            <w:shd w:val="clear" w:color="000000" w:fill="7EA3D2"/>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0,3</w:t>
            </w:r>
          </w:p>
        </w:tc>
        <w:tc>
          <w:tcPr>
            <w:tcW w:w="425" w:type="pct"/>
            <w:shd w:val="clear" w:color="000000" w:fill="5B8BC6"/>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0,2</w:t>
            </w:r>
          </w:p>
        </w:tc>
        <w:tc>
          <w:tcPr>
            <w:tcW w:w="425" w:type="pct"/>
            <w:shd w:val="clear" w:color="000000" w:fill="6693CA"/>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0,2</w:t>
            </w:r>
          </w:p>
        </w:tc>
        <w:tc>
          <w:tcPr>
            <w:tcW w:w="425" w:type="pct"/>
            <w:shd w:val="clear" w:color="000000" w:fill="B1C7E4"/>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0,6</w:t>
            </w:r>
          </w:p>
        </w:tc>
        <w:tc>
          <w:tcPr>
            <w:tcW w:w="425" w:type="pct"/>
            <w:shd w:val="clear" w:color="000000" w:fill="618FC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0,2</w:t>
            </w:r>
          </w:p>
        </w:tc>
        <w:tc>
          <w:tcPr>
            <w:tcW w:w="444" w:type="pct"/>
            <w:shd w:val="clear" w:color="000000" w:fill="D0DDEF"/>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r>
      <w:tr w:rsidR="006E5449" w:rsidRPr="008A3898" w:rsidTr="00A60A7E">
        <w:trPr>
          <w:trHeight w:val="300"/>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D43878">
              <w:rPr>
                <w:rFonts w:ascii="Arial Narrow" w:eastAsia="Times New Roman" w:hAnsi="Arial Narrow" w:cs="Arial"/>
                <w:sz w:val="20"/>
                <w:szCs w:val="18"/>
                <w:lang w:eastAsia="lv-LV"/>
              </w:rPr>
              <w:t>Pārējās nozares</w:t>
            </w:r>
          </w:p>
        </w:tc>
        <w:tc>
          <w:tcPr>
            <w:tcW w:w="425" w:type="pct"/>
            <w:shd w:val="clear" w:color="000000" w:fill="FCF9FC"/>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1,2</w:t>
            </w:r>
          </w:p>
        </w:tc>
        <w:tc>
          <w:tcPr>
            <w:tcW w:w="425" w:type="pct"/>
            <w:shd w:val="clear" w:color="000000" w:fill="F5F7FC"/>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25" w:type="pct"/>
            <w:shd w:val="clear" w:color="000000" w:fill="FCF5F8"/>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1,5</w:t>
            </w:r>
          </w:p>
        </w:tc>
        <w:tc>
          <w:tcPr>
            <w:tcW w:w="425" w:type="pct"/>
            <w:shd w:val="clear" w:color="000000" w:fill="FCF9FC"/>
            <w:noWrap/>
            <w:vAlign w:val="center"/>
            <w:hideMark/>
          </w:tcPr>
          <w:p w:rsidR="006E5449" w:rsidRPr="005972B6" w:rsidRDefault="006E5449" w:rsidP="00A60A7E">
            <w:pPr>
              <w:spacing w:before="60" w:after="60"/>
              <w:jc w:val="center"/>
              <w:rPr>
                <w:rFonts w:ascii="Arial Narrow" w:eastAsia="Times New Roman" w:hAnsi="Arial Narrow" w:cs="Arial"/>
                <w:b/>
                <w:sz w:val="18"/>
                <w:szCs w:val="18"/>
                <w:lang w:eastAsia="lv-LV"/>
              </w:rPr>
            </w:pPr>
            <w:r w:rsidRPr="005972B6">
              <w:rPr>
                <w:rFonts w:ascii="Arial Narrow" w:eastAsia="Times New Roman" w:hAnsi="Arial Narrow" w:cs="Arial"/>
                <w:b/>
                <w:sz w:val="18"/>
                <w:szCs w:val="18"/>
                <w:lang w:eastAsia="lv-LV"/>
              </w:rPr>
              <w:t>1,3</w:t>
            </w:r>
          </w:p>
        </w:tc>
        <w:tc>
          <w:tcPr>
            <w:tcW w:w="425" w:type="pct"/>
            <w:shd w:val="clear" w:color="000000" w:fill="FCF0F3"/>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1,8</w:t>
            </w:r>
          </w:p>
        </w:tc>
        <w:tc>
          <w:tcPr>
            <w:tcW w:w="425" w:type="pct"/>
            <w:shd w:val="clear" w:color="000000" w:fill="FCF8FB"/>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1,3</w:t>
            </w:r>
          </w:p>
        </w:tc>
        <w:tc>
          <w:tcPr>
            <w:tcW w:w="425" w:type="pct"/>
            <w:shd w:val="clear" w:color="000000" w:fill="F6F8FD"/>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1,0</w:t>
            </w:r>
          </w:p>
        </w:tc>
        <w:tc>
          <w:tcPr>
            <w:tcW w:w="444" w:type="pct"/>
            <w:shd w:val="clear" w:color="000000" w:fill="DEE7F4"/>
            <w:noWrap/>
            <w:vAlign w:val="center"/>
            <w:hideMark/>
          </w:tcPr>
          <w:p w:rsidR="006E5449" w:rsidRPr="00D43878" w:rsidRDefault="006E5449" w:rsidP="00A60A7E">
            <w:pPr>
              <w:spacing w:before="60" w:after="60"/>
              <w:jc w:val="center"/>
              <w:rPr>
                <w:rFonts w:ascii="Arial Narrow" w:eastAsia="Times New Roman" w:hAnsi="Arial Narrow" w:cs="Arial"/>
                <w:sz w:val="18"/>
                <w:szCs w:val="18"/>
                <w:lang w:eastAsia="lv-LV"/>
              </w:rPr>
            </w:pPr>
            <w:r w:rsidRPr="00D43878">
              <w:rPr>
                <w:rFonts w:ascii="Arial Narrow" w:eastAsia="Times New Roman" w:hAnsi="Arial Narrow" w:cs="Arial"/>
                <w:sz w:val="18"/>
                <w:szCs w:val="18"/>
                <w:lang w:eastAsia="lv-LV"/>
              </w:rPr>
              <w:t>0,8</w:t>
            </w:r>
          </w:p>
        </w:tc>
      </w:tr>
      <w:tr w:rsidR="006E5449" w:rsidRPr="008A3898" w:rsidTr="00A60A7E">
        <w:trPr>
          <w:trHeight w:val="315"/>
        </w:trPr>
        <w:tc>
          <w:tcPr>
            <w:tcW w:w="1581" w:type="pct"/>
            <w:shd w:val="clear" w:color="auto" w:fill="auto"/>
            <w:noWrap/>
            <w:vAlign w:val="bottom"/>
            <w:hideMark/>
          </w:tcPr>
          <w:p w:rsidR="006E5449" w:rsidRPr="00D43878" w:rsidRDefault="006E5449" w:rsidP="00A60A7E">
            <w:pPr>
              <w:spacing w:before="60" w:after="60"/>
              <w:rPr>
                <w:rFonts w:ascii="Arial Narrow" w:eastAsia="Times New Roman" w:hAnsi="Arial Narrow" w:cs="Arial"/>
                <w:sz w:val="20"/>
                <w:szCs w:val="18"/>
                <w:lang w:eastAsia="lv-LV"/>
              </w:rPr>
            </w:pPr>
            <w:r w:rsidRPr="00B33B3F">
              <w:rPr>
                <w:rFonts w:ascii="Arial Narrow" w:eastAsia="Times New Roman" w:hAnsi="Arial Narrow" w:cs="Arial"/>
                <w:b/>
                <w:sz w:val="20"/>
                <w:szCs w:val="18"/>
                <w:lang w:eastAsia="lv-LV"/>
              </w:rPr>
              <w:t>Kopējā  apstrādes rūpniecības specializācijas pakāpe</w:t>
            </w:r>
          </w:p>
        </w:tc>
        <w:tc>
          <w:tcPr>
            <w:tcW w:w="425" w:type="pct"/>
            <w:shd w:val="clear" w:color="000000" w:fill="D9D9D9"/>
            <w:noWrap/>
            <w:vAlign w:val="center"/>
            <w:hideMark/>
          </w:tcPr>
          <w:p w:rsidR="006E5449" w:rsidRPr="00D43878" w:rsidRDefault="006E5449" w:rsidP="00A60A7E">
            <w:pPr>
              <w:spacing w:before="60" w:after="60"/>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1,2</w:t>
            </w:r>
          </w:p>
        </w:tc>
        <w:tc>
          <w:tcPr>
            <w:tcW w:w="425" w:type="pct"/>
            <w:shd w:val="clear" w:color="000000" w:fill="D9D9D9"/>
            <w:noWrap/>
            <w:vAlign w:val="center"/>
            <w:hideMark/>
          </w:tcPr>
          <w:p w:rsidR="006E5449" w:rsidRPr="00D43878" w:rsidRDefault="006E5449" w:rsidP="00A60A7E">
            <w:pPr>
              <w:spacing w:before="60" w:after="60"/>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0,5</w:t>
            </w:r>
          </w:p>
        </w:tc>
        <w:tc>
          <w:tcPr>
            <w:tcW w:w="425" w:type="pct"/>
            <w:shd w:val="clear" w:color="000000" w:fill="D9D9D9"/>
            <w:noWrap/>
            <w:vAlign w:val="center"/>
            <w:hideMark/>
          </w:tcPr>
          <w:p w:rsidR="006E5449" w:rsidRPr="00D43878" w:rsidRDefault="006E5449" w:rsidP="00A60A7E">
            <w:pPr>
              <w:spacing w:before="60" w:after="60"/>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6,6</w:t>
            </w:r>
          </w:p>
        </w:tc>
        <w:tc>
          <w:tcPr>
            <w:tcW w:w="425" w:type="pct"/>
            <w:shd w:val="clear" w:color="000000" w:fill="D9D9D9"/>
            <w:noWrap/>
            <w:vAlign w:val="center"/>
            <w:hideMark/>
          </w:tcPr>
          <w:p w:rsidR="006E5449" w:rsidRPr="005972B6" w:rsidRDefault="006E5449" w:rsidP="00A60A7E">
            <w:pPr>
              <w:spacing w:before="60" w:after="60"/>
              <w:jc w:val="center"/>
              <w:rPr>
                <w:rFonts w:ascii="Arial Narrow" w:eastAsia="Times New Roman" w:hAnsi="Arial Narrow" w:cs="Arial"/>
                <w:b/>
                <w:bCs/>
                <w:sz w:val="18"/>
                <w:szCs w:val="18"/>
                <w:lang w:eastAsia="lv-LV"/>
              </w:rPr>
            </w:pPr>
            <w:r w:rsidRPr="005972B6">
              <w:rPr>
                <w:rFonts w:ascii="Arial Narrow" w:eastAsia="Times New Roman" w:hAnsi="Arial Narrow" w:cs="Arial"/>
                <w:b/>
                <w:bCs/>
                <w:sz w:val="18"/>
                <w:szCs w:val="18"/>
                <w:lang w:eastAsia="lv-LV"/>
              </w:rPr>
              <w:t>10,1</w:t>
            </w:r>
          </w:p>
        </w:tc>
        <w:tc>
          <w:tcPr>
            <w:tcW w:w="425" w:type="pct"/>
            <w:shd w:val="clear" w:color="000000" w:fill="D9D9D9"/>
            <w:noWrap/>
            <w:vAlign w:val="center"/>
            <w:hideMark/>
          </w:tcPr>
          <w:p w:rsidR="006E5449" w:rsidRPr="00D43878" w:rsidRDefault="006E5449" w:rsidP="00A60A7E">
            <w:pPr>
              <w:spacing w:before="60" w:after="60"/>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4,9</w:t>
            </w:r>
          </w:p>
        </w:tc>
        <w:tc>
          <w:tcPr>
            <w:tcW w:w="425" w:type="pct"/>
            <w:shd w:val="clear" w:color="000000" w:fill="D9D9D9"/>
            <w:noWrap/>
            <w:vAlign w:val="center"/>
            <w:hideMark/>
          </w:tcPr>
          <w:p w:rsidR="006E5449" w:rsidRPr="00D43878" w:rsidRDefault="006E5449" w:rsidP="00A60A7E">
            <w:pPr>
              <w:spacing w:before="60" w:after="60"/>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2,3</w:t>
            </w:r>
          </w:p>
        </w:tc>
        <w:tc>
          <w:tcPr>
            <w:tcW w:w="425" w:type="pct"/>
            <w:shd w:val="clear" w:color="000000" w:fill="D9D9D9"/>
            <w:noWrap/>
            <w:vAlign w:val="center"/>
            <w:hideMark/>
          </w:tcPr>
          <w:p w:rsidR="006E5449" w:rsidRPr="00D43878" w:rsidRDefault="006E5449" w:rsidP="00A60A7E">
            <w:pPr>
              <w:spacing w:before="60" w:after="60"/>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2,4</w:t>
            </w:r>
          </w:p>
        </w:tc>
        <w:tc>
          <w:tcPr>
            <w:tcW w:w="444" w:type="pct"/>
            <w:shd w:val="clear" w:color="000000" w:fill="D9D9D9"/>
            <w:noWrap/>
            <w:vAlign w:val="center"/>
            <w:hideMark/>
          </w:tcPr>
          <w:p w:rsidR="006E5449" w:rsidRPr="00D43878" w:rsidRDefault="006E5449" w:rsidP="00A60A7E">
            <w:pPr>
              <w:spacing w:before="60" w:after="60"/>
              <w:jc w:val="center"/>
              <w:rPr>
                <w:rFonts w:ascii="Arial Narrow" w:eastAsia="Times New Roman" w:hAnsi="Arial Narrow" w:cs="Arial"/>
                <w:b/>
                <w:bCs/>
                <w:sz w:val="18"/>
                <w:szCs w:val="18"/>
                <w:lang w:eastAsia="lv-LV"/>
              </w:rPr>
            </w:pPr>
            <w:r w:rsidRPr="00D43878">
              <w:rPr>
                <w:rFonts w:ascii="Arial Narrow" w:eastAsia="Times New Roman" w:hAnsi="Arial Narrow" w:cs="Arial"/>
                <w:b/>
                <w:bCs/>
                <w:sz w:val="18"/>
                <w:szCs w:val="18"/>
                <w:lang w:eastAsia="lv-LV"/>
              </w:rPr>
              <w:t>1,5</w:t>
            </w:r>
          </w:p>
        </w:tc>
      </w:tr>
    </w:tbl>
    <w:p w:rsidR="006E5449" w:rsidRDefault="006E5449" w:rsidP="006E5449">
      <w:pPr>
        <w:spacing w:after="60"/>
        <w:ind w:left="567" w:hanging="567"/>
        <w:jc w:val="center"/>
        <w:rPr>
          <w:rFonts w:cs="Times New Roman"/>
          <w:b/>
          <w:color w:val="000000"/>
          <w:sz w:val="26"/>
          <w:szCs w:val="26"/>
        </w:rPr>
      </w:pPr>
    </w:p>
    <w:p w:rsidR="006E5449" w:rsidRPr="003A3EC5" w:rsidRDefault="006E5449" w:rsidP="006E5449">
      <w:pPr>
        <w:ind w:firstLine="426"/>
        <w:jc w:val="both"/>
        <w:rPr>
          <w:szCs w:val="28"/>
        </w:rPr>
      </w:pPr>
      <w:r w:rsidRPr="003A3EC5">
        <w:rPr>
          <w:szCs w:val="28"/>
        </w:rPr>
        <w:t xml:space="preserve">Neraugoties uz to, ka augstāk attīstītās valstīs kopumā apstrādes rūpniecība ir diversificēta (zems rūpniecības specializācijas pakāpes indekss), tomēr relatīvi lielāka specializācija ir vidēji augsto un augsto tehnoloģiju nozarēs. Šajās valstīs arī ir augstāks produktivitātes līmenis apstrādes rūpniecībā (skat </w:t>
      </w:r>
      <w:r w:rsidR="00E25A53">
        <w:rPr>
          <w:szCs w:val="28"/>
        </w:rPr>
        <w:t>10</w:t>
      </w:r>
      <w:r w:rsidRPr="003A3EC5">
        <w:rPr>
          <w:szCs w:val="28"/>
        </w:rPr>
        <w:t xml:space="preserve">.attēlu). </w:t>
      </w:r>
    </w:p>
    <w:p w:rsidR="003263BE" w:rsidRDefault="003263BE" w:rsidP="006E5449">
      <w:pPr>
        <w:ind w:firstLine="426"/>
        <w:jc w:val="both"/>
        <w:rPr>
          <w:szCs w:val="28"/>
        </w:rPr>
      </w:pPr>
    </w:p>
    <w:p w:rsidR="003263BE" w:rsidRDefault="003263BE" w:rsidP="006E5449">
      <w:pPr>
        <w:ind w:firstLine="426"/>
        <w:jc w:val="both"/>
        <w:rPr>
          <w:szCs w:val="28"/>
        </w:rPr>
      </w:pPr>
    </w:p>
    <w:p w:rsidR="006E5449" w:rsidRPr="003A3EC5" w:rsidRDefault="006E5449" w:rsidP="001C4D12">
      <w:pPr>
        <w:ind w:firstLine="426"/>
        <w:jc w:val="both"/>
        <w:rPr>
          <w:szCs w:val="28"/>
        </w:rPr>
      </w:pPr>
      <w:r w:rsidRPr="003A3EC5">
        <w:rPr>
          <w:szCs w:val="28"/>
        </w:rPr>
        <w:t>Tas nozīmē, ka Latvijas apstrādes rūpniecības ilgtspējīgai attīstībai ir nepieciešams diversificēt apstrādes rūpniecību un panākt straujāku vidēji augsto un augsto tehnoloģiju nozaru attīstību. Kā viens no veidiem</w:t>
      </w:r>
      <w:r w:rsidR="00F60432">
        <w:rPr>
          <w:szCs w:val="28"/>
        </w:rPr>
        <w:t>,</w:t>
      </w:r>
      <w:r w:rsidRPr="003A3EC5">
        <w:rPr>
          <w:szCs w:val="28"/>
        </w:rPr>
        <w:t xml:space="preserve"> kā to panākt, ir jaunu nišas produktu ražošanas attīstība</w:t>
      </w:r>
      <w:r w:rsidR="00F60432">
        <w:rPr>
          <w:szCs w:val="28"/>
        </w:rPr>
        <w:t>,</w:t>
      </w:r>
      <w:r w:rsidRPr="003A3EC5">
        <w:rPr>
          <w:szCs w:val="28"/>
        </w:rPr>
        <w:t xml:space="preserve"> cieši sa</w:t>
      </w:r>
      <w:r w:rsidR="002D2136">
        <w:rPr>
          <w:szCs w:val="28"/>
        </w:rPr>
        <w:t>darbojoties ar zinātnes sektoru</w:t>
      </w:r>
      <w:r w:rsidR="001C4D12">
        <w:rPr>
          <w:szCs w:val="28"/>
        </w:rPr>
        <w:t xml:space="preserve"> un radot lētam darbaspēkam alternatīvas priekšrocības</w:t>
      </w:r>
      <w:r w:rsidR="002D2136">
        <w:rPr>
          <w:szCs w:val="28"/>
        </w:rPr>
        <w:t xml:space="preserve">. </w:t>
      </w:r>
    </w:p>
    <w:p w:rsidR="006E5449" w:rsidRPr="003A3EC5" w:rsidRDefault="006E5449" w:rsidP="006E5449">
      <w:pPr>
        <w:spacing w:after="60"/>
        <w:ind w:left="567" w:hanging="567"/>
        <w:jc w:val="center"/>
        <w:rPr>
          <w:rFonts w:cs="Times New Roman"/>
          <w:b/>
          <w:color w:val="000000"/>
          <w:szCs w:val="28"/>
        </w:rPr>
      </w:pPr>
    </w:p>
    <w:p w:rsidR="006E5449" w:rsidRDefault="006E5449" w:rsidP="006E5449"/>
    <w:p w:rsidR="003263BE" w:rsidRDefault="003263BE" w:rsidP="006E5449"/>
    <w:p w:rsidR="003263BE" w:rsidRDefault="003263BE" w:rsidP="006E5449"/>
    <w:p w:rsidR="006E5449" w:rsidRPr="003A3EC5" w:rsidRDefault="006E5449" w:rsidP="00354E3D">
      <w:pPr>
        <w:spacing w:after="60"/>
        <w:ind w:left="567" w:hanging="567"/>
        <w:jc w:val="center"/>
        <w:rPr>
          <w:rFonts w:cs="Times New Roman"/>
          <w:b/>
          <w:color w:val="000000"/>
          <w:szCs w:val="28"/>
        </w:rPr>
      </w:pPr>
    </w:p>
    <w:p w:rsidR="00164AC2" w:rsidRDefault="00164AC2" w:rsidP="00164AC2">
      <w:pPr>
        <w:rPr>
          <w:color w:val="000000" w:themeColor="text1"/>
          <w:szCs w:val="28"/>
        </w:rPr>
      </w:pPr>
      <w:r>
        <w:rPr>
          <w:color w:val="000000" w:themeColor="text1"/>
          <w:szCs w:val="28"/>
        </w:rPr>
        <w:t>Ekonomikas ministrs</w:t>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t>D.Pavļuts</w:t>
      </w:r>
    </w:p>
    <w:p w:rsidR="00164AC2" w:rsidRDefault="00164AC2" w:rsidP="00164AC2">
      <w:pPr>
        <w:rPr>
          <w:color w:val="000000" w:themeColor="text1"/>
          <w:szCs w:val="28"/>
        </w:rPr>
      </w:pPr>
    </w:p>
    <w:p w:rsidR="00E25A53" w:rsidRDefault="00E25A53" w:rsidP="00164AC2">
      <w:pPr>
        <w:rPr>
          <w:color w:val="000000" w:themeColor="text1"/>
          <w:szCs w:val="28"/>
        </w:rPr>
      </w:pPr>
    </w:p>
    <w:p w:rsidR="003263BE" w:rsidRDefault="003263BE" w:rsidP="00164AC2">
      <w:pPr>
        <w:rPr>
          <w:color w:val="000000" w:themeColor="text1"/>
          <w:szCs w:val="28"/>
        </w:rPr>
      </w:pPr>
    </w:p>
    <w:p w:rsidR="001C4D12" w:rsidRDefault="001C4D12" w:rsidP="00164AC2">
      <w:pPr>
        <w:rPr>
          <w:color w:val="000000" w:themeColor="text1"/>
          <w:szCs w:val="28"/>
        </w:rPr>
      </w:pPr>
    </w:p>
    <w:p w:rsidR="00164AC2" w:rsidRDefault="00164AC2" w:rsidP="00164AC2">
      <w:pPr>
        <w:rPr>
          <w:color w:val="000000" w:themeColor="text1"/>
          <w:szCs w:val="28"/>
        </w:rPr>
      </w:pPr>
      <w:r>
        <w:rPr>
          <w:color w:val="000000" w:themeColor="text1"/>
          <w:szCs w:val="28"/>
        </w:rPr>
        <w:t>Vīza:</w:t>
      </w:r>
    </w:p>
    <w:p w:rsidR="00164AC2" w:rsidRDefault="00164AC2" w:rsidP="00164AC2">
      <w:pPr>
        <w:rPr>
          <w:color w:val="000000" w:themeColor="text1"/>
          <w:szCs w:val="28"/>
        </w:rPr>
      </w:pPr>
      <w:r>
        <w:rPr>
          <w:color w:val="000000" w:themeColor="text1"/>
          <w:szCs w:val="28"/>
        </w:rPr>
        <w:t>Valsts sekretārs</w:t>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r>
      <w:r>
        <w:rPr>
          <w:color w:val="000000" w:themeColor="text1"/>
          <w:szCs w:val="28"/>
        </w:rPr>
        <w:tab/>
        <w:t>J.Pūce</w:t>
      </w:r>
    </w:p>
    <w:p w:rsidR="00164AC2" w:rsidRDefault="00164AC2" w:rsidP="00164AC2">
      <w:pPr>
        <w:rPr>
          <w:rFonts w:ascii="Arial" w:hAnsi="Arial" w:cs="Arial"/>
          <w:color w:val="000000" w:themeColor="text1"/>
          <w:sz w:val="20"/>
          <w:szCs w:val="20"/>
        </w:rPr>
      </w:pPr>
    </w:p>
    <w:p w:rsidR="00E25A53" w:rsidRDefault="00E25A53" w:rsidP="00164AC2">
      <w:pPr>
        <w:rPr>
          <w:rFonts w:ascii="Arial" w:hAnsi="Arial" w:cs="Arial"/>
          <w:color w:val="000000" w:themeColor="text1"/>
          <w:sz w:val="20"/>
          <w:szCs w:val="20"/>
        </w:rPr>
      </w:pPr>
    </w:p>
    <w:p w:rsidR="003263BE" w:rsidRDefault="003263BE" w:rsidP="00164AC2">
      <w:pPr>
        <w:rPr>
          <w:rFonts w:ascii="Arial" w:hAnsi="Arial" w:cs="Arial"/>
          <w:color w:val="000000" w:themeColor="text1"/>
          <w:sz w:val="20"/>
          <w:szCs w:val="20"/>
        </w:rPr>
      </w:pPr>
    </w:p>
    <w:p w:rsidR="003263BE" w:rsidRDefault="003263BE" w:rsidP="00164AC2">
      <w:pPr>
        <w:rPr>
          <w:rFonts w:ascii="Arial" w:hAnsi="Arial" w:cs="Arial"/>
          <w:color w:val="000000" w:themeColor="text1"/>
          <w:sz w:val="20"/>
          <w:szCs w:val="20"/>
        </w:rPr>
      </w:pPr>
    </w:p>
    <w:p w:rsidR="00164AC2" w:rsidRDefault="00177EB8" w:rsidP="00164AC2">
      <w:pPr>
        <w:rPr>
          <w:rFonts w:cs="Times New Roman"/>
          <w:color w:val="000000" w:themeColor="text1"/>
          <w:sz w:val="20"/>
          <w:szCs w:val="24"/>
        </w:rPr>
      </w:pPr>
      <w:r>
        <w:rPr>
          <w:color w:val="000000" w:themeColor="text1"/>
          <w:sz w:val="20"/>
        </w:rPr>
        <w:t>15</w:t>
      </w:r>
      <w:r w:rsidR="00207FF1">
        <w:rPr>
          <w:color w:val="000000" w:themeColor="text1"/>
          <w:sz w:val="20"/>
        </w:rPr>
        <w:t>.05</w:t>
      </w:r>
      <w:r w:rsidR="00164AC2">
        <w:rPr>
          <w:color w:val="000000" w:themeColor="text1"/>
          <w:sz w:val="20"/>
        </w:rPr>
        <w:t xml:space="preserve">.2013. </w:t>
      </w:r>
      <w:r w:rsidR="000F2755">
        <w:rPr>
          <w:color w:val="000000" w:themeColor="text1"/>
          <w:sz w:val="20"/>
        </w:rPr>
        <w:t>9</w:t>
      </w:r>
      <w:r w:rsidR="00164AC2">
        <w:rPr>
          <w:color w:val="000000" w:themeColor="text1"/>
          <w:sz w:val="20"/>
        </w:rPr>
        <w:t>:00</w:t>
      </w:r>
    </w:p>
    <w:p w:rsidR="00164AC2" w:rsidRDefault="00164AC2" w:rsidP="00164AC2">
      <w:pPr>
        <w:rPr>
          <w:color w:val="000000" w:themeColor="text1"/>
          <w:sz w:val="20"/>
        </w:rPr>
      </w:pPr>
      <w:r>
        <w:rPr>
          <w:color w:val="000000" w:themeColor="text1"/>
          <w:sz w:val="20"/>
        </w:rPr>
        <w:t xml:space="preserve">1 </w:t>
      </w:r>
      <w:r w:rsidR="00F60432">
        <w:rPr>
          <w:color w:val="000000" w:themeColor="text1"/>
          <w:sz w:val="20"/>
        </w:rPr>
        <w:t>601</w:t>
      </w:r>
    </w:p>
    <w:p w:rsidR="00164AC2" w:rsidRDefault="00164AC2" w:rsidP="00164AC2">
      <w:pPr>
        <w:tabs>
          <w:tab w:val="left" w:pos="7230"/>
        </w:tabs>
        <w:rPr>
          <w:color w:val="000000" w:themeColor="text1"/>
          <w:sz w:val="20"/>
        </w:rPr>
      </w:pPr>
      <w:r>
        <w:rPr>
          <w:color w:val="000000" w:themeColor="text1"/>
          <w:sz w:val="20"/>
        </w:rPr>
        <w:t>K.Soms</w:t>
      </w:r>
    </w:p>
    <w:p w:rsidR="002670BB" w:rsidRDefault="00164AC2" w:rsidP="00EA7C33">
      <w:pPr>
        <w:tabs>
          <w:tab w:val="left" w:pos="7230"/>
        </w:tabs>
        <w:rPr>
          <w:b/>
        </w:rPr>
      </w:pPr>
      <w:r>
        <w:rPr>
          <w:color w:val="000000" w:themeColor="text1"/>
          <w:sz w:val="20"/>
        </w:rPr>
        <w:t xml:space="preserve">67013299, </w:t>
      </w:r>
      <w:r>
        <w:rPr>
          <w:sz w:val="20"/>
        </w:rPr>
        <w:t>Kristaps.Soms@em.gov.lv</w:t>
      </w:r>
      <w:r>
        <w:rPr>
          <w:color w:val="000000" w:themeColor="text1"/>
          <w:sz w:val="20"/>
        </w:rPr>
        <w:t xml:space="preserve"> </w:t>
      </w:r>
      <w:bookmarkStart w:id="0" w:name="_GoBack"/>
      <w:bookmarkEnd w:id="0"/>
    </w:p>
    <w:sectPr w:rsidR="002670BB" w:rsidSect="00207FF1">
      <w:headerReference w:type="default" r:id="rId53"/>
      <w:footerReference w:type="default" r:id="rId54"/>
      <w:footerReference w:type="first" r:id="rId55"/>
      <w:pgSz w:w="11906" w:h="16838" w:code="9"/>
      <w:pgMar w:top="993" w:right="1134" w:bottom="1134" w:left="1701" w:header="709" w:footer="16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1F" w:rsidRDefault="005A771F" w:rsidP="00FE5329">
      <w:r>
        <w:separator/>
      </w:r>
    </w:p>
  </w:endnote>
  <w:endnote w:type="continuationSeparator" w:id="0">
    <w:p w:rsidR="005A771F" w:rsidRDefault="005A771F" w:rsidP="00FE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810818"/>
      <w:docPartObj>
        <w:docPartGallery w:val="Page Numbers (Bottom of Page)"/>
        <w:docPartUnique/>
      </w:docPartObj>
    </w:sdtPr>
    <w:sdtEndPr>
      <w:rPr>
        <w:noProof/>
        <w:sz w:val="24"/>
      </w:rPr>
    </w:sdtEndPr>
    <w:sdtContent>
      <w:p w:rsidR="00C22FFE" w:rsidRPr="00DB6391" w:rsidRDefault="00C22FFE" w:rsidP="00DB6391">
        <w:pPr>
          <w:pStyle w:val="Footer"/>
          <w:rPr>
            <w:rFonts w:cs="Times New Roman"/>
            <w:sz w:val="20"/>
            <w:szCs w:val="20"/>
          </w:rPr>
        </w:pPr>
        <w:r w:rsidRPr="00C1060E">
          <w:rPr>
            <w:rFonts w:cs="Times New Roman"/>
            <w:sz w:val="20"/>
            <w:szCs w:val="20"/>
          </w:rPr>
          <w:t>EMPiel_</w:t>
        </w:r>
        <w:r>
          <w:rPr>
            <w:rFonts w:cs="Times New Roman"/>
            <w:sz w:val="20"/>
            <w:szCs w:val="20"/>
          </w:rPr>
          <w:t>5</w:t>
        </w:r>
        <w:r w:rsidRPr="00C1060E">
          <w:rPr>
            <w:rFonts w:cs="Times New Roman"/>
            <w:sz w:val="20"/>
            <w:szCs w:val="20"/>
          </w:rPr>
          <w:t>_</w:t>
        </w:r>
        <w:r>
          <w:rPr>
            <w:rFonts w:cs="Times New Roman"/>
            <w:sz w:val="20"/>
            <w:szCs w:val="20"/>
          </w:rPr>
          <w:t>15052013</w:t>
        </w:r>
        <w:r w:rsidRPr="00C1060E">
          <w:rPr>
            <w:rFonts w:cs="Times New Roman"/>
            <w:sz w:val="20"/>
            <w:szCs w:val="20"/>
          </w:rPr>
          <w:t>_NIP_pam</w:t>
        </w:r>
        <w:r>
          <w:rPr>
            <w:rFonts w:cs="Times New Roman"/>
            <w:sz w:val="20"/>
            <w:szCs w:val="20"/>
          </w:rPr>
          <w:t xml:space="preserve">; </w:t>
        </w:r>
        <w:r w:rsidRPr="00D445F2">
          <w:rPr>
            <w:sz w:val="20"/>
          </w:rPr>
          <w:t>Nacionālās industriālās politikas pamatnostād</w:t>
        </w:r>
        <w:r>
          <w:rPr>
            <w:sz w:val="20"/>
          </w:rPr>
          <w:t>ņu</w:t>
        </w:r>
        <w:r w:rsidRPr="00D445F2">
          <w:rPr>
            <w:sz w:val="20"/>
          </w:rPr>
          <w:t xml:space="preserve"> 201</w:t>
        </w:r>
        <w:r>
          <w:rPr>
            <w:sz w:val="20"/>
          </w:rPr>
          <w:t>4</w:t>
        </w:r>
        <w:r w:rsidRPr="00D445F2">
          <w:rPr>
            <w:sz w:val="20"/>
          </w:rPr>
          <w:t>.-2020.gadam</w:t>
        </w:r>
        <w:r>
          <w:rPr>
            <w:sz w:val="20"/>
          </w:rPr>
          <w:t xml:space="preserve"> projekta 5.pielikums</w:t>
        </w:r>
      </w:p>
    </w:sdtContent>
  </w:sdt>
  <w:p w:rsidR="00C22FFE" w:rsidRDefault="00C22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00622"/>
      <w:docPartObj>
        <w:docPartGallery w:val="Page Numbers (Bottom of Page)"/>
        <w:docPartUnique/>
      </w:docPartObj>
    </w:sdtPr>
    <w:sdtEndPr>
      <w:rPr>
        <w:noProof/>
        <w:sz w:val="24"/>
      </w:rPr>
    </w:sdtEndPr>
    <w:sdtContent>
      <w:p w:rsidR="00C22FFE" w:rsidRPr="00DB6391" w:rsidRDefault="00C22FFE" w:rsidP="00207FF1">
        <w:pPr>
          <w:pStyle w:val="Footer"/>
          <w:rPr>
            <w:rFonts w:cs="Times New Roman"/>
            <w:sz w:val="20"/>
            <w:szCs w:val="20"/>
          </w:rPr>
        </w:pPr>
        <w:r w:rsidRPr="00C1060E">
          <w:rPr>
            <w:rFonts w:cs="Times New Roman"/>
            <w:sz w:val="20"/>
            <w:szCs w:val="20"/>
          </w:rPr>
          <w:t>EMPiel_</w:t>
        </w:r>
        <w:r>
          <w:rPr>
            <w:rFonts w:cs="Times New Roman"/>
            <w:sz w:val="20"/>
            <w:szCs w:val="20"/>
          </w:rPr>
          <w:t>5</w:t>
        </w:r>
        <w:r w:rsidRPr="00C1060E">
          <w:rPr>
            <w:rFonts w:cs="Times New Roman"/>
            <w:sz w:val="20"/>
            <w:szCs w:val="20"/>
          </w:rPr>
          <w:t>_</w:t>
        </w:r>
        <w:r>
          <w:rPr>
            <w:rFonts w:cs="Times New Roman"/>
            <w:sz w:val="20"/>
            <w:szCs w:val="20"/>
          </w:rPr>
          <w:t>15052013</w:t>
        </w:r>
        <w:r w:rsidRPr="00C1060E">
          <w:rPr>
            <w:rFonts w:cs="Times New Roman"/>
            <w:sz w:val="20"/>
            <w:szCs w:val="20"/>
          </w:rPr>
          <w:t>_NIP_pam</w:t>
        </w:r>
        <w:r>
          <w:rPr>
            <w:rFonts w:cs="Times New Roman"/>
            <w:sz w:val="20"/>
            <w:szCs w:val="20"/>
          </w:rPr>
          <w:t xml:space="preserve">; </w:t>
        </w:r>
        <w:r w:rsidRPr="00D445F2">
          <w:rPr>
            <w:sz w:val="20"/>
          </w:rPr>
          <w:t>Nacionālās industriālās politikas pamatnostād</w:t>
        </w:r>
        <w:r>
          <w:rPr>
            <w:sz w:val="20"/>
          </w:rPr>
          <w:t>ņu</w:t>
        </w:r>
        <w:r w:rsidRPr="00D445F2">
          <w:rPr>
            <w:sz w:val="20"/>
          </w:rPr>
          <w:t xml:space="preserve"> 201</w:t>
        </w:r>
        <w:r>
          <w:rPr>
            <w:sz w:val="20"/>
          </w:rPr>
          <w:t>4</w:t>
        </w:r>
        <w:r w:rsidRPr="00D445F2">
          <w:rPr>
            <w:sz w:val="20"/>
          </w:rPr>
          <w:t>.-2020.gadam</w:t>
        </w:r>
        <w:r>
          <w:rPr>
            <w:sz w:val="20"/>
          </w:rPr>
          <w:t xml:space="preserve"> projekta 5.pielikums</w:t>
        </w:r>
      </w:p>
    </w:sdtContent>
  </w:sdt>
  <w:p w:rsidR="00C22FFE" w:rsidRDefault="00C22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1F" w:rsidRDefault="005A771F" w:rsidP="00FE5329">
      <w:r>
        <w:separator/>
      </w:r>
    </w:p>
  </w:footnote>
  <w:footnote w:type="continuationSeparator" w:id="0">
    <w:p w:rsidR="005A771F" w:rsidRDefault="005A771F" w:rsidP="00FE5329">
      <w:r>
        <w:continuationSeparator/>
      </w:r>
    </w:p>
  </w:footnote>
  <w:footnote w:id="1">
    <w:p w:rsidR="00C22FFE" w:rsidRPr="00EE594B" w:rsidRDefault="00C22FFE">
      <w:pPr>
        <w:pStyle w:val="FootnoteText"/>
        <w:rPr>
          <w:lang w:val="lv-LV"/>
        </w:rPr>
      </w:pPr>
      <w:r w:rsidRPr="00EE594B">
        <w:rPr>
          <w:rStyle w:val="FootnoteReference"/>
        </w:rPr>
        <w:footnoteRef/>
      </w:r>
      <w:r w:rsidRPr="00EE594B">
        <w:t xml:space="preserve"> </w:t>
      </w:r>
      <w:r w:rsidRPr="00EE594B">
        <w:rPr>
          <w:lang w:val="lv-LV"/>
        </w:rPr>
        <w:t>Diagrammā katras nozares „apļa lielums” parāda nozares īpatsvaru apstrādes rūpniecībā, Vertikālā ass – Katras nozares ražošanas apjomu izmaiņas 2012.gadā salīdzinājumā ar pirmskrīzes līmeni 2007.gadā. Horizontālā ass – Eksporta īpatsvars no nozarē saražotās produkcijas realizācijas.</w:t>
      </w:r>
    </w:p>
  </w:footnote>
  <w:footnote w:id="2">
    <w:p w:rsidR="00C22FFE" w:rsidRPr="003A3EC5" w:rsidRDefault="00C22FFE" w:rsidP="006E5449">
      <w:pPr>
        <w:pStyle w:val="FootnoteText"/>
        <w:rPr>
          <w:lang w:val="lv-LV"/>
        </w:rPr>
      </w:pPr>
      <w:r>
        <w:rPr>
          <w:rStyle w:val="FootnoteReference"/>
        </w:rPr>
        <w:footnoteRef/>
      </w:r>
      <w:r w:rsidRPr="003A3EC5">
        <w:rPr>
          <w:lang w:val="lv-LV"/>
        </w:rPr>
        <w:t xml:space="preserve"> </w:t>
      </w:r>
      <w:r w:rsidRPr="003A3EC5">
        <w:rPr>
          <w:sz w:val="22"/>
          <w:lang w:val="lv-LV"/>
        </w:rPr>
        <w:t>Diagrammā katras valsts grafiskais izmērs parāda nozares pievienoto vērtību, Vertikālā ass – Darbaspēka izmaksas vidēji uz 1 strādājošo. Horizontālā ass – Produktivitāte (pievienotā vērtība pret strādājošo skaitu).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10868"/>
      <w:docPartObj>
        <w:docPartGallery w:val="Page Numbers (Top of Page)"/>
        <w:docPartUnique/>
      </w:docPartObj>
    </w:sdtPr>
    <w:sdtEndPr>
      <w:rPr>
        <w:noProof/>
      </w:rPr>
    </w:sdtEndPr>
    <w:sdtContent>
      <w:p w:rsidR="00C22FFE" w:rsidRDefault="00C22FFE">
        <w:pPr>
          <w:pStyle w:val="Header"/>
          <w:jc w:val="center"/>
        </w:pPr>
        <w:r>
          <w:fldChar w:fldCharType="begin"/>
        </w:r>
        <w:r>
          <w:instrText xml:space="preserve"> PAGE   \* MERGEFORMAT </w:instrText>
        </w:r>
        <w:r>
          <w:fldChar w:fldCharType="separate"/>
        </w:r>
        <w:r w:rsidR="000F2755">
          <w:rPr>
            <w:noProof/>
          </w:rPr>
          <w:t>12</w:t>
        </w:r>
        <w:r>
          <w:rPr>
            <w:noProof/>
          </w:rPr>
          <w:fldChar w:fldCharType="end"/>
        </w:r>
      </w:p>
    </w:sdtContent>
  </w:sdt>
  <w:p w:rsidR="00C22FFE" w:rsidRDefault="00C22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7CEE"/>
    <w:multiLevelType w:val="hybridMultilevel"/>
    <w:tmpl w:val="E7543D8C"/>
    <w:lvl w:ilvl="0" w:tplc="9C76C3EC">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ABE11FB"/>
    <w:multiLevelType w:val="hybridMultilevel"/>
    <w:tmpl w:val="B11AD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30B747E"/>
    <w:multiLevelType w:val="hybridMultilevel"/>
    <w:tmpl w:val="3058F96C"/>
    <w:lvl w:ilvl="0" w:tplc="A468D5E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27"/>
    <w:rsid w:val="00000BE2"/>
    <w:rsid w:val="00013D46"/>
    <w:rsid w:val="00054935"/>
    <w:rsid w:val="00061E4E"/>
    <w:rsid w:val="0007607D"/>
    <w:rsid w:val="00083323"/>
    <w:rsid w:val="000A0ADA"/>
    <w:rsid w:val="000A1D82"/>
    <w:rsid w:val="000F2755"/>
    <w:rsid w:val="001031E1"/>
    <w:rsid w:val="0011568F"/>
    <w:rsid w:val="0014570E"/>
    <w:rsid w:val="00160797"/>
    <w:rsid w:val="00164AC2"/>
    <w:rsid w:val="00177EB8"/>
    <w:rsid w:val="001C4D12"/>
    <w:rsid w:val="001F1792"/>
    <w:rsid w:val="00207FF1"/>
    <w:rsid w:val="00225A60"/>
    <w:rsid w:val="002429A8"/>
    <w:rsid w:val="00263630"/>
    <w:rsid w:val="002670BB"/>
    <w:rsid w:val="002859D6"/>
    <w:rsid w:val="00292192"/>
    <w:rsid w:val="002A0717"/>
    <w:rsid w:val="002D2136"/>
    <w:rsid w:val="002D2168"/>
    <w:rsid w:val="00310E60"/>
    <w:rsid w:val="0032617E"/>
    <w:rsid w:val="003263BE"/>
    <w:rsid w:val="00354E3D"/>
    <w:rsid w:val="00362219"/>
    <w:rsid w:val="003A3EC5"/>
    <w:rsid w:val="003A6354"/>
    <w:rsid w:val="0040655B"/>
    <w:rsid w:val="00410A6C"/>
    <w:rsid w:val="00417EB0"/>
    <w:rsid w:val="004301E0"/>
    <w:rsid w:val="00454191"/>
    <w:rsid w:val="00494874"/>
    <w:rsid w:val="004A6D4E"/>
    <w:rsid w:val="004F01CE"/>
    <w:rsid w:val="00522BBD"/>
    <w:rsid w:val="00550026"/>
    <w:rsid w:val="00576257"/>
    <w:rsid w:val="005972B6"/>
    <w:rsid w:val="005A2B3B"/>
    <w:rsid w:val="005A771F"/>
    <w:rsid w:val="005F1004"/>
    <w:rsid w:val="00682B19"/>
    <w:rsid w:val="006D0A6E"/>
    <w:rsid w:val="006E5449"/>
    <w:rsid w:val="006F0966"/>
    <w:rsid w:val="006F0D3C"/>
    <w:rsid w:val="00730DC8"/>
    <w:rsid w:val="007544A4"/>
    <w:rsid w:val="007A7904"/>
    <w:rsid w:val="007B05D2"/>
    <w:rsid w:val="007E590F"/>
    <w:rsid w:val="00822048"/>
    <w:rsid w:val="00830FCD"/>
    <w:rsid w:val="00854709"/>
    <w:rsid w:val="00871B45"/>
    <w:rsid w:val="0089288E"/>
    <w:rsid w:val="00895BA8"/>
    <w:rsid w:val="008A3898"/>
    <w:rsid w:val="008A4860"/>
    <w:rsid w:val="008A4BA0"/>
    <w:rsid w:val="0090428C"/>
    <w:rsid w:val="00950BA0"/>
    <w:rsid w:val="009574B2"/>
    <w:rsid w:val="0097261E"/>
    <w:rsid w:val="009D516C"/>
    <w:rsid w:val="00A23608"/>
    <w:rsid w:val="00A267AB"/>
    <w:rsid w:val="00A3070C"/>
    <w:rsid w:val="00A52A6F"/>
    <w:rsid w:val="00A60A7E"/>
    <w:rsid w:val="00A71D4A"/>
    <w:rsid w:val="00A76FD8"/>
    <w:rsid w:val="00A7732D"/>
    <w:rsid w:val="00A91869"/>
    <w:rsid w:val="00B021D9"/>
    <w:rsid w:val="00B14206"/>
    <w:rsid w:val="00B33B3F"/>
    <w:rsid w:val="00B533F3"/>
    <w:rsid w:val="00B646D3"/>
    <w:rsid w:val="00B702D1"/>
    <w:rsid w:val="00B77ED0"/>
    <w:rsid w:val="00BA36D1"/>
    <w:rsid w:val="00BD372E"/>
    <w:rsid w:val="00BF7019"/>
    <w:rsid w:val="00C22FFE"/>
    <w:rsid w:val="00C621C7"/>
    <w:rsid w:val="00C67112"/>
    <w:rsid w:val="00C837B0"/>
    <w:rsid w:val="00CA7E4D"/>
    <w:rsid w:val="00CB25D3"/>
    <w:rsid w:val="00CB6EF9"/>
    <w:rsid w:val="00D3638E"/>
    <w:rsid w:val="00D43878"/>
    <w:rsid w:val="00D61E9C"/>
    <w:rsid w:val="00D9231C"/>
    <w:rsid w:val="00DB6391"/>
    <w:rsid w:val="00DC491A"/>
    <w:rsid w:val="00DF78B8"/>
    <w:rsid w:val="00E25A53"/>
    <w:rsid w:val="00E80051"/>
    <w:rsid w:val="00E85D27"/>
    <w:rsid w:val="00EA064E"/>
    <w:rsid w:val="00EA3779"/>
    <w:rsid w:val="00EA7C33"/>
    <w:rsid w:val="00EB46D6"/>
    <w:rsid w:val="00EB7510"/>
    <w:rsid w:val="00EE594B"/>
    <w:rsid w:val="00F33123"/>
    <w:rsid w:val="00F41E9E"/>
    <w:rsid w:val="00F435E0"/>
    <w:rsid w:val="00F577EF"/>
    <w:rsid w:val="00F60432"/>
    <w:rsid w:val="00F6070B"/>
    <w:rsid w:val="00FE5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E85D27"/>
    <w:pPr>
      <w:keepNext/>
      <w:keepLines/>
      <w:spacing w:after="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FE53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85D27"/>
    <w:rPr>
      <w:rFonts w:eastAsiaTheme="majorEastAsia" w:cstheme="majorBidi"/>
      <w:b/>
      <w:bCs/>
      <w:sz w:val="24"/>
      <w:szCs w:val="26"/>
    </w:rPr>
  </w:style>
  <w:style w:type="paragraph" w:styleId="BodyTextIndent2">
    <w:name w:val="Body Text Indent 2"/>
    <w:basedOn w:val="Normal"/>
    <w:link w:val="BodyTextIndent2Char"/>
    <w:rsid w:val="00E85D27"/>
    <w:pPr>
      <w:numPr>
        <w:ilvl w:val="12"/>
      </w:numPr>
      <w:ind w:firstLine="567"/>
      <w:jc w:val="both"/>
    </w:pPr>
    <w:rPr>
      <w:rFonts w:eastAsia="Times New Roman" w:cs="Times New Roman"/>
      <w:color w:val="000000"/>
      <w:sz w:val="22"/>
      <w:szCs w:val="20"/>
    </w:rPr>
  </w:style>
  <w:style w:type="character" w:customStyle="1" w:styleId="BodyTextIndent2Char">
    <w:name w:val="Body Text Indent 2 Char"/>
    <w:basedOn w:val="DefaultParagraphFont"/>
    <w:link w:val="BodyTextIndent2"/>
    <w:rsid w:val="00E85D27"/>
    <w:rPr>
      <w:rFonts w:eastAsia="Times New Roman" w:cs="Times New Roman"/>
      <w:color w:val="000000"/>
      <w:sz w:val="22"/>
      <w:szCs w:val="20"/>
    </w:rPr>
  </w:style>
  <w:style w:type="paragraph" w:styleId="BalloonText">
    <w:name w:val="Balloon Text"/>
    <w:basedOn w:val="Normal"/>
    <w:link w:val="BalloonTextChar"/>
    <w:uiPriority w:val="99"/>
    <w:semiHidden/>
    <w:unhideWhenUsed/>
    <w:rsid w:val="00E85D27"/>
    <w:rPr>
      <w:rFonts w:ascii="Tahoma" w:hAnsi="Tahoma" w:cs="Tahoma"/>
      <w:sz w:val="16"/>
      <w:szCs w:val="16"/>
    </w:rPr>
  </w:style>
  <w:style w:type="character" w:customStyle="1" w:styleId="BalloonTextChar">
    <w:name w:val="Balloon Text Char"/>
    <w:basedOn w:val="DefaultParagraphFont"/>
    <w:link w:val="BalloonText"/>
    <w:uiPriority w:val="99"/>
    <w:semiHidden/>
    <w:rsid w:val="00E85D27"/>
    <w:rPr>
      <w:rFonts w:ascii="Tahoma" w:hAnsi="Tahoma" w:cs="Tahoma"/>
      <w:sz w:val="16"/>
      <w:szCs w:val="16"/>
    </w:rPr>
  </w:style>
  <w:style w:type="table" w:styleId="TableGrid">
    <w:name w:val="Table Grid"/>
    <w:basedOn w:val="TableNormal"/>
    <w:rsid w:val="00FE5329"/>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E5329"/>
    <w:pPr>
      <w:jc w:val="both"/>
    </w:pPr>
    <w:rPr>
      <w:rFonts w:eastAsia="Times New Roman" w:cs="Times New Roman"/>
      <w:sz w:val="20"/>
      <w:szCs w:val="20"/>
      <w:lang w:val="ru-RU" w:eastAsia="ru-RU"/>
    </w:rPr>
  </w:style>
  <w:style w:type="character" w:customStyle="1" w:styleId="FootnoteTextChar">
    <w:name w:val="Footnote Text Char"/>
    <w:basedOn w:val="DefaultParagraphFont"/>
    <w:link w:val="FootnoteText"/>
    <w:semiHidden/>
    <w:rsid w:val="00FE5329"/>
    <w:rPr>
      <w:rFonts w:eastAsia="Times New Roman" w:cs="Times New Roman"/>
      <w:sz w:val="20"/>
      <w:szCs w:val="20"/>
      <w:lang w:val="ru-RU" w:eastAsia="ru-RU"/>
    </w:rPr>
  </w:style>
  <w:style w:type="character" w:styleId="FootnoteReference">
    <w:name w:val="footnote reference"/>
    <w:basedOn w:val="DefaultParagraphFont"/>
    <w:semiHidden/>
    <w:rsid w:val="00FE5329"/>
    <w:rPr>
      <w:vertAlign w:val="superscript"/>
    </w:rPr>
  </w:style>
  <w:style w:type="character" w:customStyle="1" w:styleId="Heading3Char">
    <w:name w:val="Heading 3 Char"/>
    <w:basedOn w:val="DefaultParagraphFont"/>
    <w:link w:val="Heading3"/>
    <w:uiPriority w:val="9"/>
    <w:semiHidden/>
    <w:rsid w:val="00FE53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91869"/>
    <w:pPr>
      <w:ind w:left="720"/>
      <w:contextualSpacing/>
    </w:pPr>
  </w:style>
  <w:style w:type="character" w:styleId="PlaceholderText">
    <w:name w:val="Placeholder Text"/>
    <w:basedOn w:val="DefaultParagraphFont"/>
    <w:uiPriority w:val="99"/>
    <w:semiHidden/>
    <w:rsid w:val="00A7732D"/>
    <w:rPr>
      <w:color w:val="808080"/>
    </w:rPr>
  </w:style>
  <w:style w:type="paragraph" w:styleId="Header">
    <w:name w:val="header"/>
    <w:basedOn w:val="Normal"/>
    <w:link w:val="HeaderChar"/>
    <w:uiPriority w:val="99"/>
    <w:unhideWhenUsed/>
    <w:rsid w:val="007A7904"/>
    <w:pPr>
      <w:tabs>
        <w:tab w:val="center" w:pos="4153"/>
        <w:tab w:val="right" w:pos="8306"/>
      </w:tabs>
    </w:pPr>
  </w:style>
  <w:style w:type="character" w:customStyle="1" w:styleId="HeaderChar">
    <w:name w:val="Header Char"/>
    <w:basedOn w:val="DefaultParagraphFont"/>
    <w:link w:val="Header"/>
    <w:uiPriority w:val="99"/>
    <w:rsid w:val="007A7904"/>
  </w:style>
  <w:style w:type="paragraph" w:styleId="Footer">
    <w:name w:val="footer"/>
    <w:basedOn w:val="Normal"/>
    <w:link w:val="FooterChar"/>
    <w:uiPriority w:val="99"/>
    <w:unhideWhenUsed/>
    <w:rsid w:val="007A7904"/>
    <w:pPr>
      <w:tabs>
        <w:tab w:val="center" w:pos="4153"/>
        <w:tab w:val="right" w:pos="8306"/>
      </w:tabs>
    </w:pPr>
  </w:style>
  <w:style w:type="character" w:customStyle="1" w:styleId="FooterChar">
    <w:name w:val="Footer Char"/>
    <w:basedOn w:val="DefaultParagraphFont"/>
    <w:link w:val="Footer"/>
    <w:uiPriority w:val="99"/>
    <w:rsid w:val="007A7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E85D27"/>
    <w:pPr>
      <w:keepNext/>
      <w:keepLines/>
      <w:spacing w:after="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FE53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85D27"/>
    <w:rPr>
      <w:rFonts w:eastAsiaTheme="majorEastAsia" w:cstheme="majorBidi"/>
      <w:b/>
      <w:bCs/>
      <w:sz w:val="24"/>
      <w:szCs w:val="26"/>
    </w:rPr>
  </w:style>
  <w:style w:type="paragraph" w:styleId="BodyTextIndent2">
    <w:name w:val="Body Text Indent 2"/>
    <w:basedOn w:val="Normal"/>
    <w:link w:val="BodyTextIndent2Char"/>
    <w:rsid w:val="00E85D27"/>
    <w:pPr>
      <w:numPr>
        <w:ilvl w:val="12"/>
      </w:numPr>
      <w:ind w:firstLine="567"/>
      <w:jc w:val="both"/>
    </w:pPr>
    <w:rPr>
      <w:rFonts w:eastAsia="Times New Roman" w:cs="Times New Roman"/>
      <w:color w:val="000000"/>
      <w:sz w:val="22"/>
      <w:szCs w:val="20"/>
    </w:rPr>
  </w:style>
  <w:style w:type="character" w:customStyle="1" w:styleId="BodyTextIndent2Char">
    <w:name w:val="Body Text Indent 2 Char"/>
    <w:basedOn w:val="DefaultParagraphFont"/>
    <w:link w:val="BodyTextIndent2"/>
    <w:rsid w:val="00E85D27"/>
    <w:rPr>
      <w:rFonts w:eastAsia="Times New Roman" w:cs="Times New Roman"/>
      <w:color w:val="000000"/>
      <w:sz w:val="22"/>
      <w:szCs w:val="20"/>
    </w:rPr>
  </w:style>
  <w:style w:type="paragraph" w:styleId="BalloonText">
    <w:name w:val="Balloon Text"/>
    <w:basedOn w:val="Normal"/>
    <w:link w:val="BalloonTextChar"/>
    <w:uiPriority w:val="99"/>
    <w:semiHidden/>
    <w:unhideWhenUsed/>
    <w:rsid w:val="00E85D27"/>
    <w:rPr>
      <w:rFonts w:ascii="Tahoma" w:hAnsi="Tahoma" w:cs="Tahoma"/>
      <w:sz w:val="16"/>
      <w:szCs w:val="16"/>
    </w:rPr>
  </w:style>
  <w:style w:type="character" w:customStyle="1" w:styleId="BalloonTextChar">
    <w:name w:val="Balloon Text Char"/>
    <w:basedOn w:val="DefaultParagraphFont"/>
    <w:link w:val="BalloonText"/>
    <w:uiPriority w:val="99"/>
    <w:semiHidden/>
    <w:rsid w:val="00E85D27"/>
    <w:rPr>
      <w:rFonts w:ascii="Tahoma" w:hAnsi="Tahoma" w:cs="Tahoma"/>
      <w:sz w:val="16"/>
      <w:szCs w:val="16"/>
    </w:rPr>
  </w:style>
  <w:style w:type="table" w:styleId="TableGrid">
    <w:name w:val="Table Grid"/>
    <w:basedOn w:val="TableNormal"/>
    <w:rsid w:val="00FE5329"/>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FE5329"/>
    <w:pPr>
      <w:jc w:val="both"/>
    </w:pPr>
    <w:rPr>
      <w:rFonts w:eastAsia="Times New Roman" w:cs="Times New Roman"/>
      <w:sz w:val="20"/>
      <w:szCs w:val="20"/>
      <w:lang w:val="ru-RU" w:eastAsia="ru-RU"/>
    </w:rPr>
  </w:style>
  <w:style w:type="character" w:customStyle="1" w:styleId="FootnoteTextChar">
    <w:name w:val="Footnote Text Char"/>
    <w:basedOn w:val="DefaultParagraphFont"/>
    <w:link w:val="FootnoteText"/>
    <w:semiHidden/>
    <w:rsid w:val="00FE5329"/>
    <w:rPr>
      <w:rFonts w:eastAsia="Times New Roman" w:cs="Times New Roman"/>
      <w:sz w:val="20"/>
      <w:szCs w:val="20"/>
      <w:lang w:val="ru-RU" w:eastAsia="ru-RU"/>
    </w:rPr>
  </w:style>
  <w:style w:type="character" w:styleId="FootnoteReference">
    <w:name w:val="footnote reference"/>
    <w:basedOn w:val="DefaultParagraphFont"/>
    <w:semiHidden/>
    <w:rsid w:val="00FE5329"/>
    <w:rPr>
      <w:vertAlign w:val="superscript"/>
    </w:rPr>
  </w:style>
  <w:style w:type="character" w:customStyle="1" w:styleId="Heading3Char">
    <w:name w:val="Heading 3 Char"/>
    <w:basedOn w:val="DefaultParagraphFont"/>
    <w:link w:val="Heading3"/>
    <w:uiPriority w:val="9"/>
    <w:semiHidden/>
    <w:rsid w:val="00FE532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91869"/>
    <w:pPr>
      <w:ind w:left="720"/>
      <w:contextualSpacing/>
    </w:pPr>
  </w:style>
  <w:style w:type="character" w:styleId="PlaceholderText">
    <w:name w:val="Placeholder Text"/>
    <w:basedOn w:val="DefaultParagraphFont"/>
    <w:uiPriority w:val="99"/>
    <w:semiHidden/>
    <w:rsid w:val="00A7732D"/>
    <w:rPr>
      <w:color w:val="808080"/>
    </w:rPr>
  </w:style>
  <w:style w:type="paragraph" w:styleId="Header">
    <w:name w:val="header"/>
    <w:basedOn w:val="Normal"/>
    <w:link w:val="HeaderChar"/>
    <w:uiPriority w:val="99"/>
    <w:unhideWhenUsed/>
    <w:rsid w:val="007A7904"/>
    <w:pPr>
      <w:tabs>
        <w:tab w:val="center" w:pos="4153"/>
        <w:tab w:val="right" w:pos="8306"/>
      </w:tabs>
    </w:pPr>
  </w:style>
  <w:style w:type="character" w:customStyle="1" w:styleId="HeaderChar">
    <w:name w:val="Header Char"/>
    <w:basedOn w:val="DefaultParagraphFont"/>
    <w:link w:val="Header"/>
    <w:uiPriority w:val="99"/>
    <w:rsid w:val="007A7904"/>
  </w:style>
  <w:style w:type="paragraph" w:styleId="Footer">
    <w:name w:val="footer"/>
    <w:basedOn w:val="Normal"/>
    <w:link w:val="FooterChar"/>
    <w:uiPriority w:val="99"/>
    <w:unhideWhenUsed/>
    <w:rsid w:val="007A7904"/>
    <w:pPr>
      <w:tabs>
        <w:tab w:val="center" w:pos="4153"/>
        <w:tab w:val="right" w:pos="8306"/>
      </w:tabs>
    </w:pPr>
  </w:style>
  <w:style w:type="character" w:customStyle="1" w:styleId="FooterChar">
    <w:name w:val="Footer Char"/>
    <w:basedOn w:val="DefaultParagraphFont"/>
    <w:link w:val="Footer"/>
    <w:uiPriority w:val="99"/>
    <w:rsid w:val="007A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18004">
      <w:bodyDiv w:val="1"/>
      <w:marLeft w:val="0"/>
      <w:marRight w:val="0"/>
      <w:marTop w:val="0"/>
      <w:marBottom w:val="0"/>
      <w:divBdr>
        <w:top w:val="none" w:sz="0" w:space="0" w:color="auto"/>
        <w:left w:val="none" w:sz="0" w:space="0" w:color="auto"/>
        <w:bottom w:val="none" w:sz="0" w:space="0" w:color="auto"/>
        <w:right w:val="none" w:sz="0" w:space="0" w:color="auto"/>
      </w:divBdr>
    </w:div>
    <w:div w:id="798955882">
      <w:bodyDiv w:val="1"/>
      <w:marLeft w:val="0"/>
      <w:marRight w:val="0"/>
      <w:marTop w:val="0"/>
      <w:marBottom w:val="0"/>
      <w:divBdr>
        <w:top w:val="none" w:sz="0" w:space="0" w:color="auto"/>
        <w:left w:val="none" w:sz="0" w:space="0" w:color="auto"/>
        <w:bottom w:val="none" w:sz="0" w:space="0" w:color="auto"/>
        <w:right w:val="none" w:sz="0" w:space="0" w:color="auto"/>
      </w:divBdr>
    </w:div>
    <w:div w:id="1438789263">
      <w:bodyDiv w:val="1"/>
      <w:marLeft w:val="0"/>
      <w:marRight w:val="0"/>
      <w:marTop w:val="0"/>
      <w:marBottom w:val="0"/>
      <w:divBdr>
        <w:top w:val="none" w:sz="0" w:space="0" w:color="auto"/>
        <w:left w:val="none" w:sz="0" w:space="0" w:color="auto"/>
        <w:bottom w:val="none" w:sz="0" w:space="0" w:color="auto"/>
        <w:right w:val="none" w:sz="0" w:space="0" w:color="auto"/>
      </w:divBdr>
    </w:div>
    <w:div w:id="1660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4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873943384821803E-2"/>
          <c:y val="2.6909987431952012E-2"/>
          <c:w val="0.6976921017402945"/>
          <c:h val="0.94250096343461842"/>
        </c:manualLayout>
      </c:layout>
      <c:bubbleChart>
        <c:varyColors val="0"/>
        <c:ser>
          <c:idx val="5"/>
          <c:order val="0"/>
          <c:tx>
            <c:strRef>
              <c:f>Sheet1!$B$3</c:f>
              <c:strCache>
                <c:ptCount val="1"/>
                <c:pt idx="0">
                  <c:v>Pārtikas rūpniecība</c:v>
                </c:pt>
              </c:strCache>
            </c:strRef>
          </c:tx>
          <c:spPr>
            <a:solidFill>
              <a:srgbClr val="FFFFFF">
                <a:lumMod val="75000"/>
              </a:srgbClr>
            </a:solidFill>
            <a:ln w="12700">
              <a:solidFill>
                <a:srgbClr val="000000"/>
              </a:solidFill>
            </a:ln>
          </c:spPr>
          <c:invertIfNegative val="0"/>
          <c:xVal>
            <c:numRef>
              <c:f>Sheet1!$C$3</c:f>
              <c:numCache>
                <c:formatCode>0.0</c:formatCode>
                <c:ptCount val="1"/>
                <c:pt idx="0">
                  <c:v>33.9</c:v>
                </c:pt>
              </c:numCache>
            </c:numRef>
          </c:xVal>
          <c:yVal>
            <c:numRef>
              <c:f>Sheet1!$D$3</c:f>
              <c:numCache>
                <c:formatCode>0.0</c:formatCode>
                <c:ptCount val="1"/>
                <c:pt idx="0">
                  <c:v>-16</c:v>
                </c:pt>
              </c:numCache>
            </c:numRef>
          </c:yVal>
          <c:bubbleSize>
            <c:numRef>
              <c:f>Sheet1!$E$3</c:f>
              <c:numCache>
                <c:formatCode>0.00</c:formatCode>
                <c:ptCount val="1"/>
                <c:pt idx="0">
                  <c:v>22.95</c:v>
                </c:pt>
              </c:numCache>
            </c:numRef>
          </c:bubbleSize>
          <c:bubble3D val="0"/>
        </c:ser>
        <c:ser>
          <c:idx val="0"/>
          <c:order val="1"/>
          <c:tx>
            <c:strRef>
              <c:f>Sheet1!$B$4</c:f>
              <c:strCache>
                <c:ptCount val="1"/>
                <c:pt idx="0">
                  <c:v>Vieglā rūpniecība</c:v>
                </c:pt>
              </c:strCache>
            </c:strRef>
          </c:tx>
          <c:spPr>
            <a:solidFill>
              <a:srgbClr val="FF6600"/>
            </a:solidFill>
            <a:ln w="12700">
              <a:solidFill>
                <a:srgbClr val="000000"/>
              </a:solidFill>
            </a:ln>
          </c:spPr>
          <c:invertIfNegative val="0"/>
          <c:xVal>
            <c:numRef>
              <c:f>Sheet1!$C$4</c:f>
              <c:numCache>
                <c:formatCode>0.0</c:formatCode>
                <c:ptCount val="1"/>
                <c:pt idx="0">
                  <c:v>84.2</c:v>
                </c:pt>
              </c:numCache>
            </c:numRef>
          </c:xVal>
          <c:yVal>
            <c:numRef>
              <c:f>Sheet1!$D$4</c:f>
              <c:numCache>
                <c:formatCode>0.0</c:formatCode>
                <c:ptCount val="1"/>
                <c:pt idx="0">
                  <c:v>-20.9</c:v>
                </c:pt>
              </c:numCache>
            </c:numRef>
          </c:yVal>
          <c:bubbleSize>
            <c:numRef>
              <c:f>Sheet1!$E$4</c:f>
              <c:numCache>
                <c:formatCode>0.00</c:formatCode>
                <c:ptCount val="1"/>
                <c:pt idx="0">
                  <c:v>4.1399999999999997</c:v>
                </c:pt>
              </c:numCache>
            </c:numRef>
          </c:bubbleSize>
          <c:bubble3D val="0"/>
        </c:ser>
        <c:ser>
          <c:idx val="1"/>
          <c:order val="2"/>
          <c:tx>
            <c:strRef>
              <c:f>Sheet1!$B$5</c:f>
              <c:strCache>
                <c:ptCount val="1"/>
                <c:pt idx="0">
                  <c:v>Kokapstrāde</c:v>
                </c:pt>
              </c:strCache>
            </c:strRef>
          </c:tx>
          <c:spPr>
            <a:ln w="12700">
              <a:solidFill>
                <a:srgbClr val="000000"/>
              </a:solidFill>
            </a:ln>
          </c:spPr>
          <c:invertIfNegative val="0"/>
          <c:dPt>
            <c:idx val="0"/>
            <c:invertIfNegative val="0"/>
            <c:bubble3D val="0"/>
            <c:spPr>
              <a:solidFill>
                <a:srgbClr val="C00000"/>
              </a:solidFill>
              <a:ln w="12700">
                <a:solidFill>
                  <a:srgbClr val="000000"/>
                </a:solidFill>
              </a:ln>
            </c:spPr>
          </c:dPt>
          <c:xVal>
            <c:numRef>
              <c:f>Sheet1!$C$5</c:f>
              <c:numCache>
                <c:formatCode>0.0</c:formatCode>
                <c:ptCount val="1"/>
                <c:pt idx="0">
                  <c:v>73.2</c:v>
                </c:pt>
              </c:numCache>
            </c:numRef>
          </c:xVal>
          <c:yVal>
            <c:numRef>
              <c:f>Sheet1!$D$5</c:f>
              <c:numCache>
                <c:formatCode>0.0</c:formatCode>
                <c:ptCount val="1"/>
                <c:pt idx="0">
                  <c:v>41</c:v>
                </c:pt>
              </c:numCache>
            </c:numRef>
          </c:yVal>
          <c:bubbleSize>
            <c:numRef>
              <c:f>Sheet1!$E$5</c:f>
              <c:numCache>
                <c:formatCode>0.00</c:formatCode>
                <c:ptCount val="1"/>
                <c:pt idx="0">
                  <c:v>21.97</c:v>
                </c:pt>
              </c:numCache>
            </c:numRef>
          </c:bubbleSize>
          <c:bubble3D val="0"/>
        </c:ser>
        <c:ser>
          <c:idx val="2"/>
          <c:order val="3"/>
          <c:tx>
            <c:strRef>
              <c:f>Sheet1!$B$6</c:f>
              <c:strCache>
                <c:ptCount val="1"/>
                <c:pt idx="0">
                  <c:v>Papīra ražošana, poligrāfija</c:v>
                </c:pt>
              </c:strCache>
            </c:strRef>
          </c:tx>
          <c:spPr>
            <a:ln w="12700">
              <a:solidFill>
                <a:srgbClr val="000000"/>
              </a:solidFill>
            </a:ln>
          </c:spPr>
          <c:invertIfNegative val="0"/>
          <c:xVal>
            <c:numRef>
              <c:f>Sheet1!$C$6</c:f>
              <c:numCache>
                <c:formatCode>0.0</c:formatCode>
                <c:ptCount val="1"/>
                <c:pt idx="0">
                  <c:v>58.3</c:v>
                </c:pt>
              </c:numCache>
            </c:numRef>
          </c:xVal>
          <c:yVal>
            <c:numRef>
              <c:f>Sheet1!$D$6</c:f>
              <c:numCache>
                <c:formatCode>0.0</c:formatCode>
                <c:ptCount val="1"/>
                <c:pt idx="0">
                  <c:v>4.5999999999999996</c:v>
                </c:pt>
              </c:numCache>
            </c:numRef>
          </c:yVal>
          <c:bubbleSize>
            <c:numRef>
              <c:f>Sheet1!$E$6</c:f>
              <c:numCache>
                <c:formatCode>0.00</c:formatCode>
                <c:ptCount val="1"/>
                <c:pt idx="0">
                  <c:v>3.9</c:v>
                </c:pt>
              </c:numCache>
            </c:numRef>
          </c:bubbleSize>
          <c:bubble3D val="0"/>
        </c:ser>
        <c:ser>
          <c:idx val="3"/>
          <c:order val="4"/>
          <c:tx>
            <c:strRef>
              <c:f>Sheet1!$B$7</c:f>
              <c:strCache>
                <c:ptCount val="1"/>
                <c:pt idx="0">
                  <c:v>Ķīmiskā rūpniecība</c:v>
                </c:pt>
              </c:strCache>
            </c:strRef>
          </c:tx>
          <c:spPr>
            <a:solidFill>
              <a:srgbClr val="0000FF"/>
            </a:solidFill>
            <a:ln w="12700">
              <a:solidFill>
                <a:srgbClr val="000000"/>
              </a:solidFill>
            </a:ln>
          </c:spPr>
          <c:invertIfNegative val="0"/>
          <c:xVal>
            <c:numRef>
              <c:f>Sheet1!$C$7</c:f>
              <c:numCache>
                <c:formatCode>0.0</c:formatCode>
                <c:ptCount val="1"/>
                <c:pt idx="0">
                  <c:v>77.8</c:v>
                </c:pt>
              </c:numCache>
            </c:numRef>
          </c:xVal>
          <c:yVal>
            <c:numRef>
              <c:f>Sheet1!$D$7</c:f>
              <c:numCache>
                <c:formatCode>0.0</c:formatCode>
                <c:ptCount val="1"/>
                <c:pt idx="0">
                  <c:v>-4.9000000000000004</c:v>
                </c:pt>
              </c:numCache>
            </c:numRef>
          </c:yVal>
          <c:bubbleSize>
            <c:numRef>
              <c:f>Sheet1!$E$7</c:f>
              <c:numCache>
                <c:formatCode>0.00</c:formatCode>
                <c:ptCount val="1"/>
                <c:pt idx="0">
                  <c:v>8.1199999999999992</c:v>
                </c:pt>
              </c:numCache>
            </c:numRef>
          </c:bubbleSize>
          <c:bubble3D val="0"/>
        </c:ser>
        <c:ser>
          <c:idx val="4"/>
          <c:order val="5"/>
          <c:tx>
            <c:strRef>
              <c:f>Sheet1!$B$8</c:f>
              <c:strCache>
                <c:ptCount val="1"/>
                <c:pt idx="0">
                  <c:v>Nemetālisko minerālu ražošana</c:v>
                </c:pt>
              </c:strCache>
            </c:strRef>
          </c:tx>
          <c:spPr>
            <a:ln w="12700">
              <a:solidFill>
                <a:srgbClr val="000000"/>
              </a:solidFill>
            </a:ln>
          </c:spPr>
          <c:invertIfNegative val="0"/>
          <c:xVal>
            <c:numRef>
              <c:f>Sheet1!$C$8</c:f>
              <c:numCache>
                <c:formatCode>0.0</c:formatCode>
                <c:ptCount val="1"/>
                <c:pt idx="0">
                  <c:v>46.3</c:v>
                </c:pt>
              </c:numCache>
            </c:numRef>
          </c:xVal>
          <c:yVal>
            <c:numRef>
              <c:f>Sheet1!$D$8</c:f>
              <c:numCache>
                <c:formatCode>0.0</c:formatCode>
                <c:ptCount val="1"/>
                <c:pt idx="0">
                  <c:v>-18.7</c:v>
                </c:pt>
              </c:numCache>
            </c:numRef>
          </c:yVal>
          <c:bubbleSize>
            <c:numRef>
              <c:f>Sheet1!$E$8</c:f>
              <c:numCache>
                <c:formatCode>0.00</c:formatCode>
                <c:ptCount val="1"/>
                <c:pt idx="0">
                  <c:v>5.69</c:v>
                </c:pt>
              </c:numCache>
            </c:numRef>
          </c:bubbleSize>
          <c:bubble3D val="0"/>
        </c:ser>
        <c:ser>
          <c:idx val="6"/>
          <c:order val="6"/>
          <c:tx>
            <c:strRef>
              <c:f>Sheet1!$B$9</c:f>
              <c:strCache>
                <c:ptCount val="1"/>
                <c:pt idx="0">
                  <c:v>Metālapstrāde</c:v>
                </c:pt>
              </c:strCache>
            </c:strRef>
          </c:tx>
          <c:spPr>
            <a:solidFill>
              <a:sysClr val="window" lastClr="FFFFFF">
                <a:lumMod val="95000"/>
              </a:sysClr>
            </a:solidFill>
            <a:ln w="12700">
              <a:solidFill>
                <a:srgbClr val="000000"/>
              </a:solidFill>
            </a:ln>
          </c:spPr>
          <c:invertIfNegative val="0"/>
          <c:xVal>
            <c:numRef>
              <c:f>Sheet1!$C$9</c:f>
              <c:numCache>
                <c:formatCode>0.0</c:formatCode>
                <c:ptCount val="1"/>
                <c:pt idx="0">
                  <c:v>76.900000000000006</c:v>
                </c:pt>
              </c:numCache>
            </c:numRef>
          </c:xVal>
          <c:yVal>
            <c:numRef>
              <c:f>Sheet1!$D$9</c:f>
              <c:numCache>
                <c:formatCode>0.0</c:formatCode>
                <c:ptCount val="1"/>
                <c:pt idx="0">
                  <c:v>36.9</c:v>
                </c:pt>
              </c:numCache>
            </c:numRef>
          </c:yVal>
          <c:bubbleSize>
            <c:numRef>
              <c:f>Sheet1!$E$9</c:f>
              <c:numCache>
                <c:formatCode>0.00</c:formatCode>
                <c:ptCount val="1"/>
                <c:pt idx="0">
                  <c:v>15.49</c:v>
                </c:pt>
              </c:numCache>
            </c:numRef>
          </c:bubbleSize>
          <c:bubble3D val="0"/>
        </c:ser>
        <c:ser>
          <c:idx val="7"/>
          <c:order val="7"/>
          <c:tx>
            <c:strRef>
              <c:f>Sheet1!$B$10</c:f>
              <c:strCache>
                <c:ptCount val="1"/>
                <c:pt idx="0">
                  <c:v>Elektrisko, optisko iekārtu ražošana</c:v>
                </c:pt>
              </c:strCache>
            </c:strRef>
          </c:tx>
          <c:spPr>
            <a:solidFill>
              <a:srgbClr val="F79646">
                <a:lumMod val="20000"/>
                <a:lumOff val="80000"/>
              </a:srgbClr>
            </a:solidFill>
            <a:ln w="12700">
              <a:solidFill>
                <a:srgbClr val="000000"/>
              </a:solidFill>
            </a:ln>
          </c:spPr>
          <c:invertIfNegative val="0"/>
          <c:xVal>
            <c:numRef>
              <c:f>Sheet1!$C$10</c:f>
              <c:numCache>
                <c:formatCode>0.0</c:formatCode>
                <c:ptCount val="1"/>
                <c:pt idx="0">
                  <c:v>89.3</c:v>
                </c:pt>
              </c:numCache>
            </c:numRef>
          </c:xVal>
          <c:yVal>
            <c:numRef>
              <c:f>Sheet1!$D$10</c:f>
              <c:numCache>
                <c:formatCode>0.0</c:formatCode>
                <c:ptCount val="1"/>
                <c:pt idx="0">
                  <c:v>54.1</c:v>
                </c:pt>
              </c:numCache>
            </c:numRef>
          </c:yVal>
          <c:bubbleSize>
            <c:numRef>
              <c:f>Sheet1!$E$10</c:f>
              <c:numCache>
                <c:formatCode>0.00</c:formatCode>
                <c:ptCount val="1"/>
                <c:pt idx="0">
                  <c:v>5.53</c:v>
                </c:pt>
              </c:numCache>
            </c:numRef>
          </c:bubbleSize>
          <c:bubble3D val="0"/>
        </c:ser>
        <c:ser>
          <c:idx val="8"/>
          <c:order val="8"/>
          <c:tx>
            <c:strRef>
              <c:f>Sheet1!$B$11</c:f>
              <c:strCache>
                <c:ptCount val="1"/>
                <c:pt idx="0">
                  <c:v>Mašīnu un iekārtu ražošana</c:v>
                </c:pt>
              </c:strCache>
            </c:strRef>
          </c:tx>
          <c:spPr>
            <a:solidFill>
              <a:srgbClr val="7030A0"/>
            </a:solidFill>
            <a:ln w="12700">
              <a:solidFill>
                <a:srgbClr val="000000"/>
              </a:solidFill>
            </a:ln>
          </c:spPr>
          <c:invertIfNegative val="0"/>
          <c:xVal>
            <c:numRef>
              <c:f>Sheet1!$C$11</c:f>
              <c:numCache>
                <c:formatCode>0.0</c:formatCode>
                <c:ptCount val="1"/>
                <c:pt idx="0">
                  <c:v>80.3</c:v>
                </c:pt>
              </c:numCache>
            </c:numRef>
          </c:xVal>
          <c:yVal>
            <c:numRef>
              <c:f>Sheet1!$D$11</c:f>
              <c:numCache>
                <c:formatCode>0.0</c:formatCode>
                <c:ptCount val="1"/>
                <c:pt idx="0">
                  <c:v>25</c:v>
                </c:pt>
              </c:numCache>
            </c:numRef>
          </c:yVal>
          <c:bubbleSize>
            <c:numRef>
              <c:f>Sheet1!$E$11</c:f>
              <c:numCache>
                <c:formatCode>0.00</c:formatCode>
                <c:ptCount val="1"/>
                <c:pt idx="0">
                  <c:v>2.29</c:v>
                </c:pt>
              </c:numCache>
            </c:numRef>
          </c:bubbleSize>
          <c:bubble3D val="0"/>
        </c:ser>
        <c:ser>
          <c:idx val="9"/>
          <c:order val="9"/>
          <c:tx>
            <c:strRef>
              <c:f>Sheet1!$B$12</c:f>
              <c:strCache>
                <c:ptCount val="1"/>
                <c:pt idx="0">
                  <c:v>Transportlīdzekļu ražošana</c:v>
                </c:pt>
              </c:strCache>
            </c:strRef>
          </c:tx>
          <c:spPr>
            <a:solidFill>
              <a:srgbClr val="FFFF00"/>
            </a:solidFill>
            <a:ln w="12700">
              <a:solidFill>
                <a:srgbClr val="000000"/>
              </a:solidFill>
            </a:ln>
          </c:spPr>
          <c:invertIfNegative val="0"/>
          <c:xVal>
            <c:numRef>
              <c:f>Sheet1!$C$12</c:f>
              <c:numCache>
                <c:formatCode>0.0</c:formatCode>
                <c:ptCount val="1"/>
                <c:pt idx="0">
                  <c:v>92.8</c:v>
                </c:pt>
              </c:numCache>
            </c:numRef>
          </c:xVal>
          <c:yVal>
            <c:numRef>
              <c:f>Sheet1!$D$12</c:f>
              <c:numCache>
                <c:formatCode>0.0</c:formatCode>
                <c:ptCount val="1"/>
                <c:pt idx="0">
                  <c:v>34.1</c:v>
                </c:pt>
              </c:numCache>
            </c:numRef>
          </c:yVal>
          <c:bubbleSize>
            <c:numRef>
              <c:f>Sheet1!$E$12</c:f>
              <c:numCache>
                <c:formatCode>0.00</c:formatCode>
                <c:ptCount val="1"/>
                <c:pt idx="0">
                  <c:v>3.77</c:v>
                </c:pt>
              </c:numCache>
            </c:numRef>
          </c:bubbleSize>
          <c:bubble3D val="0"/>
        </c:ser>
        <c:dLbls>
          <c:showLegendKey val="0"/>
          <c:showVal val="0"/>
          <c:showCatName val="0"/>
          <c:showSerName val="0"/>
          <c:showPercent val="0"/>
          <c:showBubbleSize val="0"/>
        </c:dLbls>
        <c:bubbleScale val="100"/>
        <c:showNegBubbles val="0"/>
        <c:axId val="257795968"/>
        <c:axId val="257806336"/>
      </c:bubbleChart>
      <c:valAx>
        <c:axId val="257795968"/>
        <c:scaling>
          <c:orientation val="minMax"/>
          <c:max val="100"/>
          <c:min val="0"/>
        </c:scaling>
        <c:delete val="0"/>
        <c:axPos val="b"/>
        <c:title>
          <c:tx>
            <c:rich>
              <a:bodyPr/>
              <a:lstStyle/>
              <a:p>
                <a:pPr>
                  <a:defRPr sz="900">
                    <a:latin typeface="Arial Narrow" pitchFamily="34" charset="0"/>
                  </a:defRPr>
                </a:pPr>
                <a:r>
                  <a:rPr lang="lv-LV" sz="900" b="0" i="0" baseline="0">
                    <a:effectLst/>
                    <a:latin typeface="Arial Narrow" pitchFamily="34" charset="0"/>
                  </a:rPr>
                  <a:t>Eksporta īpatsvars nozares realizācijā 2012.g, %</a:t>
                </a:r>
                <a:endParaRPr lang="lv-LV" sz="900">
                  <a:effectLst/>
                  <a:latin typeface="Arial Narrow" pitchFamily="34" charset="0"/>
                </a:endParaRPr>
              </a:p>
            </c:rich>
          </c:tx>
          <c:layout>
            <c:manualLayout>
              <c:xMode val="edge"/>
              <c:yMode val="edge"/>
              <c:x val="0.37139493537565649"/>
              <c:y val="0.88057859955005635"/>
            </c:manualLayout>
          </c:layout>
          <c:overlay val="0"/>
        </c:title>
        <c:numFmt formatCode="0" sourceLinked="0"/>
        <c:majorTickMark val="cross"/>
        <c:minorTickMark val="none"/>
        <c:tickLblPos val="nextTo"/>
        <c:spPr>
          <a:solidFill>
            <a:sysClr val="window" lastClr="FFFFFF"/>
          </a:solidFill>
          <a:ln w="6350">
            <a:solidFill>
              <a:srgbClr val="000000"/>
            </a:solidFill>
            <a:prstDash val="solid"/>
          </a:ln>
        </c:spPr>
        <c:txPr>
          <a:bodyPr rot="0" vert="horz"/>
          <a:lstStyle/>
          <a:p>
            <a:pPr>
              <a:defRPr/>
            </a:pPr>
            <a:endParaRPr lang="lv-LV"/>
          </a:p>
        </c:txPr>
        <c:crossAx val="257806336"/>
        <c:crosses val="autoZero"/>
        <c:crossBetween val="midCat"/>
      </c:valAx>
      <c:valAx>
        <c:axId val="257806336"/>
        <c:scaling>
          <c:orientation val="minMax"/>
          <c:max val="100"/>
          <c:min val="-60"/>
        </c:scaling>
        <c:delete val="0"/>
        <c:axPos val="l"/>
        <c:title>
          <c:tx>
            <c:rich>
              <a:bodyPr/>
              <a:lstStyle/>
              <a:p>
                <a:pPr>
                  <a:defRPr sz="900">
                    <a:latin typeface="Arial Narrow" pitchFamily="34" charset="0"/>
                  </a:defRPr>
                </a:pPr>
                <a:r>
                  <a:rPr lang="lv-LV" sz="900">
                    <a:latin typeface="Arial Narrow" pitchFamily="34" charset="0"/>
                  </a:rPr>
                  <a:t>Ražošanas apjomu izmaiņas %,</a:t>
                </a:r>
              </a:p>
              <a:p>
                <a:pPr>
                  <a:defRPr sz="900">
                    <a:latin typeface="Arial Narrow" pitchFamily="34" charset="0"/>
                  </a:defRPr>
                </a:pPr>
                <a:r>
                  <a:rPr lang="lv-LV" sz="900">
                    <a:latin typeface="Arial Narrow" pitchFamily="34" charset="0"/>
                  </a:rPr>
                  <a:t>2012.g/2007.g</a:t>
                </a:r>
              </a:p>
            </c:rich>
          </c:tx>
          <c:layout>
            <c:manualLayout>
              <c:xMode val="edge"/>
              <c:yMode val="edge"/>
              <c:x val="6.5764820857946493E-2"/>
              <c:y val="4.9934338892900824E-2"/>
            </c:manualLayout>
          </c:layout>
          <c:overlay val="0"/>
        </c:title>
        <c:numFmt formatCode="0" sourceLinked="0"/>
        <c:majorTickMark val="out"/>
        <c:minorTickMark val="none"/>
        <c:tickLblPos val="nextTo"/>
        <c:spPr>
          <a:ln w="6350">
            <a:solidFill>
              <a:sysClr val="windowText" lastClr="000000"/>
            </a:solidFill>
          </a:ln>
        </c:spPr>
        <c:txPr>
          <a:bodyPr rot="0" vert="horz"/>
          <a:lstStyle/>
          <a:p>
            <a:pPr>
              <a:defRPr>
                <a:latin typeface="Arial Narrow" pitchFamily="34" charset="0"/>
              </a:defRPr>
            </a:pPr>
            <a:endParaRPr lang="lv-LV"/>
          </a:p>
        </c:txPr>
        <c:crossAx val="257795968"/>
        <c:crosses val="autoZero"/>
        <c:crossBetween val="midCat"/>
        <c:majorUnit val="20"/>
      </c:valAx>
      <c:spPr>
        <a:solidFill>
          <a:srgbClr val="FFFFFF"/>
        </a:solidFill>
        <a:ln w="6350">
          <a:noFill/>
        </a:ln>
      </c:spPr>
    </c:plotArea>
    <c:legend>
      <c:legendPos val="r"/>
      <c:layout>
        <c:manualLayout>
          <c:xMode val="edge"/>
          <c:yMode val="edge"/>
          <c:x val="0.75995216260192688"/>
          <c:y val="2.5154937452740087E-2"/>
          <c:w val="0.23101856966084786"/>
          <c:h val="0.95774582864641922"/>
        </c:manualLayout>
      </c:layout>
      <c:overlay val="0"/>
      <c:spPr>
        <a:solidFill>
          <a:srgbClr val="FFFFFF"/>
        </a:solidFill>
      </c:spPr>
      <c:txPr>
        <a:bodyPr/>
        <a:lstStyle/>
        <a:p>
          <a:pPr marL="108000">
            <a:defRPr sz="1100">
              <a:latin typeface="Arial Narrow" pitchFamily="34" charset="0"/>
            </a:defRPr>
          </a:pPr>
          <a:endParaRPr lang="lv-LV"/>
        </a:p>
      </c:txPr>
    </c:legend>
    <c:plotVisOnly val="1"/>
    <c:dispBlanksAs val="gap"/>
    <c:showDLblsOverMax val="0"/>
  </c:chart>
  <c:spPr>
    <a:noFill/>
    <a:ln>
      <a:noFill/>
    </a:ln>
  </c:spPr>
  <c:txPr>
    <a:bodyPr/>
    <a:lstStyle/>
    <a:p>
      <a:pPr>
        <a:defRPr sz="800" b="0" i="0" u="none" strike="noStrike" baseline="0">
          <a:solidFill>
            <a:srgbClr val="000000"/>
          </a:solidFill>
          <a:effectLst/>
          <a:latin typeface="Garamond" pitchFamily="18" charset="0"/>
          <a:ea typeface="Arial"/>
          <a:cs typeface="Arial"/>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0.12150879735976841"/>
          <c:w val="0.84631315184653555"/>
          <c:h val="0.71007956036745412"/>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117.88217465429058</c:v>
                </c:pt>
                <c:pt idx="1">
                  <c:v>99.261223716612989</c:v>
                </c:pt>
                <c:pt idx="2">
                  <c:v>82.307255161962487</c:v>
                </c:pt>
                <c:pt idx="3">
                  <c:v>50.501989013070656</c:v>
                </c:pt>
                <c:pt idx="4">
                  <c:v>51.44913809433605</c:v>
                </c:pt>
                <c:pt idx="5">
                  <c:v>57.984466755067245</c:v>
                </c:pt>
                <c:pt idx="6">
                  <c:v>60.996400833491187</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116.17199683002279</c:v>
                </c:pt>
                <c:pt idx="1">
                  <c:v>121.94868386294112</c:v>
                </c:pt>
                <c:pt idx="2">
                  <c:v>134.58768992168794</c:v>
                </c:pt>
                <c:pt idx="3">
                  <c:v>86.782387879097783</c:v>
                </c:pt>
                <c:pt idx="4">
                  <c:v>102.25733057238543</c:v>
                </c:pt>
                <c:pt idx="5">
                  <c:v>140.16327087114729</c:v>
                </c:pt>
                <c:pt idx="6">
                  <c:v>152.40858620719047</c:v>
                </c:pt>
              </c:numCache>
            </c:numRef>
          </c:val>
          <c:smooth val="0"/>
        </c:ser>
        <c:dLbls>
          <c:showLegendKey val="0"/>
          <c:showVal val="0"/>
          <c:showCatName val="0"/>
          <c:showSerName val="0"/>
          <c:showPercent val="0"/>
          <c:showBubbleSize val="0"/>
        </c:dLbls>
        <c:marker val="1"/>
        <c:smooth val="0"/>
        <c:axId val="264966912"/>
        <c:axId val="264968448"/>
      </c:lineChart>
      <c:catAx>
        <c:axId val="264966912"/>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64968448"/>
        <c:crosses val="autoZero"/>
        <c:auto val="1"/>
        <c:lblAlgn val="ctr"/>
        <c:lblOffset val="0"/>
        <c:noMultiLvlLbl val="0"/>
      </c:catAx>
      <c:valAx>
        <c:axId val="264968448"/>
        <c:scaling>
          <c:orientation val="minMax"/>
          <c:min val="4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64966912"/>
        <c:crosses val="autoZero"/>
        <c:crossBetween val="between"/>
        <c:majorUnit val="25"/>
      </c:valAx>
      <c:spPr>
        <a:solidFill>
          <a:sysClr val="window" lastClr="FFFFFF"/>
        </a:solidFill>
        <a:ln w="6350">
          <a:noFill/>
        </a:ln>
      </c:spPr>
    </c:plotArea>
    <c:legend>
      <c:legendPos val="r"/>
      <c:layout>
        <c:manualLayout>
          <c:xMode val="edge"/>
          <c:yMode val="edge"/>
          <c:x val="0.14736842105263157"/>
          <c:y val="3.8817300723524898E-3"/>
          <c:w val="0.64278187565858802"/>
          <c:h val="0.25264107611548559"/>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4.8706240487062395E-2"/>
          <c:w val="0.84631315184653555"/>
          <c:h val="0.78299596798952076"/>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104.34782608695652</c:v>
                </c:pt>
                <c:pt idx="1">
                  <c:v>88.998988877654185</c:v>
                </c:pt>
                <c:pt idx="2">
                  <c:v>86.248736097067734</c:v>
                </c:pt>
                <c:pt idx="3">
                  <c:v>61.253791708796761</c:v>
                </c:pt>
                <c:pt idx="4">
                  <c:v>61.638018200202218</c:v>
                </c:pt>
                <c:pt idx="5">
                  <c:v>66.450960566228503</c:v>
                </c:pt>
                <c:pt idx="6">
                  <c:v>72.74014155712841</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114.85449154895517</c:v>
                </c:pt>
                <c:pt idx="1">
                  <c:v>127.14545470831133</c:v>
                </c:pt>
                <c:pt idx="2">
                  <c:v>134.52522773483335</c:v>
                </c:pt>
                <c:pt idx="3">
                  <c:v>67.604775937586794</c:v>
                </c:pt>
                <c:pt idx="4">
                  <c:v>107.48546706914006</c:v>
                </c:pt>
                <c:pt idx="5">
                  <c:v>147.21388712234537</c:v>
                </c:pt>
                <c:pt idx="6">
                  <c:v>170.50867497290471</c:v>
                </c:pt>
              </c:numCache>
            </c:numRef>
          </c:val>
          <c:smooth val="0"/>
        </c:ser>
        <c:dLbls>
          <c:showLegendKey val="0"/>
          <c:showVal val="0"/>
          <c:showCatName val="0"/>
          <c:showSerName val="0"/>
          <c:showPercent val="0"/>
          <c:showBubbleSize val="0"/>
        </c:dLbls>
        <c:marker val="1"/>
        <c:smooth val="0"/>
        <c:axId val="264993792"/>
        <c:axId val="265020160"/>
      </c:lineChart>
      <c:catAx>
        <c:axId val="264993792"/>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65020160"/>
        <c:crosses val="autoZero"/>
        <c:auto val="1"/>
        <c:lblAlgn val="ctr"/>
        <c:lblOffset val="0"/>
        <c:noMultiLvlLbl val="0"/>
      </c:catAx>
      <c:valAx>
        <c:axId val="265020160"/>
        <c:scaling>
          <c:orientation val="minMax"/>
          <c:min val="5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64993792"/>
        <c:crosses val="autoZero"/>
        <c:crossBetween val="between"/>
      </c:valAx>
      <c:spPr>
        <a:solidFill>
          <a:sysClr val="window" lastClr="FFFFFF"/>
        </a:solidFill>
        <a:ln w="6350">
          <a:noFill/>
        </a:ln>
      </c:spPr>
    </c:plotArea>
    <c:legend>
      <c:legendPos val="t"/>
      <c:layout>
        <c:manualLayout>
          <c:xMode val="edge"/>
          <c:yMode val="edge"/>
          <c:x val="0.15368365796380715"/>
          <c:y val="6.25E-2"/>
          <c:w val="0.6231131540591146"/>
          <c:h val="0.22084809711286088"/>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800659532943"/>
          <c:y val="5.7971014492753624E-2"/>
          <c:w val="0.83001960652354356"/>
          <c:h val="0.81451373711365915"/>
        </c:manualLayout>
      </c:layout>
      <c:scatterChart>
        <c:scatterStyle val="lineMarker"/>
        <c:varyColors val="0"/>
        <c:ser>
          <c:idx val="0"/>
          <c:order val="0"/>
          <c:tx>
            <c:strRef>
              <c:f>Sheet1!$D$2</c:f>
              <c:strCache>
                <c:ptCount val="1"/>
                <c:pt idx="0">
                  <c:v>y</c:v>
                </c:pt>
              </c:strCache>
            </c:strRef>
          </c:tx>
          <c:spPr>
            <a:ln w="25400">
              <a:noFill/>
            </a:ln>
          </c:spPr>
          <c:marker>
            <c:symbol val="square"/>
            <c:size val="8"/>
            <c:spPr>
              <a:solidFill>
                <a:srgbClr val="0000FF"/>
              </a:solidFill>
            </c:spPr>
          </c:marker>
          <c:dLbls>
            <c:dLbl>
              <c:idx val="0"/>
              <c:tx>
                <c:rich>
                  <a:bodyPr/>
                  <a:lstStyle/>
                  <a:p>
                    <a:r>
                      <a:rPr lang="lv-LV" b="0">
                        <a:latin typeface="Arial Narrow" pitchFamily="34" charset="0"/>
                      </a:rPr>
                      <a:t>Pārtikas </a:t>
                    </a:r>
                  </a:p>
                  <a:p>
                    <a:r>
                      <a:rPr lang="lv-LV" b="0">
                        <a:latin typeface="Arial Narrow" pitchFamily="34" charset="0"/>
                      </a:rPr>
                      <a:t>rūpniecība</a:t>
                    </a:r>
                    <a:endParaRPr lang="lv-LV"/>
                  </a:p>
                </c:rich>
              </c:tx>
              <c:dLblPos val="t"/>
              <c:showLegendKey val="0"/>
              <c:showVal val="1"/>
              <c:showCatName val="1"/>
              <c:showSerName val="0"/>
              <c:showPercent val="0"/>
              <c:showBubbleSize val="0"/>
            </c:dLbl>
            <c:dLbl>
              <c:idx val="1"/>
              <c:tx>
                <c:rich>
                  <a:bodyPr/>
                  <a:lstStyle/>
                  <a:p>
                    <a:r>
                      <a:rPr lang="lv-LV" b="0">
                        <a:latin typeface="Arial Narrow" pitchFamily="34" charset="0"/>
                      </a:rPr>
                      <a:t>Vieglā </a:t>
                    </a:r>
                  </a:p>
                  <a:p>
                    <a:r>
                      <a:rPr lang="lv-LV" b="0">
                        <a:latin typeface="Arial Narrow" pitchFamily="34" charset="0"/>
                      </a:rPr>
                      <a:t>rūpniecība</a:t>
                    </a:r>
                    <a:endParaRPr lang="en-US"/>
                  </a:p>
                </c:rich>
              </c:tx>
              <c:dLblPos val="t"/>
              <c:showLegendKey val="0"/>
              <c:showVal val="1"/>
              <c:showCatName val="1"/>
              <c:showSerName val="0"/>
              <c:showPercent val="0"/>
              <c:showBubbleSize val="0"/>
            </c:dLbl>
            <c:dLbl>
              <c:idx val="2"/>
              <c:layout>
                <c:manualLayout>
                  <c:x val="-0.11948152634766808"/>
                  <c:y val="-6.1292775665399236E-2"/>
                </c:manualLayout>
              </c:layout>
              <c:tx>
                <c:rich>
                  <a:bodyPr/>
                  <a:lstStyle/>
                  <a:p>
                    <a:r>
                      <a:rPr lang="lv-LV" b="0">
                        <a:latin typeface="Arial Narrow" pitchFamily="34" charset="0"/>
                      </a:rPr>
                      <a:t>Kokapstrāde</a:t>
                    </a:r>
                    <a:endParaRPr lang="en-US"/>
                  </a:p>
                </c:rich>
              </c:tx>
              <c:dLblPos val="r"/>
              <c:showLegendKey val="0"/>
              <c:showVal val="1"/>
              <c:showCatName val="1"/>
              <c:showSerName val="0"/>
              <c:showPercent val="0"/>
              <c:showBubbleSize val="0"/>
            </c:dLbl>
            <c:dLbl>
              <c:idx val="3"/>
              <c:tx>
                <c:rich>
                  <a:bodyPr/>
                  <a:lstStyle/>
                  <a:p>
                    <a:r>
                      <a:rPr lang="lv-LV" b="0">
                        <a:latin typeface="Arial Narrow" pitchFamily="34" charset="0"/>
                      </a:rPr>
                      <a:t>Papīra</a:t>
                    </a:r>
                  </a:p>
                  <a:p>
                    <a:r>
                      <a:rPr lang="lv-LV" b="0">
                        <a:latin typeface="Arial Narrow" pitchFamily="34" charset="0"/>
                      </a:rPr>
                      <a:t>ražošana un</a:t>
                    </a:r>
                  </a:p>
                  <a:p>
                    <a:r>
                      <a:rPr lang="lv-LV" b="0">
                        <a:latin typeface="Arial Narrow" pitchFamily="34" charset="0"/>
                      </a:rPr>
                      <a:t>poligrāfija</a:t>
                    </a:r>
                    <a:endParaRPr lang="en-US"/>
                  </a:p>
                </c:rich>
              </c:tx>
              <c:dLblPos val="t"/>
              <c:showLegendKey val="0"/>
              <c:showVal val="1"/>
              <c:showCatName val="1"/>
              <c:showSerName val="0"/>
              <c:showPercent val="0"/>
              <c:showBubbleSize val="0"/>
            </c:dLbl>
            <c:dLbl>
              <c:idx val="4"/>
              <c:tx>
                <c:rich>
                  <a:bodyPr/>
                  <a:lstStyle/>
                  <a:p>
                    <a:r>
                      <a:rPr lang="lv-LV" b="0">
                        <a:latin typeface="Arial Narrow" pitchFamily="34" charset="0"/>
                      </a:rPr>
                      <a:t>Ķīmiskā </a:t>
                    </a:r>
                  </a:p>
                  <a:p>
                    <a:r>
                      <a:rPr lang="lv-LV" b="0">
                        <a:latin typeface="Arial Narrow" pitchFamily="34" charset="0"/>
                      </a:rPr>
                      <a:t>rūpniecība</a:t>
                    </a:r>
                    <a:endParaRPr lang="en-US"/>
                  </a:p>
                </c:rich>
              </c:tx>
              <c:dLblPos val="t"/>
              <c:showLegendKey val="0"/>
              <c:showVal val="1"/>
              <c:showCatName val="1"/>
              <c:showSerName val="0"/>
              <c:showPercent val="0"/>
              <c:showBubbleSize val="0"/>
            </c:dLbl>
            <c:dLbl>
              <c:idx val="5"/>
              <c:layout>
                <c:manualLayout>
                  <c:x val="-2.2900240034098303E-2"/>
                  <c:y val="-0.1179721166032953"/>
                </c:manualLayout>
              </c:layout>
              <c:tx>
                <c:rich>
                  <a:bodyPr/>
                  <a:lstStyle/>
                  <a:p>
                    <a:r>
                      <a:rPr lang="lv-LV" b="0">
                        <a:latin typeface="Arial Narrow" pitchFamily="34" charset="0"/>
                      </a:rPr>
                      <a:t>Nemetālisko</a:t>
                    </a:r>
                  </a:p>
                  <a:p>
                    <a:r>
                      <a:rPr lang="lv-LV" b="0">
                        <a:latin typeface="Arial Narrow" pitchFamily="34" charset="0"/>
                      </a:rPr>
                      <a:t>minerālu</a:t>
                    </a:r>
                  </a:p>
                  <a:p>
                    <a:r>
                      <a:rPr lang="lv-LV" b="0">
                        <a:latin typeface="Arial Narrow" pitchFamily="34" charset="0"/>
                      </a:rPr>
                      <a:t>ražošana</a:t>
                    </a:r>
                    <a:endParaRPr lang="en-US"/>
                  </a:p>
                </c:rich>
              </c:tx>
              <c:dLblPos val="r"/>
              <c:showLegendKey val="0"/>
              <c:showVal val="1"/>
              <c:showCatName val="1"/>
              <c:showSerName val="0"/>
              <c:showPercent val="0"/>
              <c:showBubbleSize val="0"/>
            </c:dLbl>
            <c:dLbl>
              <c:idx val="6"/>
              <c:layout>
                <c:manualLayout>
                  <c:x val="-3.8273549139690874E-2"/>
                  <c:y val="-6.6362484157160964E-2"/>
                </c:manualLayout>
              </c:layout>
              <c:tx>
                <c:rich>
                  <a:bodyPr/>
                  <a:lstStyle/>
                  <a:p>
                    <a:r>
                      <a:rPr lang="lv-LV" b="0">
                        <a:latin typeface="Arial Narrow" pitchFamily="34" charset="0"/>
                      </a:rPr>
                      <a:t>Metālapstrāde</a:t>
                    </a:r>
                    <a:endParaRPr lang="en-US"/>
                  </a:p>
                </c:rich>
              </c:tx>
              <c:dLblPos val="r"/>
              <c:showLegendKey val="0"/>
              <c:showVal val="1"/>
              <c:showCatName val="1"/>
              <c:showSerName val="0"/>
              <c:showPercent val="0"/>
              <c:showBubbleSize val="0"/>
            </c:dLbl>
            <c:dLbl>
              <c:idx val="7"/>
              <c:tx>
                <c:rich>
                  <a:bodyPr/>
                  <a:lstStyle/>
                  <a:p>
                    <a:r>
                      <a:rPr lang="lv-LV"/>
                      <a:t>Elektrisko un</a:t>
                    </a:r>
                  </a:p>
                  <a:p>
                    <a:r>
                      <a:rPr lang="lv-LV"/>
                      <a:t>optisko iekārtu</a:t>
                    </a:r>
                  </a:p>
                  <a:p>
                    <a:r>
                      <a:rPr lang="lv-LV"/>
                      <a:t>ražošana</a:t>
                    </a:r>
                    <a:endParaRPr lang="en-US"/>
                  </a:p>
                </c:rich>
              </c:tx>
              <c:dLblPos val="t"/>
              <c:showLegendKey val="0"/>
              <c:showVal val="1"/>
              <c:showCatName val="1"/>
              <c:showSerName val="0"/>
              <c:showPercent val="0"/>
              <c:showBubbleSize val="0"/>
            </c:dLbl>
            <c:dLbl>
              <c:idx val="8"/>
              <c:layout>
                <c:manualLayout>
                  <c:x val="-9.8592547726405994E-2"/>
                  <c:y val="-7.4423320659062084E-2"/>
                </c:manualLayout>
              </c:layout>
              <c:tx>
                <c:rich>
                  <a:bodyPr/>
                  <a:lstStyle/>
                  <a:p>
                    <a:r>
                      <a:rPr lang="lv-LV"/>
                      <a:t>Mašīnu un</a:t>
                    </a:r>
                  </a:p>
                  <a:p>
                    <a:r>
                      <a:rPr lang="lv-LV"/>
                      <a:t>iekārtu ražošana</a:t>
                    </a:r>
                    <a:endParaRPr lang="en-US"/>
                  </a:p>
                </c:rich>
              </c:tx>
              <c:dLblPos val="r"/>
              <c:showLegendKey val="0"/>
              <c:showVal val="1"/>
              <c:showCatName val="1"/>
              <c:showSerName val="0"/>
              <c:showPercent val="0"/>
              <c:showBubbleSize val="0"/>
            </c:dLbl>
            <c:dLbl>
              <c:idx val="9"/>
              <c:tx>
                <c:rich>
                  <a:bodyPr/>
                  <a:lstStyle/>
                  <a:p>
                    <a:r>
                      <a:rPr lang="lv-LV"/>
                      <a:t>Transportlīdzekļu</a:t>
                    </a:r>
                    <a:r>
                      <a:rPr lang="lv-LV" baseline="0"/>
                      <a:t> </a:t>
                    </a:r>
                  </a:p>
                  <a:p>
                    <a:r>
                      <a:rPr lang="lv-LV" baseline="0"/>
                      <a:t>ražošana</a:t>
                    </a:r>
                    <a:endParaRPr lang="en-US"/>
                  </a:p>
                </c:rich>
              </c:tx>
              <c:dLblPos val="t"/>
              <c:showLegendKey val="0"/>
              <c:showVal val="1"/>
              <c:showCatName val="1"/>
              <c:showSerName val="0"/>
              <c:showPercent val="0"/>
              <c:showBubbleSize val="0"/>
            </c:dLbl>
            <c:spPr>
              <a:solidFill>
                <a:sysClr val="window" lastClr="FFFFFF"/>
              </a:solidFill>
            </c:spPr>
            <c:txPr>
              <a:bodyPr/>
              <a:lstStyle/>
              <a:p>
                <a:pPr>
                  <a:defRPr b="0">
                    <a:latin typeface="Arial Narrow" pitchFamily="34" charset="0"/>
                  </a:defRPr>
                </a:pPr>
                <a:endParaRPr lang="lv-LV"/>
              </a:p>
            </c:txPr>
            <c:dLblPos val="t"/>
            <c:showLegendKey val="0"/>
            <c:showVal val="1"/>
            <c:showCatName val="1"/>
            <c:showSerName val="0"/>
            <c:showPercent val="0"/>
            <c:showBubbleSize val="0"/>
            <c:showLeaderLines val="0"/>
          </c:dLbls>
          <c:xVal>
            <c:numRef>
              <c:f>Sheet1!$C$3:$C$12</c:f>
              <c:numCache>
                <c:formatCode>0.0</c:formatCode>
                <c:ptCount val="10"/>
                <c:pt idx="0">
                  <c:v>2.2072720914548398</c:v>
                </c:pt>
                <c:pt idx="1">
                  <c:v>46.845744416256252</c:v>
                </c:pt>
                <c:pt idx="2">
                  <c:v>57.909203759531835</c:v>
                </c:pt>
                <c:pt idx="3">
                  <c:v>31.246692824552468</c:v>
                </c:pt>
                <c:pt idx="4">
                  <c:v>18.957507976019343</c:v>
                </c:pt>
                <c:pt idx="5">
                  <c:v>58.57741815403304</c:v>
                </c:pt>
                <c:pt idx="6">
                  <c:v>85.307453416149059</c:v>
                </c:pt>
                <c:pt idx="7">
                  <c:v>107.10567499472791</c:v>
                </c:pt>
                <c:pt idx="8">
                  <c:v>75.621563236449333</c:v>
                </c:pt>
                <c:pt idx="9">
                  <c:v>152.21394880491806</c:v>
                </c:pt>
              </c:numCache>
            </c:numRef>
          </c:xVal>
          <c:yVal>
            <c:numRef>
              <c:f>Sheet1!$D$3:$D$12</c:f>
              <c:numCache>
                <c:formatCode>0.0</c:formatCode>
                <c:ptCount val="10"/>
                <c:pt idx="0">
                  <c:v>-1.0879701585327979</c:v>
                </c:pt>
                <c:pt idx="1">
                  <c:v>10.723256821134683</c:v>
                </c:pt>
                <c:pt idx="2">
                  <c:v>21.596346237494558</c:v>
                </c:pt>
                <c:pt idx="3">
                  <c:v>0.40659588886377662</c:v>
                </c:pt>
                <c:pt idx="4">
                  <c:v>5.8384547848990422</c:v>
                </c:pt>
                <c:pt idx="5">
                  <c:v>9.4839609483961027</c:v>
                </c:pt>
                <c:pt idx="6">
                  <c:v>25.34402534402534</c:v>
                </c:pt>
                <c:pt idx="7">
                  <c:v>15.891800507185124</c:v>
                </c:pt>
                <c:pt idx="8">
                  <c:v>20.780195048762181</c:v>
                </c:pt>
                <c:pt idx="9">
                  <c:v>18.752063387256527</c:v>
                </c:pt>
              </c:numCache>
            </c:numRef>
          </c:yVal>
          <c:smooth val="0"/>
        </c:ser>
        <c:dLbls>
          <c:showLegendKey val="0"/>
          <c:showVal val="0"/>
          <c:showCatName val="0"/>
          <c:showSerName val="0"/>
          <c:showPercent val="0"/>
          <c:showBubbleSize val="0"/>
        </c:dLbls>
        <c:axId val="266269440"/>
        <c:axId val="266271360"/>
      </c:scatterChart>
      <c:valAx>
        <c:axId val="266269440"/>
        <c:scaling>
          <c:orientation val="minMax"/>
        </c:scaling>
        <c:delete val="0"/>
        <c:axPos val="b"/>
        <c:majorGridlines>
          <c:spPr>
            <a:ln>
              <a:solidFill>
                <a:sysClr val="window" lastClr="FFFFFF">
                  <a:lumMod val="85000"/>
                </a:sysClr>
              </a:solidFill>
            </a:ln>
          </c:spPr>
        </c:majorGridlines>
        <c:title>
          <c:tx>
            <c:rich>
              <a:bodyPr/>
              <a:lstStyle/>
              <a:p>
                <a:pPr>
                  <a:defRPr sz="1000" b="0"/>
                </a:pPr>
                <a:r>
                  <a:rPr lang="lv-LV" sz="1000" b="0" i="0" u="none" strike="noStrike" baseline="0">
                    <a:effectLst/>
                  </a:rPr>
                  <a:t>Ražošanas apjomu izmaiņas  2012./2009., % </a:t>
                </a:r>
                <a:endParaRPr lang="lv-LV" sz="1000" b="0"/>
              </a:p>
            </c:rich>
          </c:tx>
          <c:layout>
            <c:manualLayout>
              <c:xMode val="edge"/>
              <c:yMode val="edge"/>
              <c:x val="0.51842039278386765"/>
              <c:y val="0.91507050749091146"/>
            </c:manualLayout>
          </c:layout>
          <c:overlay val="0"/>
        </c:title>
        <c:numFmt formatCode="0" sourceLinked="0"/>
        <c:majorTickMark val="out"/>
        <c:minorTickMark val="none"/>
        <c:tickLblPos val="nextTo"/>
        <c:spPr>
          <a:ln w="25400">
            <a:solidFill>
              <a:sysClr val="windowText" lastClr="000000"/>
            </a:solidFill>
            <a:prstDash val="solid"/>
          </a:ln>
        </c:spPr>
        <c:txPr>
          <a:bodyPr rot="0" vert="horz"/>
          <a:lstStyle/>
          <a:p>
            <a:pPr>
              <a:defRPr sz="1050" b="0" i="0" u="none" strike="noStrike" baseline="0">
                <a:solidFill>
                  <a:srgbClr val="000000"/>
                </a:solidFill>
                <a:latin typeface="Arial Narrow" pitchFamily="34" charset="0"/>
                <a:ea typeface="Times New Roman"/>
                <a:cs typeface="Times New Roman" pitchFamily="18" charset="0"/>
              </a:defRPr>
            </a:pPr>
            <a:endParaRPr lang="lv-LV"/>
          </a:p>
        </c:txPr>
        <c:crossAx val="266271360"/>
        <c:crosses val="autoZero"/>
        <c:crossBetween val="midCat"/>
      </c:valAx>
      <c:valAx>
        <c:axId val="266271360"/>
        <c:scaling>
          <c:orientation val="minMax"/>
        </c:scaling>
        <c:delete val="0"/>
        <c:axPos val="l"/>
        <c:majorGridlines>
          <c:spPr>
            <a:ln>
              <a:solidFill>
                <a:sysClr val="window" lastClr="FFFFFF">
                  <a:lumMod val="85000"/>
                </a:sysClr>
              </a:solidFill>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
                    <a:ea typeface="Arial"/>
                    <a:cs typeface="Arial"/>
                  </a:defRPr>
                </a:pPr>
                <a:r>
                  <a:rPr lang="lv-LV" sz="1000" b="0" i="0" baseline="0">
                    <a:effectLst/>
                  </a:rPr>
                  <a:t>Nodarbināto skaita izmaiņas 2012./2009., %</a:t>
                </a:r>
                <a:endParaRPr lang="lv-LV" sz="1000">
                  <a:effectLst/>
                  <a:latin typeface=""/>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
                    <a:ea typeface="Arial"/>
                    <a:cs typeface="Arial"/>
                  </a:defRPr>
                </a:pPr>
                <a:r>
                  <a:rPr lang="lv-LV" sz="1000" b="0">
                    <a:latin typeface=""/>
                  </a:rPr>
                  <a:t>.</a:t>
                </a:r>
              </a:p>
            </c:rich>
          </c:tx>
          <c:overlay val="0"/>
        </c:title>
        <c:numFmt formatCode="0" sourceLinked="0"/>
        <c:majorTickMark val="out"/>
        <c:minorTickMark val="none"/>
        <c:tickLblPos val="nextTo"/>
        <c:spPr>
          <a:ln w="25400">
            <a:solidFill>
              <a:sysClr val="windowText" lastClr="000000"/>
            </a:solidFill>
          </a:ln>
        </c:spPr>
        <c:txPr>
          <a:bodyPr rot="0" vert="horz"/>
          <a:lstStyle/>
          <a:p>
            <a:pPr>
              <a:defRPr sz="1050" b="0" i="0" u="none" strike="noStrike" baseline="0">
                <a:solidFill>
                  <a:srgbClr val="000000"/>
                </a:solidFill>
                <a:latin typeface="Arial Narrow" pitchFamily="34" charset="0"/>
                <a:ea typeface="Times New Roman"/>
                <a:cs typeface="Times New Roman"/>
              </a:defRPr>
            </a:pPr>
            <a:endParaRPr lang="lv-LV"/>
          </a:p>
        </c:txPr>
        <c:crossAx val="266269440"/>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49646678780538"/>
          <c:y val="5.7971014492753624E-2"/>
          <c:w val="0.85053547793705275"/>
          <c:h val="0.76381669682594022"/>
        </c:manualLayout>
      </c:layout>
      <c:scatterChart>
        <c:scatterStyle val="lineMarker"/>
        <c:varyColors val="0"/>
        <c:ser>
          <c:idx val="0"/>
          <c:order val="0"/>
          <c:tx>
            <c:strRef>
              <c:f>Sheet1!$D$2</c:f>
              <c:strCache>
                <c:ptCount val="1"/>
                <c:pt idx="0">
                  <c:v>y</c:v>
                </c:pt>
              </c:strCache>
            </c:strRef>
          </c:tx>
          <c:spPr>
            <a:ln w="25400">
              <a:noFill/>
            </a:ln>
          </c:spPr>
          <c:marker>
            <c:symbol val="square"/>
            <c:size val="8"/>
            <c:spPr>
              <a:solidFill>
                <a:srgbClr val="0000FF"/>
              </a:solidFill>
            </c:spPr>
          </c:marker>
          <c:dLbls>
            <c:dLbl>
              <c:idx val="0"/>
              <c:tx>
                <c:rich>
                  <a:bodyPr/>
                  <a:lstStyle/>
                  <a:p>
                    <a:r>
                      <a:rPr lang="lv-LV" b="0">
                        <a:latin typeface="Arial Narrow" pitchFamily="34" charset="0"/>
                      </a:rPr>
                      <a:t>Pārtikas </a:t>
                    </a:r>
                  </a:p>
                  <a:p>
                    <a:r>
                      <a:rPr lang="lv-LV" b="0">
                        <a:latin typeface="Arial Narrow" pitchFamily="34" charset="0"/>
                      </a:rPr>
                      <a:t>rūpniecība</a:t>
                    </a:r>
                    <a:endParaRPr lang="lv-LV"/>
                  </a:p>
                </c:rich>
              </c:tx>
              <c:dLblPos val="t"/>
              <c:showLegendKey val="0"/>
              <c:showVal val="1"/>
              <c:showCatName val="1"/>
              <c:showSerName val="0"/>
              <c:showPercent val="0"/>
              <c:showBubbleSize val="0"/>
            </c:dLbl>
            <c:dLbl>
              <c:idx val="1"/>
              <c:tx>
                <c:rich>
                  <a:bodyPr/>
                  <a:lstStyle/>
                  <a:p>
                    <a:r>
                      <a:rPr lang="lv-LV" b="0">
                        <a:latin typeface="Arial Narrow" pitchFamily="34" charset="0"/>
                      </a:rPr>
                      <a:t>Vieglā </a:t>
                    </a:r>
                  </a:p>
                  <a:p>
                    <a:r>
                      <a:rPr lang="lv-LV" b="0">
                        <a:latin typeface="Arial Narrow" pitchFamily="34" charset="0"/>
                      </a:rPr>
                      <a:t>rūpniecība</a:t>
                    </a:r>
                    <a:endParaRPr lang="en-US"/>
                  </a:p>
                </c:rich>
              </c:tx>
              <c:dLblPos val="t"/>
              <c:showLegendKey val="0"/>
              <c:showVal val="1"/>
              <c:showCatName val="1"/>
              <c:showSerName val="0"/>
              <c:showPercent val="0"/>
              <c:showBubbleSize val="0"/>
            </c:dLbl>
            <c:dLbl>
              <c:idx val="2"/>
              <c:layout>
                <c:manualLayout>
                  <c:x val="-6.4780671646813379E-2"/>
                  <c:y val="6.7389830508474496E-2"/>
                </c:manualLayout>
              </c:layout>
              <c:tx>
                <c:rich>
                  <a:bodyPr/>
                  <a:lstStyle/>
                  <a:p>
                    <a:r>
                      <a:rPr lang="lv-LV" b="0">
                        <a:latin typeface="Arial Narrow" pitchFamily="34" charset="0"/>
                      </a:rPr>
                      <a:t>Kokapstrāde</a:t>
                    </a:r>
                    <a:endParaRPr lang="en-US"/>
                  </a:p>
                </c:rich>
              </c:tx>
              <c:dLblPos val="r"/>
              <c:showLegendKey val="0"/>
              <c:showVal val="1"/>
              <c:showCatName val="1"/>
              <c:showSerName val="0"/>
              <c:showPercent val="0"/>
              <c:showBubbleSize val="0"/>
            </c:dLbl>
            <c:dLbl>
              <c:idx val="3"/>
              <c:tx>
                <c:rich>
                  <a:bodyPr/>
                  <a:lstStyle/>
                  <a:p>
                    <a:r>
                      <a:rPr lang="lv-LV" b="0">
                        <a:latin typeface="Arial Narrow" pitchFamily="34" charset="0"/>
                      </a:rPr>
                      <a:t>Papīra</a:t>
                    </a:r>
                  </a:p>
                  <a:p>
                    <a:r>
                      <a:rPr lang="lv-LV" b="0">
                        <a:latin typeface="Arial Narrow" pitchFamily="34" charset="0"/>
                      </a:rPr>
                      <a:t>ražošana un</a:t>
                    </a:r>
                  </a:p>
                  <a:p>
                    <a:r>
                      <a:rPr lang="lv-LV" b="0">
                        <a:latin typeface="Arial Narrow" pitchFamily="34" charset="0"/>
                      </a:rPr>
                      <a:t>poligrāfija</a:t>
                    </a:r>
                    <a:endParaRPr lang="en-US"/>
                  </a:p>
                </c:rich>
              </c:tx>
              <c:dLblPos val="t"/>
              <c:showLegendKey val="0"/>
              <c:showVal val="1"/>
              <c:showCatName val="1"/>
              <c:showSerName val="0"/>
              <c:showPercent val="0"/>
              <c:showBubbleSize val="0"/>
            </c:dLbl>
            <c:dLbl>
              <c:idx val="4"/>
              <c:tx>
                <c:rich>
                  <a:bodyPr/>
                  <a:lstStyle/>
                  <a:p>
                    <a:r>
                      <a:rPr lang="lv-LV" b="0">
                        <a:latin typeface="Arial Narrow" pitchFamily="34" charset="0"/>
                      </a:rPr>
                      <a:t>Ķīmiskā </a:t>
                    </a:r>
                  </a:p>
                  <a:p>
                    <a:r>
                      <a:rPr lang="lv-LV" b="0">
                        <a:latin typeface="Arial Narrow" pitchFamily="34" charset="0"/>
                      </a:rPr>
                      <a:t>rūpniecība</a:t>
                    </a:r>
                    <a:endParaRPr lang="en-US"/>
                  </a:p>
                </c:rich>
              </c:tx>
              <c:dLblPos val="t"/>
              <c:showLegendKey val="0"/>
              <c:showVal val="1"/>
              <c:showCatName val="1"/>
              <c:showSerName val="0"/>
              <c:showPercent val="0"/>
              <c:showBubbleSize val="0"/>
            </c:dLbl>
            <c:dLbl>
              <c:idx val="5"/>
              <c:tx>
                <c:rich>
                  <a:bodyPr/>
                  <a:lstStyle/>
                  <a:p>
                    <a:r>
                      <a:rPr lang="lv-LV" b="0">
                        <a:latin typeface="Arial Narrow" pitchFamily="34" charset="0"/>
                      </a:rPr>
                      <a:t>Nemetālisko</a:t>
                    </a:r>
                  </a:p>
                  <a:p>
                    <a:r>
                      <a:rPr lang="lv-LV" b="0">
                        <a:latin typeface="Arial Narrow" pitchFamily="34" charset="0"/>
                      </a:rPr>
                      <a:t>minerālu</a:t>
                    </a:r>
                  </a:p>
                  <a:p>
                    <a:r>
                      <a:rPr lang="lv-LV" b="0">
                        <a:latin typeface="Arial Narrow" pitchFamily="34" charset="0"/>
                      </a:rPr>
                      <a:t>ražošana</a:t>
                    </a:r>
                    <a:endParaRPr lang="en-US"/>
                  </a:p>
                </c:rich>
              </c:tx>
              <c:dLblPos val="t"/>
              <c:showLegendKey val="0"/>
              <c:showVal val="1"/>
              <c:showCatName val="1"/>
              <c:showSerName val="0"/>
              <c:showPercent val="0"/>
              <c:showBubbleSize val="0"/>
            </c:dLbl>
            <c:dLbl>
              <c:idx val="6"/>
              <c:layout>
                <c:manualLayout>
                  <c:x val="1.642730556116383E-2"/>
                  <c:y val="4.1129943502824862E-3"/>
                </c:manualLayout>
              </c:layout>
              <c:tx>
                <c:rich>
                  <a:bodyPr/>
                  <a:lstStyle/>
                  <a:p>
                    <a:r>
                      <a:rPr lang="lv-LV" b="0">
                        <a:latin typeface="Arial Narrow" pitchFamily="34" charset="0"/>
                      </a:rPr>
                      <a:t>Metālapstrāde</a:t>
                    </a:r>
                    <a:endParaRPr lang="en-US"/>
                  </a:p>
                </c:rich>
              </c:tx>
              <c:dLblPos val="r"/>
              <c:showLegendKey val="0"/>
              <c:showVal val="1"/>
              <c:showCatName val="1"/>
              <c:showSerName val="0"/>
              <c:showPercent val="0"/>
              <c:showBubbleSize val="0"/>
            </c:dLbl>
            <c:dLbl>
              <c:idx val="7"/>
              <c:tx>
                <c:rich>
                  <a:bodyPr/>
                  <a:lstStyle/>
                  <a:p>
                    <a:r>
                      <a:rPr lang="lv-LV"/>
                      <a:t>Elektrisko un</a:t>
                    </a:r>
                  </a:p>
                  <a:p>
                    <a:r>
                      <a:rPr lang="lv-LV"/>
                      <a:t>optisko iekārtu</a:t>
                    </a:r>
                  </a:p>
                  <a:p>
                    <a:r>
                      <a:rPr lang="lv-LV"/>
                      <a:t>ražošana</a:t>
                    </a:r>
                    <a:endParaRPr lang="en-US"/>
                  </a:p>
                </c:rich>
              </c:tx>
              <c:dLblPos val="t"/>
              <c:showLegendKey val="0"/>
              <c:showVal val="1"/>
              <c:showCatName val="1"/>
              <c:showSerName val="0"/>
              <c:showPercent val="0"/>
              <c:showBubbleSize val="0"/>
            </c:dLbl>
            <c:dLbl>
              <c:idx val="8"/>
              <c:tx>
                <c:rich>
                  <a:bodyPr/>
                  <a:lstStyle/>
                  <a:p>
                    <a:r>
                      <a:rPr lang="lv-LV"/>
                      <a:t>Mašīnu un</a:t>
                    </a:r>
                  </a:p>
                  <a:p>
                    <a:r>
                      <a:rPr lang="lv-LV"/>
                      <a:t>iekārtu ražošana</a:t>
                    </a:r>
                    <a:endParaRPr lang="en-US"/>
                  </a:p>
                </c:rich>
              </c:tx>
              <c:dLblPos val="t"/>
              <c:showLegendKey val="0"/>
              <c:showVal val="1"/>
              <c:showCatName val="1"/>
              <c:showSerName val="0"/>
              <c:showPercent val="0"/>
              <c:showBubbleSize val="0"/>
            </c:dLbl>
            <c:dLbl>
              <c:idx val="9"/>
              <c:tx>
                <c:rich>
                  <a:bodyPr/>
                  <a:lstStyle/>
                  <a:p>
                    <a:r>
                      <a:rPr lang="lv-LV"/>
                      <a:t>Transportlīdzekļu</a:t>
                    </a:r>
                    <a:r>
                      <a:rPr lang="lv-LV" baseline="0"/>
                      <a:t> </a:t>
                    </a:r>
                  </a:p>
                  <a:p>
                    <a:r>
                      <a:rPr lang="lv-LV" baseline="0"/>
                      <a:t>ražošana</a:t>
                    </a:r>
                    <a:endParaRPr lang="en-US"/>
                  </a:p>
                </c:rich>
              </c:tx>
              <c:dLblPos val="t"/>
              <c:showLegendKey val="0"/>
              <c:showVal val="1"/>
              <c:showCatName val="1"/>
              <c:showSerName val="0"/>
              <c:showPercent val="0"/>
              <c:showBubbleSize val="0"/>
            </c:dLbl>
            <c:spPr>
              <a:noFill/>
            </c:spPr>
            <c:txPr>
              <a:bodyPr/>
              <a:lstStyle/>
              <a:p>
                <a:pPr>
                  <a:defRPr b="0">
                    <a:latin typeface="Arial Narrow" pitchFamily="34" charset="0"/>
                  </a:defRPr>
                </a:pPr>
                <a:endParaRPr lang="lv-LV"/>
              </a:p>
            </c:txPr>
            <c:dLblPos val="t"/>
            <c:showLegendKey val="0"/>
            <c:showVal val="1"/>
            <c:showCatName val="1"/>
            <c:showSerName val="0"/>
            <c:showPercent val="0"/>
            <c:showBubbleSize val="0"/>
            <c:showLeaderLines val="0"/>
          </c:dLbls>
          <c:xVal>
            <c:numRef>
              <c:f>Sheet1!$C$3:$C$12</c:f>
              <c:numCache>
                <c:formatCode>0.0</c:formatCode>
                <c:ptCount val="10"/>
                <c:pt idx="0">
                  <c:v>2.2072720914548398</c:v>
                </c:pt>
                <c:pt idx="1">
                  <c:v>46.845744416256252</c:v>
                </c:pt>
                <c:pt idx="2">
                  <c:v>57.909203759531835</c:v>
                </c:pt>
                <c:pt idx="3">
                  <c:v>31.246692824552468</c:v>
                </c:pt>
                <c:pt idx="4">
                  <c:v>18.957507976019343</c:v>
                </c:pt>
                <c:pt idx="5">
                  <c:v>58.57741815403304</c:v>
                </c:pt>
                <c:pt idx="6">
                  <c:v>85.307453416149059</c:v>
                </c:pt>
                <c:pt idx="7">
                  <c:v>107.10567499472791</c:v>
                </c:pt>
                <c:pt idx="8">
                  <c:v>75.621563236449333</c:v>
                </c:pt>
                <c:pt idx="9">
                  <c:v>152.21394880491806</c:v>
                </c:pt>
              </c:numCache>
            </c:numRef>
          </c:xVal>
          <c:yVal>
            <c:numRef>
              <c:f>Sheet1!$D$3:$D$12</c:f>
              <c:numCache>
                <c:formatCode>0.0</c:formatCode>
                <c:ptCount val="10"/>
                <c:pt idx="0">
                  <c:v>3.2952422499876235</c:v>
                </c:pt>
                <c:pt idx="1">
                  <c:v>36.122487595121584</c:v>
                </c:pt>
                <c:pt idx="2">
                  <c:v>36.312857522037291</c:v>
                </c:pt>
                <c:pt idx="3">
                  <c:v>30.840096935688706</c:v>
                </c:pt>
                <c:pt idx="4">
                  <c:v>13.119053191120301</c:v>
                </c:pt>
                <c:pt idx="5">
                  <c:v>49.093457205636923</c:v>
                </c:pt>
                <c:pt idx="6">
                  <c:v>59.963428072123719</c:v>
                </c:pt>
                <c:pt idx="7">
                  <c:v>91.213874487542768</c:v>
                </c:pt>
                <c:pt idx="8">
                  <c:v>54.841368187687152</c:v>
                </c:pt>
                <c:pt idx="9">
                  <c:v>133.46188541766156</c:v>
                </c:pt>
              </c:numCache>
            </c:numRef>
          </c:yVal>
          <c:smooth val="0"/>
        </c:ser>
        <c:dLbls>
          <c:showLegendKey val="0"/>
          <c:showVal val="0"/>
          <c:showCatName val="0"/>
          <c:showSerName val="0"/>
          <c:showPercent val="0"/>
          <c:showBubbleSize val="0"/>
        </c:dLbls>
        <c:axId val="266247168"/>
        <c:axId val="266339456"/>
      </c:scatterChart>
      <c:valAx>
        <c:axId val="266247168"/>
        <c:scaling>
          <c:orientation val="minMax"/>
        </c:scaling>
        <c:delete val="0"/>
        <c:axPos val="b"/>
        <c:majorGridlines>
          <c:spPr>
            <a:ln>
              <a:solidFill>
                <a:sysClr val="window" lastClr="FFFFFF">
                  <a:lumMod val="85000"/>
                </a:sysClr>
              </a:solidFill>
            </a:ln>
          </c:spPr>
        </c:majorGridlines>
        <c:title>
          <c:tx>
            <c:rich>
              <a:bodyPr/>
              <a:lstStyle/>
              <a:p>
                <a:pPr>
                  <a:defRPr sz="1000" b="0"/>
                </a:pPr>
                <a:r>
                  <a:rPr lang="lv-LV" sz="1000" b="0"/>
                  <a:t>Ražošanas apjomu izmaiņas 2012./2009., %</a:t>
                </a:r>
              </a:p>
            </c:rich>
          </c:tx>
          <c:overlay val="0"/>
        </c:title>
        <c:numFmt formatCode="0" sourceLinked="0"/>
        <c:majorTickMark val="out"/>
        <c:minorTickMark val="none"/>
        <c:tickLblPos val="nextTo"/>
        <c:spPr>
          <a:ln w="25400">
            <a:solidFill>
              <a:sysClr val="windowText" lastClr="000000"/>
            </a:solidFill>
            <a:prstDash val="solid"/>
          </a:ln>
        </c:spPr>
        <c:txPr>
          <a:bodyPr rot="0" vert="horz"/>
          <a:lstStyle/>
          <a:p>
            <a:pPr>
              <a:defRPr sz="1050" b="0" i="0" u="none" strike="noStrike" baseline="0">
                <a:solidFill>
                  <a:srgbClr val="000000"/>
                </a:solidFill>
                <a:latin typeface="Arial Narrow" pitchFamily="34" charset="0"/>
                <a:ea typeface="Times New Roman"/>
                <a:cs typeface="Times New Roman" pitchFamily="18" charset="0"/>
              </a:defRPr>
            </a:pPr>
            <a:endParaRPr lang="lv-LV"/>
          </a:p>
        </c:txPr>
        <c:crossAx val="266339456"/>
        <c:crosses val="autoZero"/>
        <c:crossBetween val="midCat"/>
      </c:valAx>
      <c:valAx>
        <c:axId val="266339456"/>
        <c:scaling>
          <c:orientation val="minMax"/>
        </c:scaling>
        <c:delete val="0"/>
        <c:axPos val="l"/>
        <c:majorGridlines>
          <c:spPr>
            <a:ln>
              <a:solidFill>
                <a:sysClr val="window" lastClr="FFFFFF">
                  <a:lumMod val="85000"/>
                </a:sysClr>
              </a:solidFill>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a:ea typeface="Arial"/>
                    <a:cs typeface="Arial"/>
                  </a:defRPr>
                </a:pPr>
                <a:r>
                  <a:rPr lang="lv-LV" sz="1000" b="0" i="0" baseline="0">
                    <a:effectLst/>
                  </a:rPr>
                  <a:t>Produktivitātes izmaiņas 2012./2009., %</a:t>
                </a:r>
                <a:endParaRPr lang="lv-LV"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Arial"/>
                    <a:ea typeface="Arial"/>
                    <a:cs typeface="Arial"/>
                  </a:defRPr>
                </a:pPr>
                <a:r>
                  <a:rPr lang="lv-LV" sz="1000" b="0"/>
                  <a:t>.</a:t>
                </a:r>
              </a:p>
            </c:rich>
          </c:tx>
          <c:overlay val="0"/>
        </c:title>
        <c:numFmt formatCode="0" sourceLinked="0"/>
        <c:majorTickMark val="out"/>
        <c:minorTickMark val="none"/>
        <c:tickLblPos val="nextTo"/>
        <c:spPr>
          <a:ln w="25400">
            <a:solidFill>
              <a:sysClr val="windowText" lastClr="000000"/>
            </a:solidFill>
          </a:ln>
        </c:spPr>
        <c:txPr>
          <a:bodyPr rot="0" vert="horz"/>
          <a:lstStyle/>
          <a:p>
            <a:pPr>
              <a:defRPr sz="1050" b="0" i="0" u="none" strike="noStrike" baseline="0">
                <a:solidFill>
                  <a:srgbClr val="000000"/>
                </a:solidFill>
                <a:latin typeface="Arial Narrow" pitchFamily="34" charset="0"/>
                <a:ea typeface="Times New Roman"/>
                <a:cs typeface="Times New Roman"/>
              </a:defRPr>
            </a:pPr>
            <a:endParaRPr lang="lv-LV"/>
          </a:p>
        </c:txPr>
        <c:crossAx val="266247168"/>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663430478804417E-2"/>
          <c:y val="5.7971014492753624E-2"/>
          <c:w val="0.88015986774023014"/>
          <c:h val="0.76381669682594022"/>
        </c:manualLayout>
      </c:layout>
      <c:scatterChart>
        <c:scatterStyle val="lineMarker"/>
        <c:varyColors val="0"/>
        <c:ser>
          <c:idx val="0"/>
          <c:order val="0"/>
          <c:tx>
            <c:strRef>
              <c:f>Sheet1!$D$2</c:f>
              <c:strCache>
                <c:ptCount val="1"/>
                <c:pt idx="0">
                  <c:v>y</c:v>
                </c:pt>
              </c:strCache>
            </c:strRef>
          </c:tx>
          <c:spPr>
            <a:ln w="25400">
              <a:noFill/>
            </a:ln>
          </c:spPr>
          <c:marker>
            <c:symbol val="square"/>
            <c:size val="8"/>
            <c:spPr>
              <a:solidFill>
                <a:srgbClr val="0000FF"/>
              </a:solidFill>
            </c:spPr>
          </c:marker>
          <c:dLbls>
            <c:dLbl>
              <c:idx val="0"/>
              <c:layout>
                <c:manualLayout>
                  <c:x val="3.1390358256499988E-2"/>
                  <c:y val="1.2631029816925058E-3"/>
                </c:manualLayout>
              </c:layout>
              <c:tx>
                <c:rich>
                  <a:bodyPr/>
                  <a:lstStyle/>
                  <a:p>
                    <a:r>
                      <a:rPr lang="lv-LV" b="0">
                        <a:latin typeface="Arial Narrow" pitchFamily="34" charset="0"/>
                      </a:rPr>
                      <a:t>Pārtikas </a:t>
                    </a:r>
                  </a:p>
                  <a:p>
                    <a:r>
                      <a:rPr lang="lv-LV" b="0">
                        <a:latin typeface="Arial Narrow" pitchFamily="34" charset="0"/>
                      </a:rPr>
                      <a:t>rūpniecība</a:t>
                    </a:r>
                    <a:endParaRPr lang="lv-LV"/>
                  </a:p>
                </c:rich>
              </c:tx>
              <c:dLblPos val="r"/>
              <c:showLegendKey val="0"/>
              <c:showVal val="1"/>
              <c:showCatName val="1"/>
              <c:showSerName val="0"/>
              <c:showPercent val="0"/>
              <c:showBubbleSize val="0"/>
            </c:dLbl>
            <c:dLbl>
              <c:idx val="1"/>
              <c:layout>
                <c:manualLayout>
                  <c:x val="-6.4102653834937295E-2"/>
                  <c:y val="-8.3219380186172379E-2"/>
                </c:manualLayout>
              </c:layout>
              <c:tx>
                <c:rich>
                  <a:bodyPr/>
                  <a:lstStyle/>
                  <a:p>
                    <a:r>
                      <a:rPr lang="lv-LV" b="0">
                        <a:latin typeface="Arial Narrow" pitchFamily="34" charset="0"/>
                      </a:rPr>
                      <a:t>Vieglā </a:t>
                    </a:r>
                  </a:p>
                  <a:p>
                    <a:r>
                      <a:rPr lang="lv-LV" b="0">
                        <a:latin typeface="Arial Narrow" pitchFamily="34" charset="0"/>
                      </a:rPr>
                      <a:t>rūpniecība</a:t>
                    </a:r>
                    <a:endParaRPr lang="en-US"/>
                  </a:p>
                </c:rich>
              </c:tx>
              <c:dLblPos val="r"/>
              <c:showLegendKey val="0"/>
              <c:showVal val="1"/>
              <c:showCatName val="1"/>
              <c:showSerName val="0"/>
              <c:showPercent val="0"/>
              <c:showBubbleSize val="0"/>
            </c:dLbl>
            <c:dLbl>
              <c:idx val="2"/>
              <c:tx>
                <c:rich>
                  <a:bodyPr/>
                  <a:lstStyle/>
                  <a:p>
                    <a:r>
                      <a:rPr lang="lv-LV" b="0">
                        <a:latin typeface="Arial Narrow" pitchFamily="34" charset="0"/>
                      </a:rPr>
                      <a:t>Kokapstrāde</a:t>
                    </a:r>
                    <a:endParaRPr lang="en-US"/>
                  </a:p>
                </c:rich>
              </c:tx>
              <c:dLblPos val="t"/>
              <c:showLegendKey val="0"/>
              <c:showVal val="1"/>
              <c:showCatName val="1"/>
              <c:showSerName val="0"/>
              <c:showPercent val="0"/>
              <c:showBubbleSize val="0"/>
            </c:dLbl>
            <c:dLbl>
              <c:idx val="3"/>
              <c:layout>
                <c:manualLayout>
                  <c:x val="-4.0045584045584046E-2"/>
                  <c:y val="-0.10392363997978506"/>
                </c:manualLayout>
              </c:layout>
              <c:tx>
                <c:rich>
                  <a:bodyPr/>
                  <a:lstStyle/>
                  <a:p>
                    <a:r>
                      <a:rPr lang="lv-LV" b="0">
                        <a:latin typeface="Arial Narrow" pitchFamily="34" charset="0"/>
                      </a:rPr>
                      <a:t>Papīra</a:t>
                    </a:r>
                  </a:p>
                  <a:p>
                    <a:r>
                      <a:rPr lang="lv-LV" b="0">
                        <a:latin typeface="Arial Narrow" pitchFamily="34" charset="0"/>
                      </a:rPr>
                      <a:t>ražošana un</a:t>
                    </a:r>
                  </a:p>
                  <a:p>
                    <a:r>
                      <a:rPr lang="lv-LV" b="0">
                        <a:latin typeface="Arial Narrow" pitchFamily="34" charset="0"/>
                      </a:rPr>
                      <a:t>poligrāfija</a:t>
                    </a:r>
                    <a:endParaRPr lang="en-US"/>
                  </a:p>
                </c:rich>
              </c:tx>
              <c:dLblPos val="r"/>
              <c:showLegendKey val="0"/>
              <c:showVal val="1"/>
              <c:showCatName val="1"/>
              <c:showSerName val="0"/>
              <c:showPercent val="0"/>
              <c:showBubbleSize val="0"/>
            </c:dLbl>
            <c:dLbl>
              <c:idx val="4"/>
              <c:tx>
                <c:rich>
                  <a:bodyPr/>
                  <a:lstStyle/>
                  <a:p>
                    <a:r>
                      <a:rPr lang="lv-LV" b="0">
                        <a:latin typeface="Arial Narrow" pitchFamily="34" charset="0"/>
                      </a:rPr>
                      <a:t>Ķīmiskā </a:t>
                    </a:r>
                  </a:p>
                  <a:p>
                    <a:r>
                      <a:rPr lang="lv-LV" b="0">
                        <a:latin typeface="Arial Narrow" pitchFamily="34" charset="0"/>
                      </a:rPr>
                      <a:t>rūpniecība</a:t>
                    </a:r>
                    <a:endParaRPr lang="en-US"/>
                  </a:p>
                </c:rich>
              </c:tx>
              <c:dLblPos val="t"/>
              <c:showLegendKey val="0"/>
              <c:showVal val="1"/>
              <c:showCatName val="1"/>
              <c:showSerName val="0"/>
              <c:showPercent val="0"/>
              <c:showBubbleSize val="0"/>
            </c:dLbl>
            <c:dLbl>
              <c:idx val="5"/>
              <c:layout>
                <c:manualLayout>
                  <c:x val="-5.6000000000000001E-2"/>
                  <c:y val="-8.4026996625421749E-2"/>
                </c:manualLayout>
              </c:layout>
              <c:tx>
                <c:rich>
                  <a:bodyPr/>
                  <a:lstStyle/>
                  <a:p>
                    <a:r>
                      <a:rPr lang="lv-LV" b="0">
                        <a:latin typeface="Arial Narrow" pitchFamily="34" charset="0"/>
                      </a:rPr>
                      <a:t>Nemetālisko</a:t>
                    </a:r>
                  </a:p>
                  <a:p>
                    <a:r>
                      <a:rPr lang="lv-LV" b="0">
                        <a:latin typeface="Arial Narrow" pitchFamily="34" charset="0"/>
                      </a:rPr>
                      <a:t>minerālu</a:t>
                    </a:r>
                  </a:p>
                  <a:p>
                    <a:r>
                      <a:rPr lang="lv-LV" b="0">
                        <a:latin typeface="Arial Narrow" pitchFamily="34" charset="0"/>
                      </a:rPr>
                      <a:t>ražošana</a:t>
                    </a:r>
                    <a:endParaRPr lang="en-US"/>
                  </a:p>
                </c:rich>
              </c:tx>
              <c:dLblPos val="r"/>
              <c:showLegendKey val="0"/>
              <c:showVal val="1"/>
              <c:showCatName val="1"/>
              <c:showSerName val="0"/>
              <c:showPercent val="0"/>
              <c:showBubbleSize val="0"/>
            </c:dLbl>
            <c:dLbl>
              <c:idx val="6"/>
              <c:tx>
                <c:rich>
                  <a:bodyPr/>
                  <a:lstStyle/>
                  <a:p>
                    <a:r>
                      <a:rPr lang="lv-LV" b="0">
                        <a:latin typeface="Arial Narrow" pitchFamily="34" charset="0"/>
                      </a:rPr>
                      <a:t>Metālapstrāde</a:t>
                    </a:r>
                    <a:endParaRPr lang="en-US"/>
                  </a:p>
                </c:rich>
              </c:tx>
              <c:dLblPos val="t"/>
              <c:showLegendKey val="0"/>
              <c:showVal val="1"/>
              <c:showCatName val="1"/>
              <c:showSerName val="0"/>
              <c:showPercent val="0"/>
              <c:showBubbleSize val="0"/>
            </c:dLbl>
            <c:dLbl>
              <c:idx val="7"/>
              <c:layout>
                <c:manualLayout>
                  <c:x val="-9.607986181214527E-2"/>
                  <c:y val="-8.3933747412008278E-2"/>
                </c:manualLayout>
              </c:layout>
              <c:tx>
                <c:rich>
                  <a:bodyPr/>
                  <a:lstStyle/>
                  <a:p>
                    <a:r>
                      <a:rPr lang="lv-LV"/>
                      <a:t>Elektrisko un</a:t>
                    </a:r>
                  </a:p>
                  <a:p>
                    <a:r>
                      <a:rPr lang="lv-LV"/>
                      <a:t>optisko iekārtu</a:t>
                    </a:r>
                  </a:p>
                  <a:p>
                    <a:r>
                      <a:rPr lang="lv-LV"/>
                      <a:t>ražošana</a:t>
                    </a:r>
                    <a:endParaRPr lang="en-US"/>
                  </a:p>
                </c:rich>
              </c:tx>
              <c:dLblPos val="r"/>
              <c:showLegendKey val="0"/>
              <c:showVal val="1"/>
              <c:showCatName val="1"/>
              <c:showSerName val="0"/>
              <c:showPercent val="0"/>
              <c:showBubbleSize val="0"/>
            </c:dLbl>
            <c:dLbl>
              <c:idx val="8"/>
              <c:layout>
                <c:manualLayout>
                  <c:x val="2.7919330596495114E-3"/>
                  <c:y val="-3.7267080745341616E-4"/>
                </c:manualLayout>
              </c:layout>
              <c:tx>
                <c:rich>
                  <a:bodyPr/>
                  <a:lstStyle/>
                  <a:p>
                    <a:r>
                      <a:rPr lang="lv-LV"/>
                      <a:t>Mašīnu un</a:t>
                    </a:r>
                  </a:p>
                  <a:p>
                    <a:r>
                      <a:rPr lang="lv-LV"/>
                      <a:t>iekārtu ražošana</a:t>
                    </a:r>
                    <a:endParaRPr lang="en-US"/>
                  </a:p>
                </c:rich>
              </c:tx>
              <c:dLblPos val="r"/>
              <c:showLegendKey val="0"/>
              <c:showVal val="1"/>
              <c:showCatName val="1"/>
              <c:showSerName val="0"/>
              <c:showPercent val="0"/>
              <c:showBubbleSize val="0"/>
            </c:dLbl>
            <c:dLbl>
              <c:idx val="9"/>
              <c:layout>
                <c:manualLayout>
                  <c:x val="-6.1715054848913119E-2"/>
                  <c:y val="-0.10219461697722568"/>
                </c:manualLayout>
              </c:layout>
              <c:tx>
                <c:rich>
                  <a:bodyPr/>
                  <a:lstStyle/>
                  <a:p>
                    <a:r>
                      <a:rPr lang="lv-LV"/>
                      <a:t>Transportlīdzekļu</a:t>
                    </a:r>
                    <a:r>
                      <a:rPr lang="lv-LV" baseline="0"/>
                      <a:t> </a:t>
                    </a:r>
                  </a:p>
                  <a:p>
                    <a:r>
                      <a:rPr lang="lv-LV" baseline="0"/>
                      <a:t>ražošana</a:t>
                    </a:r>
                    <a:endParaRPr lang="en-US"/>
                  </a:p>
                </c:rich>
              </c:tx>
              <c:dLblPos val="r"/>
              <c:showLegendKey val="0"/>
              <c:showVal val="1"/>
              <c:showCatName val="1"/>
              <c:showSerName val="0"/>
              <c:showPercent val="0"/>
              <c:showBubbleSize val="0"/>
            </c:dLbl>
            <c:spPr>
              <a:solidFill>
                <a:sysClr val="window" lastClr="FFFFFF"/>
              </a:solidFill>
            </c:spPr>
            <c:txPr>
              <a:bodyPr/>
              <a:lstStyle/>
              <a:p>
                <a:pPr>
                  <a:defRPr b="0">
                    <a:latin typeface="Arial Narrow" pitchFamily="34" charset="0"/>
                  </a:defRPr>
                </a:pPr>
                <a:endParaRPr lang="lv-LV"/>
              </a:p>
            </c:txPr>
            <c:dLblPos val="t"/>
            <c:showLegendKey val="0"/>
            <c:showVal val="1"/>
            <c:showCatName val="1"/>
            <c:showSerName val="0"/>
            <c:showPercent val="0"/>
            <c:showBubbleSize val="0"/>
            <c:showLeaderLines val="0"/>
          </c:dLbls>
          <c:xVal>
            <c:numRef>
              <c:f>Sheet1!$C$3:$C$12</c:f>
              <c:numCache>
                <c:formatCode>0.0</c:formatCode>
                <c:ptCount val="10"/>
                <c:pt idx="0">
                  <c:v>-1.0879701585327979</c:v>
                </c:pt>
                <c:pt idx="1">
                  <c:v>10.723256821134683</c:v>
                </c:pt>
                <c:pt idx="2">
                  <c:v>21.596346237494558</c:v>
                </c:pt>
                <c:pt idx="3">
                  <c:v>0.40659588886377662</c:v>
                </c:pt>
                <c:pt idx="4">
                  <c:v>5.8384547848990422</c:v>
                </c:pt>
                <c:pt idx="5">
                  <c:v>9.4839609483961027</c:v>
                </c:pt>
                <c:pt idx="6">
                  <c:v>25.34402534402534</c:v>
                </c:pt>
                <c:pt idx="7">
                  <c:v>15.891800507185124</c:v>
                </c:pt>
                <c:pt idx="8">
                  <c:v>20.780195048762181</c:v>
                </c:pt>
                <c:pt idx="9">
                  <c:v>18.752063387256527</c:v>
                </c:pt>
              </c:numCache>
            </c:numRef>
          </c:xVal>
          <c:yVal>
            <c:numRef>
              <c:f>Sheet1!$D$3:$D$12</c:f>
              <c:numCache>
                <c:formatCode>0.0</c:formatCode>
                <c:ptCount val="10"/>
                <c:pt idx="0">
                  <c:v>25.456</c:v>
                </c:pt>
                <c:pt idx="1">
                  <c:v>12.782999999999999</c:v>
                </c:pt>
                <c:pt idx="2">
                  <c:v>22.364000000000001</c:v>
                </c:pt>
                <c:pt idx="3">
                  <c:v>4.4450000000000003</c:v>
                </c:pt>
                <c:pt idx="4">
                  <c:v>7.2329999999999997</c:v>
                </c:pt>
                <c:pt idx="5">
                  <c:v>4.71</c:v>
                </c:pt>
                <c:pt idx="6">
                  <c:v>12.661</c:v>
                </c:pt>
                <c:pt idx="7">
                  <c:v>4.1130000000000004</c:v>
                </c:pt>
                <c:pt idx="8">
                  <c:v>3.22</c:v>
                </c:pt>
                <c:pt idx="9">
                  <c:v>3.597</c:v>
                </c:pt>
              </c:numCache>
            </c:numRef>
          </c:yVal>
          <c:smooth val="0"/>
        </c:ser>
        <c:dLbls>
          <c:showLegendKey val="0"/>
          <c:showVal val="0"/>
          <c:showCatName val="0"/>
          <c:showSerName val="0"/>
          <c:showPercent val="0"/>
          <c:showBubbleSize val="0"/>
        </c:dLbls>
        <c:axId val="268391936"/>
        <c:axId val="268393856"/>
      </c:scatterChart>
      <c:valAx>
        <c:axId val="268391936"/>
        <c:scaling>
          <c:orientation val="minMax"/>
        </c:scaling>
        <c:delete val="0"/>
        <c:axPos val="b"/>
        <c:majorGridlines>
          <c:spPr>
            <a:ln>
              <a:solidFill>
                <a:sysClr val="window" lastClr="FFFFFF">
                  <a:lumMod val="85000"/>
                </a:sysClr>
              </a:solidFill>
            </a:ln>
          </c:spPr>
        </c:majorGridlines>
        <c:title>
          <c:tx>
            <c:rich>
              <a:bodyPr/>
              <a:lstStyle/>
              <a:p>
                <a:pPr>
                  <a:defRPr sz="1000" b="0"/>
                </a:pPr>
                <a:r>
                  <a:rPr lang="lv-LV" sz="1000" b="0"/>
                  <a:t>Nodarbināto skaita izmaiņas 2012./2009., %</a:t>
                </a:r>
              </a:p>
            </c:rich>
          </c:tx>
          <c:overlay val="0"/>
        </c:title>
        <c:numFmt formatCode="0" sourceLinked="0"/>
        <c:majorTickMark val="out"/>
        <c:minorTickMark val="none"/>
        <c:tickLblPos val="nextTo"/>
        <c:spPr>
          <a:ln w="25400">
            <a:solidFill>
              <a:sysClr val="windowText" lastClr="000000"/>
            </a:solidFill>
            <a:prstDash val="solid"/>
          </a:ln>
        </c:spPr>
        <c:txPr>
          <a:bodyPr rot="0" vert="horz"/>
          <a:lstStyle/>
          <a:p>
            <a:pPr>
              <a:defRPr sz="1050" b="0" i="0" u="none" strike="noStrike" baseline="0">
                <a:solidFill>
                  <a:srgbClr val="000000"/>
                </a:solidFill>
                <a:latin typeface="Arial Narrow" pitchFamily="34" charset="0"/>
                <a:ea typeface="Times New Roman"/>
                <a:cs typeface="Times New Roman" pitchFamily="18" charset="0"/>
              </a:defRPr>
            </a:pPr>
            <a:endParaRPr lang="lv-LV"/>
          </a:p>
        </c:txPr>
        <c:crossAx val="268393856"/>
        <c:crosses val="autoZero"/>
        <c:crossBetween val="midCat"/>
      </c:valAx>
      <c:valAx>
        <c:axId val="268393856"/>
        <c:scaling>
          <c:orientation val="minMax"/>
        </c:scaling>
        <c:delete val="0"/>
        <c:axPos val="l"/>
        <c:majorGridlines>
          <c:spPr>
            <a:ln>
              <a:solidFill>
                <a:sysClr val="window" lastClr="FFFFFF">
                  <a:lumMod val="85000"/>
                </a:sysClr>
              </a:solidFill>
            </a:ln>
          </c:spPr>
        </c:majorGridlines>
        <c:title>
          <c:tx>
            <c:rich>
              <a:bodyPr/>
              <a:lstStyle/>
              <a:p>
                <a:pPr>
                  <a:defRPr sz="1000" b="0"/>
                </a:pPr>
                <a:r>
                  <a:rPr lang="lv-LV" sz="1000" b="0"/>
                  <a:t>Nodarbināto skaits. 2012.g, tūkst.</a:t>
                </a:r>
              </a:p>
            </c:rich>
          </c:tx>
          <c:overlay val="0"/>
        </c:title>
        <c:numFmt formatCode="0" sourceLinked="0"/>
        <c:majorTickMark val="out"/>
        <c:minorTickMark val="none"/>
        <c:tickLblPos val="nextTo"/>
        <c:spPr>
          <a:ln w="25400">
            <a:solidFill>
              <a:sysClr val="windowText" lastClr="000000"/>
            </a:solidFill>
          </a:ln>
        </c:spPr>
        <c:txPr>
          <a:bodyPr rot="0" vert="horz"/>
          <a:lstStyle/>
          <a:p>
            <a:pPr>
              <a:defRPr sz="1050" b="0" i="0" u="none" strike="noStrike" baseline="0">
                <a:solidFill>
                  <a:srgbClr val="000000"/>
                </a:solidFill>
                <a:latin typeface="Arial Narrow" pitchFamily="34" charset="0"/>
                <a:ea typeface="Times New Roman"/>
                <a:cs typeface="Times New Roman"/>
              </a:defRPr>
            </a:pPr>
            <a:endParaRPr lang="lv-LV"/>
          </a:p>
        </c:txPr>
        <c:crossAx val="268391936"/>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937411669695131E-2"/>
          <c:y val="5.7971014492753624E-2"/>
          <c:w val="0.87788283898962949"/>
          <c:h val="0.76381669682594022"/>
        </c:manualLayout>
      </c:layout>
      <c:scatterChart>
        <c:scatterStyle val="lineMarker"/>
        <c:varyColors val="0"/>
        <c:ser>
          <c:idx val="0"/>
          <c:order val="0"/>
          <c:tx>
            <c:strRef>
              <c:f>Sheet1!$D$2</c:f>
              <c:strCache>
                <c:ptCount val="1"/>
                <c:pt idx="0">
                  <c:v>y</c:v>
                </c:pt>
              </c:strCache>
            </c:strRef>
          </c:tx>
          <c:spPr>
            <a:ln w="25400">
              <a:noFill/>
            </a:ln>
          </c:spPr>
          <c:marker>
            <c:symbol val="square"/>
            <c:size val="8"/>
            <c:spPr>
              <a:solidFill>
                <a:srgbClr val="0000FF"/>
              </a:solidFill>
            </c:spPr>
          </c:marker>
          <c:dLbls>
            <c:dLbl>
              <c:idx val="0"/>
              <c:layout>
                <c:manualLayout>
                  <c:x val="-0.11677547415300943"/>
                  <c:y val="1.2631540447054644E-3"/>
                </c:manualLayout>
              </c:layout>
              <c:tx>
                <c:rich>
                  <a:bodyPr/>
                  <a:lstStyle/>
                  <a:p>
                    <a:r>
                      <a:rPr lang="lv-LV" b="0">
                        <a:latin typeface="Arial Narrow" pitchFamily="34" charset="0"/>
                      </a:rPr>
                      <a:t>Pārtikas </a:t>
                    </a:r>
                  </a:p>
                  <a:p>
                    <a:r>
                      <a:rPr lang="lv-LV" b="0">
                        <a:latin typeface="Arial Narrow" pitchFamily="34" charset="0"/>
                      </a:rPr>
                      <a:t>rūpniecība</a:t>
                    </a:r>
                    <a:endParaRPr lang="lv-LV"/>
                  </a:p>
                </c:rich>
              </c:tx>
              <c:dLblPos val="r"/>
              <c:showLegendKey val="0"/>
              <c:showVal val="1"/>
              <c:showCatName val="1"/>
              <c:showSerName val="0"/>
              <c:showPercent val="0"/>
              <c:showBubbleSize val="0"/>
            </c:dLbl>
            <c:dLbl>
              <c:idx val="1"/>
              <c:layout>
                <c:manualLayout>
                  <c:x val="8.8318190995356344E-3"/>
                  <c:y val="-2.1107578943936355E-2"/>
                </c:manualLayout>
              </c:layout>
              <c:tx>
                <c:rich>
                  <a:bodyPr/>
                  <a:lstStyle/>
                  <a:p>
                    <a:r>
                      <a:rPr lang="lv-LV" b="0">
                        <a:latin typeface="Arial Narrow" pitchFamily="34" charset="0"/>
                      </a:rPr>
                      <a:t>Vieglā </a:t>
                    </a:r>
                  </a:p>
                  <a:p>
                    <a:r>
                      <a:rPr lang="lv-LV" b="0">
                        <a:latin typeface="Arial Narrow" pitchFamily="34" charset="0"/>
                      </a:rPr>
                      <a:t>rūpniecība</a:t>
                    </a:r>
                    <a:endParaRPr lang="en-US"/>
                  </a:p>
                </c:rich>
              </c:tx>
              <c:dLblPos val="r"/>
              <c:showLegendKey val="0"/>
              <c:showVal val="1"/>
              <c:showCatName val="1"/>
              <c:showSerName val="0"/>
              <c:showPercent val="0"/>
              <c:showBubbleSize val="0"/>
            </c:dLbl>
            <c:dLbl>
              <c:idx val="2"/>
              <c:layout>
                <c:manualLayout>
                  <c:x val="-0.13772663032505553"/>
                  <c:y val="-0.14127875319932834"/>
                </c:manualLayout>
              </c:layout>
              <c:tx>
                <c:rich>
                  <a:bodyPr/>
                  <a:lstStyle/>
                  <a:p>
                    <a:r>
                      <a:rPr lang="lv-LV" b="0">
                        <a:latin typeface="Arial Narrow" pitchFamily="34" charset="0"/>
                      </a:rPr>
                      <a:t>Kokapstrāde</a:t>
                    </a:r>
                    <a:endParaRPr lang="en-US"/>
                  </a:p>
                </c:rich>
              </c:tx>
              <c:dLblPos val="r"/>
              <c:showLegendKey val="0"/>
              <c:showVal val="1"/>
              <c:showCatName val="1"/>
              <c:showSerName val="0"/>
              <c:showPercent val="0"/>
              <c:showBubbleSize val="0"/>
            </c:dLbl>
            <c:dLbl>
              <c:idx val="3"/>
              <c:layout>
                <c:manualLayout>
                  <c:x val="-4.0045584045584046E-2"/>
                  <c:y val="-0.10392363997978506"/>
                </c:manualLayout>
              </c:layout>
              <c:tx>
                <c:rich>
                  <a:bodyPr/>
                  <a:lstStyle/>
                  <a:p>
                    <a:r>
                      <a:rPr lang="lv-LV" b="0">
                        <a:latin typeface="Arial Narrow" pitchFamily="34" charset="0"/>
                      </a:rPr>
                      <a:t>Papīra</a:t>
                    </a:r>
                  </a:p>
                  <a:p>
                    <a:r>
                      <a:rPr lang="lv-LV" b="0">
                        <a:latin typeface="Arial Narrow" pitchFamily="34" charset="0"/>
                      </a:rPr>
                      <a:t>ražošana un</a:t>
                    </a:r>
                  </a:p>
                  <a:p>
                    <a:r>
                      <a:rPr lang="lv-LV" b="0">
                        <a:latin typeface="Arial Narrow" pitchFamily="34" charset="0"/>
                      </a:rPr>
                      <a:t>poligrāfija</a:t>
                    </a:r>
                    <a:endParaRPr lang="en-US"/>
                  </a:p>
                </c:rich>
              </c:tx>
              <c:dLblPos val="r"/>
              <c:showLegendKey val="0"/>
              <c:showVal val="1"/>
              <c:showCatName val="1"/>
              <c:showSerName val="0"/>
              <c:showPercent val="0"/>
              <c:showBubbleSize val="0"/>
            </c:dLbl>
            <c:dLbl>
              <c:idx val="4"/>
              <c:tx>
                <c:rich>
                  <a:bodyPr/>
                  <a:lstStyle/>
                  <a:p>
                    <a:r>
                      <a:rPr lang="lv-LV" b="0">
                        <a:latin typeface="Arial Narrow" pitchFamily="34" charset="0"/>
                      </a:rPr>
                      <a:t>Ķīmiskā </a:t>
                    </a:r>
                  </a:p>
                  <a:p>
                    <a:r>
                      <a:rPr lang="lv-LV" b="0">
                        <a:latin typeface="Arial Narrow" pitchFamily="34" charset="0"/>
                      </a:rPr>
                      <a:t>rūpniecība</a:t>
                    </a:r>
                    <a:endParaRPr lang="en-US"/>
                  </a:p>
                </c:rich>
              </c:tx>
              <c:dLblPos val="t"/>
              <c:showLegendKey val="0"/>
              <c:showVal val="1"/>
              <c:showCatName val="1"/>
              <c:showSerName val="0"/>
              <c:showPercent val="0"/>
              <c:showBubbleSize val="0"/>
            </c:dLbl>
            <c:dLbl>
              <c:idx val="5"/>
              <c:layout>
                <c:manualLayout>
                  <c:x val="-5.6000000000000001E-2"/>
                  <c:y val="-8.4026996625421749E-2"/>
                </c:manualLayout>
              </c:layout>
              <c:tx>
                <c:rich>
                  <a:bodyPr/>
                  <a:lstStyle/>
                  <a:p>
                    <a:r>
                      <a:rPr lang="lv-LV" b="0">
                        <a:latin typeface="Arial Narrow" pitchFamily="34" charset="0"/>
                      </a:rPr>
                      <a:t>Nemetālisko</a:t>
                    </a:r>
                  </a:p>
                  <a:p>
                    <a:r>
                      <a:rPr lang="lv-LV" b="0">
                        <a:latin typeface="Arial Narrow" pitchFamily="34" charset="0"/>
                      </a:rPr>
                      <a:t>minerālu</a:t>
                    </a:r>
                  </a:p>
                  <a:p>
                    <a:r>
                      <a:rPr lang="lv-LV" b="0">
                        <a:latin typeface="Arial Narrow" pitchFamily="34" charset="0"/>
                      </a:rPr>
                      <a:t>ražošana</a:t>
                    </a:r>
                    <a:endParaRPr lang="en-US"/>
                  </a:p>
                </c:rich>
              </c:tx>
              <c:dLblPos val="r"/>
              <c:showLegendKey val="0"/>
              <c:showVal val="1"/>
              <c:showCatName val="1"/>
              <c:showSerName val="0"/>
              <c:showPercent val="0"/>
              <c:showBubbleSize val="0"/>
            </c:dLbl>
            <c:dLbl>
              <c:idx val="6"/>
              <c:layout>
                <c:manualLayout>
                  <c:x val="-7.0182381048522785E-2"/>
                  <c:y val="-8.3188405797101447E-2"/>
                </c:manualLayout>
              </c:layout>
              <c:tx>
                <c:rich>
                  <a:bodyPr/>
                  <a:lstStyle/>
                  <a:p>
                    <a:r>
                      <a:rPr lang="lv-LV" b="0">
                        <a:latin typeface="Arial Narrow" pitchFamily="34" charset="0"/>
                      </a:rPr>
                      <a:t>Metālapstrāde</a:t>
                    </a:r>
                    <a:endParaRPr lang="en-US"/>
                  </a:p>
                </c:rich>
              </c:tx>
              <c:dLblPos val="r"/>
              <c:showLegendKey val="0"/>
              <c:showVal val="1"/>
              <c:showCatName val="1"/>
              <c:showSerName val="0"/>
              <c:showPercent val="0"/>
              <c:showBubbleSize val="0"/>
            </c:dLbl>
            <c:dLbl>
              <c:idx val="7"/>
              <c:layout>
                <c:manualLayout>
                  <c:x val="-9.607986181214527E-2"/>
                  <c:y val="-8.3933747412008278E-2"/>
                </c:manualLayout>
              </c:layout>
              <c:tx>
                <c:rich>
                  <a:bodyPr/>
                  <a:lstStyle/>
                  <a:p>
                    <a:r>
                      <a:rPr lang="lv-LV"/>
                      <a:t>Elektrisko un</a:t>
                    </a:r>
                  </a:p>
                  <a:p>
                    <a:r>
                      <a:rPr lang="lv-LV"/>
                      <a:t>optisko iekārtu</a:t>
                    </a:r>
                  </a:p>
                  <a:p>
                    <a:r>
                      <a:rPr lang="lv-LV"/>
                      <a:t>ražošana</a:t>
                    </a:r>
                    <a:endParaRPr lang="en-US"/>
                  </a:p>
                </c:rich>
              </c:tx>
              <c:dLblPos val="r"/>
              <c:showLegendKey val="0"/>
              <c:showVal val="1"/>
              <c:showCatName val="1"/>
              <c:showSerName val="0"/>
              <c:showPercent val="0"/>
              <c:showBubbleSize val="0"/>
            </c:dLbl>
            <c:dLbl>
              <c:idx val="8"/>
              <c:layout>
                <c:manualLayout>
                  <c:x val="2.102555129326783E-2"/>
                  <c:y val="7.420061622731941E-2"/>
                </c:manualLayout>
              </c:layout>
              <c:tx>
                <c:rich>
                  <a:bodyPr/>
                  <a:lstStyle/>
                  <a:p>
                    <a:r>
                      <a:rPr lang="lv-LV"/>
                      <a:t>Mašīnu un</a:t>
                    </a:r>
                  </a:p>
                  <a:p>
                    <a:r>
                      <a:rPr lang="lv-LV"/>
                      <a:t>iekārtu ražošana</a:t>
                    </a:r>
                    <a:endParaRPr lang="en-US"/>
                  </a:p>
                </c:rich>
              </c:tx>
              <c:dLblPos val="r"/>
              <c:showLegendKey val="0"/>
              <c:showVal val="1"/>
              <c:showCatName val="1"/>
              <c:showSerName val="0"/>
              <c:showPercent val="0"/>
              <c:showBubbleSize val="0"/>
            </c:dLbl>
            <c:dLbl>
              <c:idx val="9"/>
              <c:layout>
                <c:manualLayout>
                  <c:x val="-0.11870189883766574"/>
                  <c:y val="-6.0720873000114951E-2"/>
                </c:manualLayout>
              </c:layout>
              <c:tx>
                <c:rich>
                  <a:bodyPr/>
                  <a:lstStyle/>
                  <a:p>
                    <a:r>
                      <a:rPr lang="lv-LV"/>
                      <a:t>Transportlīdzekļu</a:t>
                    </a:r>
                    <a:r>
                      <a:rPr lang="lv-LV" baseline="0"/>
                      <a:t> </a:t>
                    </a:r>
                  </a:p>
                  <a:p>
                    <a:r>
                      <a:rPr lang="lv-LV" baseline="0"/>
                      <a:t>ražošana</a:t>
                    </a:r>
                    <a:endParaRPr lang="en-US"/>
                  </a:p>
                </c:rich>
              </c:tx>
              <c:dLblPos val="r"/>
              <c:showLegendKey val="0"/>
              <c:showVal val="1"/>
              <c:showCatName val="1"/>
              <c:showSerName val="0"/>
              <c:showPercent val="0"/>
              <c:showBubbleSize val="0"/>
            </c:dLbl>
            <c:spPr>
              <a:solidFill>
                <a:sysClr val="window" lastClr="FFFFFF"/>
              </a:solidFill>
            </c:spPr>
            <c:txPr>
              <a:bodyPr/>
              <a:lstStyle/>
              <a:p>
                <a:pPr>
                  <a:defRPr b="0">
                    <a:latin typeface="Arial Narrow" pitchFamily="34" charset="0"/>
                  </a:defRPr>
                </a:pPr>
                <a:endParaRPr lang="lv-LV"/>
              </a:p>
            </c:txPr>
            <c:dLblPos val="t"/>
            <c:showLegendKey val="0"/>
            <c:showVal val="1"/>
            <c:showCatName val="1"/>
            <c:showSerName val="0"/>
            <c:showPercent val="0"/>
            <c:showBubbleSize val="0"/>
            <c:showLeaderLines val="0"/>
          </c:dLbls>
          <c:xVal>
            <c:numRef>
              <c:f>Sheet1!$C$3:$C$12</c:f>
              <c:numCache>
                <c:formatCode>0.0</c:formatCode>
                <c:ptCount val="10"/>
                <c:pt idx="0">
                  <c:v>-1.1000000000000001</c:v>
                </c:pt>
                <c:pt idx="1">
                  <c:v>10.7</c:v>
                </c:pt>
                <c:pt idx="2">
                  <c:v>21.6</c:v>
                </c:pt>
                <c:pt idx="3">
                  <c:v>0.4</c:v>
                </c:pt>
                <c:pt idx="4">
                  <c:v>5.8</c:v>
                </c:pt>
                <c:pt idx="5">
                  <c:v>9.5</c:v>
                </c:pt>
                <c:pt idx="6">
                  <c:v>25.3</c:v>
                </c:pt>
                <c:pt idx="7">
                  <c:v>15.9</c:v>
                </c:pt>
                <c:pt idx="8">
                  <c:v>20.8</c:v>
                </c:pt>
                <c:pt idx="9">
                  <c:v>18.8</c:v>
                </c:pt>
              </c:numCache>
            </c:numRef>
          </c:xVal>
          <c:yVal>
            <c:numRef>
              <c:f>Sheet1!$D$3:$D$12</c:f>
              <c:numCache>
                <c:formatCode>0.0</c:formatCode>
                <c:ptCount val="10"/>
                <c:pt idx="0">
                  <c:v>3.2952422499876235</c:v>
                </c:pt>
                <c:pt idx="1">
                  <c:v>36.122487595121584</c:v>
                </c:pt>
                <c:pt idx="2">
                  <c:v>36.312857522037291</c:v>
                </c:pt>
                <c:pt idx="3">
                  <c:v>30.840096935688706</c:v>
                </c:pt>
                <c:pt idx="4">
                  <c:v>13.119053191120301</c:v>
                </c:pt>
                <c:pt idx="5">
                  <c:v>49.093457205636923</c:v>
                </c:pt>
                <c:pt idx="6">
                  <c:v>59.963428072123719</c:v>
                </c:pt>
                <c:pt idx="7">
                  <c:v>91.213874487542768</c:v>
                </c:pt>
                <c:pt idx="8">
                  <c:v>54.841368187687152</c:v>
                </c:pt>
                <c:pt idx="9">
                  <c:v>133.46188541766156</c:v>
                </c:pt>
              </c:numCache>
            </c:numRef>
          </c:yVal>
          <c:smooth val="0"/>
        </c:ser>
        <c:dLbls>
          <c:showLegendKey val="0"/>
          <c:showVal val="0"/>
          <c:showCatName val="0"/>
          <c:showSerName val="0"/>
          <c:showPercent val="0"/>
          <c:showBubbleSize val="0"/>
        </c:dLbls>
        <c:axId val="268234112"/>
        <c:axId val="268297728"/>
      </c:scatterChart>
      <c:valAx>
        <c:axId val="268234112"/>
        <c:scaling>
          <c:orientation val="minMax"/>
        </c:scaling>
        <c:delete val="0"/>
        <c:axPos val="b"/>
        <c:majorGridlines>
          <c:spPr>
            <a:ln>
              <a:solidFill>
                <a:sysClr val="window" lastClr="FFFFFF">
                  <a:lumMod val="85000"/>
                </a:sysClr>
              </a:solidFill>
            </a:ln>
          </c:spPr>
        </c:majorGridlines>
        <c:title>
          <c:tx>
            <c:rich>
              <a:bodyPr/>
              <a:lstStyle/>
              <a:p>
                <a:pPr>
                  <a:defRPr sz="1000" b="0"/>
                </a:pPr>
                <a:r>
                  <a:rPr lang="lv-LV" sz="1000" b="0"/>
                  <a:t>Nodarbināto skaita izmaiņas 2012./2009., %</a:t>
                </a:r>
              </a:p>
            </c:rich>
          </c:tx>
          <c:layout>
            <c:manualLayout>
              <c:xMode val="edge"/>
              <c:yMode val="edge"/>
              <c:x val="0.51842039278386765"/>
              <c:y val="0.91507050749091146"/>
            </c:manualLayout>
          </c:layout>
          <c:overlay val="0"/>
        </c:title>
        <c:numFmt formatCode="0" sourceLinked="0"/>
        <c:majorTickMark val="out"/>
        <c:minorTickMark val="none"/>
        <c:tickLblPos val="nextTo"/>
        <c:spPr>
          <a:ln w="25400">
            <a:solidFill>
              <a:sysClr val="windowText" lastClr="000000"/>
            </a:solidFill>
            <a:prstDash val="solid"/>
          </a:ln>
        </c:spPr>
        <c:txPr>
          <a:bodyPr rot="0" vert="horz"/>
          <a:lstStyle/>
          <a:p>
            <a:pPr>
              <a:defRPr sz="1050" b="0" i="0" u="none" strike="noStrike" baseline="0">
                <a:solidFill>
                  <a:srgbClr val="000000"/>
                </a:solidFill>
                <a:latin typeface="Arial Narrow" pitchFamily="34" charset="0"/>
                <a:ea typeface="Times New Roman"/>
                <a:cs typeface="Times New Roman" pitchFamily="18" charset="0"/>
              </a:defRPr>
            </a:pPr>
            <a:endParaRPr lang="lv-LV"/>
          </a:p>
        </c:txPr>
        <c:crossAx val="268297728"/>
        <c:crosses val="autoZero"/>
        <c:crossBetween val="midCat"/>
      </c:valAx>
      <c:valAx>
        <c:axId val="268297728"/>
        <c:scaling>
          <c:orientation val="minMax"/>
        </c:scaling>
        <c:delete val="0"/>
        <c:axPos val="l"/>
        <c:majorGridlines>
          <c:spPr>
            <a:ln>
              <a:solidFill>
                <a:sysClr val="window" lastClr="FFFFFF">
                  <a:lumMod val="85000"/>
                </a:sysClr>
              </a:solidFill>
            </a:ln>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
                    <a:ea typeface="Arial"/>
                    <a:cs typeface="Arial"/>
                  </a:defRPr>
                </a:pPr>
                <a:r>
                  <a:rPr lang="lv-LV" sz="1000" b="0" i="0" baseline="0">
                    <a:effectLst/>
                    <a:latin typeface=""/>
                  </a:rPr>
                  <a:t>Produktivitātes izmaiņas 2012./2009., %</a:t>
                </a:r>
                <a:endParaRPr lang="lv-LV" sz="1000">
                  <a:effectLst/>
                  <a:latin typeface=""/>
                </a:endParaRP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
                    <a:ea typeface="Arial"/>
                    <a:cs typeface="Arial"/>
                  </a:defRPr>
                </a:pPr>
                <a:r>
                  <a:rPr lang="lv-LV" sz="1000" b="0">
                    <a:latin typeface=""/>
                  </a:rPr>
                  <a:t>.</a:t>
                </a:r>
              </a:p>
            </c:rich>
          </c:tx>
          <c:overlay val="0"/>
        </c:title>
        <c:numFmt formatCode="0" sourceLinked="0"/>
        <c:majorTickMark val="out"/>
        <c:minorTickMark val="none"/>
        <c:tickLblPos val="nextTo"/>
        <c:spPr>
          <a:ln w="25400">
            <a:solidFill>
              <a:sysClr val="windowText" lastClr="000000"/>
            </a:solidFill>
          </a:ln>
        </c:spPr>
        <c:txPr>
          <a:bodyPr rot="0" vert="horz"/>
          <a:lstStyle/>
          <a:p>
            <a:pPr>
              <a:defRPr sz="1050" b="0" i="0" u="none" strike="noStrike" baseline="0">
                <a:solidFill>
                  <a:srgbClr val="000000"/>
                </a:solidFill>
                <a:latin typeface="Arial Narrow" pitchFamily="34" charset="0"/>
                <a:ea typeface="Times New Roman"/>
                <a:cs typeface="Times New Roman"/>
              </a:defRPr>
            </a:pPr>
            <a:endParaRPr lang="lv-LV"/>
          </a:p>
        </c:txPr>
        <c:crossAx val="268234112"/>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937411669695131E-2"/>
          <c:y val="5.7971014492753624E-2"/>
          <c:w val="0.87788283898962949"/>
          <c:h val="0.83006928481765863"/>
        </c:manualLayout>
      </c:layout>
      <c:lineChart>
        <c:grouping val="standard"/>
        <c:varyColors val="0"/>
        <c:ser>
          <c:idx val="0"/>
          <c:order val="0"/>
          <c:tx>
            <c:strRef>
              <c:f>Sheet1!$A$24</c:f>
              <c:strCache>
                <c:ptCount val="1"/>
                <c:pt idx="0">
                  <c:v>Latvija</c:v>
                </c:pt>
              </c:strCache>
            </c:strRef>
          </c:tx>
          <c:spPr>
            <a:ln w="38100">
              <a:solidFill>
                <a:srgbClr val="C00000"/>
              </a:solidFill>
            </a:ln>
          </c:spPr>
          <c:marker>
            <c:symbol val="none"/>
          </c:marker>
          <c:cat>
            <c:strRef>
              <c:f>Sheet1!$B$23:$I$23</c:f>
              <c:strCache>
                <c:ptCount val="8"/>
                <c:pt idx="0">
                  <c:v>2005</c:v>
                </c:pt>
                <c:pt idx="1">
                  <c:v>2006</c:v>
                </c:pt>
                <c:pt idx="2">
                  <c:v>2007</c:v>
                </c:pt>
                <c:pt idx="3">
                  <c:v>2008</c:v>
                </c:pt>
                <c:pt idx="4">
                  <c:v>2009</c:v>
                </c:pt>
                <c:pt idx="5">
                  <c:v>2010</c:v>
                </c:pt>
                <c:pt idx="6">
                  <c:v>2011</c:v>
                </c:pt>
                <c:pt idx="7">
                  <c:v>2012</c:v>
                </c:pt>
              </c:strCache>
            </c:strRef>
          </c:cat>
          <c:val>
            <c:numRef>
              <c:f>Sheet1!$B$24:$I$24</c:f>
              <c:numCache>
                <c:formatCode>0.0</c:formatCode>
                <c:ptCount val="8"/>
                <c:pt idx="0">
                  <c:v>100</c:v>
                </c:pt>
                <c:pt idx="1">
                  <c:v>129.4973033605861</c:v>
                </c:pt>
                <c:pt idx="2">
                  <c:v>128.15014777304833</c:v>
                </c:pt>
                <c:pt idx="3">
                  <c:v>136.84735546677018</c:v>
                </c:pt>
                <c:pt idx="4">
                  <c:v>131.44398493685611</c:v>
                </c:pt>
                <c:pt idx="5">
                  <c:v>103.11075659530597</c:v>
                </c:pt>
                <c:pt idx="6">
                  <c:v>92.431005446266184</c:v>
                </c:pt>
                <c:pt idx="7">
                  <c:v>88.65218628616779</c:v>
                </c:pt>
              </c:numCache>
            </c:numRef>
          </c:val>
          <c:smooth val="1"/>
        </c:ser>
        <c:ser>
          <c:idx val="1"/>
          <c:order val="1"/>
          <c:tx>
            <c:strRef>
              <c:f>Sheet1!$A$25</c:f>
              <c:strCache>
                <c:ptCount val="1"/>
                <c:pt idx="0">
                  <c:v>ES</c:v>
                </c:pt>
              </c:strCache>
            </c:strRef>
          </c:tx>
          <c:spPr>
            <a:ln w="25400">
              <a:solidFill>
                <a:srgbClr val="1F497D">
                  <a:lumMod val="75000"/>
                </a:srgbClr>
              </a:solidFill>
              <a:prstDash val="sysDash"/>
            </a:ln>
          </c:spPr>
          <c:marker>
            <c:symbol val="none"/>
          </c:marker>
          <c:cat>
            <c:strRef>
              <c:f>Sheet1!$B$23:$I$23</c:f>
              <c:strCache>
                <c:ptCount val="8"/>
                <c:pt idx="0">
                  <c:v>2005</c:v>
                </c:pt>
                <c:pt idx="1">
                  <c:v>2006</c:v>
                </c:pt>
                <c:pt idx="2">
                  <c:v>2007</c:v>
                </c:pt>
                <c:pt idx="3">
                  <c:v>2008</c:v>
                </c:pt>
                <c:pt idx="4">
                  <c:v>2009</c:v>
                </c:pt>
                <c:pt idx="5">
                  <c:v>2010</c:v>
                </c:pt>
                <c:pt idx="6">
                  <c:v>2011</c:v>
                </c:pt>
                <c:pt idx="7">
                  <c:v>2012</c:v>
                </c:pt>
              </c:strCache>
            </c:strRef>
          </c:cat>
          <c:val>
            <c:numRef>
              <c:f>Sheet1!$B$25:$I$25</c:f>
              <c:numCache>
                <c:formatCode>0.0</c:formatCode>
                <c:ptCount val="8"/>
                <c:pt idx="0">
                  <c:v>100</c:v>
                </c:pt>
                <c:pt idx="1">
                  <c:v>96.860378261241138</c:v>
                </c:pt>
                <c:pt idx="2">
                  <c:v>98.951799775500874</c:v>
                </c:pt>
                <c:pt idx="3">
                  <c:v>103.73188931896415</c:v>
                </c:pt>
                <c:pt idx="4">
                  <c:v>110.79690385627568</c:v>
                </c:pt>
                <c:pt idx="5">
                  <c:v>101.40409064267131</c:v>
                </c:pt>
                <c:pt idx="6">
                  <c:v>102.23433442885488</c:v>
                </c:pt>
                <c:pt idx="7">
                  <c:v>106.23305125354399</c:v>
                </c:pt>
              </c:numCache>
            </c:numRef>
          </c:val>
          <c:smooth val="1"/>
        </c:ser>
        <c:dLbls>
          <c:showLegendKey val="0"/>
          <c:showVal val="0"/>
          <c:showCatName val="0"/>
          <c:showSerName val="0"/>
          <c:showPercent val="0"/>
          <c:showBubbleSize val="0"/>
        </c:dLbls>
        <c:marker val="1"/>
        <c:smooth val="0"/>
        <c:axId val="268359936"/>
        <c:axId val="268931072"/>
      </c:lineChart>
      <c:catAx>
        <c:axId val="268359936"/>
        <c:scaling>
          <c:orientation val="minMax"/>
        </c:scaling>
        <c:delete val="0"/>
        <c:axPos val="b"/>
        <c:numFmt formatCode="0" sourceLinked="1"/>
        <c:majorTickMark val="out"/>
        <c:minorTickMark val="none"/>
        <c:tickLblPos val="nextTo"/>
        <c:spPr>
          <a:ln w="9525">
            <a:solidFill>
              <a:sysClr val="windowText" lastClr="000000"/>
            </a:solidFill>
            <a:prstDash val="solid"/>
          </a:ln>
        </c:spPr>
        <c:txPr>
          <a:bodyPr rot="0" vert="horz"/>
          <a:lstStyle/>
          <a:p>
            <a:pPr>
              <a:defRPr sz="1050" b="0" i="0" u="none" strike="noStrike" baseline="0">
                <a:solidFill>
                  <a:srgbClr val="000000"/>
                </a:solidFill>
                <a:latin typeface="Arial Narrow" pitchFamily="34" charset="0"/>
                <a:ea typeface="Times New Roman"/>
                <a:cs typeface="Times New Roman" pitchFamily="18" charset="0"/>
              </a:defRPr>
            </a:pPr>
            <a:endParaRPr lang="lv-LV"/>
          </a:p>
        </c:txPr>
        <c:crossAx val="268931072"/>
        <c:crosses val="autoZero"/>
        <c:auto val="1"/>
        <c:lblAlgn val="ctr"/>
        <c:lblOffset val="100"/>
        <c:noMultiLvlLbl val="0"/>
      </c:catAx>
      <c:valAx>
        <c:axId val="268931072"/>
        <c:scaling>
          <c:orientation val="minMax"/>
          <c:min val="80"/>
        </c:scaling>
        <c:delete val="0"/>
        <c:axPos val="l"/>
        <c:numFmt formatCode="0" sourceLinked="0"/>
        <c:majorTickMark val="out"/>
        <c:minorTickMark val="none"/>
        <c:tickLblPos val="nextTo"/>
        <c:spPr>
          <a:ln w="9525">
            <a:solidFill>
              <a:sysClr val="windowText" lastClr="000000"/>
            </a:solidFill>
          </a:ln>
        </c:spPr>
        <c:txPr>
          <a:bodyPr rot="0" vert="horz"/>
          <a:lstStyle/>
          <a:p>
            <a:pPr>
              <a:defRPr sz="1050" b="0" i="0" u="none" strike="noStrike" baseline="0">
                <a:solidFill>
                  <a:srgbClr val="000000"/>
                </a:solidFill>
                <a:latin typeface="Arial Narrow" pitchFamily="34" charset="0"/>
                <a:ea typeface="Times New Roman"/>
                <a:cs typeface="Times New Roman"/>
              </a:defRPr>
            </a:pPr>
            <a:endParaRPr lang="lv-LV"/>
          </a:p>
        </c:txPr>
        <c:crossAx val="268359936"/>
        <c:crosses val="autoZero"/>
        <c:crossBetween val="between"/>
      </c:valAx>
      <c:spPr>
        <a:solidFill>
          <a:sysClr val="window" lastClr="FFFFFF"/>
        </a:solidFill>
        <a:ln w="6350">
          <a:noFill/>
        </a:ln>
      </c:spPr>
    </c:plotArea>
    <c:legend>
      <c:legendPos val="t"/>
      <c:layout>
        <c:manualLayout>
          <c:xMode val="edge"/>
          <c:yMode val="edge"/>
          <c:x val="0.65632554904995855"/>
          <c:y val="0.11180124223602485"/>
          <c:w val="0.2878357897570496"/>
          <c:h val="9.7226372344482587E-2"/>
        </c:manualLayout>
      </c:layout>
      <c:overlay val="0"/>
      <c:txPr>
        <a:bodyPr/>
        <a:lstStyle/>
        <a:p>
          <a:pPr>
            <a:defRPr sz="1000" b="0"/>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03327751451883"/>
          <c:y val="5.7971014492753624E-2"/>
          <c:w val="0.74106045789180242"/>
          <c:h val="0.71361588084621952"/>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8.7552083333333339</c:v>
                </c:pt>
                <c:pt idx="1">
                  <c:v>12.154696132596683</c:v>
                </c:pt>
                <c:pt idx="2">
                  <c:v>16.3641975308642</c:v>
                </c:pt>
              </c:numCache>
            </c:numRef>
          </c:xVal>
          <c:yVal>
            <c:numRef>
              <c:f>Sheet1!$C$3:$C$5</c:f>
              <c:numCache>
                <c:formatCode>0.0</c:formatCode>
                <c:ptCount val="3"/>
                <c:pt idx="0">
                  <c:v>0.52468768590124926</c:v>
                </c:pt>
                <c:pt idx="1">
                  <c:v>0.56318181818181823</c:v>
                </c:pt>
                <c:pt idx="2">
                  <c:v>0.30480196152395317</c:v>
                </c:pt>
              </c:numCache>
            </c:numRef>
          </c:yVal>
          <c:smooth val="1"/>
        </c:ser>
        <c:dLbls>
          <c:showLegendKey val="0"/>
          <c:showVal val="0"/>
          <c:showCatName val="0"/>
          <c:showSerName val="0"/>
          <c:showPercent val="0"/>
          <c:showBubbleSize val="0"/>
        </c:dLbls>
        <c:axId val="268865920"/>
        <c:axId val="268867840"/>
      </c:scatterChart>
      <c:valAx>
        <c:axId val="268865920"/>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8867840"/>
        <c:crosses val="autoZero"/>
        <c:crossBetween val="midCat"/>
        <c:majorUnit val="10"/>
      </c:valAx>
      <c:valAx>
        <c:axId val="268867840"/>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8865920"/>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350839063669077"/>
          <c:y val="5.7971014492753624E-2"/>
          <c:w val="0.74558342537499567"/>
          <c:h val="0.69355515599375628"/>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6.2413793103448283</c:v>
                </c:pt>
                <c:pt idx="1">
                  <c:v>6.4694835680751179</c:v>
                </c:pt>
                <c:pt idx="2">
                  <c:v>8.117647058823529</c:v>
                </c:pt>
              </c:numCache>
            </c:numRef>
          </c:xVal>
          <c:yVal>
            <c:numRef>
              <c:f>Sheet1!$C$3:$C$5</c:f>
              <c:numCache>
                <c:formatCode>0.0</c:formatCode>
                <c:ptCount val="3"/>
                <c:pt idx="0">
                  <c:v>0.59530386740331487</c:v>
                </c:pt>
                <c:pt idx="1">
                  <c:v>0.83744557329462987</c:v>
                </c:pt>
                <c:pt idx="2">
                  <c:v>0.4606682769726248</c:v>
                </c:pt>
              </c:numCache>
            </c:numRef>
          </c:yVal>
          <c:smooth val="1"/>
        </c:ser>
        <c:dLbls>
          <c:showLegendKey val="0"/>
          <c:showVal val="0"/>
          <c:showCatName val="0"/>
          <c:showSerName val="0"/>
          <c:showPercent val="0"/>
          <c:showBubbleSize val="0"/>
        </c:dLbls>
        <c:axId val="269211904"/>
        <c:axId val="269222272"/>
      </c:scatterChart>
      <c:valAx>
        <c:axId val="269211904"/>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222272"/>
        <c:crosses val="autoZero"/>
        <c:crossBetween val="midCat"/>
      </c:valAx>
      <c:valAx>
        <c:axId val="269222272"/>
        <c:scaling>
          <c:orientation val="minMax"/>
          <c:max val="1"/>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211904"/>
        <c:crosses val="autoZero"/>
        <c:crossBetween val="midCat"/>
        <c:majorUnit val="0.2"/>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03327751451883"/>
          <c:y val="5.7971014492753624E-2"/>
          <c:w val="0.74105853849716763"/>
          <c:h val="0.71404812419713981"/>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9.3681159420289859</c:v>
                </c:pt>
                <c:pt idx="1">
                  <c:v>15.644444444444444</c:v>
                </c:pt>
                <c:pt idx="2">
                  <c:v>18.586345381526105</c:v>
                </c:pt>
              </c:numCache>
            </c:numRef>
          </c:xVal>
          <c:yVal>
            <c:numRef>
              <c:f>Sheet1!$C$3:$C$5</c:f>
              <c:numCache>
                <c:formatCode>0.0</c:formatCode>
                <c:ptCount val="3"/>
                <c:pt idx="0">
                  <c:v>0.4637995049504951</c:v>
                </c:pt>
                <c:pt idx="1">
                  <c:v>0.42146915584415579</c:v>
                </c:pt>
                <c:pt idx="2">
                  <c:v>0.26351987899740709</c:v>
                </c:pt>
              </c:numCache>
            </c:numRef>
          </c:yVal>
          <c:smooth val="1"/>
        </c:ser>
        <c:dLbls>
          <c:showLegendKey val="0"/>
          <c:showVal val="0"/>
          <c:showCatName val="0"/>
          <c:showSerName val="0"/>
          <c:showPercent val="0"/>
          <c:showBubbleSize val="0"/>
        </c:dLbls>
        <c:axId val="269292288"/>
        <c:axId val="269294208"/>
      </c:scatterChart>
      <c:valAx>
        <c:axId val="269292288"/>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294208"/>
        <c:crosses val="autoZero"/>
        <c:crossBetween val="midCat"/>
        <c:majorUnit val="10"/>
      </c:valAx>
      <c:valAx>
        <c:axId val="269294208"/>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292288"/>
        <c:crosses val="autoZero"/>
        <c:crossBetween val="midCat"/>
        <c:majorUnit val="0.1"/>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0.12150879735976841"/>
          <c:w val="0.81824285122254459"/>
          <c:h val="0.71007956036745412"/>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98.582811610700062</c:v>
                </c:pt>
                <c:pt idx="1">
                  <c:v>93.725099601593641</c:v>
                </c:pt>
                <c:pt idx="2">
                  <c:v>87.877063175867974</c:v>
                </c:pt>
                <c:pt idx="3">
                  <c:v>73.238474672737638</c:v>
                </c:pt>
                <c:pt idx="4">
                  <c:v>69.741035856573717</c:v>
                </c:pt>
                <c:pt idx="5">
                  <c:v>69.396698918611278</c:v>
                </c:pt>
                <c:pt idx="6">
                  <c:v>72.441661923733648</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105.98111613211358</c:v>
                </c:pt>
                <c:pt idx="1">
                  <c:v>107.3558911054778</c:v>
                </c:pt>
                <c:pt idx="2">
                  <c:v>105.1941658400382</c:v>
                </c:pt>
                <c:pt idx="3">
                  <c:v>88.249384621036782</c:v>
                </c:pt>
                <c:pt idx="4">
                  <c:v>88.172967412469248</c:v>
                </c:pt>
                <c:pt idx="5">
                  <c:v>88.027480803850253</c:v>
                </c:pt>
                <c:pt idx="6">
                  <c:v>90.197288658657556</c:v>
                </c:pt>
              </c:numCache>
            </c:numRef>
          </c:val>
          <c:smooth val="0"/>
        </c:ser>
        <c:dLbls>
          <c:showLegendKey val="0"/>
          <c:showVal val="0"/>
          <c:showCatName val="0"/>
          <c:showSerName val="0"/>
          <c:showPercent val="0"/>
          <c:showBubbleSize val="0"/>
        </c:dLbls>
        <c:marker val="1"/>
        <c:smooth val="0"/>
        <c:axId val="257925888"/>
        <c:axId val="257927424"/>
      </c:lineChart>
      <c:catAx>
        <c:axId val="257925888"/>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57927424"/>
        <c:crosses val="autoZero"/>
        <c:auto val="1"/>
        <c:lblAlgn val="ctr"/>
        <c:lblOffset val="0"/>
        <c:noMultiLvlLbl val="0"/>
      </c:catAx>
      <c:valAx>
        <c:axId val="257927424"/>
        <c:scaling>
          <c:orientation val="minMax"/>
          <c:min val="6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57925888"/>
        <c:crosses val="autoZero"/>
        <c:crossBetween val="between"/>
        <c:majorUnit val="10"/>
      </c:valAx>
      <c:spPr>
        <a:solidFill>
          <a:sysClr val="window" lastClr="FFFFFF"/>
        </a:solidFill>
        <a:ln w="6350">
          <a:noFill/>
        </a:ln>
      </c:spPr>
    </c:plotArea>
    <c:legend>
      <c:legendPos val="t"/>
      <c:layout>
        <c:manualLayout>
          <c:xMode val="edge"/>
          <c:yMode val="edge"/>
          <c:x val="0.3992976930515264"/>
          <c:y val="0"/>
          <c:w val="0.59438707003729796"/>
          <c:h val="0.23126476377952757"/>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607938148003"/>
          <c:y val="5.7971014492753624E-2"/>
          <c:w val="0.7274838778636834"/>
          <c:h val="0.68418701363030376"/>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12.307692307692308</c:v>
                </c:pt>
                <c:pt idx="1">
                  <c:v>14.685714285714287</c:v>
                </c:pt>
                <c:pt idx="2">
                  <c:v>22.571428571428569</c:v>
                </c:pt>
              </c:numCache>
            </c:numRef>
          </c:xVal>
          <c:yVal>
            <c:numRef>
              <c:f>Sheet1!$C$3:$C$5</c:f>
              <c:numCache>
                <c:formatCode>0.0</c:formatCode>
                <c:ptCount val="3"/>
                <c:pt idx="0">
                  <c:v>0.44374999999999998</c:v>
                </c:pt>
                <c:pt idx="1">
                  <c:v>0.58560311284046684</c:v>
                </c:pt>
                <c:pt idx="2">
                  <c:v>0.25456600361663656</c:v>
                </c:pt>
              </c:numCache>
            </c:numRef>
          </c:yVal>
          <c:smooth val="1"/>
        </c:ser>
        <c:dLbls>
          <c:showLegendKey val="0"/>
          <c:showVal val="0"/>
          <c:showCatName val="0"/>
          <c:showSerName val="0"/>
          <c:showPercent val="0"/>
          <c:showBubbleSize val="0"/>
        </c:dLbls>
        <c:axId val="269257728"/>
        <c:axId val="269403264"/>
      </c:scatterChart>
      <c:valAx>
        <c:axId val="269257728"/>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403264"/>
        <c:crosses val="autoZero"/>
        <c:crossBetween val="midCat"/>
        <c:majorUnit val="10"/>
      </c:valAx>
      <c:valAx>
        <c:axId val="269403264"/>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257728"/>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803327751451883"/>
          <c:y val="5.7971014492753624E-2"/>
          <c:w val="0.74105853849716763"/>
          <c:h val="0.71277217447783736"/>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11.893617021276597</c:v>
                </c:pt>
                <c:pt idx="1">
                  <c:v>15.65</c:v>
                </c:pt>
                <c:pt idx="2">
                  <c:v>24.047058823529412</c:v>
                </c:pt>
              </c:numCache>
            </c:numRef>
          </c:xVal>
          <c:yVal>
            <c:numRef>
              <c:f>Sheet1!$C$3:$C$5</c:f>
              <c:numCache>
                <c:formatCode>0.0</c:formatCode>
                <c:ptCount val="3"/>
                <c:pt idx="0">
                  <c:v>0.50268336314847939</c:v>
                </c:pt>
                <c:pt idx="1">
                  <c:v>0.65878594249201272</c:v>
                </c:pt>
                <c:pt idx="2">
                  <c:v>0.26854696673189826</c:v>
                </c:pt>
              </c:numCache>
            </c:numRef>
          </c:yVal>
          <c:smooth val="1"/>
        </c:ser>
        <c:dLbls>
          <c:showLegendKey val="0"/>
          <c:showVal val="0"/>
          <c:showCatName val="0"/>
          <c:showSerName val="0"/>
          <c:showPercent val="0"/>
          <c:showBubbleSize val="0"/>
        </c:dLbls>
        <c:axId val="269420032"/>
        <c:axId val="269421952"/>
      </c:scatterChart>
      <c:valAx>
        <c:axId val="269420032"/>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421952"/>
        <c:crosses val="autoZero"/>
        <c:crossBetween val="midCat"/>
        <c:majorUnit val="10"/>
      </c:valAx>
      <c:valAx>
        <c:axId val="269421952"/>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420032"/>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607938148003"/>
          <c:y val="5.7971014492753624E-2"/>
          <c:w val="0.72748722388176679"/>
          <c:h val="0.71277005381984215"/>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11.017241379310345</c:v>
                </c:pt>
                <c:pt idx="1">
                  <c:v>19.407407407407408</c:v>
                </c:pt>
                <c:pt idx="2">
                  <c:v>24.339622641509436</c:v>
                </c:pt>
              </c:numCache>
            </c:numRef>
          </c:xVal>
          <c:yVal>
            <c:numRef>
              <c:f>Sheet1!$C$3:$C$5</c:f>
              <c:numCache>
                <c:formatCode>0.0</c:formatCode>
                <c:ptCount val="3"/>
                <c:pt idx="0">
                  <c:v>0.58528951486697967</c:v>
                </c:pt>
                <c:pt idx="1">
                  <c:v>0.46310432569974558</c:v>
                </c:pt>
                <c:pt idx="2">
                  <c:v>0.29389147286821704</c:v>
                </c:pt>
              </c:numCache>
            </c:numRef>
          </c:yVal>
          <c:smooth val="1"/>
        </c:ser>
        <c:dLbls>
          <c:showLegendKey val="0"/>
          <c:showVal val="0"/>
          <c:showCatName val="0"/>
          <c:showSerName val="0"/>
          <c:showPercent val="0"/>
          <c:showBubbleSize val="0"/>
        </c:dLbls>
        <c:axId val="269631488"/>
        <c:axId val="269633408"/>
      </c:scatterChart>
      <c:valAx>
        <c:axId val="269631488"/>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633408"/>
        <c:crosses val="autoZero"/>
        <c:crossBetween val="midCat"/>
        <c:majorUnit val="10"/>
      </c:valAx>
      <c:valAx>
        <c:axId val="269633408"/>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631488"/>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607938148003"/>
          <c:y val="5.7971014492753624E-2"/>
          <c:w val="0.7274838778636834"/>
          <c:h val="0.71369131490142668"/>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10.7734375</c:v>
                </c:pt>
                <c:pt idx="1">
                  <c:v>16.205479452054796</c:v>
                </c:pt>
                <c:pt idx="2">
                  <c:v>18.595238095238095</c:v>
                </c:pt>
              </c:numCache>
            </c:numRef>
          </c:xVal>
          <c:yVal>
            <c:numRef>
              <c:f>Sheet1!$C$3:$C$5</c:f>
              <c:numCache>
                <c:formatCode>0.0</c:formatCode>
                <c:ptCount val="3"/>
                <c:pt idx="0">
                  <c:v>0.5206671501087744</c:v>
                </c:pt>
                <c:pt idx="1">
                  <c:v>0.56043956043956045</c:v>
                </c:pt>
                <c:pt idx="2">
                  <c:v>0.31370038412291934</c:v>
                </c:pt>
              </c:numCache>
            </c:numRef>
          </c:yVal>
          <c:smooth val="1"/>
        </c:ser>
        <c:dLbls>
          <c:showLegendKey val="0"/>
          <c:showVal val="0"/>
          <c:showCatName val="0"/>
          <c:showSerName val="0"/>
          <c:showPercent val="0"/>
          <c:showBubbleSize val="0"/>
        </c:dLbls>
        <c:axId val="269535488"/>
        <c:axId val="269537664"/>
      </c:scatterChart>
      <c:valAx>
        <c:axId val="269535488"/>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537664"/>
        <c:crosses val="autoZero"/>
        <c:crossBetween val="midCat"/>
        <c:majorUnit val="10"/>
      </c:valAx>
      <c:valAx>
        <c:axId val="269537664"/>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535488"/>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613282502583104"/>
          <c:y val="5.7971014492753624E-2"/>
          <c:w val="0.72296281254508821"/>
          <c:h val="0.68349539891850863"/>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9.8076923076923066</c:v>
                </c:pt>
                <c:pt idx="1">
                  <c:v>15.5</c:v>
                </c:pt>
                <c:pt idx="2">
                  <c:v>17.261904761904766</c:v>
                </c:pt>
              </c:numCache>
            </c:numRef>
          </c:xVal>
          <c:yVal>
            <c:numRef>
              <c:f>Sheet1!$C$3:$C$5</c:f>
              <c:numCache>
                <c:formatCode>0.0</c:formatCode>
                <c:ptCount val="3"/>
                <c:pt idx="0">
                  <c:v>0.65686274509803921</c:v>
                </c:pt>
                <c:pt idx="1">
                  <c:v>0.65483870967741942</c:v>
                </c:pt>
                <c:pt idx="2">
                  <c:v>0.40649655172413796</c:v>
                </c:pt>
              </c:numCache>
            </c:numRef>
          </c:yVal>
          <c:smooth val="1"/>
        </c:ser>
        <c:dLbls>
          <c:showLegendKey val="0"/>
          <c:showVal val="0"/>
          <c:showCatName val="0"/>
          <c:showSerName val="0"/>
          <c:showPercent val="0"/>
          <c:showBubbleSize val="0"/>
        </c:dLbls>
        <c:axId val="269136640"/>
        <c:axId val="269138560"/>
      </c:scatterChart>
      <c:valAx>
        <c:axId val="269136640"/>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138560"/>
        <c:crosses val="autoZero"/>
        <c:crossBetween val="midCat"/>
        <c:majorUnit val="10"/>
      </c:valAx>
      <c:valAx>
        <c:axId val="269138560"/>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136640"/>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08305127017494"/>
          <c:y val="5.7971014492753624E-2"/>
          <c:w val="0.73200876474151144"/>
          <c:h val="0.65432590306346783"/>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7.7288135593220337</c:v>
                </c:pt>
                <c:pt idx="1">
                  <c:v>14.898305084745763</c:v>
                </c:pt>
                <c:pt idx="2">
                  <c:v>12.25</c:v>
                </c:pt>
              </c:numCache>
            </c:numRef>
          </c:xVal>
          <c:yVal>
            <c:numRef>
              <c:f>Sheet1!$C$3:$C$5</c:f>
              <c:numCache>
                <c:formatCode>0.0</c:formatCode>
                <c:ptCount val="3"/>
                <c:pt idx="0">
                  <c:v>0.63377192982456132</c:v>
                </c:pt>
                <c:pt idx="1">
                  <c:v>0.49146757679180886</c:v>
                </c:pt>
                <c:pt idx="2">
                  <c:v>0.49022675736961452</c:v>
                </c:pt>
              </c:numCache>
            </c:numRef>
          </c:yVal>
          <c:smooth val="1"/>
        </c:ser>
        <c:dLbls>
          <c:showLegendKey val="0"/>
          <c:showVal val="0"/>
          <c:showCatName val="0"/>
          <c:showSerName val="0"/>
          <c:showPercent val="0"/>
          <c:showBubbleSize val="0"/>
        </c:dLbls>
        <c:axId val="269708288"/>
        <c:axId val="270001280"/>
      </c:scatterChart>
      <c:valAx>
        <c:axId val="269708288"/>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0001280"/>
        <c:crosses val="autoZero"/>
        <c:crossBetween val="midCat"/>
        <c:majorUnit val="10"/>
      </c:valAx>
      <c:valAx>
        <c:axId val="270001280"/>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708288"/>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607938148003"/>
          <c:y val="5.7971014492753624E-2"/>
          <c:w val="0.72748722388176679"/>
          <c:h val="0.69412995849386416"/>
        </c:manualLayout>
      </c:layout>
      <c:scatterChart>
        <c:scatterStyle val="smoothMarker"/>
        <c:varyColors val="0"/>
        <c:ser>
          <c:idx val="0"/>
          <c:order val="0"/>
          <c:tx>
            <c:strRef>
              <c:f>Sheet1!$C$2</c:f>
              <c:strCache>
                <c:ptCount val="1"/>
                <c:pt idx="0">
                  <c:v>y</c:v>
                </c:pt>
              </c:strCache>
            </c:strRef>
          </c:tx>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0.14038382490324303"/>
                  <c:y val="-6.2923014020232398E-2"/>
                </c:manualLayout>
              </c:layout>
              <c:tx>
                <c:rich>
                  <a:bodyPr/>
                  <a:lstStyle/>
                  <a:p>
                    <a:r>
                      <a:rPr lang="lv-LV"/>
                      <a:t>2005</a:t>
                    </a:r>
                    <a:endParaRPr lang="en-US"/>
                  </a:p>
                </c:rich>
              </c:tx>
              <c:dLblPos val="r"/>
              <c:showLegendKey val="0"/>
              <c:showVal val="1"/>
              <c:showCatName val="0"/>
              <c:showSerName val="0"/>
              <c:showPercent val="0"/>
              <c:showBubbleSize val="0"/>
            </c:dLbl>
            <c:dLbl>
              <c:idx val="1"/>
              <c:layout>
                <c:manualLayout>
                  <c:x val="-1.3839761555229242E-2"/>
                  <c:y val="-6.3020087313206449E-2"/>
                </c:manualLayout>
              </c:layout>
              <c:tx>
                <c:rich>
                  <a:bodyPr/>
                  <a:lstStyle/>
                  <a:p>
                    <a:r>
                      <a:rPr lang="lv-LV"/>
                      <a:t>2007</a:t>
                    </a:r>
                    <a:endParaRPr lang="en-US"/>
                  </a:p>
                </c:rich>
              </c:tx>
              <c:dLblPos val="r"/>
              <c:showLegendKey val="0"/>
              <c:showVal val="1"/>
              <c:showCatName val="0"/>
              <c:showSerName val="0"/>
              <c:showPercent val="0"/>
              <c:showBubbleSize val="0"/>
            </c:dLbl>
            <c:dLbl>
              <c:idx val="2"/>
              <c:layout>
                <c:manualLayout>
                  <c:x val="-3.7966101694915252E-2"/>
                  <c:y val="9.7806090821561872E-2"/>
                </c:manualLayout>
              </c:layout>
              <c:tx>
                <c:rich>
                  <a:bodyPr/>
                  <a:lstStyle/>
                  <a:p>
                    <a:r>
                      <a:rPr lang="lv-LV"/>
                      <a:t>2010</a:t>
                    </a:r>
                    <a:endParaRPr lang="en-US"/>
                  </a:p>
                </c:rich>
              </c:tx>
              <c:dLblPos val="r"/>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Sheet1!$B$3:$B$5</c:f>
              <c:numCache>
                <c:formatCode>0.0</c:formatCode>
                <c:ptCount val="3"/>
                <c:pt idx="0">
                  <c:v>6.5370370370370363</c:v>
                </c:pt>
                <c:pt idx="1">
                  <c:v>12.583333333333336</c:v>
                </c:pt>
                <c:pt idx="2">
                  <c:v>11.658536585365853</c:v>
                </c:pt>
              </c:numCache>
            </c:numRef>
          </c:xVal>
          <c:yVal>
            <c:numRef>
              <c:f>Sheet1!$C$3:$C$5</c:f>
              <c:numCache>
                <c:formatCode>0.0</c:formatCode>
                <c:ptCount val="3"/>
                <c:pt idx="0">
                  <c:v>0.88951841359773376</c:v>
                </c:pt>
                <c:pt idx="1">
                  <c:v>0.7831125827814569</c:v>
                </c:pt>
                <c:pt idx="2">
                  <c:v>0.5514644351464435</c:v>
                </c:pt>
              </c:numCache>
            </c:numRef>
          </c:yVal>
          <c:smooth val="1"/>
        </c:ser>
        <c:dLbls>
          <c:showLegendKey val="0"/>
          <c:showVal val="0"/>
          <c:showCatName val="0"/>
          <c:showSerName val="0"/>
          <c:showPercent val="0"/>
          <c:showBubbleSize val="0"/>
        </c:dLbls>
        <c:axId val="269768192"/>
        <c:axId val="269770112"/>
      </c:scatterChart>
      <c:valAx>
        <c:axId val="269768192"/>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770112"/>
        <c:crosses val="autoZero"/>
        <c:crossBetween val="midCat"/>
        <c:majorUnit val="10"/>
      </c:valAx>
      <c:valAx>
        <c:axId val="269770112"/>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768192"/>
        <c:crosses val="autoZero"/>
        <c:crossBetween val="midCat"/>
        <c:majorUnit val="0.2"/>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32682305051294"/>
          <c:y val="4.6211672962844966E-2"/>
          <c:w val="0.8663746730996803"/>
          <c:h val="0.79699737532808401"/>
        </c:manualLayout>
      </c:layout>
      <c:bubbleChart>
        <c:varyColors val="0"/>
        <c:ser>
          <c:idx val="5"/>
          <c:order val="0"/>
          <c:spPr>
            <a:noFill/>
            <a:ln w="3175">
              <a:solidFill>
                <a:srgbClr val="000000"/>
              </a:solidFill>
            </a:ln>
          </c:spPr>
          <c:invertIfNegative val="0"/>
          <c:dPt>
            <c:idx val="5"/>
            <c:invertIfNegative val="0"/>
            <c:bubble3D val="0"/>
            <c:spPr>
              <a:solidFill>
                <a:srgbClr val="C00000"/>
              </a:solidFill>
              <a:ln w="3175">
                <a:solidFill>
                  <a:srgbClr val="000000"/>
                </a:solidFill>
              </a:ln>
            </c:spPr>
          </c:dPt>
          <c:dLbls>
            <c:dLbl>
              <c:idx val="0"/>
              <c:layout>
                <c:manualLayout>
                  <c:x val="-4.3512823387011353E-2"/>
                  <c:y val="-2.8854776239190468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3.6998377558824166E-2"/>
                  <c:y val="-3.8508468810767429E-2"/>
                </c:manualLayout>
              </c:layout>
              <c:tx>
                <c:rich>
                  <a:bodyPr/>
                  <a:lstStyle/>
                  <a:p>
                    <a:r>
                      <a:rPr lang="lv-LV"/>
                      <a:t>CZ</a:t>
                    </a:r>
                    <a:endParaRPr lang="en-US"/>
                  </a:p>
                </c:rich>
              </c:tx>
              <c:dLblPos val="r"/>
              <c:showLegendKey val="0"/>
              <c:showVal val="1"/>
              <c:showCatName val="0"/>
              <c:showSerName val="0"/>
              <c:showPercent val="0"/>
              <c:showBubbleSize val="0"/>
            </c:dLbl>
            <c:dLbl>
              <c:idx val="2"/>
              <c:layout>
                <c:manualLayout>
                  <c:x val="-2.3936570316116935E-2"/>
                  <c:y val="-5.2920014258477713E-2"/>
                </c:manualLayout>
              </c:layout>
              <c:tx>
                <c:rich>
                  <a:bodyPr/>
                  <a:lstStyle/>
                  <a:p>
                    <a:r>
                      <a:rPr lang="lv-LV"/>
                      <a:t>DK</a:t>
                    </a:r>
                    <a:endParaRPr lang="en-US"/>
                  </a:p>
                </c:rich>
              </c:tx>
              <c:dLblPos val="r"/>
              <c:showLegendKey val="0"/>
              <c:showVal val="1"/>
              <c:showCatName val="0"/>
              <c:showSerName val="0"/>
              <c:showPercent val="0"/>
              <c:showBubbleSize val="0"/>
            </c:dLbl>
            <c:dLbl>
              <c:idx val="3"/>
              <c:layout>
                <c:manualLayout>
                  <c:x val="-0.13491521450902275"/>
                  <c:y val="7.2887226765695357E-3"/>
                </c:manualLayout>
              </c:layout>
              <c:tx>
                <c:rich>
                  <a:bodyPr/>
                  <a:lstStyle/>
                  <a:p>
                    <a:r>
                      <a:rPr lang="lv-LV"/>
                      <a:t>DE</a:t>
                    </a:r>
                    <a:endParaRPr lang="en-US"/>
                  </a:p>
                </c:rich>
              </c:tx>
              <c:dLblPos val="r"/>
              <c:showLegendKey val="0"/>
              <c:showVal val="1"/>
              <c:showCatName val="0"/>
              <c:showSerName val="0"/>
              <c:showPercent val="0"/>
              <c:showBubbleSize val="0"/>
            </c:dLbl>
            <c:dLbl>
              <c:idx val="4"/>
              <c:layout>
                <c:manualLayout>
                  <c:x val="-4.5682796456016972E-2"/>
                  <c:y val="-4.591819772528434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1.5235109997261081E-2"/>
                  <c:y val="2.4171436945381541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2.6109887909985193E-2"/>
                  <c:y val="-2.4101961338153347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1.9580354398314809E-2"/>
                  <c:y val="2.926318878451127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2.1746813478225248E-2"/>
                  <c:y val="2.4136888965830997E-2"/>
                </c:manualLayout>
              </c:layout>
              <c:tx>
                <c:rich>
                  <a:bodyPr/>
                  <a:lstStyle/>
                  <a:p>
                    <a:r>
                      <a:rPr lang="lv-LV"/>
                      <a:t>PL</a:t>
                    </a:r>
                    <a:endParaRPr lang="en-US"/>
                  </a:p>
                </c:rich>
              </c:tx>
              <c:dLblPos val="r"/>
              <c:showLegendKey val="0"/>
              <c:showVal val="1"/>
              <c:showCatName val="0"/>
              <c:showSerName val="0"/>
              <c:showPercent val="0"/>
              <c:showBubbleSize val="0"/>
            </c:dLbl>
            <c:dLbl>
              <c:idx val="9"/>
              <c:layout>
                <c:manualLayout>
                  <c:x val="-5.6573407138615188E-2"/>
                  <c:y val="-4.3255475166551961E-2"/>
                </c:manualLayout>
              </c:layout>
              <c:tx>
                <c:rich>
                  <a:bodyPr/>
                  <a:lstStyle/>
                  <a:p>
                    <a:r>
                      <a:rPr lang="lv-LV"/>
                      <a:t>RO</a:t>
                    </a:r>
                    <a:endParaRPr lang="en-US"/>
                  </a:p>
                </c:rich>
              </c:tx>
              <c:dLblPos val="r"/>
              <c:showLegendKey val="0"/>
              <c:showVal val="1"/>
              <c:showCatName val="0"/>
              <c:showSerName val="0"/>
              <c:showPercent val="0"/>
              <c:showBubbleSize val="0"/>
            </c:dLbl>
            <c:dLbl>
              <c:idx val="10"/>
              <c:layout>
                <c:manualLayout>
                  <c:x val="-1.0887804062033265E-2"/>
                  <c:y val="-2.9011191267485643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1.5222082368531344E-2"/>
                  <c:y val="5.0472144686232517E-3"/>
                </c:manualLayout>
              </c:layout>
              <c:tx>
                <c:rich>
                  <a:bodyPr/>
                  <a:lstStyle/>
                  <a:p>
                    <a:r>
                      <a:rPr lang="lv-LV"/>
                      <a:t>SK</a:t>
                    </a:r>
                    <a:endParaRPr lang="en-US"/>
                  </a:p>
                </c:rich>
              </c:tx>
              <c:dLblPos val="r"/>
              <c:showLegendKey val="0"/>
              <c:showVal val="1"/>
              <c:showCatName val="0"/>
              <c:showSerName val="0"/>
              <c:showPercent val="0"/>
              <c:showBubbleSize val="0"/>
            </c:dLbl>
            <c:dLbl>
              <c:idx val="12"/>
              <c:layout>
                <c:manualLayout>
                  <c:x val="-1.9584466622277495E-2"/>
                  <c:y val="-4.810910387134338E-2"/>
                </c:manualLayout>
              </c:layout>
              <c:tx>
                <c:rich>
                  <a:bodyPr/>
                  <a:lstStyle/>
                  <a:p>
                    <a:r>
                      <a:rPr lang="lv-LV"/>
                      <a:t>FI</a:t>
                    </a:r>
                    <a:endParaRPr lang="en-US"/>
                  </a:p>
                </c:rich>
              </c:tx>
              <c:dLblPos val="r"/>
              <c:showLegendKey val="0"/>
              <c:showVal val="1"/>
              <c:showCatName val="0"/>
              <c:showSerName val="0"/>
              <c:showPercent val="0"/>
              <c:showBubbleSize val="0"/>
            </c:dLbl>
            <c:dLbl>
              <c:idx val="13"/>
              <c:layout>
                <c:manualLayout>
                  <c:x val="-1.0880259234598608E-2"/>
                  <c:y val="1.924364154853735E-2"/>
                </c:manualLayout>
              </c:layout>
              <c:tx>
                <c:rich>
                  <a:bodyPr/>
                  <a:lstStyle/>
                  <a:p>
                    <a:r>
                      <a:rPr lang="lv-LV"/>
                      <a:t>SE</a:t>
                    </a:r>
                    <a:endParaRPr lang="en-US"/>
                  </a:p>
                </c:rich>
              </c:tx>
              <c:dLblPos val="r"/>
              <c:showLegendKey val="0"/>
              <c:showVal val="1"/>
              <c:showCatName val="0"/>
              <c:showSerName val="0"/>
              <c:showPercent val="0"/>
              <c:showBubbleSize val="0"/>
            </c:dLbl>
            <c:txPr>
              <a:bodyPr/>
              <a:lstStyle/>
              <a:p>
                <a:pPr>
                  <a:defRPr sz="700">
                    <a:latin typeface="Arial Narrow" pitchFamily="34" charset="0"/>
                  </a:defRPr>
                </a:pPr>
                <a:endParaRPr lang="lv-LV"/>
              </a:p>
            </c:txPr>
            <c:dLblPos val="r"/>
            <c:showLegendKey val="0"/>
            <c:showVal val="1"/>
            <c:showCatName val="0"/>
            <c:showSerName val="0"/>
            <c:showPercent val="0"/>
            <c:showBubbleSize val="0"/>
            <c:showLeaderLines val="0"/>
          </c:dLbls>
          <c:xVal>
            <c:numRef>
              <c:f>Sheet1!$B$3:$B$16</c:f>
              <c:numCache>
                <c:formatCode>0.0</c:formatCode>
                <c:ptCount val="14"/>
                <c:pt idx="0">
                  <c:v>7.3092499595010532</c:v>
                </c:pt>
                <c:pt idx="1">
                  <c:v>25.563564551962479</c:v>
                </c:pt>
                <c:pt idx="2">
                  <c:v>72.951257861635227</c:v>
                </c:pt>
                <c:pt idx="3">
                  <c:v>68.409542743538765</c:v>
                </c:pt>
                <c:pt idx="4">
                  <c:v>18.828922495274103</c:v>
                </c:pt>
                <c:pt idx="5">
                  <c:v>16.482785003825555</c:v>
                </c:pt>
                <c:pt idx="6">
                  <c:v>22.578846153846158</c:v>
                </c:pt>
                <c:pt idx="7">
                  <c:v>21.910555216595483</c:v>
                </c:pt>
                <c:pt idx="8">
                  <c:v>17.826785289823082</c:v>
                </c:pt>
                <c:pt idx="9">
                  <c:v>16.770335226918036</c:v>
                </c:pt>
                <c:pt idx="10">
                  <c:v>30.460358056265989</c:v>
                </c:pt>
                <c:pt idx="11">
                  <c:v>26.527627302275185</c:v>
                </c:pt>
                <c:pt idx="12">
                  <c:v>71.039267015706798</c:v>
                </c:pt>
                <c:pt idx="13">
                  <c:v>85.390573500329609</c:v>
                </c:pt>
              </c:numCache>
            </c:numRef>
          </c:xVal>
          <c:yVal>
            <c:numRef>
              <c:f>Sheet1!$C$3:$C$16</c:f>
              <c:numCache>
                <c:formatCode>0.0</c:formatCode>
                <c:ptCount val="14"/>
                <c:pt idx="0">
                  <c:v>4.040128410914928</c:v>
                </c:pt>
                <c:pt idx="1">
                  <c:v>12.247049567269865</c:v>
                </c:pt>
                <c:pt idx="2">
                  <c:v>47.673333333333332</c:v>
                </c:pt>
                <c:pt idx="3">
                  <c:v>30.61433447098976</c:v>
                </c:pt>
                <c:pt idx="4">
                  <c:v>13.520325203252032</c:v>
                </c:pt>
                <c:pt idx="5">
                  <c:v>4.9878395061728398</c:v>
                </c:pt>
                <c:pt idx="6">
                  <c:v>10.128603104212861</c:v>
                </c:pt>
                <c:pt idx="7">
                  <c:v>8.880503144654087</c:v>
                </c:pt>
                <c:pt idx="8">
                  <c:v>8.5774530371146902</c:v>
                </c:pt>
                <c:pt idx="9">
                  <c:v>5.8580674988441972</c:v>
                </c:pt>
                <c:pt idx="10">
                  <c:v>19.563291139240508</c:v>
                </c:pt>
                <c:pt idx="11">
                  <c:v>10.573304157549233</c:v>
                </c:pt>
                <c:pt idx="12">
                  <c:v>38.657894736842103</c:v>
                </c:pt>
                <c:pt idx="13">
                  <c:v>42.642857142857146</c:v>
                </c:pt>
              </c:numCache>
            </c:numRef>
          </c:yVal>
          <c:bubbleSize>
            <c:numRef>
              <c:f>Sheet1!$D$3:$D$16</c:f>
              <c:numCache>
                <c:formatCode>0</c:formatCode>
                <c:ptCount val="14"/>
                <c:pt idx="0">
                  <c:v>4512</c:v>
                </c:pt>
                <c:pt idx="1">
                  <c:v>31067.399999999998</c:v>
                </c:pt>
                <c:pt idx="2">
                  <c:v>23198.5</c:v>
                </c:pt>
                <c:pt idx="3">
                  <c:v>481740</c:v>
                </c:pt>
                <c:pt idx="4">
                  <c:v>1992.1</c:v>
                </c:pt>
                <c:pt idx="5">
                  <c:v>2154.2999999999997</c:v>
                </c:pt>
                <c:pt idx="6">
                  <c:v>4696.4000000000015</c:v>
                </c:pt>
                <c:pt idx="7">
                  <c:v>17955.699999999997</c:v>
                </c:pt>
                <c:pt idx="8">
                  <c:v>52498.1</c:v>
                </c:pt>
                <c:pt idx="9">
                  <c:v>26864.400000000001</c:v>
                </c:pt>
                <c:pt idx="10">
                  <c:v>5955.0000000000009</c:v>
                </c:pt>
                <c:pt idx="11">
                  <c:v>12242.499999999998</c:v>
                </c:pt>
                <c:pt idx="12">
                  <c:v>27137</c:v>
                </c:pt>
                <c:pt idx="13">
                  <c:v>51815</c:v>
                </c:pt>
              </c:numCache>
            </c:numRef>
          </c:bubbleSize>
          <c:bubble3D val="0"/>
        </c:ser>
        <c:dLbls>
          <c:showLegendKey val="0"/>
          <c:showVal val="0"/>
          <c:showCatName val="0"/>
          <c:showSerName val="0"/>
          <c:showPercent val="0"/>
          <c:showBubbleSize val="0"/>
        </c:dLbls>
        <c:bubbleScale val="100"/>
        <c:showNegBubbles val="0"/>
        <c:axId val="270090624"/>
        <c:axId val="270092544"/>
      </c:bubbleChart>
      <c:valAx>
        <c:axId val="270090624"/>
        <c:scaling>
          <c:orientation val="minMax"/>
          <c:max val="100"/>
          <c:min val="0"/>
        </c:scaling>
        <c:delete val="0"/>
        <c:axPos val="b"/>
        <c:title>
          <c:tx>
            <c:rich>
              <a:bodyPr/>
              <a:lstStyle/>
              <a:p>
                <a:pPr>
                  <a:defRPr sz="900">
                    <a:latin typeface="Arial Narrow" pitchFamily="34" charset="0"/>
                  </a:defRPr>
                </a:pPr>
                <a:r>
                  <a:rPr lang="lv-LV" sz="900" b="0" i="0" baseline="0">
                    <a:effectLst/>
                    <a:latin typeface="Arial Narrow" pitchFamily="34" charset="0"/>
                  </a:rPr>
                  <a:t>Produktivitāte (pievienotā vērtība uz 1 strādājošo, tūkst EUR)</a:t>
                </a:r>
              </a:p>
            </c:rich>
          </c:tx>
          <c:layout>
            <c:manualLayout>
              <c:xMode val="edge"/>
              <c:yMode val="edge"/>
              <c:x val="0.85245606331257029"/>
              <c:y val="0.91701295647292647"/>
            </c:manualLayout>
          </c:layout>
          <c:overlay val="0"/>
        </c:title>
        <c:numFmt formatCode="0" sourceLinked="0"/>
        <c:majorTickMark val="cross"/>
        <c:minorTickMark val="none"/>
        <c:tickLblPos val="nextTo"/>
        <c:spPr>
          <a:solidFill>
            <a:sysClr val="window" lastClr="FFFFFF"/>
          </a:solidFill>
          <a:ln w="6350">
            <a:solidFill>
              <a:srgbClr val="000000"/>
            </a:solidFill>
            <a:prstDash val="solid"/>
          </a:ln>
        </c:spPr>
        <c:txPr>
          <a:bodyPr rot="0" vert="horz"/>
          <a:lstStyle/>
          <a:p>
            <a:pPr>
              <a:defRPr/>
            </a:pPr>
            <a:endParaRPr lang="lv-LV"/>
          </a:p>
        </c:txPr>
        <c:crossAx val="270092544"/>
        <c:crosses val="autoZero"/>
        <c:crossBetween val="midCat"/>
      </c:valAx>
      <c:valAx>
        <c:axId val="270092544"/>
        <c:scaling>
          <c:orientation val="minMax"/>
          <c:min val="0"/>
        </c:scaling>
        <c:delete val="0"/>
        <c:axPos val="l"/>
        <c:title>
          <c:tx>
            <c:rich>
              <a:bodyPr/>
              <a:lstStyle/>
              <a:p>
                <a:pPr>
                  <a:defRPr sz="900">
                    <a:latin typeface="Arial Narrow" pitchFamily="34" charset="0"/>
                  </a:defRPr>
                </a:pPr>
                <a:r>
                  <a:rPr lang="lv-LV" sz="900">
                    <a:latin typeface="Arial Narrow" pitchFamily="34" charset="0"/>
                  </a:rPr>
                  <a:t>Darbaspēka izmaksas (Atlīdzība</a:t>
                </a:r>
                <a:r>
                  <a:rPr lang="lv-LV" sz="900" baseline="0">
                    <a:latin typeface="Arial Narrow" pitchFamily="34" charset="0"/>
                  </a:rPr>
                  <a:t> nodarbinātajiem uz 1 strādājošo, tūkst EUR)</a:t>
                </a:r>
                <a:endParaRPr lang="lv-LV" sz="900">
                  <a:latin typeface="Arial Narrow" pitchFamily="34" charset="0"/>
                </a:endParaRPr>
              </a:p>
            </c:rich>
          </c:tx>
          <c:layout>
            <c:manualLayout>
              <c:xMode val="edge"/>
              <c:yMode val="edge"/>
              <c:x val="4.8310957224409314E-3"/>
              <c:y val="0.13708737864077669"/>
            </c:manualLayout>
          </c:layout>
          <c:overlay val="0"/>
        </c:title>
        <c:numFmt formatCode="0" sourceLinked="0"/>
        <c:majorTickMark val="out"/>
        <c:minorTickMark val="none"/>
        <c:tickLblPos val="nextTo"/>
        <c:spPr>
          <a:ln w="6350">
            <a:solidFill>
              <a:sysClr val="windowText" lastClr="000000"/>
            </a:solidFill>
          </a:ln>
        </c:spPr>
        <c:txPr>
          <a:bodyPr rot="0" vert="horz"/>
          <a:lstStyle/>
          <a:p>
            <a:pPr>
              <a:defRPr>
                <a:latin typeface="Arial Narrow" pitchFamily="34" charset="0"/>
              </a:defRPr>
            </a:pPr>
            <a:endParaRPr lang="lv-LV"/>
          </a:p>
        </c:txPr>
        <c:crossAx val="270090624"/>
        <c:crosses val="autoZero"/>
        <c:crossBetween val="midCat"/>
      </c:valAx>
      <c:spPr>
        <a:solidFill>
          <a:srgbClr val="FFFFFF"/>
        </a:solidFill>
        <a:ln w="6350">
          <a:solidFill>
            <a:sysClr val="window" lastClr="FFFFFF">
              <a:lumMod val="85000"/>
            </a:sysClr>
          </a:solidFill>
        </a:ln>
      </c:spPr>
    </c:plotArea>
    <c:plotVisOnly val="1"/>
    <c:dispBlanksAs val="gap"/>
    <c:showDLblsOverMax val="0"/>
  </c:chart>
  <c:spPr>
    <a:noFill/>
    <a:ln>
      <a:noFill/>
    </a:ln>
  </c:spPr>
  <c:txPr>
    <a:bodyPr/>
    <a:lstStyle/>
    <a:p>
      <a:pPr>
        <a:defRPr sz="800" b="0" i="0" u="none" strike="noStrike" baseline="0">
          <a:solidFill>
            <a:srgbClr val="000000"/>
          </a:solidFill>
          <a:effectLst/>
          <a:latin typeface="Garamond" pitchFamily="18" charset="0"/>
          <a:ea typeface="Arial"/>
          <a:cs typeface="Arial"/>
        </a:defRPr>
      </a:pPr>
      <a:endParaRPr lang="lv-LV"/>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21782925078363"/>
          <c:y val="4.6211672962844966E-2"/>
          <c:w val="0.85315104959787036"/>
          <c:h val="0.75846160848391064"/>
        </c:manualLayout>
      </c:layout>
      <c:bubbleChart>
        <c:varyColors val="0"/>
        <c:ser>
          <c:idx val="5"/>
          <c:order val="0"/>
          <c:spPr>
            <a:noFill/>
            <a:ln w="3175">
              <a:solidFill>
                <a:srgbClr val="000000"/>
              </a:solidFill>
            </a:ln>
          </c:spPr>
          <c:invertIfNegative val="0"/>
          <c:dPt>
            <c:idx val="5"/>
            <c:invertIfNegative val="0"/>
            <c:bubble3D val="0"/>
            <c:spPr>
              <a:solidFill>
                <a:srgbClr val="C00000"/>
              </a:solidFill>
              <a:ln w="3175">
                <a:solidFill>
                  <a:srgbClr val="000000"/>
                </a:solidFill>
              </a:ln>
            </c:spPr>
          </c:dPt>
          <c:dLbls>
            <c:dLbl>
              <c:idx val="0"/>
              <c:layout>
                <c:manualLayout>
                  <c:x val="-4.3512823387011353E-2"/>
                  <c:y val="-2.8854776239190468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3.6998377558824166E-2"/>
                  <c:y val="-3.8508468810767429E-2"/>
                </c:manualLayout>
              </c:layout>
              <c:tx>
                <c:rich>
                  <a:bodyPr/>
                  <a:lstStyle/>
                  <a:p>
                    <a:r>
                      <a:rPr lang="lv-LV"/>
                      <a:t>CZ</a:t>
                    </a:r>
                    <a:endParaRPr lang="en-US"/>
                  </a:p>
                </c:rich>
              </c:tx>
              <c:dLblPos val="r"/>
              <c:showLegendKey val="0"/>
              <c:showVal val="1"/>
              <c:showCatName val="0"/>
              <c:showSerName val="0"/>
              <c:showPercent val="0"/>
              <c:showBubbleSize val="0"/>
            </c:dLbl>
            <c:dLbl>
              <c:idx val="2"/>
              <c:layout>
                <c:manualLayout>
                  <c:x val="-2.3936570316116935E-2"/>
                  <c:y val="-5.2920014258477713E-2"/>
                </c:manualLayout>
              </c:layout>
              <c:tx>
                <c:rich>
                  <a:bodyPr/>
                  <a:lstStyle/>
                  <a:p>
                    <a:r>
                      <a:rPr lang="lv-LV"/>
                      <a:t>DK</a:t>
                    </a:r>
                    <a:endParaRPr lang="en-US"/>
                  </a:p>
                </c:rich>
              </c:tx>
              <c:dLblPos val="r"/>
              <c:showLegendKey val="0"/>
              <c:showVal val="1"/>
              <c:showCatName val="0"/>
              <c:showSerName val="0"/>
              <c:showPercent val="0"/>
              <c:showBubbleSize val="0"/>
            </c:dLbl>
            <c:dLbl>
              <c:idx val="3"/>
              <c:layout>
                <c:manualLayout>
                  <c:x val="-0.147971571457513"/>
                  <c:y val="2.392656390351167E-2"/>
                </c:manualLayout>
              </c:layout>
              <c:tx>
                <c:rich>
                  <a:bodyPr/>
                  <a:lstStyle/>
                  <a:p>
                    <a:r>
                      <a:rPr lang="lv-LV"/>
                      <a:t>DE</a:t>
                    </a:r>
                    <a:endParaRPr lang="en-US"/>
                  </a:p>
                </c:rich>
              </c:tx>
              <c:dLblPos val="r"/>
              <c:showLegendKey val="0"/>
              <c:showVal val="1"/>
              <c:showCatName val="0"/>
              <c:showSerName val="0"/>
              <c:showPercent val="0"/>
              <c:showBubbleSize val="0"/>
            </c:dLbl>
            <c:dLbl>
              <c:idx val="4"/>
              <c:layout>
                <c:manualLayout>
                  <c:x val="-4.5682725506428212E-2"/>
                  <c:y val="9.6371864879057096E-3"/>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1.5235109997261081E-2"/>
                  <c:y val="2.4171436945381541E-2"/>
                </c:manualLayout>
              </c:layout>
              <c:tx>
                <c:rich>
                  <a:bodyPr/>
                  <a:lstStyle/>
                  <a:p>
                    <a:pPr>
                      <a:defRPr sz="700">
                        <a:latin typeface="Arial Narrow" pitchFamily="34" charset="0"/>
                      </a:defRPr>
                    </a:pPr>
                    <a:r>
                      <a:rPr lang="lv-LV"/>
                      <a:t>LV</a:t>
                    </a:r>
                    <a:endParaRPr lang="en-US"/>
                  </a:p>
                </c:rich>
              </c:tx>
              <c:spPr>
                <a:noFill/>
              </c:spPr>
              <c:dLblPos val="r"/>
              <c:showLegendKey val="0"/>
              <c:showVal val="1"/>
              <c:showCatName val="0"/>
              <c:showSerName val="0"/>
              <c:showPercent val="0"/>
              <c:showBubbleSize val="0"/>
            </c:dLbl>
            <c:dLbl>
              <c:idx val="6"/>
              <c:layout>
                <c:manualLayout>
                  <c:x val="-2.6109887909985193E-2"/>
                  <c:y val="-2.4101961338153347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3.7211166785969939E-2"/>
                  <c:y val="-6.0191146992701859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2.1746813478225248E-2"/>
                  <c:y val="2.4136888965830997E-2"/>
                </c:manualLayout>
              </c:layout>
              <c:tx>
                <c:rich>
                  <a:bodyPr/>
                  <a:lstStyle/>
                  <a:p>
                    <a:r>
                      <a:rPr lang="lv-LV"/>
                      <a:t>PL</a:t>
                    </a:r>
                    <a:endParaRPr lang="en-US"/>
                  </a:p>
                </c:rich>
              </c:tx>
              <c:dLblPos val="r"/>
              <c:showLegendKey val="0"/>
              <c:showVal val="1"/>
              <c:showCatName val="0"/>
              <c:showSerName val="0"/>
              <c:showPercent val="0"/>
              <c:showBubbleSize val="0"/>
            </c:dLbl>
            <c:dLbl>
              <c:idx val="9"/>
              <c:layout>
                <c:manualLayout>
                  <c:x val="-4.1341055783113242E-2"/>
                  <c:y val="-4.3255588989900604E-2"/>
                </c:manualLayout>
              </c:layout>
              <c:tx>
                <c:rich>
                  <a:bodyPr/>
                  <a:lstStyle/>
                  <a:p>
                    <a:r>
                      <a:rPr lang="lv-LV"/>
                      <a:t>RO</a:t>
                    </a:r>
                    <a:endParaRPr lang="en-US"/>
                  </a:p>
                </c:rich>
              </c:tx>
              <c:dLblPos val="r"/>
              <c:showLegendKey val="0"/>
              <c:showVal val="1"/>
              <c:showCatName val="0"/>
              <c:showSerName val="0"/>
              <c:showPercent val="0"/>
              <c:showBubbleSize val="0"/>
            </c:dLbl>
            <c:dLbl>
              <c:idx val="10"/>
              <c:layout>
                <c:manualLayout>
                  <c:x val="-1.0887804062033265E-2"/>
                  <c:y val="-2.9011191267485643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1.2560929883764529E-2"/>
                  <c:y val="3.9338048065468943E-2"/>
                </c:manualLayout>
              </c:layout>
              <c:tx>
                <c:rich>
                  <a:bodyPr/>
                  <a:lstStyle/>
                  <a:p>
                    <a:r>
                      <a:rPr lang="lv-LV"/>
                      <a:t>SK</a:t>
                    </a:r>
                    <a:endParaRPr lang="en-US"/>
                  </a:p>
                </c:rich>
              </c:tx>
              <c:dLblPos val="r"/>
              <c:showLegendKey val="0"/>
              <c:showVal val="1"/>
              <c:showCatName val="0"/>
              <c:showSerName val="0"/>
              <c:showPercent val="0"/>
              <c:showBubbleSize val="0"/>
            </c:dLbl>
            <c:dLbl>
              <c:idx val="12"/>
              <c:layout>
                <c:manualLayout>
                  <c:x val="-4.3826901802563933E-2"/>
                  <c:y val="-4.8109239509618262E-2"/>
                </c:manualLayout>
              </c:layout>
              <c:tx>
                <c:rich>
                  <a:bodyPr/>
                  <a:lstStyle/>
                  <a:p>
                    <a:r>
                      <a:rPr lang="lv-LV"/>
                      <a:t>FI</a:t>
                    </a:r>
                    <a:endParaRPr lang="en-US"/>
                  </a:p>
                </c:rich>
              </c:tx>
              <c:dLblPos val="r"/>
              <c:showLegendKey val="0"/>
              <c:showVal val="1"/>
              <c:showCatName val="0"/>
              <c:showSerName val="0"/>
              <c:showPercent val="0"/>
              <c:showBubbleSize val="0"/>
            </c:dLbl>
            <c:dLbl>
              <c:idx val="13"/>
              <c:layout>
                <c:manualLayout>
                  <c:x val="-1.0880259234598608E-2"/>
                  <c:y val="1.924364154853735E-2"/>
                </c:manualLayout>
              </c:layout>
              <c:tx>
                <c:rich>
                  <a:bodyPr/>
                  <a:lstStyle/>
                  <a:p>
                    <a:r>
                      <a:rPr lang="lv-LV"/>
                      <a:t>SE</a:t>
                    </a:r>
                    <a:endParaRPr lang="en-US"/>
                  </a:p>
                </c:rich>
              </c:tx>
              <c:dLblPos val="r"/>
              <c:showLegendKey val="0"/>
              <c:showVal val="1"/>
              <c:showCatName val="0"/>
              <c:showSerName val="0"/>
              <c:showPercent val="0"/>
              <c:showBubbleSize val="0"/>
            </c:dLbl>
            <c:txPr>
              <a:bodyPr/>
              <a:lstStyle/>
              <a:p>
                <a:pPr>
                  <a:defRPr sz="700">
                    <a:latin typeface="Arial Narrow" pitchFamily="34" charset="0"/>
                  </a:defRPr>
                </a:pPr>
                <a:endParaRPr lang="lv-LV"/>
              </a:p>
            </c:txPr>
            <c:dLblPos val="r"/>
            <c:showLegendKey val="0"/>
            <c:showVal val="1"/>
            <c:showCatName val="0"/>
            <c:showSerName val="0"/>
            <c:showPercent val="0"/>
            <c:showBubbleSize val="0"/>
            <c:showLeaderLines val="0"/>
          </c:dLbls>
          <c:xVal>
            <c:numRef>
              <c:f>Sheet1!$B$3:$B$16</c:f>
              <c:numCache>
                <c:formatCode>0.0</c:formatCode>
                <c:ptCount val="14"/>
                <c:pt idx="0">
                  <c:v>7.3092499595010532</c:v>
                </c:pt>
                <c:pt idx="1">
                  <c:v>25.563564551962479</c:v>
                </c:pt>
                <c:pt idx="2">
                  <c:v>72.951257861635227</c:v>
                </c:pt>
                <c:pt idx="3">
                  <c:v>68.409542743538765</c:v>
                </c:pt>
                <c:pt idx="4">
                  <c:v>18.828922495274103</c:v>
                </c:pt>
                <c:pt idx="5">
                  <c:v>16.482785003825555</c:v>
                </c:pt>
                <c:pt idx="6">
                  <c:v>22.578846153846158</c:v>
                </c:pt>
                <c:pt idx="7">
                  <c:v>21.910555216595483</c:v>
                </c:pt>
                <c:pt idx="8">
                  <c:v>17.826785289823082</c:v>
                </c:pt>
                <c:pt idx="9">
                  <c:v>16.770335226918036</c:v>
                </c:pt>
                <c:pt idx="10">
                  <c:v>30.460358056265989</c:v>
                </c:pt>
                <c:pt idx="11">
                  <c:v>26.527627302275185</c:v>
                </c:pt>
                <c:pt idx="12">
                  <c:v>71.039267015706798</c:v>
                </c:pt>
                <c:pt idx="13">
                  <c:v>85.390573500329609</c:v>
                </c:pt>
              </c:numCache>
            </c:numRef>
          </c:xVal>
          <c:yVal>
            <c:numRef>
              <c:f>Sheet1!$C$3:$C$16</c:f>
              <c:numCache>
                <c:formatCode>0.0</c:formatCode>
                <c:ptCount val="14"/>
                <c:pt idx="0">
                  <c:v>0.50605053191489369</c:v>
                </c:pt>
                <c:pt idx="1">
                  <c:v>0.52124413372216538</c:v>
                </c:pt>
                <c:pt idx="2">
                  <c:v>0.71514106515507458</c:v>
                </c:pt>
                <c:pt idx="3">
                  <c:v>0.65140947399011917</c:v>
                </c:pt>
                <c:pt idx="4">
                  <c:v>0.59535163897394705</c:v>
                </c:pt>
                <c:pt idx="5">
                  <c:v>0.31994244069999545</c:v>
                </c:pt>
                <c:pt idx="6">
                  <c:v>0.40616216676603345</c:v>
                </c:pt>
                <c:pt idx="7">
                  <c:v>0.47275238503650652</c:v>
                </c:pt>
                <c:pt idx="8">
                  <c:v>0.48528041967233099</c:v>
                </c:pt>
                <c:pt idx="9">
                  <c:v>0.33028841142925208</c:v>
                </c:pt>
                <c:pt idx="10">
                  <c:v>0.68448362720403011</c:v>
                </c:pt>
                <c:pt idx="11">
                  <c:v>0.44141311006738826</c:v>
                </c:pt>
                <c:pt idx="12">
                  <c:v>0.61329550060802596</c:v>
                </c:pt>
                <c:pt idx="13">
                  <c:v>0.56888931776512597</c:v>
                </c:pt>
              </c:numCache>
            </c:numRef>
          </c:yVal>
          <c:bubbleSize>
            <c:numRef>
              <c:f>Sheet1!$D$3:$D$16</c:f>
              <c:numCache>
                <c:formatCode>0</c:formatCode>
                <c:ptCount val="14"/>
                <c:pt idx="0">
                  <c:v>4512</c:v>
                </c:pt>
                <c:pt idx="1">
                  <c:v>31067.399999999998</c:v>
                </c:pt>
                <c:pt idx="2">
                  <c:v>23198.5</c:v>
                </c:pt>
                <c:pt idx="3">
                  <c:v>481740</c:v>
                </c:pt>
                <c:pt idx="4">
                  <c:v>1992.1</c:v>
                </c:pt>
                <c:pt idx="5">
                  <c:v>2154.2999999999997</c:v>
                </c:pt>
                <c:pt idx="6">
                  <c:v>4696.4000000000015</c:v>
                </c:pt>
                <c:pt idx="7">
                  <c:v>17955.699999999997</c:v>
                </c:pt>
                <c:pt idx="8">
                  <c:v>52498.1</c:v>
                </c:pt>
                <c:pt idx="9">
                  <c:v>26864.400000000001</c:v>
                </c:pt>
                <c:pt idx="10">
                  <c:v>5955.0000000000009</c:v>
                </c:pt>
                <c:pt idx="11">
                  <c:v>12242.499999999998</c:v>
                </c:pt>
                <c:pt idx="12">
                  <c:v>27137</c:v>
                </c:pt>
                <c:pt idx="13">
                  <c:v>51815</c:v>
                </c:pt>
              </c:numCache>
            </c:numRef>
          </c:bubbleSize>
          <c:bubble3D val="0"/>
        </c:ser>
        <c:dLbls>
          <c:showLegendKey val="0"/>
          <c:showVal val="0"/>
          <c:showCatName val="0"/>
          <c:showSerName val="0"/>
          <c:showPercent val="0"/>
          <c:showBubbleSize val="0"/>
        </c:dLbls>
        <c:bubbleScale val="100"/>
        <c:showNegBubbles val="0"/>
        <c:axId val="269815168"/>
        <c:axId val="269932032"/>
      </c:bubbleChart>
      <c:valAx>
        <c:axId val="269815168"/>
        <c:scaling>
          <c:orientation val="minMax"/>
          <c:max val="100"/>
          <c:min val="0"/>
        </c:scaling>
        <c:delete val="0"/>
        <c:axPos val="b"/>
        <c:title>
          <c:tx>
            <c:rich>
              <a:bodyPr/>
              <a:lstStyle/>
              <a:p>
                <a:pPr>
                  <a:defRPr sz="900">
                    <a:latin typeface="Arial Narrow" pitchFamily="34" charset="0"/>
                  </a:defRPr>
                </a:pPr>
                <a:r>
                  <a:rPr lang="lv-LV" sz="900" b="0" i="0" baseline="0">
                    <a:effectLst/>
                    <a:latin typeface="Arial Narrow" pitchFamily="34" charset="0"/>
                  </a:rPr>
                  <a:t>Produktivitāte (pievienotā vērtība uz 1 strādājošo, tūkst EUR)</a:t>
                </a:r>
              </a:p>
            </c:rich>
          </c:tx>
          <c:layout>
            <c:manualLayout>
              <c:xMode val="edge"/>
              <c:yMode val="edge"/>
              <c:x val="0.85245606331257029"/>
              <c:y val="0.91701295647292647"/>
            </c:manualLayout>
          </c:layout>
          <c:overlay val="0"/>
        </c:title>
        <c:numFmt formatCode="0" sourceLinked="0"/>
        <c:majorTickMark val="cross"/>
        <c:minorTickMark val="none"/>
        <c:tickLblPos val="nextTo"/>
        <c:spPr>
          <a:solidFill>
            <a:sysClr val="window" lastClr="FFFFFF"/>
          </a:solidFill>
          <a:ln w="6350">
            <a:solidFill>
              <a:srgbClr val="000000"/>
            </a:solidFill>
            <a:prstDash val="solid"/>
          </a:ln>
        </c:spPr>
        <c:txPr>
          <a:bodyPr rot="0" vert="horz"/>
          <a:lstStyle/>
          <a:p>
            <a:pPr>
              <a:defRPr/>
            </a:pPr>
            <a:endParaRPr lang="lv-LV"/>
          </a:p>
        </c:txPr>
        <c:crossAx val="269932032"/>
        <c:crosses val="autoZero"/>
        <c:crossBetween val="midCat"/>
      </c:valAx>
      <c:valAx>
        <c:axId val="269932032"/>
        <c:scaling>
          <c:orientation val="minMax"/>
          <c:min val="0.2"/>
        </c:scaling>
        <c:delete val="0"/>
        <c:axPos val="l"/>
        <c:title>
          <c:tx>
            <c:rich>
              <a:bodyPr/>
              <a:lstStyle/>
              <a:p>
                <a:pPr>
                  <a:defRPr sz="900">
                    <a:latin typeface="Arial Narrow" pitchFamily="34" charset="0"/>
                  </a:defRPr>
                </a:pPr>
                <a:r>
                  <a:rPr lang="lv-LV" sz="900">
                    <a:latin typeface="Arial Narrow" pitchFamily="34" charset="0"/>
                  </a:rPr>
                  <a:t>Darbaspēka izmaksas (Atlīdzība</a:t>
                </a:r>
                <a:r>
                  <a:rPr lang="lv-LV" sz="900" baseline="0">
                    <a:latin typeface="Arial Narrow" pitchFamily="34" charset="0"/>
                  </a:rPr>
                  <a:t> nodarbinātajiem uz 1 produkcijas vienību EUR)</a:t>
                </a:r>
                <a:endParaRPr lang="lv-LV" sz="900">
                  <a:latin typeface="Arial Narrow" pitchFamily="34" charset="0"/>
                </a:endParaRPr>
              </a:p>
            </c:rich>
          </c:tx>
          <c:layout>
            <c:manualLayout>
              <c:xMode val="edge"/>
              <c:yMode val="edge"/>
              <c:x val="4.8310957224409314E-3"/>
              <c:y val="0.13708737864077669"/>
            </c:manualLayout>
          </c:layout>
          <c:overlay val="0"/>
        </c:title>
        <c:numFmt formatCode="0.0" sourceLinked="0"/>
        <c:majorTickMark val="out"/>
        <c:minorTickMark val="none"/>
        <c:tickLblPos val="nextTo"/>
        <c:spPr>
          <a:ln w="6350">
            <a:solidFill>
              <a:sysClr val="windowText" lastClr="000000"/>
            </a:solidFill>
          </a:ln>
        </c:spPr>
        <c:txPr>
          <a:bodyPr rot="0" vert="horz"/>
          <a:lstStyle/>
          <a:p>
            <a:pPr>
              <a:defRPr>
                <a:latin typeface="Arial Narrow" pitchFamily="34" charset="0"/>
              </a:defRPr>
            </a:pPr>
            <a:endParaRPr lang="lv-LV"/>
          </a:p>
        </c:txPr>
        <c:crossAx val="269815168"/>
        <c:crosses val="autoZero"/>
        <c:crossBetween val="midCat"/>
      </c:valAx>
      <c:spPr>
        <a:solidFill>
          <a:srgbClr val="FFFFFF"/>
        </a:solidFill>
        <a:ln w="6350">
          <a:solidFill>
            <a:sysClr val="window" lastClr="FFFFFF">
              <a:lumMod val="85000"/>
            </a:sysClr>
          </a:solidFill>
        </a:ln>
      </c:spPr>
    </c:plotArea>
    <c:plotVisOnly val="1"/>
    <c:dispBlanksAs val="gap"/>
    <c:showDLblsOverMax val="0"/>
  </c:chart>
  <c:spPr>
    <a:noFill/>
    <a:ln>
      <a:noFill/>
    </a:ln>
  </c:spPr>
  <c:txPr>
    <a:bodyPr/>
    <a:lstStyle/>
    <a:p>
      <a:pPr>
        <a:defRPr sz="800" b="0" i="0" u="none" strike="noStrike" baseline="0">
          <a:solidFill>
            <a:srgbClr val="000000"/>
          </a:solidFill>
          <a:effectLst/>
          <a:latin typeface="Garamond" pitchFamily="18" charset="0"/>
          <a:ea typeface="Arial"/>
          <a:cs typeface="Arial"/>
        </a:defRPr>
      </a:pPr>
      <a:endParaRPr lang="lv-LV"/>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layout>
                <c:manualLayout>
                  <c:x val="-9.7204130810665715E-2"/>
                  <c:y val="3.0818040606195276E-2"/>
                </c:manualLayout>
              </c:layout>
              <c:tx>
                <c:rich>
                  <a:bodyPr/>
                  <a:lstStyle/>
                  <a:p>
                    <a:r>
                      <a:rPr lang="lv-LV"/>
                      <a:t>RO</a:t>
                    </a:r>
                    <a:endParaRPr lang="en-US"/>
                  </a:p>
                </c:rich>
              </c:tx>
              <c:dLblPos val="r"/>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7.7126805778491176</c:v>
                </c:pt>
                <c:pt idx="1">
                  <c:v>25.815892997639654</c:v>
                </c:pt>
                <c:pt idx="2">
                  <c:v>59.924999999999997</c:v>
                </c:pt>
                <c:pt idx="3">
                  <c:v>43.503981797497154</c:v>
                </c:pt>
                <c:pt idx="4">
                  <c:v>22.13821138211382</c:v>
                </c:pt>
                <c:pt idx="5">
                  <c:v>16.3641975308642</c:v>
                </c:pt>
                <c:pt idx="6">
                  <c:v>24.904656319290467</c:v>
                </c:pt>
                <c:pt idx="7">
                  <c:v>15.593553459119496</c:v>
                </c:pt>
                <c:pt idx="8">
                  <c:v>19.079716758645869</c:v>
                </c:pt>
                <c:pt idx="9">
                  <c:v>31.760980120203417</c:v>
                </c:pt>
                <c:pt idx="10">
                  <c:v>28.962025316455698</c:v>
                </c:pt>
                <c:pt idx="11">
                  <c:v>21.750547045951858</c:v>
                </c:pt>
                <c:pt idx="12">
                  <c:v>66.684210526315795</c:v>
                </c:pt>
                <c:pt idx="13">
                  <c:v>74.308928571428581</c:v>
                </c:pt>
              </c:numCache>
            </c:numRef>
          </c:xVal>
          <c:yVal>
            <c:numRef>
              <c:f>Sheet1!$C$3:$C$16</c:f>
              <c:numCache>
                <c:formatCode>0.0</c:formatCode>
                <c:ptCount val="14"/>
                <c:pt idx="0">
                  <c:v>0.52382934443288243</c:v>
                </c:pt>
                <c:pt idx="1">
                  <c:v>0.47439960989881752</c:v>
                </c:pt>
                <c:pt idx="2">
                  <c:v>0.79554999304686413</c:v>
                </c:pt>
                <c:pt idx="3">
                  <c:v>0.70371338912133896</c:v>
                </c:pt>
                <c:pt idx="4">
                  <c:v>0.61072346676459788</c:v>
                </c:pt>
                <c:pt idx="5">
                  <c:v>0.30480196152395317</c:v>
                </c:pt>
                <c:pt idx="6">
                  <c:v>0.40669515669515671</c:v>
                </c:pt>
                <c:pt idx="7">
                  <c:v>0.56949836148222832</c:v>
                </c:pt>
                <c:pt idx="8">
                  <c:v>0.44955871964020977</c:v>
                </c:pt>
                <c:pt idx="9">
                  <c:v>0.18444227718016273</c:v>
                </c:pt>
                <c:pt idx="10">
                  <c:v>0.67548076923076927</c:v>
                </c:pt>
                <c:pt idx="11">
                  <c:v>0.48611670020120723</c:v>
                </c:pt>
                <c:pt idx="12">
                  <c:v>0.57971586424625099</c:v>
                </c:pt>
                <c:pt idx="13">
                  <c:v>0.57385913056016147</c:v>
                </c:pt>
              </c:numCache>
            </c:numRef>
          </c:yVal>
          <c:smooth val="0"/>
        </c:ser>
        <c:dLbls>
          <c:showLegendKey val="0"/>
          <c:showVal val="0"/>
          <c:showCatName val="0"/>
          <c:showSerName val="0"/>
          <c:showPercent val="0"/>
          <c:showBubbleSize val="0"/>
        </c:dLbls>
        <c:axId val="270055296"/>
        <c:axId val="270057472"/>
      </c:scatterChart>
      <c:valAx>
        <c:axId val="270055296"/>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0057472"/>
        <c:crosses val="autoZero"/>
        <c:crossBetween val="midCat"/>
        <c:majorUnit val="10"/>
      </c:valAx>
      <c:valAx>
        <c:axId val="270057472"/>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0055296"/>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4.8706240487062395E-2"/>
          <c:w val="0.84631315184653555"/>
          <c:h val="0.78299596798952076"/>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94.315100514259001</c:v>
                </c:pt>
                <c:pt idx="1">
                  <c:v>90.289855072463766</c:v>
                </c:pt>
                <c:pt idx="2">
                  <c:v>76.643291257597014</c:v>
                </c:pt>
                <c:pt idx="3">
                  <c:v>53.973819541841983</c:v>
                </c:pt>
                <c:pt idx="4">
                  <c:v>55.245441795231422</c:v>
                </c:pt>
                <c:pt idx="5">
                  <c:v>60.397381954184198</c:v>
                </c:pt>
                <c:pt idx="6">
                  <c:v>59.761570827489479</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104.19253180782641</c:v>
                </c:pt>
                <c:pt idx="1">
                  <c:v>104.49647637012947</c:v>
                </c:pt>
                <c:pt idx="2">
                  <c:v>91.705615977520409</c:v>
                </c:pt>
                <c:pt idx="3">
                  <c:v>56.263329060570619</c:v>
                </c:pt>
                <c:pt idx="4">
                  <c:v>67.170069017245922</c:v>
                </c:pt>
                <c:pt idx="5">
                  <c:v>80.190427145663904</c:v>
                </c:pt>
                <c:pt idx="6">
                  <c:v>82.620304392362755</c:v>
                </c:pt>
              </c:numCache>
            </c:numRef>
          </c:val>
          <c:smooth val="0"/>
        </c:ser>
        <c:dLbls>
          <c:showLegendKey val="0"/>
          <c:showVal val="0"/>
          <c:showCatName val="0"/>
          <c:showSerName val="0"/>
          <c:showPercent val="0"/>
          <c:showBubbleSize val="0"/>
        </c:dLbls>
        <c:marker val="1"/>
        <c:smooth val="0"/>
        <c:axId val="257944192"/>
        <c:axId val="258036096"/>
      </c:lineChart>
      <c:catAx>
        <c:axId val="257944192"/>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58036096"/>
        <c:crosses val="autoZero"/>
        <c:auto val="1"/>
        <c:lblAlgn val="ctr"/>
        <c:lblOffset val="0"/>
        <c:noMultiLvlLbl val="0"/>
      </c:catAx>
      <c:valAx>
        <c:axId val="258036096"/>
        <c:scaling>
          <c:orientation val="minMax"/>
          <c:min val="5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57944192"/>
        <c:crosses val="autoZero"/>
        <c:crossBetween val="between"/>
        <c:majorUnit val="25"/>
      </c:valAx>
      <c:spPr>
        <a:solidFill>
          <a:sysClr val="window" lastClr="FFFFFF"/>
        </a:solidFill>
        <a:ln w="6350">
          <a:noFill/>
        </a:ln>
      </c:spPr>
    </c:plotArea>
    <c:legend>
      <c:legendPos val="t"/>
      <c:layout>
        <c:manualLayout>
          <c:xMode val="edge"/>
          <c:yMode val="edge"/>
          <c:x val="0.40245558778836854"/>
          <c:y val="6.2354179206538338E-2"/>
          <c:w val="0.58784472993507386"/>
          <c:h val="0.19964223582144541"/>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layout>
                <c:manualLayout>
                  <c:x val="-9.7204130810665715E-2"/>
                  <c:y val="3.0818040606195276E-2"/>
                </c:manualLayout>
              </c:layout>
              <c:tx>
                <c:rich>
                  <a:bodyPr/>
                  <a:lstStyle/>
                  <a:p>
                    <a:r>
                      <a:rPr lang="lv-LV"/>
                      <a:t>RO</a:t>
                    </a:r>
                    <a:endParaRPr lang="en-US"/>
                  </a:p>
                </c:rich>
              </c:tx>
              <c:dLblPos val="r"/>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3.9263990267639901</c:v>
                </c:pt>
                <c:pt idx="1">
                  <c:v>13.546474358974358</c:v>
                </c:pt>
                <c:pt idx="2">
                  <c:v>46.557142857142857</c:v>
                </c:pt>
                <c:pt idx="3">
                  <c:v>42.638036809815951</c:v>
                </c:pt>
                <c:pt idx="4">
                  <c:v>8.5192307692307701</c:v>
                </c:pt>
                <c:pt idx="5">
                  <c:v>8.117647058823529</c:v>
                </c:pt>
                <c:pt idx="6">
                  <c:v>9.9728260869565233</c:v>
                </c:pt>
                <c:pt idx="7">
                  <c:v>5.7951977401129948</c:v>
                </c:pt>
                <c:pt idx="8">
                  <c:v>8.4409508064532019</c:v>
                </c:pt>
                <c:pt idx="9">
                  <c:v>6.8741185688169235</c:v>
                </c:pt>
                <c:pt idx="10">
                  <c:v>16.441379310344828</c:v>
                </c:pt>
                <c:pt idx="11">
                  <c:v>15.61025641025641</c:v>
                </c:pt>
                <c:pt idx="12">
                  <c:v>33.277310924369743</c:v>
                </c:pt>
                <c:pt idx="13">
                  <c:v>48.644444444444446</c:v>
                </c:pt>
              </c:numCache>
            </c:numRef>
          </c:xVal>
          <c:yVal>
            <c:numRef>
              <c:f>Sheet1!$C$3:$C$16</c:f>
              <c:numCache>
                <c:formatCode>0.0</c:formatCode>
                <c:ptCount val="14"/>
                <c:pt idx="0">
                  <c:v>0.61192873741285825</c:v>
                </c:pt>
                <c:pt idx="1">
                  <c:v>0.60404590086359877</c:v>
                </c:pt>
                <c:pt idx="2">
                  <c:v>0.81620128873887698</c:v>
                </c:pt>
                <c:pt idx="3">
                  <c:v>0.72086330935251797</c:v>
                </c:pt>
                <c:pt idx="4">
                  <c:v>0.78254326561324306</c:v>
                </c:pt>
                <c:pt idx="5">
                  <c:v>0.4606682769726248</c:v>
                </c:pt>
                <c:pt idx="6">
                  <c:v>0.56376021798365128</c:v>
                </c:pt>
                <c:pt idx="7">
                  <c:v>0.79527175237630998</c:v>
                </c:pt>
                <c:pt idx="8">
                  <c:v>0.63300517608850104</c:v>
                </c:pt>
                <c:pt idx="9">
                  <c:v>0.51270848372022337</c:v>
                </c:pt>
                <c:pt idx="10">
                  <c:v>0.91610738255033553</c:v>
                </c:pt>
                <c:pt idx="11">
                  <c:v>0.50361366622864656</c:v>
                </c:pt>
                <c:pt idx="12">
                  <c:v>0.63888888888888884</c:v>
                </c:pt>
                <c:pt idx="13">
                  <c:v>0.69186843307446311</c:v>
                </c:pt>
              </c:numCache>
            </c:numRef>
          </c:yVal>
          <c:smooth val="0"/>
        </c:ser>
        <c:dLbls>
          <c:showLegendKey val="0"/>
          <c:showVal val="0"/>
          <c:showCatName val="0"/>
          <c:showSerName val="0"/>
          <c:showPercent val="0"/>
          <c:showBubbleSize val="0"/>
        </c:dLbls>
        <c:axId val="269955456"/>
        <c:axId val="269957376"/>
      </c:scatterChart>
      <c:valAx>
        <c:axId val="269955456"/>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69957376"/>
        <c:crosses val="autoZero"/>
        <c:crossBetween val="midCat"/>
        <c:majorUnit val="10"/>
      </c:valAx>
      <c:valAx>
        <c:axId val="269957376"/>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69955456"/>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4.3287671232876717</c:v>
                </c:pt>
                <c:pt idx="1">
                  <c:v>13.983128834355828</c:v>
                </c:pt>
                <c:pt idx="2">
                  <c:v>51.45</c:v>
                </c:pt>
                <c:pt idx="3">
                  <c:v>46.64179104477612</c:v>
                </c:pt>
                <c:pt idx="4">
                  <c:v>21.740157480314963</c:v>
                </c:pt>
                <c:pt idx="5">
                  <c:v>18.586345381526105</c:v>
                </c:pt>
                <c:pt idx="6">
                  <c:v>12.091954022988507</c:v>
                </c:pt>
                <c:pt idx="7">
                  <c:v>9.3583333333333325</c:v>
                </c:pt>
                <c:pt idx="8">
                  <c:v>13.369105551479191</c:v>
                </c:pt>
                <c:pt idx="9">
                  <c:v>16.664850136239782</c:v>
                </c:pt>
                <c:pt idx="10">
                  <c:v>21.252631578947369</c:v>
                </c:pt>
                <c:pt idx="11">
                  <c:v>22</c:v>
                </c:pt>
                <c:pt idx="12">
                  <c:v>44.852941176470587</c:v>
                </c:pt>
                <c:pt idx="13">
                  <c:v>60.147222222222226</c:v>
                </c:pt>
              </c:numCache>
            </c:numRef>
          </c:xVal>
          <c:yVal>
            <c:numRef>
              <c:f>Sheet1!$C$3:$C$16</c:f>
              <c:numCache>
                <c:formatCode>0.0</c:formatCode>
                <c:ptCount val="14"/>
                <c:pt idx="0">
                  <c:v>0.45042194092827009</c:v>
                </c:pt>
                <c:pt idx="1">
                  <c:v>0.45738729845343862</c:v>
                </c:pt>
                <c:pt idx="2">
                  <c:v>0.85072886297376094</c:v>
                </c:pt>
                <c:pt idx="3">
                  <c:v>0.67200000000000004</c:v>
                </c:pt>
                <c:pt idx="4">
                  <c:v>0.55704454907642154</c:v>
                </c:pt>
                <c:pt idx="5">
                  <c:v>0.26351987899740709</c:v>
                </c:pt>
                <c:pt idx="6">
                  <c:v>0.46324461343472745</c:v>
                </c:pt>
                <c:pt idx="7">
                  <c:v>0.63935886019590382</c:v>
                </c:pt>
                <c:pt idx="8">
                  <c:v>0.43564889606892837</c:v>
                </c:pt>
                <c:pt idx="9">
                  <c:v>0.23193263570961412</c:v>
                </c:pt>
                <c:pt idx="10">
                  <c:v>0.7469044081228331</c:v>
                </c:pt>
                <c:pt idx="11">
                  <c:v>0.2836935791481246</c:v>
                </c:pt>
                <c:pt idx="12">
                  <c:v>0.73032786885245904</c:v>
                </c:pt>
                <c:pt idx="13">
                  <c:v>0.63718653304392003</c:v>
                </c:pt>
              </c:numCache>
            </c:numRef>
          </c:yVal>
          <c:smooth val="0"/>
        </c:ser>
        <c:dLbls>
          <c:showLegendKey val="0"/>
          <c:showVal val="0"/>
          <c:showCatName val="0"/>
          <c:showSerName val="0"/>
          <c:showPercent val="0"/>
          <c:showBubbleSize val="0"/>
        </c:dLbls>
        <c:axId val="270748288"/>
        <c:axId val="270787328"/>
      </c:scatterChart>
      <c:valAx>
        <c:axId val="270748288"/>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0787328"/>
        <c:crosses val="autoZero"/>
        <c:crossBetween val="midCat"/>
        <c:majorUnit val="10"/>
      </c:valAx>
      <c:valAx>
        <c:axId val="270787328"/>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0748288"/>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10.931707317073171</c:v>
                </c:pt>
                <c:pt idx="1">
                  <c:v>25.66242038216561</c:v>
                </c:pt>
                <c:pt idx="2">
                  <c:v>52.605882352941173</c:v>
                </c:pt>
                <c:pt idx="3">
                  <c:v>53.86904761904762</c:v>
                </c:pt>
                <c:pt idx="4">
                  <c:v>35.764705882352935</c:v>
                </c:pt>
                <c:pt idx="5">
                  <c:v>22.571428571428569</c:v>
                </c:pt>
                <c:pt idx="6">
                  <c:v>33</c:v>
                </c:pt>
                <c:pt idx="7">
                  <c:v>16.43452380952381</c:v>
                </c:pt>
                <c:pt idx="8">
                  <c:v>21.420597601802058</c:v>
                </c:pt>
                <c:pt idx="9">
                  <c:v>31.013392857142861</c:v>
                </c:pt>
                <c:pt idx="10">
                  <c:v>29.810526315789474</c:v>
                </c:pt>
                <c:pt idx="11">
                  <c:v>30.367088607594933</c:v>
                </c:pt>
                <c:pt idx="12">
                  <c:v>99.604519774011308</c:v>
                </c:pt>
                <c:pt idx="13">
                  <c:v>92.145833333333329</c:v>
                </c:pt>
              </c:numCache>
            </c:numRef>
          </c:xVal>
          <c:yVal>
            <c:numRef>
              <c:f>Sheet1!$C$3:$C$16</c:f>
              <c:numCache>
                <c:formatCode>0.0</c:formatCode>
                <c:ptCount val="14"/>
                <c:pt idx="0">
                  <c:v>0.34315037929495762</c:v>
                </c:pt>
                <c:pt idx="1">
                  <c:v>0.48035079010507159</c:v>
                </c:pt>
                <c:pt idx="2">
                  <c:v>0.91199821089119992</c:v>
                </c:pt>
                <c:pt idx="3">
                  <c:v>0.62430939226519333</c:v>
                </c:pt>
                <c:pt idx="4">
                  <c:v>0.45723684210526311</c:v>
                </c:pt>
                <c:pt idx="5">
                  <c:v>0.25456600361663656</c:v>
                </c:pt>
                <c:pt idx="6">
                  <c:v>0.41536050156739812</c:v>
                </c:pt>
                <c:pt idx="7">
                  <c:v>0.63093082216588181</c:v>
                </c:pt>
                <c:pt idx="8">
                  <c:v>0.41364424744652151</c:v>
                </c:pt>
                <c:pt idx="9">
                  <c:v>0.26543831869871881</c:v>
                </c:pt>
                <c:pt idx="10">
                  <c:v>0.69456214689265539</c:v>
                </c:pt>
                <c:pt idx="11">
                  <c:v>0.47519799916631933</c:v>
                </c:pt>
                <c:pt idx="12">
                  <c:v>0.52013613159387406</c:v>
                </c:pt>
                <c:pt idx="13">
                  <c:v>0.56812118471625594</c:v>
                </c:pt>
              </c:numCache>
            </c:numRef>
          </c:yVal>
          <c:smooth val="0"/>
        </c:ser>
        <c:dLbls>
          <c:showLegendKey val="0"/>
          <c:showVal val="0"/>
          <c:showCatName val="0"/>
          <c:showSerName val="0"/>
          <c:showPercent val="0"/>
          <c:showBubbleSize val="0"/>
        </c:dLbls>
        <c:axId val="270275712"/>
        <c:axId val="270277632"/>
      </c:scatterChart>
      <c:valAx>
        <c:axId val="270275712"/>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0277632"/>
        <c:crosses val="autoZero"/>
        <c:crossBetween val="midCat"/>
        <c:majorUnit val="10"/>
      </c:valAx>
      <c:valAx>
        <c:axId val="270277632"/>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0275712"/>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10.444007858546168</c:v>
                </c:pt>
                <c:pt idx="1">
                  <c:v>34.028455284552848</c:v>
                </c:pt>
                <c:pt idx="2">
                  <c:v>124.55106382978722</c:v>
                </c:pt>
                <c:pt idx="3">
                  <c:v>98.657243816254422</c:v>
                </c:pt>
                <c:pt idx="4">
                  <c:v>29.287500000000001</c:v>
                </c:pt>
                <c:pt idx="5">
                  <c:v>24.047058823529412</c:v>
                </c:pt>
                <c:pt idx="6">
                  <c:v>68.918032786885249</c:v>
                </c:pt>
                <c:pt idx="7">
                  <c:v>40.808897876643073</c:v>
                </c:pt>
                <c:pt idx="8">
                  <c:v>28.064351135685584</c:v>
                </c:pt>
                <c:pt idx="9">
                  <c:v>13.461393596986818</c:v>
                </c:pt>
                <c:pt idx="10">
                  <c:v>51.885931558935361</c:v>
                </c:pt>
                <c:pt idx="11">
                  <c:v>33.510739856801905</c:v>
                </c:pt>
                <c:pt idx="12">
                  <c:v>107.04871060171918</c:v>
                </c:pt>
                <c:pt idx="13">
                  <c:v>172.78571428571428</c:v>
                </c:pt>
              </c:numCache>
            </c:numRef>
          </c:xVal>
          <c:yVal>
            <c:numRef>
              <c:f>Sheet1!$C$3:$C$16</c:f>
              <c:numCache>
                <c:formatCode>0.0</c:formatCode>
                <c:ptCount val="14"/>
                <c:pt idx="0">
                  <c:v>0.49699021820917977</c:v>
                </c:pt>
                <c:pt idx="1">
                  <c:v>0.44541870744236051</c:v>
                </c:pt>
                <c:pt idx="2">
                  <c:v>0.52857069645877119</c:v>
                </c:pt>
                <c:pt idx="3">
                  <c:v>0.51922158548233044</c:v>
                </c:pt>
                <c:pt idx="4">
                  <c:v>0.44088775074690573</c:v>
                </c:pt>
                <c:pt idx="5">
                  <c:v>0.26854696673189826</c:v>
                </c:pt>
                <c:pt idx="6">
                  <c:v>0.21114811290834126</c:v>
                </c:pt>
                <c:pt idx="7">
                  <c:v>0.35312190287413281</c:v>
                </c:pt>
                <c:pt idx="8">
                  <c:v>0.37735516633848065</c:v>
                </c:pt>
                <c:pt idx="9">
                  <c:v>0.58925573587017344</c:v>
                </c:pt>
                <c:pt idx="10">
                  <c:v>0.5562069470907226</c:v>
                </c:pt>
                <c:pt idx="11">
                  <c:v>0.43494053130118943</c:v>
                </c:pt>
                <c:pt idx="12">
                  <c:v>0.45985010706638113</c:v>
                </c:pt>
                <c:pt idx="13">
                  <c:v>0.3176440481111833</c:v>
                </c:pt>
              </c:numCache>
            </c:numRef>
          </c:yVal>
          <c:smooth val="0"/>
        </c:ser>
        <c:dLbls>
          <c:showLegendKey val="0"/>
          <c:showVal val="0"/>
          <c:showCatName val="0"/>
          <c:showSerName val="0"/>
          <c:showPercent val="0"/>
          <c:showBubbleSize val="0"/>
        </c:dLbls>
        <c:axId val="270929280"/>
        <c:axId val="270931456"/>
      </c:scatterChart>
      <c:valAx>
        <c:axId val="270929280"/>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0931456"/>
        <c:crosses val="autoZero"/>
        <c:crossBetween val="midCat"/>
        <c:majorUnit val="20"/>
      </c:valAx>
      <c:valAx>
        <c:axId val="270931456"/>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0929280"/>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12.254901960784315</c:v>
                </c:pt>
                <c:pt idx="1">
                  <c:v>29.759704251386321</c:v>
                </c:pt>
                <c:pt idx="2">
                  <c:v>60.469230769230769</c:v>
                </c:pt>
                <c:pt idx="3">
                  <c:v>62.888888888888886</c:v>
                </c:pt>
                <c:pt idx="4">
                  <c:v>19.117647058823529</c:v>
                </c:pt>
                <c:pt idx="5">
                  <c:v>24.339622641509436</c:v>
                </c:pt>
                <c:pt idx="6">
                  <c:v>17.227272727272727</c:v>
                </c:pt>
                <c:pt idx="7">
                  <c:v>22.894545454545455</c:v>
                </c:pt>
                <c:pt idx="8">
                  <c:v>20.898307424784694</c:v>
                </c:pt>
                <c:pt idx="9">
                  <c:v>9.913112164296999</c:v>
                </c:pt>
                <c:pt idx="10">
                  <c:v>31.787500000000001</c:v>
                </c:pt>
                <c:pt idx="11">
                  <c:v>27.246305418719214</c:v>
                </c:pt>
                <c:pt idx="12">
                  <c:v>60.745341614906827</c:v>
                </c:pt>
                <c:pt idx="13">
                  <c:v>74.970588235294116</c:v>
                </c:pt>
              </c:numCache>
            </c:numRef>
          </c:xVal>
          <c:yVal>
            <c:numRef>
              <c:f>Sheet1!$C$3:$C$16</c:f>
              <c:numCache>
                <c:formatCode>0.0</c:formatCode>
                <c:ptCount val="14"/>
                <c:pt idx="0">
                  <c:v>0.40960000000000002</c:v>
                </c:pt>
                <c:pt idx="1">
                  <c:v>0.50204968944099371</c:v>
                </c:pt>
                <c:pt idx="2">
                  <c:v>0.8287749650171734</c:v>
                </c:pt>
                <c:pt idx="3">
                  <c:v>0.59717314487632511</c:v>
                </c:pt>
                <c:pt idx="4">
                  <c:v>0.58256410256410252</c:v>
                </c:pt>
                <c:pt idx="5">
                  <c:v>0.29389147286821704</c:v>
                </c:pt>
                <c:pt idx="6">
                  <c:v>0.5158311345646438</c:v>
                </c:pt>
                <c:pt idx="7">
                  <c:v>0.51874205844980947</c:v>
                </c:pt>
                <c:pt idx="8">
                  <c:v>0.43186011774009314</c:v>
                </c:pt>
                <c:pt idx="9">
                  <c:v>0.65657370517928282</c:v>
                </c:pt>
                <c:pt idx="10">
                  <c:v>0.7078254030672434</c:v>
                </c:pt>
                <c:pt idx="11">
                  <c:v>0.46646176098354725</c:v>
                </c:pt>
                <c:pt idx="12">
                  <c:v>0.68507157464212676</c:v>
                </c:pt>
                <c:pt idx="13">
                  <c:v>0.63303256178893685</c:v>
                </c:pt>
              </c:numCache>
            </c:numRef>
          </c:yVal>
          <c:smooth val="0"/>
        </c:ser>
        <c:dLbls>
          <c:showLegendKey val="0"/>
          <c:showVal val="0"/>
          <c:showCatName val="0"/>
          <c:showSerName val="0"/>
          <c:showPercent val="0"/>
          <c:showBubbleSize val="0"/>
        </c:dLbls>
        <c:axId val="270698368"/>
        <c:axId val="272347136"/>
      </c:scatterChart>
      <c:valAx>
        <c:axId val="270698368"/>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2347136"/>
        <c:crosses val="autoZero"/>
        <c:crossBetween val="midCat"/>
        <c:majorUnit val="10"/>
      </c:valAx>
      <c:valAx>
        <c:axId val="272347136"/>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0698368"/>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9.8776077885952702</c:v>
                </c:pt>
                <c:pt idx="1">
                  <c:v>20.821411653244905</c:v>
                </c:pt>
                <c:pt idx="2">
                  <c:v>59.252500000000012</c:v>
                </c:pt>
                <c:pt idx="3">
                  <c:v>56.563916591115138</c:v>
                </c:pt>
                <c:pt idx="4">
                  <c:v>16.637681159420289</c:v>
                </c:pt>
                <c:pt idx="5">
                  <c:v>18.595238095238095</c:v>
                </c:pt>
                <c:pt idx="6">
                  <c:v>16.646616541353385</c:v>
                </c:pt>
                <c:pt idx="7">
                  <c:v>17.1969196919692</c:v>
                </c:pt>
                <c:pt idx="8">
                  <c:v>15.942208814460983</c:v>
                </c:pt>
                <c:pt idx="9">
                  <c:v>13.640384615384615</c:v>
                </c:pt>
                <c:pt idx="10">
                  <c:v>26.614795918367342</c:v>
                </c:pt>
                <c:pt idx="11">
                  <c:v>29.040045766590385</c:v>
                </c:pt>
                <c:pt idx="12">
                  <c:v>56.006546644844519</c:v>
                </c:pt>
                <c:pt idx="13">
                  <c:v>68.110185185185188</c:v>
                </c:pt>
              </c:numCache>
            </c:numRef>
          </c:xVal>
          <c:yVal>
            <c:numRef>
              <c:f>Sheet1!$C$3:$C$16</c:f>
              <c:numCache>
                <c:formatCode>0.0</c:formatCode>
                <c:ptCount val="14"/>
                <c:pt idx="0">
                  <c:v>0.43170937764010137</c:v>
                </c:pt>
                <c:pt idx="1">
                  <c:v>0.59653273877235291</c:v>
                </c:pt>
                <c:pt idx="2">
                  <c:v>0.79355301464073236</c:v>
                </c:pt>
                <c:pt idx="3">
                  <c:v>0.70652348132713572</c:v>
                </c:pt>
                <c:pt idx="4">
                  <c:v>0.6964285714285714</c:v>
                </c:pt>
                <c:pt idx="5">
                  <c:v>0.31370038412291934</c:v>
                </c:pt>
                <c:pt idx="6">
                  <c:v>0.55510388437217695</c:v>
                </c:pt>
                <c:pt idx="7">
                  <c:v>0.61764329580347999</c:v>
                </c:pt>
                <c:pt idx="8">
                  <c:v>0.56971264898826579</c:v>
                </c:pt>
                <c:pt idx="9">
                  <c:v>0.45086705202312144</c:v>
                </c:pt>
                <c:pt idx="10">
                  <c:v>0.73602990510878941</c:v>
                </c:pt>
                <c:pt idx="11">
                  <c:v>0.37283794964737405</c:v>
                </c:pt>
                <c:pt idx="12">
                  <c:v>0.68790181180596144</c:v>
                </c:pt>
                <c:pt idx="13">
                  <c:v>0.64333392242961429</c:v>
                </c:pt>
              </c:numCache>
            </c:numRef>
          </c:yVal>
          <c:smooth val="0"/>
        </c:ser>
        <c:dLbls>
          <c:showLegendKey val="0"/>
          <c:showVal val="0"/>
          <c:showCatName val="0"/>
          <c:showSerName val="0"/>
          <c:showPercent val="0"/>
          <c:showBubbleSize val="0"/>
        </c:dLbls>
        <c:axId val="271184256"/>
        <c:axId val="271186176"/>
      </c:scatterChart>
      <c:valAx>
        <c:axId val="271184256"/>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1186176"/>
        <c:crosses val="autoZero"/>
        <c:crossBetween val="midCat"/>
        <c:majorUnit val="10"/>
      </c:valAx>
      <c:valAx>
        <c:axId val="271186176"/>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1184256"/>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8359535566528761E-2"/>
                  <c:y val="-4.2920112372888064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0.10643932422392438"/>
                  <c:y val="-0.10653016910363304"/>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5.4512025318482614E-2"/>
                  <c:y val="5.7485715308587704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3.1914942835535386E-2"/>
                  <c:y val="-5.6236563394399822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10.415282392026578</c:v>
                </c:pt>
                <c:pt idx="1">
                  <c:v>23.56259541984733</c:v>
                </c:pt>
                <c:pt idx="2">
                  <c:v>84.044827586206907</c:v>
                </c:pt>
                <c:pt idx="3">
                  <c:v>74.923439340400478</c:v>
                </c:pt>
                <c:pt idx="4">
                  <c:v>23.499999999999996</c:v>
                </c:pt>
                <c:pt idx="5">
                  <c:v>17.261904761904766</c:v>
                </c:pt>
                <c:pt idx="6">
                  <c:v>25.487179487179489</c:v>
                </c:pt>
                <c:pt idx="7">
                  <c:v>14.995876288659792</c:v>
                </c:pt>
                <c:pt idx="8">
                  <c:v>18.701669144500922</c:v>
                </c:pt>
                <c:pt idx="9">
                  <c:v>29.227272727272727</c:v>
                </c:pt>
                <c:pt idx="10">
                  <c:v>29.433460076045627</c:v>
                </c:pt>
                <c:pt idx="11">
                  <c:v>25.17118997912317</c:v>
                </c:pt>
                <c:pt idx="12">
                  <c:v>88.090090090090087</c:v>
                </c:pt>
                <c:pt idx="13">
                  <c:v>95.659420289855078</c:v>
                </c:pt>
              </c:numCache>
            </c:numRef>
          </c:xVal>
          <c:yVal>
            <c:numRef>
              <c:f>Sheet1!$C$3:$C$16</c:f>
              <c:numCache>
                <c:formatCode>0.0</c:formatCode>
                <c:ptCount val="14"/>
                <c:pt idx="0">
                  <c:v>0.46889952153110048</c:v>
                </c:pt>
                <c:pt idx="1">
                  <c:v>0.57945378559626781</c:v>
                </c:pt>
                <c:pt idx="2">
                  <c:v>0.65203298732203663</c:v>
                </c:pt>
                <c:pt idx="3">
                  <c:v>0.67316459676151552</c:v>
                </c:pt>
                <c:pt idx="4">
                  <c:v>0.53743104806934594</c:v>
                </c:pt>
                <c:pt idx="5">
                  <c:v>0.40649655172413796</c:v>
                </c:pt>
                <c:pt idx="6">
                  <c:v>0.46881287726358145</c:v>
                </c:pt>
                <c:pt idx="7">
                  <c:v>0.58691965717952244</c:v>
                </c:pt>
                <c:pt idx="8">
                  <c:v>0.5274424156922326</c:v>
                </c:pt>
                <c:pt idx="9">
                  <c:v>0.19308529728436416</c:v>
                </c:pt>
                <c:pt idx="10">
                  <c:v>0.7241958403307065</c:v>
                </c:pt>
                <c:pt idx="11">
                  <c:v>0.47698432445882072</c:v>
                </c:pt>
                <c:pt idx="12">
                  <c:v>0.6510533851503375</c:v>
                </c:pt>
                <c:pt idx="13">
                  <c:v>0.60112112718733424</c:v>
                </c:pt>
              </c:numCache>
            </c:numRef>
          </c:yVal>
          <c:smooth val="0"/>
        </c:ser>
        <c:dLbls>
          <c:showLegendKey val="0"/>
          <c:showVal val="0"/>
          <c:showCatName val="0"/>
          <c:showSerName val="0"/>
          <c:showPercent val="0"/>
          <c:showBubbleSize val="0"/>
        </c:dLbls>
        <c:axId val="271145600"/>
        <c:axId val="276714240"/>
      </c:scatterChart>
      <c:valAx>
        <c:axId val="271145600"/>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6714240"/>
        <c:crosses val="autoZero"/>
        <c:crossBetween val="midCat"/>
        <c:majorUnit val="10"/>
      </c:valAx>
      <c:valAx>
        <c:axId val="276714240"/>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1145600"/>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2.7393389385648829E-2"/>
                  <c:y val="6.418602197338398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6.9029800955705864E-2"/>
                  <c:y val="5.0799432034456998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layout>
                <c:manualLayout>
                  <c:x val="-9.2883135370790508E-3"/>
                  <c:y val="9.1105923317374271E-2"/>
                </c:manualLayout>
              </c:layout>
              <c:tx>
                <c:rich>
                  <a:bodyPr/>
                  <a:lstStyle/>
                  <a:p>
                    <a:r>
                      <a:rPr lang="lv-LV"/>
                      <a:t>FI</a:t>
                    </a:r>
                    <a:endParaRPr lang="en-US"/>
                  </a:p>
                </c:rich>
              </c:tx>
              <c:dLblPos val="r"/>
              <c:showLegendKey val="0"/>
              <c:showVal val="1"/>
              <c:showCatName val="0"/>
              <c:showSerName val="0"/>
              <c:showPercent val="0"/>
              <c:showBubbleSize val="0"/>
            </c:dLbl>
            <c:dLbl>
              <c:idx val="13"/>
              <c:layout>
                <c:manualLayout>
                  <c:x val="-8.5162151341251838E-2"/>
                  <c:y val="7.7748849233041845E-2"/>
                </c:manualLayout>
              </c:layout>
              <c:tx>
                <c:rich>
                  <a:bodyPr/>
                  <a:lstStyle/>
                  <a:p>
                    <a:r>
                      <a:rPr lang="lv-LV" b="0"/>
                      <a:t>SE</a:t>
                    </a:r>
                    <a:endParaRPr lang="en-US"/>
                  </a:p>
                </c:rich>
              </c:tx>
              <c:dLblPos val="r"/>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7.5338753387533881</c:v>
                </c:pt>
                <c:pt idx="1">
                  <c:v>26.255813953488374</c:v>
                </c:pt>
                <c:pt idx="2">
                  <c:v>69.723214285714292</c:v>
                </c:pt>
                <c:pt idx="3">
                  <c:v>72.657480314960637</c:v>
                </c:pt>
                <c:pt idx="4">
                  <c:v>21.466666666666669</c:v>
                </c:pt>
                <c:pt idx="5">
                  <c:v>12.25</c:v>
                </c:pt>
                <c:pt idx="6">
                  <c:v>19.650000000000002</c:v>
                </c:pt>
                <c:pt idx="7">
                  <c:v>50.591880341880341</c:v>
                </c:pt>
                <c:pt idx="8">
                  <c:v>18.377293217720137</c:v>
                </c:pt>
                <c:pt idx="9">
                  <c:v>15.291486291486292</c:v>
                </c:pt>
                <c:pt idx="10">
                  <c:v>28.321428571428573</c:v>
                </c:pt>
                <c:pt idx="11">
                  <c:v>23.855907780979823</c:v>
                </c:pt>
                <c:pt idx="12">
                  <c:v>80</c:v>
                </c:pt>
                <c:pt idx="13">
                  <c:v>79.316249999999997</c:v>
                </c:pt>
              </c:numCache>
            </c:numRef>
          </c:xVal>
          <c:yVal>
            <c:numRef>
              <c:f>Sheet1!$C$3:$C$16</c:f>
              <c:numCache>
                <c:formatCode>0.0</c:formatCode>
                <c:ptCount val="14"/>
                <c:pt idx="0">
                  <c:v>0.57338129496402879</c:v>
                </c:pt>
                <c:pt idx="1">
                  <c:v>0.58314470360528814</c:v>
                </c:pt>
                <c:pt idx="2">
                  <c:v>0.80407222435651171</c:v>
                </c:pt>
                <c:pt idx="3">
                  <c:v>0.68382552153887832</c:v>
                </c:pt>
                <c:pt idx="4">
                  <c:v>0.72981366459627328</c:v>
                </c:pt>
                <c:pt idx="5">
                  <c:v>0.49022675736961452</c:v>
                </c:pt>
                <c:pt idx="6">
                  <c:v>0.54368108566581841</c:v>
                </c:pt>
                <c:pt idx="7">
                  <c:v>0.32119778688178402</c:v>
                </c:pt>
                <c:pt idx="8">
                  <c:v>0.56401091759812838</c:v>
                </c:pt>
                <c:pt idx="9">
                  <c:v>0.44238935547796543</c:v>
                </c:pt>
                <c:pt idx="10">
                  <c:v>0.76141235813366959</c:v>
                </c:pt>
                <c:pt idx="11">
                  <c:v>0.57852138197632275</c:v>
                </c:pt>
                <c:pt idx="12">
                  <c:v>0.58639705882352944</c:v>
                </c:pt>
                <c:pt idx="13">
                  <c:v>0.59275369170882386</c:v>
                </c:pt>
              </c:numCache>
            </c:numRef>
          </c:yVal>
          <c:smooth val="0"/>
        </c:ser>
        <c:dLbls>
          <c:showLegendKey val="0"/>
          <c:showVal val="0"/>
          <c:showCatName val="0"/>
          <c:showSerName val="0"/>
          <c:showPercent val="0"/>
          <c:showBubbleSize val="0"/>
        </c:dLbls>
        <c:axId val="272393344"/>
        <c:axId val="272395264"/>
      </c:scatterChart>
      <c:valAx>
        <c:axId val="272393344"/>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2395264"/>
        <c:crosses val="autoZero"/>
        <c:crossBetween val="midCat"/>
        <c:majorUnit val="10"/>
      </c:valAx>
      <c:valAx>
        <c:axId val="272395264"/>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2393344"/>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993359666757087"/>
          <c:y val="5.7971014492753624E-2"/>
          <c:w val="0.75915801238072844"/>
          <c:h val="0.76381669682594022"/>
        </c:manualLayout>
      </c:layout>
      <c:scatterChart>
        <c:scatterStyle val="lineMarker"/>
        <c:varyColors val="0"/>
        <c:ser>
          <c:idx val="0"/>
          <c:order val="0"/>
          <c:tx>
            <c:strRef>
              <c:f>Sheet1!$C$2</c:f>
              <c:strCache>
                <c:ptCount val="1"/>
                <c:pt idx="0">
                  <c:v>y</c:v>
                </c:pt>
              </c:strCache>
            </c:strRef>
          </c:tx>
          <c:spPr>
            <a:ln w="25400">
              <a:noFill/>
            </a:ln>
          </c:spPr>
          <c:marker>
            <c:symbol val="triangle"/>
            <c:size val="5"/>
            <c:spPr>
              <a:solidFill>
                <a:srgbClr val="0000FF"/>
              </a:solidFill>
              <a:ln w="6350">
                <a:solidFill>
                  <a:sysClr val="windowText" lastClr="000000"/>
                </a:solidFill>
              </a:ln>
            </c:spPr>
          </c:marker>
          <c:dPt>
            <c:idx val="5"/>
            <c:marker>
              <c:symbol val="triangle"/>
              <c:size val="8"/>
              <c:spPr>
                <a:solidFill>
                  <a:srgbClr val="FF0000"/>
                </a:solidFill>
                <a:ln w="6350">
                  <a:solidFill>
                    <a:sysClr val="windowText" lastClr="000000"/>
                  </a:solidFill>
                </a:ln>
              </c:spPr>
            </c:marker>
            <c:bubble3D val="0"/>
          </c:dPt>
          <c:dLbls>
            <c:dLbl>
              <c:idx val="0"/>
              <c:layout>
                <c:manualLayout>
                  <c:x val="-8.162677086509916E-2"/>
                  <c:y val="-3.6122250529243012E-2"/>
                </c:manualLayout>
              </c:layout>
              <c:tx>
                <c:rich>
                  <a:bodyPr/>
                  <a:lstStyle/>
                  <a:p>
                    <a:r>
                      <a:rPr lang="lv-LV"/>
                      <a:t>BG</a:t>
                    </a:r>
                    <a:endParaRPr lang="en-US"/>
                  </a:p>
                </c:rich>
              </c:tx>
              <c:dLblPos val="r"/>
              <c:showLegendKey val="0"/>
              <c:showVal val="1"/>
              <c:showCatName val="0"/>
              <c:showSerName val="0"/>
              <c:showPercent val="0"/>
              <c:showBubbleSize val="0"/>
            </c:dLbl>
            <c:dLbl>
              <c:idx val="1"/>
              <c:layout>
                <c:manualLayout>
                  <c:x val="-1.3839906998557795E-2"/>
                  <c:y val="1.0681732389672377E-2"/>
                </c:manualLayout>
              </c:layout>
              <c:tx>
                <c:rich>
                  <a:bodyPr/>
                  <a:lstStyle/>
                  <a:p>
                    <a:r>
                      <a:rPr lang="lv-LV"/>
                      <a:t>CZ</a:t>
                    </a:r>
                    <a:endParaRPr lang="en-US"/>
                  </a:p>
                </c:rich>
              </c:tx>
              <c:dLblPos val="r"/>
              <c:showLegendKey val="0"/>
              <c:showVal val="1"/>
              <c:showCatName val="0"/>
              <c:showSerName val="0"/>
              <c:showPercent val="0"/>
              <c:showBubbleSize val="0"/>
            </c:dLbl>
            <c:dLbl>
              <c:idx val="2"/>
              <c:tx>
                <c:rich>
                  <a:bodyPr/>
                  <a:lstStyle/>
                  <a:p>
                    <a:r>
                      <a:rPr lang="lv-LV"/>
                      <a:t>DK</a:t>
                    </a:r>
                    <a:endParaRPr lang="en-US"/>
                  </a:p>
                </c:rich>
              </c:tx>
              <c:dLblPos val="b"/>
              <c:showLegendKey val="0"/>
              <c:showVal val="1"/>
              <c:showCatName val="0"/>
              <c:showSerName val="0"/>
              <c:showPercent val="0"/>
              <c:showBubbleSize val="0"/>
            </c:dLbl>
            <c:dLbl>
              <c:idx val="3"/>
              <c:tx>
                <c:rich>
                  <a:bodyPr/>
                  <a:lstStyle/>
                  <a:p>
                    <a:r>
                      <a:rPr lang="lv-LV"/>
                      <a:t>DE</a:t>
                    </a:r>
                    <a:endParaRPr lang="en-US"/>
                  </a:p>
                </c:rich>
              </c:tx>
              <c:dLblPos val="b"/>
              <c:showLegendKey val="0"/>
              <c:showVal val="1"/>
              <c:showCatName val="0"/>
              <c:showSerName val="0"/>
              <c:showPercent val="0"/>
              <c:showBubbleSize val="0"/>
            </c:dLbl>
            <c:dLbl>
              <c:idx val="4"/>
              <c:layout>
                <c:manualLayout>
                  <c:x val="-7.9312683152153229E-2"/>
                  <c:y val="-3.949866451401117E-2"/>
                </c:manualLayout>
              </c:layout>
              <c:tx>
                <c:rich>
                  <a:bodyPr/>
                  <a:lstStyle/>
                  <a:p>
                    <a:r>
                      <a:rPr lang="lv-LV"/>
                      <a:t>EE</a:t>
                    </a:r>
                    <a:endParaRPr lang="en-US"/>
                  </a:p>
                </c:rich>
              </c:tx>
              <c:dLblPos val="r"/>
              <c:showLegendKey val="0"/>
              <c:showVal val="1"/>
              <c:showCatName val="0"/>
              <c:showSerName val="0"/>
              <c:showPercent val="0"/>
              <c:showBubbleSize val="0"/>
            </c:dLbl>
            <c:dLbl>
              <c:idx val="5"/>
              <c:layout>
                <c:manualLayout>
                  <c:x val="-6.3550273834021467E-2"/>
                  <c:y val="6.4171998582718534E-2"/>
                </c:manualLayout>
              </c:layout>
              <c:tx>
                <c:rich>
                  <a:bodyPr/>
                  <a:lstStyle/>
                  <a:p>
                    <a:r>
                      <a:rPr lang="lv-LV"/>
                      <a:t>LV</a:t>
                    </a:r>
                    <a:endParaRPr lang="en-US"/>
                  </a:p>
                </c:rich>
              </c:tx>
              <c:dLblPos val="r"/>
              <c:showLegendKey val="0"/>
              <c:showVal val="1"/>
              <c:showCatName val="0"/>
              <c:showSerName val="0"/>
              <c:showPercent val="0"/>
              <c:showBubbleSize val="0"/>
            </c:dLbl>
            <c:dLbl>
              <c:idx val="6"/>
              <c:layout>
                <c:manualLayout>
                  <c:x val="-8.1630677521242048E-2"/>
                  <c:y val="6.418602197338398E-2"/>
                </c:manualLayout>
              </c:layout>
              <c:tx>
                <c:rich>
                  <a:bodyPr/>
                  <a:lstStyle/>
                  <a:p>
                    <a:r>
                      <a:rPr lang="lv-LV"/>
                      <a:t>LT</a:t>
                    </a:r>
                    <a:endParaRPr lang="en-US"/>
                  </a:p>
                </c:rich>
              </c:tx>
              <c:dLblPos val="r"/>
              <c:showLegendKey val="0"/>
              <c:showVal val="1"/>
              <c:showCatName val="0"/>
              <c:showSerName val="0"/>
              <c:showPercent val="0"/>
              <c:showBubbleSize val="0"/>
            </c:dLbl>
            <c:dLbl>
              <c:idx val="7"/>
              <c:layout>
                <c:manualLayout>
                  <c:x val="-1.2128711725762245E-3"/>
                  <c:y val="6.4204911019894575E-2"/>
                </c:manualLayout>
              </c:layout>
              <c:tx>
                <c:rich>
                  <a:bodyPr/>
                  <a:lstStyle/>
                  <a:p>
                    <a:r>
                      <a:rPr lang="lv-LV"/>
                      <a:t>HU</a:t>
                    </a:r>
                    <a:endParaRPr lang="en-US"/>
                  </a:p>
                </c:rich>
              </c:tx>
              <c:dLblPos val="r"/>
              <c:showLegendKey val="0"/>
              <c:showVal val="1"/>
              <c:showCatName val="0"/>
              <c:showSerName val="0"/>
              <c:showPercent val="0"/>
              <c:showBubbleSize val="0"/>
            </c:dLbl>
            <c:dLbl>
              <c:idx val="8"/>
              <c:layout>
                <c:manualLayout>
                  <c:x val="-6.8069398091790925E-2"/>
                  <c:y val="5.0799432034456998E-2"/>
                </c:manualLayout>
              </c:layout>
              <c:tx>
                <c:rich>
                  <a:bodyPr/>
                  <a:lstStyle/>
                  <a:p>
                    <a:r>
                      <a:rPr lang="lv-LV"/>
                      <a:t>PL</a:t>
                    </a:r>
                    <a:endParaRPr lang="en-US"/>
                  </a:p>
                </c:rich>
              </c:tx>
              <c:dLblPos val="r"/>
              <c:showLegendKey val="0"/>
              <c:showVal val="1"/>
              <c:showCatName val="0"/>
              <c:showSerName val="0"/>
              <c:showPercent val="0"/>
              <c:showBubbleSize val="0"/>
            </c:dLbl>
            <c:dLbl>
              <c:idx val="9"/>
              <c:tx>
                <c:rich>
                  <a:bodyPr/>
                  <a:lstStyle/>
                  <a:p>
                    <a:r>
                      <a:rPr lang="lv-LV"/>
                      <a:t>RO</a:t>
                    </a:r>
                    <a:endParaRPr lang="en-US"/>
                  </a:p>
                </c:rich>
              </c:tx>
              <c:dLblPos val="b"/>
              <c:showLegendKey val="0"/>
              <c:showVal val="1"/>
              <c:showCatName val="0"/>
              <c:showSerName val="0"/>
              <c:showPercent val="0"/>
              <c:showBubbleSize val="0"/>
            </c:dLbl>
            <c:dLbl>
              <c:idx val="10"/>
              <c:layout>
                <c:manualLayout>
                  <c:x val="-4.8682691305879967E-2"/>
                  <c:y val="-5.288250515989211E-2"/>
                </c:manualLayout>
              </c:layout>
              <c:tx>
                <c:rich>
                  <a:bodyPr/>
                  <a:lstStyle/>
                  <a:p>
                    <a:r>
                      <a:rPr lang="lv-LV"/>
                      <a:t>SI</a:t>
                    </a:r>
                    <a:endParaRPr lang="en-US"/>
                  </a:p>
                </c:rich>
              </c:tx>
              <c:dLblPos val="r"/>
              <c:showLegendKey val="0"/>
              <c:showVal val="1"/>
              <c:showCatName val="0"/>
              <c:showSerName val="0"/>
              <c:showPercent val="0"/>
              <c:showBubbleSize val="0"/>
            </c:dLbl>
            <c:dLbl>
              <c:idx val="11"/>
              <c:layout>
                <c:manualLayout>
                  <c:x val="-4.5473776802943768E-2"/>
                  <c:y val="-2.9435967255112244E-2"/>
                </c:manualLayout>
              </c:layout>
              <c:tx>
                <c:rich>
                  <a:bodyPr/>
                  <a:lstStyle/>
                  <a:p>
                    <a:r>
                      <a:rPr lang="lv-LV"/>
                      <a:t>SK</a:t>
                    </a:r>
                    <a:endParaRPr lang="en-US"/>
                  </a:p>
                </c:rich>
              </c:tx>
              <c:dLblPos val="r"/>
              <c:showLegendKey val="0"/>
              <c:showVal val="1"/>
              <c:showCatName val="0"/>
              <c:showSerName val="0"/>
              <c:showPercent val="0"/>
              <c:showBubbleSize val="0"/>
            </c:dLbl>
            <c:dLbl>
              <c:idx val="12"/>
              <c:tx>
                <c:rich>
                  <a:bodyPr/>
                  <a:lstStyle/>
                  <a:p>
                    <a:r>
                      <a:rPr lang="lv-LV"/>
                      <a:t>FI</a:t>
                    </a:r>
                    <a:endParaRPr lang="en-US"/>
                  </a:p>
                </c:rich>
              </c:tx>
              <c:dLblPos val="b"/>
              <c:showLegendKey val="0"/>
              <c:showVal val="1"/>
              <c:showCatName val="0"/>
              <c:showSerName val="0"/>
              <c:showPercent val="0"/>
              <c:showBubbleSize val="0"/>
            </c:dLbl>
            <c:dLbl>
              <c:idx val="13"/>
              <c:tx>
                <c:rich>
                  <a:bodyPr/>
                  <a:lstStyle/>
                  <a:p>
                    <a:r>
                      <a:rPr lang="lv-LV" b="0"/>
                      <a:t>SE</a:t>
                    </a:r>
                    <a:endParaRPr lang="en-US"/>
                  </a:p>
                </c:rich>
              </c:tx>
              <c:dLblPos val="b"/>
              <c:showLegendKey val="0"/>
              <c:showVal val="1"/>
              <c:showCatName val="0"/>
              <c:showSerName val="0"/>
              <c:showPercent val="0"/>
              <c:showBubbleSize val="0"/>
            </c:dLbl>
            <c:txPr>
              <a:bodyPr/>
              <a:lstStyle/>
              <a:p>
                <a:pPr>
                  <a:defRPr b="0"/>
                </a:pPr>
                <a:endParaRPr lang="lv-LV"/>
              </a:p>
            </c:txPr>
            <c:dLblPos val="b"/>
            <c:showLegendKey val="0"/>
            <c:showVal val="1"/>
            <c:showCatName val="0"/>
            <c:showSerName val="0"/>
            <c:showPercent val="0"/>
            <c:showBubbleSize val="0"/>
            <c:showLeaderLines val="0"/>
          </c:dLbls>
          <c:xVal>
            <c:numRef>
              <c:f>Sheet1!$B$3:$B$16</c:f>
              <c:numCache>
                <c:formatCode>0.0</c:formatCode>
                <c:ptCount val="14"/>
                <c:pt idx="0">
                  <c:v>7.7692307692307692</c:v>
                </c:pt>
                <c:pt idx="1">
                  <c:v>38.475032010243282</c:v>
                </c:pt>
                <c:pt idx="2">
                  <c:v>62.5</c:v>
                </c:pt>
                <c:pt idx="3">
                  <c:v>85.05252100840336</c:v>
                </c:pt>
                <c:pt idx="4">
                  <c:v>27.571428571428573</c:v>
                </c:pt>
                <c:pt idx="5">
                  <c:v>11.658536585365853</c:v>
                </c:pt>
                <c:pt idx="6">
                  <c:v>35.09756097560976</c:v>
                </c:pt>
                <c:pt idx="7">
                  <c:v>35.553488372093028</c:v>
                </c:pt>
                <c:pt idx="8">
                  <c:v>19.559893677399057</c:v>
                </c:pt>
                <c:pt idx="9">
                  <c:v>25.067721518987341</c:v>
                </c:pt>
                <c:pt idx="10">
                  <c:v>38.022058823529413</c:v>
                </c:pt>
                <c:pt idx="11">
                  <c:v>34.122965641952987</c:v>
                </c:pt>
                <c:pt idx="12">
                  <c:v>44.121212121212125</c:v>
                </c:pt>
                <c:pt idx="13">
                  <c:v>75.452631578947361</c:v>
                </c:pt>
              </c:numCache>
            </c:numRef>
          </c:xVal>
          <c:yVal>
            <c:numRef>
              <c:f>Sheet1!$C$3:$C$16</c:f>
              <c:numCache>
                <c:formatCode>0.0</c:formatCode>
                <c:ptCount val="14"/>
                <c:pt idx="0">
                  <c:v>0.65594059405940597</c:v>
                </c:pt>
                <c:pt idx="1">
                  <c:v>0.45999866884089319</c:v>
                </c:pt>
                <c:pt idx="2">
                  <c:v>0.79959999999999998</c:v>
                </c:pt>
                <c:pt idx="3">
                  <c:v>0.6881561072001976</c:v>
                </c:pt>
                <c:pt idx="4">
                  <c:v>0.51398963730569946</c:v>
                </c:pt>
                <c:pt idx="5">
                  <c:v>0.5514644351464435</c:v>
                </c:pt>
                <c:pt idx="6">
                  <c:v>0.41904100069492706</c:v>
                </c:pt>
                <c:pt idx="7">
                  <c:v>0.37869570905285188</c:v>
                </c:pt>
                <c:pt idx="8">
                  <c:v>0.53727792570605437</c:v>
                </c:pt>
                <c:pt idx="9">
                  <c:v>0.30832933572348326</c:v>
                </c:pt>
                <c:pt idx="10">
                  <c:v>0.59214852059562939</c:v>
                </c:pt>
                <c:pt idx="11">
                  <c:v>0.4400105988341283</c:v>
                </c:pt>
                <c:pt idx="12">
                  <c:v>0.88598901098901095</c:v>
                </c:pt>
                <c:pt idx="13">
                  <c:v>0.7379847935267857</c:v>
                </c:pt>
              </c:numCache>
            </c:numRef>
          </c:yVal>
          <c:smooth val="0"/>
        </c:ser>
        <c:dLbls>
          <c:showLegendKey val="0"/>
          <c:showVal val="0"/>
          <c:showCatName val="0"/>
          <c:showSerName val="0"/>
          <c:showPercent val="0"/>
          <c:showBubbleSize val="0"/>
        </c:dLbls>
        <c:axId val="272223616"/>
        <c:axId val="272225792"/>
      </c:scatterChart>
      <c:valAx>
        <c:axId val="272223616"/>
        <c:scaling>
          <c:orientation val="minMax"/>
        </c:scaling>
        <c:delete val="0"/>
        <c:axPos val="b"/>
        <c:title>
          <c:tx>
            <c:rich>
              <a:bodyPr/>
              <a:lstStyle/>
              <a:p>
                <a:pPr>
                  <a:defRPr sz="800" b="0">
                    <a:latin typeface="Arial Narrow" pitchFamily="34" charset="0"/>
                  </a:defRPr>
                </a:pPr>
                <a:r>
                  <a:rPr lang="lv-LV" sz="800" b="0">
                    <a:latin typeface="Arial Narrow" pitchFamily="34" charset="0"/>
                  </a:rPr>
                  <a:t>Produktivitāte (pievienotā vērtība uz 1 strādājošo, EUR)</a:t>
                </a:r>
              </a:p>
            </c:rich>
          </c:tx>
          <c:overlay val="0"/>
        </c:title>
        <c:numFmt formatCode="0" sourceLinked="0"/>
        <c:majorTickMark val="out"/>
        <c:minorTickMark val="none"/>
        <c:tickLblPos val="nextTo"/>
        <c:spPr>
          <a:ln w="12700">
            <a:solidFill>
              <a:sysClr val="windowText" lastClr="000000"/>
            </a:solidFill>
            <a:prstDash val="solid"/>
          </a:ln>
        </c:spPr>
        <c:txPr>
          <a:bodyPr rot="0" vert="horz"/>
          <a:lstStyle/>
          <a:p>
            <a:pPr>
              <a:defRPr sz="800" b="0" i="0" u="none" strike="noStrike" baseline="0">
                <a:solidFill>
                  <a:srgbClr val="000000"/>
                </a:solidFill>
                <a:latin typeface="Arial Narrow" pitchFamily="34" charset="0"/>
                <a:ea typeface="Times New Roman"/>
                <a:cs typeface="Times New Roman" pitchFamily="18" charset="0"/>
              </a:defRPr>
            </a:pPr>
            <a:endParaRPr lang="lv-LV"/>
          </a:p>
        </c:txPr>
        <c:crossAx val="272225792"/>
        <c:crosses val="autoZero"/>
        <c:crossBetween val="midCat"/>
        <c:majorUnit val="10"/>
      </c:valAx>
      <c:valAx>
        <c:axId val="272225792"/>
        <c:scaling>
          <c:orientation val="minMax"/>
        </c:scaling>
        <c:delete val="0"/>
        <c:axPos val="l"/>
        <c:title>
          <c:tx>
            <c:rich>
              <a:bodyPr/>
              <a:lstStyle/>
              <a:p>
                <a:pPr>
                  <a:defRPr sz="1000" b="0"/>
                </a:pPr>
                <a:r>
                  <a:rPr lang="lv-LV" sz="800" b="0">
                    <a:latin typeface="Arial Narrow" pitchFamily="34" charset="0"/>
                  </a:rPr>
                  <a:t>Darbaspēka izmaksas uz 1 produkcijas vienību, EUR.</a:t>
                </a:r>
              </a:p>
            </c:rich>
          </c:tx>
          <c:overlay val="0"/>
        </c:title>
        <c:numFmt formatCode="0.0" sourceLinked="0"/>
        <c:majorTickMark val="out"/>
        <c:minorTickMark val="none"/>
        <c:tickLblPos val="nextTo"/>
        <c:spPr>
          <a:ln w="1270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2223616"/>
        <c:crosses val="autoZero"/>
        <c:crossBetween val="midCat"/>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690317107927426E-2"/>
          <c:y val="4.8706240487062395E-2"/>
          <c:w val="0.87335842654556617"/>
          <c:h val="0.82019242551453397"/>
        </c:manualLayout>
      </c:layout>
      <c:barChart>
        <c:barDir val="col"/>
        <c:grouping val="percentStacked"/>
        <c:varyColors val="0"/>
        <c:ser>
          <c:idx val="0"/>
          <c:order val="0"/>
          <c:tx>
            <c:strRef>
              <c:f>Sheet1!$A$10</c:f>
              <c:strCache>
                <c:ptCount val="1"/>
                <c:pt idx="0">
                  <c:v>Zemo tehnoloģiju nozares</c:v>
                </c:pt>
              </c:strCache>
            </c:strRef>
          </c:tx>
          <c:spPr>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Sheet1!$B$10:$K$10</c:f>
              <c:numCache>
                <c:formatCode>General</c:formatCode>
                <c:ptCount val="10"/>
                <c:pt idx="0">
                  <c:v>1788.8000000000002</c:v>
                </c:pt>
                <c:pt idx="1">
                  <c:v>6339.4</c:v>
                </c:pt>
                <c:pt idx="2">
                  <c:v>906.1</c:v>
                </c:pt>
                <c:pt idx="3">
                  <c:v>924.1</c:v>
                </c:pt>
                <c:pt idx="4">
                  <c:v>1299.8</c:v>
                </c:pt>
                <c:pt idx="5">
                  <c:v>3274</c:v>
                </c:pt>
                <c:pt idx="6">
                  <c:v>17369.3</c:v>
                </c:pt>
                <c:pt idx="7">
                  <c:v>4959.8</c:v>
                </c:pt>
                <c:pt idx="8">
                  <c:v>1396.4</c:v>
                </c:pt>
                <c:pt idx="9">
                  <c:v>2186.3000000000002</c:v>
                </c:pt>
              </c:numCache>
            </c:numRef>
          </c:val>
        </c:ser>
        <c:ser>
          <c:idx val="1"/>
          <c:order val="1"/>
          <c:tx>
            <c:strRef>
              <c:f>Sheet1!$A$11</c:f>
              <c:strCache>
                <c:ptCount val="1"/>
                <c:pt idx="0">
                  <c:v>Vidēji zemo tehnoloģiju nozares</c:v>
                </c:pt>
              </c:strCache>
            </c:strRef>
          </c:tx>
          <c:spPr>
            <a:solidFill>
              <a:sysClr val="window" lastClr="FFFFFF"/>
            </a:solidFill>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Sheet1!$B$11:$K$11</c:f>
              <c:numCache>
                <c:formatCode>General</c:formatCode>
                <c:ptCount val="10"/>
                <c:pt idx="0">
                  <c:v>1064.1000000000001</c:v>
                </c:pt>
                <c:pt idx="1">
                  <c:v>9439.2000000000007</c:v>
                </c:pt>
                <c:pt idx="2">
                  <c:v>538.6</c:v>
                </c:pt>
                <c:pt idx="3">
                  <c:v>340</c:v>
                </c:pt>
                <c:pt idx="4">
                  <c:v>632.70000000000005</c:v>
                </c:pt>
                <c:pt idx="5">
                  <c:v>4709.6000000000004</c:v>
                </c:pt>
                <c:pt idx="6">
                  <c:v>15555.1</c:v>
                </c:pt>
                <c:pt idx="7">
                  <c:v>3602.2</c:v>
                </c:pt>
                <c:pt idx="8">
                  <c:v>1969.2</c:v>
                </c:pt>
                <c:pt idx="9">
                  <c:v>3296.8</c:v>
                </c:pt>
              </c:numCache>
            </c:numRef>
          </c:val>
        </c:ser>
        <c:ser>
          <c:idx val="2"/>
          <c:order val="2"/>
          <c:tx>
            <c:strRef>
              <c:f>Sheet1!$A$12</c:f>
              <c:strCache>
                <c:ptCount val="1"/>
                <c:pt idx="0">
                  <c:v>Vidēji augsto tehnoloģiju nozares</c:v>
                </c:pt>
              </c:strCache>
            </c:strRef>
          </c:tx>
          <c:spPr>
            <a:solidFill>
              <a:srgbClr val="9BBB59">
                <a:lumMod val="40000"/>
                <a:lumOff val="60000"/>
              </a:srgbClr>
            </a:solidFill>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Sheet1!$B$12:$K$12</c:f>
              <c:numCache>
                <c:formatCode>General</c:formatCode>
                <c:ptCount val="10"/>
                <c:pt idx="0">
                  <c:v>849.8</c:v>
                </c:pt>
                <c:pt idx="1">
                  <c:v>12104.6</c:v>
                </c:pt>
                <c:pt idx="2">
                  <c:v>338</c:v>
                </c:pt>
                <c:pt idx="3">
                  <c:v>185.8</c:v>
                </c:pt>
                <c:pt idx="4">
                  <c:v>478.8</c:v>
                </c:pt>
                <c:pt idx="5">
                  <c:v>6879.9</c:v>
                </c:pt>
                <c:pt idx="6">
                  <c:v>13449.5</c:v>
                </c:pt>
                <c:pt idx="7">
                  <c:v>3455.2</c:v>
                </c:pt>
                <c:pt idx="8">
                  <c:v>1997.3</c:v>
                </c:pt>
                <c:pt idx="9">
                  <c:v>3251.9</c:v>
                </c:pt>
              </c:numCache>
            </c:numRef>
          </c:val>
        </c:ser>
        <c:ser>
          <c:idx val="3"/>
          <c:order val="3"/>
          <c:tx>
            <c:strRef>
              <c:f>Sheet1!$A$13</c:f>
              <c:strCache>
                <c:ptCount val="1"/>
                <c:pt idx="0">
                  <c:v>Augsto tehnoloģiju nozares</c:v>
                </c:pt>
              </c:strCache>
            </c:strRef>
          </c:tx>
          <c:spPr>
            <a:solidFill>
              <a:srgbClr val="FF0000"/>
            </a:solidFill>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Sheet1!$B$13:$K$13</c:f>
              <c:numCache>
                <c:formatCode>General</c:formatCode>
                <c:ptCount val="10"/>
                <c:pt idx="0">
                  <c:v>229.9</c:v>
                </c:pt>
                <c:pt idx="1">
                  <c:v>1344</c:v>
                </c:pt>
                <c:pt idx="2">
                  <c:v>121.1</c:v>
                </c:pt>
                <c:pt idx="3">
                  <c:v>90.2</c:v>
                </c:pt>
                <c:pt idx="4">
                  <c:v>96.1</c:v>
                </c:pt>
                <c:pt idx="5">
                  <c:v>2632</c:v>
                </c:pt>
                <c:pt idx="6">
                  <c:v>3106.4</c:v>
                </c:pt>
                <c:pt idx="7">
                  <c:v>760.8</c:v>
                </c:pt>
                <c:pt idx="8">
                  <c:v>826</c:v>
                </c:pt>
                <c:pt idx="9">
                  <c:v>961.5</c:v>
                </c:pt>
              </c:numCache>
            </c:numRef>
          </c:val>
        </c:ser>
        <c:dLbls>
          <c:showLegendKey val="0"/>
          <c:showVal val="0"/>
          <c:showCatName val="0"/>
          <c:showSerName val="0"/>
          <c:showPercent val="0"/>
          <c:showBubbleSize val="0"/>
        </c:dLbls>
        <c:gapWidth val="50"/>
        <c:overlap val="100"/>
        <c:axId val="272194944"/>
        <c:axId val="272262272"/>
      </c:barChart>
      <c:catAx>
        <c:axId val="272194944"/>
        <c:scaling>
          <c:orientation val="minMax"/>
        </c:scaling>
        <c:delete val="0"/>
        <c:axPos val="b"/>
        <c:numFmt formatCode="General" sourceLinked="1"/>
        <c:majorTickMark val="cross"/>
        <c:minorTickMark val="none"/>
        <c:tickLblPos val="nextTo"/>
        <c:spPr>
          <a:ln w="6350">
            <a:solidFill>
              <a:srgbClr val="000000"/>
            </a:solidFill>
            <a:prstDash val="solid"/>
          </a:ln>
        </c:spPr>
        <c:txPr>
          <a:bodyPr rot="0" vert="horz"/>
          <a:lstStyle/>
          <a:p>
            <a:pPr marL="0">
              <a:spcBef>
                <a:spcPts val="100"/>
              </a:spcBef>
              <a:defRPr sz="1000" b="0" i="0" u="none" strike="noStrike" baseline="0">
                <a:solidFill>
                  <a:srgbClr val="000000"/>
                </a:solidFill>
                <a:latin typeface="Arial Narrow" pitchFamily="34" charset="0"/>
                <a:ea typeface="Times New Roman"/>
                <a:cs typeface="Times New Roman" pitchFamily="18" charset="0"/>
              </a:defRPr>
            </a:pPr>
            <a:endParaRPr lang="lv-LV"/>
          </a:p>
        </c:txPr>
        <c:crossAx val="272262272"/>
        <c:crosses val="autoZero"/>
        <c:auto val="1"/>
        <c:lblAlgn val="ctr"/>
        <c:lblOffset val="0"/>
        <c:noMultiLvlLbl val="0"/>
      </c:catAx>
      <c:valAx>
        <c:axId val="272262272"/>
        <c:scaling>
          <c:orientation val="minMax"/>
        </c:scaling>
        <c:delete val="0"/>
        <c:axPos val="l"/>
        <c:numFmt formatCode="0%" sourceLinked="0"/>
        <c:majorTickMark val="cross"/>
        <c:minorTickMark val="none"/>
        <c:tickLblPos val="nextTo"/>
        <c:spPr>
          <a:ln w="635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2194944"/>
        <c:crosses val="autoZero"/>
        <c:crossBetween val="between"/>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4.8706240487062395E-2"/>
          <c:w val="0.84631315184653555"/>
          <c:h val="0.78299596798952076"/>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100.26531134126071</c:v>
                </c:pt>
                <c:pt idx="1">
                  <c:v>92.357115458381287</c:v>
                </c:pt>
                <c:pt idx="2">
                  <c:v>80.574734688658751</c:v>
                </c:pt>
                <c:pt idx="3">
                  <c:v>58.790436005625885</c:v>
                </c:pt>
                <c:pt idx="4">
                  <c:v>61.948599923283467</c:v>
                </c:pt>
                <c:pt idx="5">
                  <c:v>68.411967779056383</c:v>
                </c:pt>
                <c:pt idx="6">
                  <c:v>71.487022119933513</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97.253737289593516</c:v>
                </c:pt>
                <c:pt idx="1">
                  <c:v>91.460598871795781</c:v>
                </c:pt>
                <c:pt idx="2">
                  <c:v>80.404922085095208</c:v>
                </c:pt>
                <c:pt idx="3">
                  <c:v>81.694298313126467</c:v>
                </c:pt>
                <c:pt idx="4">
                  <c:v>108.65530011499352</c:v>
                </c:pt>
                <c:pt idx="5">
                  <c:v>122.37755905868293</c:v>
                </c:pt>
                <c:pt idx="6">
                  <c:v>129.00281598319464</c:v>
                </c:pt>
              </c:numCache>
            </c:numRef>
          </c:val>
          <c:smooth val="0"/>
        </c:ser>
        <c:dLbls>
          <c:showLegendKey val="0"/>
          <c:showVal val="0"/>
          <c:showCatName val="0"/>
          <c:showSerName val="0"/>
          <c:showPercent val="0"/>
          <c:showBubbleSize val="0"/>
        </c:dLbls>
        <c:marker val="1"/>
        <c:smooth val="0"/>
        <c:axId val="264852224"/>
        <c:axId val="264853760"/>
      </c:lineChart>
      <c:catAx>
        <c:axId val="264852224"/>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64853760"/>
        <c:crosses val="autoZero"/>
        <c:auto val="1"/>
        <c:lblAlgn val="ctr"/>
        <c:lblOffset val="0"/>
        <c:noMultiLvlLbl val="0"/>
      </c:catAx>
      <c:valAx>
        <c:axId val="264853760"/>
        <c:scaling>
          <c:orientation val="minMax"/>
          <c:min val="5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64852224"/>
        <c:crosses val="autoZero"/>
        <c:crossBetween val="between"/>
        <c:majorUnit val="25"/>
      </c:valAx>
      <c:spPr>
        <a:solidFill>
          <a:sysClr val="window" lastClr="FFFFFF"/>
        </a:solidFill>
        <a:ln w="6350">
          <a:noFill/>
        </a:ln>
      </c:spPr>
    </c:plotArea>
    <c:legend>
      <c:legendPos val="t"/>
      <c:layout>
        <c:manualLayout>
          <c:xMode val="edge"/>
          <c:yMode val="edge"/>
          <c:x val="0.14280650412978177"/>
          <c:y val="3.1201248049921998E-2"/>
          <c:w val="0.65805884790716951"/>
          <c:h val="0.19964223582144541"/>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690317107927426E-2"/>
          <c:y val="4.8706240487062395E-2"/>
          <c:w val="0.87335842654556617"/>
          <c:h val="0.82019242551453397"/>
        </c:manualLayout>
      </c:layout>
      <c:barChart>
        <c:barDir val="col"/>
        <c:grouping val="percentStacked"/>
        <c:varyColors val="0"/>
        <c:ser>
          <c:idx val="0"/>
          <c:order val="0"/>
          <c:tx>
            <c:strRef>
              <c:f>Sheet1!$A$10</c:f>
              <c:strCache>
                <c:ptCount val="1"/>
                <c:pt idx="0">
                  <c:v>Zemo tehnoloģiju nozares</c:v>
                </c:pt>
              </c:strCache>
            </c:strRef>
          </c:tx>
          <c:spPr>
            <a:ln w="3175">
              <a:solidFill>
                <a:sysClr val="windowText" lastClr="000000"/>
              </a:solidFill>
              <a:prstDash val="solid"/>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Sheet1!$B$10:$I$10</c:f>
              <c:numCache>
                <c:formatCode>General</c:formatCode>
                <c:ptCount val="8"/>
                <c:pt idx="0">
                  <c:v>8449.6000000000022</c:v>
                </c:pt>
                <c:pt idx="1">
                  <c:v>75009.7</c:v>
                </c:pt>
                <c:pt idx="2">
                  <c:v>906.1</c:v>
                </c:pt>
                <c:pt idx="3">
                  <c:v>924.1</c:v>
                </c:pt>
                <c:pt idx="4">
                  <c:v>1299.8</c:v>
                </c:pt>
                <c:pt idx="5">
                  <c:v>17369.3</c:v>
                </c:pt>
                <c:pt idx="6">
                  <c:v>8158.7</c:v>
                </c:pt>
                <c:pt idx="7">
                  <c:v>12708.000000000002</c:v>
                </c:pt>
              </c:numCache>
            </c:numRef>
          </c:val>
        </c:ser>
        <c:ser>
          <c:idx val="1"/>
          <c:order val="1"/>
          <c:tx>
            <c:strRef>
              <c:f>Sheet1!$A$11</c:f>
              <c:strCache>
                <c:ptCount val="1"/>
                <c:pt idx="0">
                  <c:v>Vidēji zemo tehnoloģiju nozares</c:v>
                </c:pt>
              </c:strCache>
            </c:strRef>
          </c:tx>
          <c:spPr>
            <a:solidFill>
              <a:sysClr val="window" lastClr="FFFFFF"/>
            </a:solidFill>
            <a:ln w="3175">
              <a:solidFill>
                <a:sysClr val="windowText" lastClr="000000"/>
              </a:solidFill>
              <a:prstDash val="solid"/>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Sheet1!$B$11:$I$11</c:f>
              <c:numCache>
                <c:formatCode>General</c:formatCode>
                <c:ptCount val="8"/>
                <c:pt idx="0">
                  <c:v>4680.2</c:v>
                </c:pt>
                <c:pt idx="1">
                  <c:v>114101.9</c:v>
                </c:pt>
                <c:pt idx="2">
                  <c:v>538.6</c:v>
                </c:pt>
                <c:pt idx="3">
                  <c:v>340</c:v>
                </c:pt>
                <c:pt idx="4">
                  <c:v>632.70000000000005</c:v>
                </c:pt>
                <c:pt idx="5">
                  <c:v>15555.1</c:v>
                </c:pt>
                <c:pt idx="6">
                  <c:v>7158.4</c:v>
                </c:pt>
                <c:pt idx="7">
                  <c:v>9341.1999999999989</c:v>
                </c:pt>
              </c:numCache>
            </c:numRef>
          </c:val>
        </c:ser>
        <c:ser>
          <c:idx val="2"/>
          <c:order val="2"/>
          <c:tx>
            <c:strRef>
              <c:f>Sheet1!$A$12</c:f>
              <c:strCache>
                <c:ptCount val="1"/>
                <c:pt idx="0">
                  <c:v>Vidēji augsto tehnoloģiju nozares</c:v>
                </c:pt>
              </c:strCache>
            </c:strRef>
          </c:tx>
          <c:spPr>
            <a:solidFill>
              <a:srgbClr val="9BBB59">
                <a:lumMod val="40000"/>
                <a:lumOff val="60000"/>
              </a:srgbClr>
            </a:solidFill>
            <a:ln w="3175">
              <a:solidFill>
                <a:sysClr val="windowText" lastClr="000000"/>
              </a:solidFill>
              <a:prstDash val="solid"/>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Sheet1!$B$12:$I$12</c:f>
              <c:numCache>
                <c:formatCode>General</c:formatCode>
                <c:ptCount val="8"/>
                <c:pt idx="0">
                  <c:v>12362.6</c:v>
                </c:pt>
                <c:pt idx="1">
                  <c:v>221904.4</c:v>
                </c:pt>
                <c:pt idx="2">
                  <c:v>338</c:v>
                </c:pt>
                <c:pt idx="3">
                  <c:v>185.8</c:v>
                </c:pt>
                <c:pt idx="4">
                  <c:v>478.8</c:v>
                </c:pt>
                <c:pt idx="5">
                  <c:v>13449.5</c:v>
                </c:pt>
                <c:pt idx="6">
                  <c:v>7210.2</c:v>
                </c:pt>
                <c:pt idx="7">
                  <c:v>17028</c:v>
                </c:pt>
              </c:numCache>
            </c:numRef>
          </c:val>
        </c:ser>
        <c:ser>
          <c:idx val="3"/>
          <c:order val="3"/>
          <c:tx>
            <c:strRef>
              <c:f>Sheet1!$A$13</c:f>
              <c:strCache>
                <c:ptCount val="1"/>
                <c:pt idx="0">
                  <c:v>Augsto tehnoloģiju nozares</c:v>
                </c:pt>
              </c:strCache>
            </c:strRef>
          </c:tx>
          <c:spPr>
            <a:solidFill>
              <a:srgbClr val="FF0000"/>
            </a:solidFill>
            <a:ln w="3175">
              <a:solidFill>
                <a:sysClr val="windowText" lastClr="000000"/>
              </a:solidFill>
              <a:prstDash val="solid"/>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Sheet1!$B$13:$I$13</c:f>
              <c:numCache>
                <c:formatCode>General</c:formatCode>
                <c:ptCount val="8"/>
                <c:pt idx="0">
                  <c:v>5117.1000000000004</c:v>
                </c:pt>
                <c:pt idx="1">
                  <c:v>44772.3</c:v>
                </c:pt>
                <c:pt idx="2">
                  <c:v>121.1</c:v>
                </c:pt>
                <c:pt idx="3">
                  <c:v>90.2</c:v>
                </c:pt>
                <c:pt idx="4">
                  <c:v>96.1</c:v>
                </c:pt>
                <c:pt idx="5">
                  <c:v>3106.4</c:v>
                </c:pt>
                <c:pt idx="6">
                  <c:v>3977.8</c:v>
                </c:pt>
                <c:pt idx="7">
                  <c:v>11721.4</c:v>
                </c:pt>
              </c:numCache>
            </c:numRef>
          </c:val>
        </c:ser>
        <c:dLbls>
          <c:showLegendKey val="0"/>
          <c:showVal val="0"/>
          <c:showCatName val="0"/>
          <c:showSerName val="0"/>
          <c:showPercent val="0"/>
          <c:showBubbleSize val="0"/>
        </c:dLbls>
        <c:gapWidth val="50"/>
        <c:overlap val="100"/>
        <c:axId val="276679296"/>
        <c:axId val="276689280"/>
      </c:barChart>
      <c:catAx>
        <c:axId val="276679296"/>
        <c:scaling>
          <c:orientation val="minMax"/>
        </c:scaling>
        <c:delete val="0"/>
        <c:axPos val="b"/>
        <c:numFmt formatCode="General" sourceLinked="1"/>
        <c:majorTickMark val="cross"/>
        <c:minorTickMark val="none"/>
        <c:tickLblPos val="nextTo"/>
        <c:spPr>
          <a:ln w="6350">
            <a:solidFill>
              <a:srgbClr val="000000"/>
            </a:solidFill>
            <a:prstDash val="solid"/>
          </a:ln>
        </c:spPr>
        <c:txPr>
          <a:bodyPr rot="0" vert="horz"/>
          <a:lstStyle/>
          <a:p>
            <a:pPr marL="0">
              <a:spcBef>
                <a:spcPts val="100"/>
              </a:spcBef>
              <a:defRPr sz="1000" b="0" i="0" u="none" strike="noStrike" baseline="0">
                <a:solidFill>
                  <a:srgbClr val="000000"/>
                </a:solidFill>
                <a:latin typeface="Arial Narrow" pitchFamily="34" charset="0"/>
                <a:ea typeface="Times New Roman"/>
                <a:cs typeface="Times New Roman" pitchFamily="18" charset="0"/>
              </a:defRPr>
            </a:pPr>
            <a:endParaRPr lang="lv-LV"/>
          </a:p>
        </c:txPr>
        <c:crossAx val="276689280"/>
        <c:crosses val="autoZero"/>
        <c:auto val="1"/>
        <c:lblAlgn val="ctr"/>
        <c:lblOffset val="0"/>
        <c:noMultiLvlLbl val="0"/>
      </c:catAx>
      <c:valAx>
        <c:axId val="276689280"/>
        <c:scaling>
          <c:orientation val="minMax"/>
        </c:scaling>
        <c:delete val="0"/>
        <c:axPos val="l"/>
        <c:numFmt formatCode="0%" sourceLinked="0"/>
        <c:majorTickMark val="cross"/>
        <c:minorTickMark val="none"/>
        <c:tickLblPos val="nextTo"/>
        <c:spPr>
          <a:ln w="6350">
            <a:solidFill>
              <a:sysClr val="windowText" lastClr="000000"/>
            </a:solidFill>
          </a:ln>
        </c:spPr>
        <c:txPr>
          <a:bodyPr rot="0" vert="horz"/>
          <a:lstStyle/>
          <a:p>
            <a:pPr>
              <a:defRPr sz="800" b="0" i="0" u="none" strike="noStrike" baseline="0">
                <a:solidFill>
                  <a:srgbClr val="000000"/>
                </a:solidFill>
                <a:latin typeface="Arial Narrow" pitchFamily="34" charset="0"/>
                <a:ea typeface="Times New Roman"/>
                <a:cs typeface="Times New Roman"/>
              </a:defRPr>
            </a:pPr>
            <a:endParaRPr lang="lv-LV"/>
          </a:p>
        </c:txPr>
        <c:crossAx val="276679296"/>
        <c:crosses val="autoZero"/>
        <c:crossBetween val="between"/>
      </c:valAx>
      <c:spPr>
        <a:solidFill>
          <a:sysClr val="window" lastClr="FFFFFF"/>
        </a:solidFill>
        <a:ln w="6350">
          <a:noFill/>
        </a:ln>
      </c:spPr>
    </c:plotArea>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211927616553003"/>
          <c:y val="0.40659602072167195"/>
          <c:w val="0.17516031779811311"/>
          <c:h val="0.21083697328909881"/>
        </c:manualLayout>
      </c:layout>
      <c:barChart>
        <c:barDir val="col"/>
        <c:grouping val="percentStacked"/>
        <c:varyColors val="0"/>
        <c:ser>
          <c:idx val="0"/>
          <c:order val="0"/>
          <c:tx>
            <c:strRef>
              <c:f>Sheet1!$A$10</c:f>
              <c:strCache>
                <c:ptCount val="1"/>
                <c:pt idx="0">
                  <c:v>Zemo tehnoloģiju nozares</c:v>
                </c:pt>
              </c:strCache>
            </c:strRef>
          </c:tx>
          <c:spPr>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Sheet1!$B$10:$K$10</c:f>
              <c:numCache>
                <c:formatCode>General</c:formatCode>
                <c:ptCount val="10"/>
                <c:pt idx="0">
                  <c:v>7537.1</c:v>
                </c:pt>
                <c:pt idx="1">
                  <c:v>23755.200000000001</c:v>
                </c:pt>
                <c:pt idx="2">
                  <c:v>3440.8</c:v>
                </c:pt>
                <c:pt idx="3">
                  <c:v>3464.8</c:v>
                </c:pt>
                <c:pt idx="4">
                  <c:v>5420.2</c:v>
                </c:pt>
                <c:pt idx="5">
                  <c:v>13571.1</c:v>
                </c:pt>
                <c:pt idx="6">
                  <c:v>70908.7</c:v>
                </c:pt>
                <c:pt idx="7">
                  <c:v>17410.5</c:v>
                </c:pt>
                <c:pt idx="8">
                  <c:v>4772.6000000000004</c:v>
                </c:pt>
                <c:pt idx="9">
                  <c:v>7785.4</c:v>
                </c:pt>
              </c:numCache>
            </c:numRef>
          </c:val>
        </c:ser>
        <c:ser>
          <c:idx val="1"/>
          <c:order val="1"/>
          <c:tx>
            <c:strRef>
              <c:f>Sheet1!$A$11</c:f>
              <c:strCache>
                <c:ptCount val="1"/>
                <c:pt idx="0">
                  <c:v>Vidēji zemo tehnoloģiju nozares</c:v>
                </c:pt>
              </c:strCache>
            </c:strRef>
          </c:tx>
          <c:spPr>
            <a:solidFill>
              <a:sysClr val="window" lastClr="FFFFFF"/>
            </a:solidFill>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Sheet1!$B$11:$K$11</c:f>
              <c:numCache>
                <c:formatCode>General</c:formatCode>
                <c:ptCount val="10"/>
                <c:pt idx="0">
                  <c:v>9615.7000000000007</c:v>
                </c:pt>
                <c:pt idx="1">
                  <c:v>38262.5</c:v>
                </c:pt>
                <c:pt idx="2">
                  <c:v>1839</c:v>
                </c:pt>
                <c:pt idx="3">
                  <c:v>1491.4</c:v>
                </c:pt>
                <c:pt idx="4">
                  <c:v>6082.4</c:v>
                </c:pt>
                <c:pt idx="5">
                  <c:v>18796.3</c:v>
                </c:pt>
                <c:pt idx="6">
                  <c:v>72097.8</c:v>
                </c:pt>
                <c:pt idx="7">
                  <c:v>17075.199999999997</c:v>
                </c:pt>
                <c:pt idx="8">
                  <c:v>6453.5</c:v>
                </c:pt>
                <c:pt idx="9">
                  <c:v>15799.5</c:v>
                </c:pt>
              </c:numCache>
            </c:numRef>
          </c:val>
        </c:ser>
        <c:ser>
          <c:idx val="2"/>
          <c:order val="2"/>
          <c:tx>
            <c:strRef>
              <c:f>Sheet1!$A$12</c:f>
              <c:strCache>
                <c:ptCount val="1"/>
                <c:pt idx="0">
                  <c:v>Vidēji augsto tehnoloģiju nozares</c:v>
                </c:pt>
              </c:strCache>
            </c:strRef>
          </c:tx>
          <c:spPr>
            <a:solidFill>
              <a:srgbClr val="9BBB59">
                <a:lumMod val="40000"/>
                <a:lumOff val="60000"/>
              </a:srgbClr>
            </a:solidFill>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Sheet1!$B$12:$K$12</c:f>
              <c:numCache>
                <c:formatCode>General</c:formatCode>
                <c:ptCount val="10"/>
                <c:pt idx="0">
                  <c:v>3429.9</c:v>
                </c:pt>
                <c:pt idx="1">
                  <c:v>52042.6</c:v>
                </c:pt>
                <c:pt idx="2">
                  <c:v>1191.5</c:v>
                </c:pt>
                <c:pt idx="3">
                  <c:v>521.70000000000005</c:v>
                </c:pt>
                <c:pt idx="4">
                  <c:v>2272.9</c:v>
                </c:pt>
                <c:pt idx="5">
                  <c:v>26225.3</c:v>
                </c:pt>
                <c:pt idx="6">
                  <c:v>55788.1</c:v>
                </c:pt>
                <c:pt idx="7">
                  <c:v>14453.2</c:v>
                </c:pt>
                <c:pt idx="8">
                  <c:v>7661.4</c:v>
                </c:pt>
                <c:pt idx="9">
                  <c:v>20366</c:v>
                </c:pt>
              </c:numCache>
            </c:numRef>
          </c:val>
        </c:ser>
        <c:ser>
          <c:idx val="3"/>
          <c:order val="3"/>
          <c:tx>
            <c:strRef>
              <c:f>Sheet1!$A$13</c:f>
              <c:strCache>
                <c:ptCount val="1"/>
                <c:pt idx="0">
                  <c:v>Augsto tehnoloģiju nozares</c:v>
                </c:pt>
              </c:strCache>
            </c:strRef>
          </c:tx>
          <c:spPr>
            <a:solidFill>
              <a:srgbClr val="FF0000"/>
            </a:solidFill>
            <a:ln w="3175">
              <a:solidFill>
                <a:sysClr val="windowText" lastClr="000000"/>
              </a:solidFill>
              <a:prstDash val="solid"/>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Sheet1!$B$13:$K$13</c:f>
              <c:numCache>
                <c:formatCode>General</c:formatCode>
                <c:ptCount val="10"/>
                <c:pt idx="0">
                  <c:v>628.20000000000005</c:v>
                </c:pt>
                <c:pt idx="1">
                  <c:v>12137.8</c:v>
                </c:pt>
                <c:pt idx="2">
                  <c:v>934.6</c:v>
                </c:pt>
                <c:pt idx="3">
                  <c:v>237</c:v>
                </c:pt>
                <c:pt idx="4">
                  <c:v>325.89999999999998</c:v>
                </c:pt>
                <c:pt idx="5">
                  <c:v>18033.2</c:v>
                </c:pt>
                <c:pt idx="6">
                  <c:v>13865.5</c:v>
                </c:pt>
                <c:pt idx="7">
                  <c:v>3520.7</c:v>
                </c:pt>
                <c:pt idx="8">
                  <c:v>1920.2</c:v>
                </c:pt>
                <c:pt idx="9">
                  <c:v>6953.8</c:v>
                </c:pt>
              </c:numCache>
            </c:numRef>
          </c:val>
        </c:ser>
        <c:dLbls>
          <c:showLegendKey val="0"/>
          <c:showVal val="0"/>
          <c:showCatName val="0"/>
          <c:showSerName val="0"/>
          <c:showPercent val="0"/>
          <c:showBubbleSize val="0"/>
        </c:dLbls>
        <c:gapWidth val="50"/>
        <c:overlap val="100"/>
        <c:axId val="276670336"/>
        <c:axId val="276671872"/>
      </c:barChart>
      <c:catAx>
        <c:axId val="276670336"/>
        <c:scaling>
          <c:orientation val="minMax"/>
        </c:scaling>
        <c:delete val="1"/>
        <c:axPos val="b"/>
        <c:numFmt formatCode="General" sourceLinked="1"/>
        <c:majorTickMark val="cross"/>
        <c:minorTickMark val="none"/>
        <c:tickLblPos val="nextTo"/>
        <c:crossAx val="276671872"/>
        <c:crosses val="autoZero"/>
        <c:auto val="1"/>
        <c:lblAlgn val="ctr"/>
        <c:lblOffset val="0"/>
        <c:noMultiLvlLbl val="0"/>
      </c:catAx>
      <c:valAx>
        <c:axId val="276671872"/>
        <c:scaling>
          <c:orientation val="minMax"/>
        </c:scaling>
        <c:delete val="1"/>
        <c:axPos val="l"/>
        <c:numFmt formatCode="0%" sourceLinked="0"/>
        <c:majorTickMark val="cross"/>
        <c:minorTickMark val="none"/>
        <c:tickLblPos val="nextTo"/>
        <c:crossAx val="276670336"/>
        <c:crosses val="autoZero"/>
        <c:crossBetween val="between"/>
      </c:valAx>
      <c:spPr>
        <a:solidFill>
          <a:sysClr val="window" lastClr="FFFFFF"/>
        </a:solidFill>
        <a:ln w="6350">
          <a:noFill/>
        </a:ln>
      </c:spPr>
    </c:plotArea>
    <c:legend>
      <c:legendPos val="t"/>
      <c:layout>
        <c:manualLayout>
          <c:xMode val="edge"/>
          <c:yMode val="edge"/>
          <c:x val="0"/>
          <c:y val="2.0249393346023548E-2"/>
          <c:w val="1"/>
          <c:h val="0.97856730213749277"/>
        </c:manualLayout>
      </c:layout>
      <c:overlay val="0"/>
      <c:spPr>
        <a:solidFill>
          <a:sysClr val="window" lastClr="FFFFFF"/>
        </a:solidFill>
      </c:spPr>
      <c:txPr>
        <a:bodyPr/>
        <a:lstStyle/>
        <a:p>
          <a:pPr>
            <a:defRPr sz="9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690317107927426E-2"/>
          <c:y val="4.8706240487062395E-2"/>
          <c:w val="0.87335842654556617"/>
          <c:h val="0.8573889222224349"/>
        </c:manualLayout>
      </c:layout>
      <c:barChart>
        <c:barDir val="col"/>
        <c:grouping val="percentStacked"/>
        <c:varyColors val="0"/>
        <c:ser>
          <c:idx val="0"/>
          <c:order val="0"/>
          <c:tx>
            <c:strRef>
              <c:f>Sheet1!$A$10</c:f>
              <c:strCache>
                <c:ptCount val="1"/>
                <c:pt idx="0">
                  <c:v>Pārtikas rūpniecība</c:v>
                </c:pt>
              </c:strCache>
            </c:strRef>
          </c:tx>
          <c:spPr>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Sheet1!$B$10:$K$10</c:f>
              <c:numCache>
                <c:formatCode>General</c:formatCode>
                <c:ptCount val="10"/>
                <c:pt idx="0">
                  <c:v>961</c:v>
                </c:pt>
                <c:pt idx="1">
                  <c:v>3281.2</c:v>
                </c:pt>
                <c:pt idx="2">
                  <c:v>272.3</c:v>
                </c:pt>
                <c:pt idx="3">
                  <c:v>530.20000000000005</c:v>
                </c:pt>
                <c:pt idx="4">
                  <c:v>1123.2</c:v>
                </c:pt>
                <c:pt idx="5">
                  <c:v>1983.5</c:v>
                </c:pt>
                <c:pt idx="6">
                  <c:v>10050.299999999999</c:v>
                </c:pt>
                <c:pt idx="7">
                  <c:v>6869.9</c:v>
                </c:pt>
                <c:pt idx="8">
                  <c:v>457.6</c:v>
                </c:pt>
                <c:pt idx="9">
                  <c:v>994</c:v>
                </c:pt>
              </c:numCache>
            </c:numRef>
          </c:val>
        </c:ser>
        <c:ser>
          <c:idx val="1"/>
          <c:order val="1"/>
          <c:tx>
            <c:strRef>
              <c:f>Sheet1!$A$11</c:f>
              <c:strCache>
                <c:ptCount val="1"/>
                <c:pt idx="0">
                  <c:v>Vieglā rūpniecība</c:v>
                </c:pt>
              </c:strCache>
            </c:strRef>
          </c:tx>
          <c:spPr>
            <a:solidFill>
              <a:schemeClr val="bg1">
                <a:lumMod val="85000"/>
              </a:schemeClr>
            </a:solidFill>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Sheet1!$B$11:$K$11</c:f>
              <c:numCache>
                <c:formatCode>General</c:formatCode>
                <c:ptCount val="10"/>
                <c:pt idx="0">
                  <c:v>645.5</c:v>
                </c:pt>
                <c:pt idx="1">
                  <c:v>845.3</c:v>
                </c:pt>
                <c:pt idx="2">
                  <c:v>132.9</c:v>
                </c:pt>
                <c:pt idx="3">
                  <c:v>124.2</c:v>
                </c:pt>
                <c:pt idx="4">
                  <c:v>367</c:v>
                </c:pt>
                <c:pt idx="5">
                  <c:v>410.3</c:v>
                </c:pt>
                <c:pt idx="6">
                  <c:v>1970.6</c:v>
                </c:pt>
                <c:pt idx="7">
                  <c:v>2632.1</c:v>
                </c:pt>
                <c:pt idx="8">
                  <c:v>238.4</c:v>
                </c:pt>
                <c:pt idx="9">
                  <c:v>608.79999999999995</c:v>
                </c:pt>
              </c:numCache>
            </c:numRef>
          </c:val>
        </c:ser>
        <c:ser>
          <c:idx val="2"/>
          <c:order val="2"/>
          <c:tx>
            <c:strRef>
              <c:f>Sheet1!$A$12</c:f>
              <c:strCache>
                <c:ptCount val="1"/>
                <c:pt idx="0">
                  <c:v>Kokapstrāde</c:v>
                </c:pt>
              </c:strCache>
            </c:strRef>
          </c:tx>
          <c:spPr>
            <a:solidFill>
              <a:srgbClr val="339933"/>
            </a:solidFill>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Sheet1!$B$12:$K$12</c:f>
              <c:numCache>
                <c:formatCode>General</c:formatCode>
                <c:ptCount val="10"/>
                <c:pt idx="0">
                  <c:v>94.8</c:v>
                </c:pt>
                <c:pt idx="1">
                  <c:v>911.7</c:v>
                </c:pt>
                <c:pt idx="2">
                  <c:v>276.10000000000002</c:v>
                </c:pt>
                <c:pt idx="3">
                  <c:v>462.8</c:v>
                </c:pt>
                <c:pt idx="4">
                  <c:v>315.60000000000002</c:v>
                </c:pt>
                <c:pt idx="5">
                  <c:v>224.6</c:v>
                </c:pt>
                <c:pt idx="6">
                  <c:v>2042.7</c:v>
                </c:pt>
                <c:pt idx="7">
                  <c:v>1223.2</c:v>
                </c:pt>
                <c:pt idx="8">
                  <c:v>201.9</c:v>
                </c:pt>
                <c:pt idx="9">
                  <c:v>629.20000000000005</c:v>
                </c:pt>
              </c:numCache>
            </c:numRef>
          </c:val>
        </c:ser>
        <c:ser>
          <c:idx val="3"/>
          <c:order val="3"/>
          <c:tx>
            <c:strRef>
              <c:f>Sheet1!$A$13</c:f>
              <c:strCache>
                <c:ptCount val="1"/>
                <c:pt idx="0">
                  <c:v>Papīra ražošana un poligrāfija</c:v>
                </c:pt>
              </c:strCache>
            </c:strRef>
          </c:tx>
          <c:spPr>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Sheet1!$B$13:$K$13</c:f>
              <c:numCache>
                <c:formatCode>General</c:formatCode>
                <c:ptCount val="10"/>
                <c:pt idx="0">
                  <c:v>224.1</c:v>
                </c:pt>
                <c:pt idx="1">
                  <c:v>1208.7</c:v>
                </c:pt>
                <c:pt idx="2">
                  <c:v>121.6</c:v>
                </c:pt>
                <c:pt idx="3">
                  <c:v>110.6</c:v>
                </c:pt>
                <c:pt idx="4">
                  <c:v>191.4</c:v>
                </c:pt>
                <c:pt idx="5">
                  <c:v>552.20000000000005</c:v>
                </c:pt>
                <c:pt idx="6">
                  <c:v>2594.5</c:v>
                </c:pt>
                <c:pt idx="7">
                  <c:v>694.7</c:v>
                </c:pt>
                <c:pt idx="8">
                  <c:v>283.2</c:v>
                </c:pt>
                <c:pt idx="9">
                  <c:v>479.79999999999995</c:v>
                </c:pt>
              </c:numCache>
            </c:numRef>
          </c:val>
        </c:ser>
        <c:ser>
          <c:idx val="4"/>
          <c:order val="4"/>
          <c:tx>
            <c:strRef>
              <c:f>Sheet1!$A$14</c:f>
              <c:strCache>
                <c:ptCount val="1"/>
                <c:pt idx="0">
                  <c:v>Ķīmiskā rūpniecība</c:v>
                </c:pt>
              </c:strCache>
            </c:strRef>
          </c:tx>
          <c:spPr>
            <a:solidFill>
              <a:schemeClr val="bg2">
                <a:lumMod val="75000"/>
              </a:schemeClr>
            </a:solidFill>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Sheet1!$B$14:$K$14</c:f>
              <c:numCache>
                <c:formatCode>General</c:formatCode>
                <c:ptCount val="10"/>
                <c:pt idx="0">
                  <c:v>531.6</c:v>
                </c:pt>
                <c:pt idx="1">
                  <c:v>4185.5</c:v>
                </c:pt>
                <c:pt idx="2">
                  <c:v>234.3</c:v>
                </c:pt>
                <c:pt idx="3">
                  <c:v>204.4</c:v>
                </c:pt>
                <c:pt idx="4">
                  <c:v>1261.2</c:v>
                </c:pt>
                <c:pt idx="5">
                  <c:v>4036</c:v>
                </c:pt>
                <c:pt idx="6">
                  <c:v>9649</c:v>
                </c:pt>
                <c:pt idx="7">
                  <c:v>1429.6</c:v>
                </c:pt>
                <c:pt idx="8">
                  <c:v>1364.6</c:v>
                </c:pt>
                <c:pt idx="9">
                  <c:v>1404.1</c:v>
                </c:pt>
              </c:numCache>
            </c:numRef>
          </c:val>
        </c:ser>
        <c:ser>
          <c:idx val="5"/>
          <c:order val="5"/>
          <c:tx>
            <c:strRef>
              <c:f>Sheet1!$A$15</c:f>
              <c:strCache>
                <c:ptCount val="1"/>
                <c:pt idx="0">
                  <c:v>Nemetālisko minerālu ražošana</c:v>
                </c:pt>
              </c:strCache>
            </c:strRef>
          </c:tx>
          <c:spPr>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Sheet1!$B$15:$K$15</c:f>
              <c:numCache>
                <c:formatCode>General</c:formatCode>
                <c:ptCount val="10"/>
                <c:pt idx="0">
                  <c:v>312.5</c:v>
                </c:pt>
                <c:pt idx="1">
                  <c:v>1610</c:v>
                </c:pt>
                <c:pt idx="2">
                  <c:v>97.5</c:v>
                </c:pt>
                <c:pt idx="3">
                  <c:v>129</c:v>
                </c:pt>
                <c:pt idx="4">
                  <c:v>151.6</c:v>
                </c:pt>
                <c:pt idx="5">
                  <c:v>629.6</c:v>
                </c:pt>
                <c:pt idx="6">
                  <c:v>3414.3</c:v>
                </c:pt>
                <c:pt idx="7">
                  <c:v>627.5</c:v>
                </c:pt>
                <c:pt idx="8">
                  <c:v>254.3</c:v>
                </c:pt>
                <c:pt idx="9">
                  <c:v>553.1</c:v>
                </c:pt>
              </c:numCache>
            </c:numRef>
          </c:val>
        </c:ser>
        <c:ser>
          <c:idx val="6"/>
          <c:order val="6"/>
          <c:tx>
            <c:strRef>
              <c:f>Sheet1!$A$16</c:f>
              <c:strCache>
                <c:ptCount val="1"/>
                <c:pt idx="0">
                  <c:v>Metālapstrāde</c:v>
                </c:pt>
              </c:strCache>
            </c:strRef>
          </c:tx>
          <c:spPr>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Sheet1!$B$16:$K$16</c:f>
              <c:numCache>
                <c:formatCode>General</c:formatCode>
                <c:ptCount val="10"/>
                <c:pt idx="0">
                  <c:v>710.2</c:v>
                </c:pt>
                <c:pt idx="1">
                  <c:v>4395.3999999999996</c:v>
                </c:pt>
                <c:pt idx="2">
                  <c:v>229.6</c:v>
                </c:pt>
                <c:pt idx="3">
                  <c:v>234.3</c:v>
                </c:pt>
                <c:pt idx="4">
                  <c:v>221.4</c:v>
                </c:pt>
                <c:pt idx="5">
                  <c:v>1563.2</c:v>
                </c:pt>
                <c:pt idx="6">
                  <c:v>6493.8</c:v>
                </c:pt>
                <c:pt idx="7">
                  <c:v>2837.2</c:v>
                </c:pt>
                <c:pt idx="8">
                  <c:v>1043.3</c:v>
                </c:pt>
                <c:pt idx="9">
                  <c:v>2538.1</c:v>
                </c:pt>
              </c:numCache>
            </c:numRef>
          </c:val>
        </c:ser>
        <c:ser>
          <c:idx val="7"/>
          <c:order val="7"/>
          <c:tx>
            <c:strRef>
              <c:f>Sheet1!$A$17</c:f>
              <c:strCache>
                <c:ptCount val="1"/>
                <c:pt idx="0">
                  <c:v>Elektrisko un optisko iekārtu ražošana</c:v>
                </c:pt>
              </c:strCache>
            </c:strRef>
          </c:tx>
          <c:spPr>
            <a:solidFill>
              <a:srgbClr val="C00000"/>
            </a:solidFill>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Sheet1!$B$17:$K$17</c:f>
              <c:numCache>
                <c:formatCode>General</c:formatCode>
                <c:ptCount val="10"/>
                <c:pt idx="0">
                  <c:v>313.5</c:v>
                </c:pt>
                <c:pt idx="1">
                  <c:v>3086.7000000000003</c:v>
                </c:pt>
                <c:pt idx="2">
                  <c:v>253.79999999999998</c:v>
                </c:pt>
                <c:pt idx="3">
                  <c:v>72.5</c:v>
                </c:pt>
                <c:pt idx="4">
                  <c:v>198.8</c:v>
                </c:pt>
                <c:pt idx="5">
                  <c:v>2181.8999999999996</c:v>
                </c:pt>
                <c:pt idx="6">
                  <c:v>3685.8999999999996</c:v>
                </c:pt>
                <c:pt idx="7">
                  <c:v>3343.6</c:v>
                </c:pt>
                <c:pt idx="8">
                  <c:v>774.1</c:v>
                </c:pt>
                <c:pt idx="9">
                  <c:v>1205.6999999999998</c:v>
                </c:pt>
              </c:numCache>
            </c:numRef>
          </c:val>
        </c:ser>
        <c:ser>
          <c:idx val="8"/>
          <c:order val="8"/>
          <c:tx>
            <c:strRef>
              <c:f>Sheet1!$A$18</c:f>
              <c:strCache>
                <c:ptCount val="1"/>
                <c:pt idx="0">
                  <c:v>Mašīnu un iekārtu ražošana</c:v>
                </c:pt>
              </c:strCache>
            </c:strRef>
          </c:tx>
          <c:spPr>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Sheet1!$B$18:$K$18</c:f>
              <c:numCache>
                <c:formatCode>General</c:formatCode>
                <c:ptCount val="10"/>
                <c:pt idx="0">
                  <c:v>278</c:v>
                </c:pt>
                <c:pt idx="1">
                  <c:v>3048.3</c:v>
                </c:pt>
                <c:pt idx="2">
                  <c:v>64.400000000000006</c:v>
                </c:pt>
                <c:pt idx="3">
                  <c:v>44.1</c:v>
                </c:pt>
                <c:pt idx="4">
                  <c:v>117.9</c:v>
                </c:pt>
                <c:pt idx="5">
                  <c:v>2367.6999999999998</c:v>
                </c:pt>
                <c:pt idx="6">
                  <c:v>3077.6</c:v>
                </c:pt>
                <c:pt idx="7">
                  <c:v>1059.7</c:v>
                </c:pt>
                <c:pt idx="8">
                  <c:v>396.5</c:v>
                </c:pt>
                <c:pt idx="9">
                  <c:v>827.8</c:v>
                </c:pt>
              </c:numCache>
            </c:numRef>
          </c:val>
        </c:ser>
        <c:ser>
          <c:idx val="9"/>
          <c:order val="9"/>
          <c:tx>
            <c:strRef>
              <c:f>Sheet1!$A$19</c:f>
              <c:strCache>
                <c:ptCount val="1"/>
                <c:pt idx="0">
                  <c:v>Transportlīdzekļu ražošana</c:v>
                </c:pt>
              </c:strCache>
            </c:strRef>
          </c:tx>
          <c:spPr>
            <a:solidFill>
              <a:srgbClr val="FFFFB7"/>
            </a:solidFill>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Sheet1!$B$19:$K$19</c:f>
              <c:numCache>
                <c:formatCode>General</c:formatCode>
                <c:ptCount val="10"/>
                <c:pt idx="0">
                  <c:v>121.2</c:v>
                </c:pt>
                <c:pt idx="1">
                  <c:v>6009.8</c:v>
                </c:pt>
                <c:pt idx="2">
                  <c:v>96.5</c:v>
                </c:pt>
                <c:pt idx="3">
                  <c:v>47.8</c:v>
                </c:pt>
                <c:pt idx="4">
                  <c:v>143.9</c:v>
                </c:pt>
                <c:pt idx="5">
                  <c:v>3057.6000000000004</c:v>
                </c:pt>
                <c:pt idx="6">
                  <c:v>4581.8</c:v>
                </c:pt>
                <c:pt idx="7">
                  <c:v>3960.7</c:v>
                </c:pt>
                <c:pt idx="8">
                  <c:v>517.1</c:v>
                </c:pt>
                <c:pt idx="9">
                  <c:v>1887</c:v>
                </c:pt>
              </c:numCache>
            </c:numRef>
          </c:val>
        </c:ser>
        <c:ser>
          <c:idx val="10"/>
          <c:order val="10"/>
          <c:tx>
            <c:strRef>
              <c:f>Sheet1!$A$20</c:f>
              <c:strCache>
                <c:ptCount val="1"/>
                <c:pt idx="0">
                  <c:v>Pārējās nozares</c:v>
                </c:pt>
              </c:strCache>
            </c:strRef>
          </c:tx>
          <c:spPr>
            <a:solidFill>
              <a:srgbClr val="00B050"/>
            </a:solidFill>
            <a:ln>
              <a:solidFill>
                <a:srgbClr val="000000"/>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Sheet1!$B$20:$K$20</c:f>
              <c:numCache>
                <c:formatCode>General</c:formatCode>
                <c:ptCount val="10"/>
                <c:pt idx="0">
                  <c:v>319.60000000000002</c:v>
                </c:pt>
                <c:pt idx="1">
                  <c:v>2484.8000000000002</c:v>
                </c:pt>
                <c:pt idx="2">
                  <c:v>213.1</c:v>
                </c:pt>
                <c:pt idx="3">
                  <c:v>194.4</c:v>
                </c:pt>
                <c:pt idx="4">
                  <c:v>604.40000000000009</c:v>
                </c:pt>
                <c:pt idx="5">
                  <c:v>949.1</c:v>
                </c:pt>
                <c:pt idx="6">
                  <c:v>4937.6000000000004</c:v>
                </c:pt>
                <c:pt idx="7">
                  <c:v>2186.1999999999998</c:v>
                </c:pt>
                <c:pt idx="8">
                  <c:v>424</c:v>
                </c:pt>
                <c:pt idx="9">
                  <c:v>1114.9000000000001</c:v>
                </c:pt>
              </c:numCache>
            </c:numRef>
          </c:val>
        </c:ser>
        <c:dLbls>
          <c:showLegendKey val="0"/>
          <c:showVal val="0"/>
          <c:showCatName val="0"/>
          <c:showSerName val="0"/>
          <c:showPercent val="0"/>
          <c:showBubbleSize val="0"/>
        </c:dLbls>
        <c:gapWidth val="50"/>
        <c:overlap val="100"/>
        <c:axId val="276945920"/>
        <c:axId val="276828928"/>
      </c:barChart>
      <c:catAx>
        <c:axId val="276945920"/>
        <c:scaling>
          <c:orientation val="minMax"/>
        </c:scaling>
        <c:delete val="0"/>
        <c:axPos val="b"/>
        <c:numFmt formatCode="General" sourceLinked="1"/>
        <c:majorTickMark val="cross"/>
        <c:minorTickMark val="none"/>
        <c:tickLblPos val="nextTo"/>
        <c:txPr>
          <a:bodyPr rot="0" vert="horz"/>
          <a:lstStyle/>
          <a:p>
            <a:pPr>
              <a:defRPr/>
            </a:pPr>
            <a:endParaRPr lang="lv-LV"/>
          </a:p>
        </c:txPr>
        <c:crossAx val="276828928"/>
        <c:crosses val="autoZero"/>
        <c:auto val="1"/>
        <c:lblAlgn val="ctr"/>
        <c:lblOffset val="0"/>
        <c:noMultiLvlLbl val="0"/>
      </c:catAx>
      <c:valAx>
        <c:axId val="276828928"/>
        <c:scaling>
          <c:orientation val="minMax"/>
        </c:scaling>
        <c:delete val="0"/>
        <c:axPos val="l"/>
        <c:numFmt formatCode="0%" sourceLinked="0"/>
        <c:majorTickMark val="cross"/>
        <c:minorTickMark val="none"/>
        <c:tickLblPos val="nextTo"/>
        <c:txPr>
          <a:bodyPr rot="0" vert="horz"/>
          <a:lstStyle/>
          <a:p>
            <a:pPr>
              <a:defRPr sz="800">
                <a:latin typeface="Arial Narrow" pitchFamily="34" charset="0"/>
              </a:defRPr>
            </a:pPr>
            <a:endParaRPr lang="lv-LV"/>
          </a:p>
        </c:txPr>
        <c:crossAx val="276945920"/>
        <c:crosses val="autoZero"/>
        <c:crossBetween val="between"/>
      </c:valAx>
    </c:plotArea>
    <c:plotVisOnly val="1"/>
    <c:dispBlanksAs val="zero"/>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690317107927426E-2"/>
          <c:y val="4.8706240487062395E-2"/>
          <c:w val="0.87335842654556617"/>
          <c:h val="0.88123234101764414"/>
        </c:manualLayout>
      </c:layout>
      <c:barChart>
        <c:barDir val="col"/>
        <c:grouping val="percentStacked"/>
        <c:varyColors val="0"/>
        <c:ser>
          <c:idx val="0"/>
          <c:order val="0"/>
          <c:tx>
            <c:strRef>
              <c:f>Sheet1!$A$10</c:f>
              <c:strCache>
                <c:ptCount val="1"/>
                <c:pt idx="0">
                  <c:v>Pārtikas rūpniecība</c:v>
                </c:pt>
              </c:strCache>
            </c:strRef>
          </c:tx>
          <c:spPr>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Sheet1!$B$10:$I$10</c:f>
              <c:numCache>
                <c:formatCode>General</c:formatCode>
                <c:ptCount val="8"/>
                <c:pt idx="0">
                  <c:v>3595.5</c:v>
                </c:pt>
                <c:pt idx="1">
                  <c:v>38240</c:v>
                </c:pt>
                <c:pt idx="2">
                  <c:v>272.3</c:v>
                </c:pt>
                <c:pt idx="3">
                  <c:v>530.20000000000005</c:v>
                </c:pt>
                <c:pt idx="4">
                  <c:v>1123.2</c:v>
                </c:pt>
                <c:pt idx="5">
                  <c:v>10050.299999999999</c:v>
                </c:pt>
                <c:pt idx="6">
                  <c:v>2534</c:v>
                </c:pt>
                <c:pt idx="7">
                  <c:v>4161.3</c:v>
                </c:pt>
              </c:numCache>
            </c:numRef>
          </c:val>
        </c:ser>
        <c:ser>
          <c:idx val="1"/>
          <c:order val="1"/>
          <c:tx>
            <c:strRef>
              <c:f>Sheet1!$A$11</c:f>
              <c:strCache>
                <c:ptCount val="1"/>
                <c:pt idx="0">
                  <c:v>Vieglā rūpniecība</c:v>
                </c:pt>
              </c:strCache>
            </c:strRef>
          </c:tx>
          <c:spPr>
            <a:solidFill>
              <a:schemeClr val="bg1">
                <a:lumMod val="85000"/>
              </a:schemeClr>
            </a:solidFill>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Sheet1!$B$11:$I$11</c:f>
              <c:numCache>
                <c:formatCode>General</c:formatCode>
                <c:ptCount val="8"/>
                <c:pt idx="0">
                  <c:v>325.89999999999998</c:v>
                </c:pt>
                <c:pt idx="1">
                  <c:v>6950</c:v>
                </c:pt>
                <c:pt idx="2">
                  <c:v>132.9</c:v>
                </c:pt>
                <c:pt idx="3">
                  <c:v>124.2</c:v>
                </c:pt>
                <c:pt idx="4">
                  <c:v>367</c:v>
                </c:pt>
                <c:pt idx="5">
                  <c:v>1970.6</c:v>
                </c:pt>
                <c:pt idx="6">
                  <c:v>396</c:v>
                </c:pt>
                <c:pt idx="7">
                  <c:v>437.8</c:v>
                </c:pt>
              </c:numCache>
            </c:numRef>
          </c:val>
        </c:ser>
        <c:ser>
          <c:idx val="2"/>
          <c:order val="2"/>
          <c:tx>
            <c:strRef>
              <c:f>Sheet1!$A$12</c:f>
              <c:strCache>
                <c:ptCount val="1"/>
                <c:pt idx="0">
                  <c:v>Kokapstrāde</c:v>
                </c:pt>
              </c:strCache>
            </c:strRef>
          </c:tx>
          <c:spPr>
            <a:solidFill>
              <a:srgbClr val="339933"/>
            </a:solidFill>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Sheet1!$B$12:$I$12</c:f>
              <c:numCache>
                <c:formatCode>General</c:formatCode>
                <c:ptCount val="8"/>
                <c:pt idx="0">
                  <c:v>514.5</c:v>
                </c:pt>
                <c:pt idx="1">
                  <c:v>6250</c:v>
                </c:pt>
                <c:pt idx="2">
                  <c:v>276.10000000000002</c:v>
                </c:pt>
                <c:pt idx="3">
                  <c:v>462.8</c:v>
                </c:pt>
                <c:pt idx="4">
                  <c:v>315.60000000000002</c:v>
                </c:pt>
                <c:pt idx="5">
                  <c:v>2042.7</c:v>
                </c:pt>
                <c:pt idx="6">
                  <c:v>1220</c:v>
                </c:pt>
                <c:pt idx="7">
                  <c:v>2165.3000000000002</c:v>
                </c:pt>
              </c:numCache>
            </c:numRef>
          </c:val>
        </c:ser>
        <c:ser>
          <c:idx val="3"/>
          <c:order val="3"/>
          <c:tx>
            <c:strRef>
              <c:f>Sheet1!$A$13</c:f>
              <c:strCache>
                <c:ptCount val="1"/>
                <c:pt idx="0">
                  <c:v>Papīra ražošana un poligrāfija</c:v>
                </c:pt>
              </c:strCache>
            </c:strRef>
          </c:tx>
          <c:spPr>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Sheet1!$B$13:$I$13</c:f>
              <c:numCache>
                <c:formatCode>General</c:formatCode>
                <c:ptCount val="8"/>
                <c:pt idx="0">
                  <c:v>894.3</c:v>
                </c:pt>
                <c:pt idx="1">
                  <c:v>18100</c:v>
                </c:pt>
                <c:pt idx="2">
                  <c:v>121.6</c:v>
                </c:pt>
                <c:pt idx="3">
                  <c:v>110.6</c:v>
                </c:pt>
                <c:pt idx="4">
                  <c:v>191.4</c:v>
                </c:pt>
                <c:pt idx="5">
                  <c:v>2594.5</c:v>
                </c:pt>
                <c:pt idx="6">
                  <c:v>3526</c:v>
                </c:pt>
                <c:pt idx="7">
                  <c:v>4423</c:v>
                </c:pt>
              </c:numCache>
            </c:numRef>
          </c:val>
        </c:ser>
        <c:ser>
          <c:idx val="4"/>
          <c:order val="4"/>
          <c:tx>
            <c:strRef>
              <c:f>Sheet1!$A$14</c:f>
              <c:strCache>
                <c:ptCount val="1"/>
                <c:pt idx="0">
                  <c:v>Ķīmiskā rūpniecība</c:v>
                </c:pt>
              </c:strCache>
            </c:strRef>
          </c:tx>
          <c:spPr>
            <a:solidFill>
              <a:schemeClr val="bg2">
                <a:lumMod val="75000"/>
              </a:schemeClr>
            </a:solidFill>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Sheet1!$B$14:$I$14</c:f>
              <c:numCache>
                <c:formatCode>General</c:formatCode>
                <c:ptCount val="8"/>
                <c:pt idx="0">
                  <c:v>5853.9</c:v>
                </c:pt>
                <c:pt idx="1">
                  <c:v>83760</c:v>
                </c:pt>
                <c:pt idx="2">
                  <c:v>234.3</c:v>
                </c:pt>
                <c:pt idx="3">
                  <c:v>204.4</c:v>
                </c:pt>
                <c:pt idx="4">
                  <c:v>1261.2</c:v>
                </c:pt>
                <c:pt idx="5">
                  <c:v>9649</c:v>
                </c:pt>
                <c:pt idx="6">
                  <c:v>3736</c:v>
                </c:pt>
                <c:pt idx="7">
                  <c:v>10159.799999999999</c:v>
                </c:pt>
              </c:numCache>
            </c:numRef>
          </c:val>
        </c:ser>
        <c:ser>
          <c:idx val="5"/>
          <c:order val="5"/>
          <c:tx>
            <c:strRef>
              <c:f>Sheet1!$A$15</c:f>
              <c:strCache>
                <c:ptCount val="1"/>
                <c:pt idx="0">
                  <c:v>Nemetālisko minerālu ražošana</c:v>
                </c:pt>
              </c:strCache>
            </c:strRef>
          </c:tx>
          <c:spPr>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Sheet1!$B$15:$I$15</c:f>
              <c:numCache>
                <c:formatCode>General</c:formatCode>
                <c:ptCount val="8"/>
                <c:pt idx="0">
                  <c:v>786.1</c:v>
                </c:pt>
                <c:pt idx="1">
                  <c:v>14150</c:v>
                </c:pt>
                <c:pt idx="2">
                  <c:v>97.5</c:v>
                </c:pt>
                <c:pt idx="3">
                  <c:v>129</c:v>
                </c:pt>
                <c:pt idx="4">
                  <c:v>151.6</c:v>
                </c:pt>
                <c:pt idx="5">
                  <c:v>3414.3</c:v>
                </c:pt>
                <c:pt idx="6">
                  <c:v>978</c:v>
                </c:pt>
                <c:pt idx="7">
                  <c:v>1274.5</c:v>
                </c:pt>
              </c:numCache>
            </c:numRef>
          </c:val>
        </c:ser>
        <c:ser>
          <c:idx val="6"/>
          <c:order val="6"/>
          <c:tx>
            <c:strRef>
              <c:f>Sheet1!$A$16</c:f>
              <c:strCache>
                <c:ptCount val="1"/>
                <c:pt idx="0">
                  <c:v>Metālapstrāde</c:v>
                </c:pt>
              </c:strCache>
            </c:strRef>
          </c:tx>
          <c:spPr>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Sheet1!$B$16:$I$16</c:f>
              <c:numCache>
                <c:formatCode>General</c:formatCode>
                <c:ptCount val="8"/>
                <c:pt idx="0">
                  <c:v>2370.1000000000004</c:v>
                </c:pt>
                <c:pt idx="1">
                  <c:v>62390</c:v>
                </c:pt>
                <c:pt idx="2">
                  <c:v>229.6</c:v>
                </c:pt>
                <c:pt idx="3">
                  <c:v>234.3</c:v>
                </c:pt>
                <c:pt idx="4">
                  <c:v>221.4</c:v>
                </c:pt>
                <c:pt idx="5">
                  <c:v>6493.8</c:v>
                </c:pt>
                <c:pt idx="6">
                  <c:v>3422</c:v>
                </c:pt>
                <c:pt idx="7">
                  <c:v>7355.9</c:v>
                </c:pt>
              </c:numCache>
            </c:numRef>
          </c:val>
        </c:ser>
        <c:ser>
          <c:idx val="7"/>
          <c:order val="7"/>
          <c:tx>
            <c:strRef>
              <c:f>Sheet1!$A$17</c:f>
              <c:strCache>
                <c:ptCount val="1"/>
                <c:pt idx="0">
                  <c:v>Elektrisko un optisko iekārtu ražošana</c:v>
                </c:pt>
              </c:strCache>
            </c:strRef>
          </c:tx>
          <c:spPr>
            <a:solidFill>
              <a:srgbClr val="C00000"/>
            </a:solidFill>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Sheet1!$B$17:$I$17</c:f>
              <c:numCache>
                <c:formatCode>General</c:formatCode>
                <c:ptCount val="8"/>
                <c:pt idx="0">
                  <c:v>2437.3000000000002</c:v>
                </c:pt>
                <c:pt idx="1">
                  <c:v>63610</c:v>
                </c:pt>
                <c:pt idx="2">
                  <c:v>253.79999999999998</c:v>
                </c:pt>
                <c:pt idx="3">
                  <c:v>72.5</c:v>
                </c:pt>
                <c:pt idx="4">
                  <c:v>198.8</c:v>
                </c:pt>
                <c:pt idx="5">
                  <c:v>3685.8999999999996</c:v>
                </c:pt>
                <c:pt idx="6">
                  <c:v>4889</c:v>
                </c:pt>
                <c:pt idx="7">
                  <c:v>6600.5</c:v>
                </c:pt>
              </c:numCache>
            </c:numRef>
          </c:val>
        </c:ser>
        <c:ser>
          <c:idx val="8"/>
          <c:order val="8"/>
          <c:tx>
            <c:strRef>
              <c:f>Sheet1!$A$18</c:f>
              <c:strCache>
                <c:ptCount val="1"/>
                <c:pt idx="0">
                  <c:v>Mašīnu un iekārtu ražošana</c:v>
                </c:pt>
              </c:strCache>
            </c:strRef>
          </c:tx>
          <c:spPr>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Sheet1!$B$18:$I$18</c:f>
              <c:numCache>
                <c:formatCode>General</c:formatCode>
                <c:ptCount val="8"/>
                <c:pt idx="0">
                  <c:v>3904.5</c:v>
                </c:pt>
                <c:pt idx="1">
                  <c:v>73820</c:v>
                </c:pt>
                <c:pt idx="2">
                  <c:v>64.400000000000006</c:v>
                </c:pt>
                <c:pt idx="3">
                  <c:v>44.1</c:v>
                </c:pt>
                <c:pt idx="4">
                  <c:v>117.9</c:v>
                </c:pt>
                <c:pt idx="5">
                  <c:v>3077.6</c:v>
                </c:pt>
                <c:pt idx="6">
                  <c:v>3808</c:v>
                </c:pt>
                <c:pt idx="7">
                  <c:v>6345.3</c:v>
                </c:pt>
              </c:numCache>
            </c:numRef>
          </c:val>
        </c:ser>
        <c:ser>
          <c:idx val="9"/>
          <c:order val="9"/>
          <c:tx>
            <c:strRef>
              <c:f>Sheet1!$A$19</c:f>
              <c:strCache>
                <c:ptCount val="1"/>
                <c:pt idx="0">
                  <c:v>Transportlīdzekļu ražošana</c:v>
                </c:pt>
              </c:strCache>
            </c:strRef>
          </c:tx>
          <c:spPr>
            <a:solidFill>
              <a:srgbClr val="FFFFB7"/>
            </a:solidFill>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Sheet1!$B$19:$I$19</c:f>
              <c:numCache>
                <c:formatCode>General</c:formatCode>
                <c:ptCount val="8"/>
                <c:pt idx="0">
                  <c:v>500</c:v>
                </c:pt>
                <c:pt idx="1">
                  <c:v>80970</c:v>
                </c:pt>
                <c:pt idx="2">
                  <c:v>96.5</c:v>
                </c:pt>
                <c:pt idx="3">
                  <c:v>47.8</c:v>
                </c:pt>
                <c:pt idx="4">
                  <c:v>143.9</c:v>
                </c:pt>
                <c:pt idx="5">
                  <c:v>4581.8</c:v>
                </c:pt>
                <c:pt idx="6">
                  <c:v>728</c:v>
                </c:pt>
                <c:pt idx="7">
                  <c:v>5734.4</c:v>
                </c:pt>
              </c:numCache>
            </c:numRef>
          </c:val>
        </c:ser>
        <c:ser>
          <c:idx val="10"/>
          <c:order val="10"/>
          <c:tx>
            <c:strRef>
              <c:f>Sheet1!$A$20</c:f>
              <c:strCache>
                <c:ptCount val="1"/>
                <c:pt idx="0">
                  <c:v>Pārējās nozares</c:v>
                </c:pt>
              </c:strCache>
            </c:strRef>
          </c:tx>
          <c:spPr>
            <a:solidFill>
              <a:srgbClr val="00B050"/>
            </a:solidFill>
            <a:ln>
              <a:solidFill>
                <a:schemeClr val="tx1"/>
              </a:solidFill>
            </a:ln>
          </c:spPr>
          <c:invertIfNegative val="0"/>
          <c:cat>
            <c:strRef>
              <c:f>Sheet1!$B$9:$I$9</c:f>
              <c:strCache>
                <c:ptCount val="8"/>
                <c:pt idx="0">
                  <c:v>DK</c:v>
                </c:pt>
                <c:pt idx="1">
                  <c:v>DE</c:v>
                </c:pt>
                <c:pt idx="2">
                  <c:v>EE</c:v>
                </c:pt>
                <c:pt idx="3">
                  <c:v>LV</c:v>
                </c:pt>
                <c:pt idx="4">
                  <c:v>LT</c:v>
                </c:pt>
                <c:pt idx="5">
                  <c:v>PL</c:v>
                </c:pt>
                <c:pt idx="6">
                  <c:v>FI</c:v>
                </c:pt>
                <c:pt idx="7">
                  <c:v>SE</c:v>
                </c:pt>
              </c:strCache>
            </c:strRef>
          </c:cat>
          <c:val>
            <c:numRef>
              <c:f>Sheet1!$B$20:$I$20</c:f>
              <c:numCache>
                <c:formatCode>General</c:formatCode>
                <c:ptCount val="8"/>
                <c:pt idx="0">
                  <c:v>2016.4</c:v>
                </c:pt>
                <c:pt idx="1">
                  <c:v>33500</c:v>
                </c:pt>
                <c:pt idx="2">
                  <c:v>213.1</c:v>
                </c:pt>
                <c:pt idx="3">
                  <c:v>194.4</c:v>
                </c:pt>
                <c:pt idx="4">
                  <c:v>604.40000000000009</c:v>
                </c:pt>
                <c:pt idx="5">
                  <c:v>4937.6000000000004</c:v>
                </c:pt>
                <c:pt idx="6">
                  <c:v>1900</c:v>
                </c:pt>
                <c:pt idx="7">
                  <c:v>3157.2</c:v>
                </c:pt>
              </c:numCache>
            </c:numRef>
          </c:val>
        </c:ser>
        <c:dLbls>
          <c:showLegendKey val="0"/>
          <c:showVal val="0"/>
          <c:showCatName val="0"/>
          <c:showSerName val="0"/>
          <c:showPercent val="0"/>
          <c:showBubbleSize val="0"/>
        </c:dLbls>
        <c:gapWidth val="50"/>
        <c:overlap val="100"/>
        <c:axId val="276910080"/>
        <c:axId val="276911616"/>
      </c:barChart>
      <c:catAx>
        <c:axId val="276910080"/>
        <c:scaling>
          <c:orientation val="minMax"/>
        </c:scaling>
        <c:delete val="0"/>
        <c:axPos val="b"/>
        <c:numFmt formatCode="General" sourceLinked="1"/>
        <c:majorTickMark val="cross"/>
        <c:minorTickMark val="none"/>
        <c:tickLblPos val="nextTo"/>
        <c:txPr>
          <a:bodyPr rot="0" vert="horz"/>
          <a:lstStyle/>
          <a:p>
            <a:pPr>
              <a:defRPr/>
            </a:pPr>
            <a:endParaRPr lang="lv-LV"/>
          </a:p>
        </c:txPr>
        <c:crossAx val="276911616"/>
        <c:crosses val="autoZero"/>
        <c:auto val="1"/>
        <c:lblAlgn val="ctr"/>
        <c:lblOffset val="0"/>
        <c:noMultiLvlLbl val="0"/>
      </c:catAx>
      <c:valAx>
        <c:axId val="276911616"/>
        <c:scaling>
          <c:orientation val="minMax"/>
        </c:scaling>
        <c:delete val="0"/>
        <c:axPos val="l"/>
        <c:numFmt formatCode="0%" sourceLinked="0"/>
        <c:majorTickMark val="cross"/>
        <c:minorTickMark val="none"/>
        <c:tickLblPos val="nextTo"/>
        <c:txPr>
          <a:bodyPr rot="0" vert="horz"/>
          <a:lstStyle/>
          <a:p>
            <a:pPr>
              <a:defRPr sz="800">
                <a:latin typeface="Arial Narrow" pitchFamily="34" charset="0"/>
              </a:defRPr>
            </a:pPr>
            <a:endParaRPr lang="lv-LV"/>
          </a:p>
        </c:txPr>
        <c:crossAx val="276910080"/>
        <c:crosses val="autoZero"/>
        <c:crossBetween val="between"/>
      </c:valAx>
    </c:plotArea>
    <c:plotVisOnly val="1"/>
    <c:dispBlanksAs val="zero"/>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921231350639185"/>
          <c:y val="0.22602741949094779"/>
          <c:w val="0.2632492668362611"/>
          <c:h val="0.14857741916637998"/>
        </c:manualLayout>
      </c:layout>
      <c:barChart>
        <c:barDir val="col"/>
        <c:grouping val="percentStacked"/>
        <c:varyColors val="0"/>
        <c:ser>
          <c:idx val="0"/>
          <c:order val="0"/>
          <c:tx>
            <c:strRef>
              <c:f>Sheet1!$A$10</c:f>
              <c:strCache>
                <c:ptCount val="1"/>
                <c:pt idx="0">
                  <c:v>Pārtikas rūpniecība</c:v>
                </c:pt>
              </c:strCache>
            </c:strRef>
          </c:tx>
          <c:spPr>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Sheet1!$B$10:$K$10</c:f>
              <c:numCache>
                <c:formatCode>General</c:formatCode>
                <c:ptCount val="10"/>
                <c:pt idx="0">
                  <c:v>3944.7000000000003</c:v>
                </c:pt>
                <c:pt idx="1">
                  <c:v>11604.3</c:v>
                </c:pt>
                <c:pt idx="2">
                  <c:v>1187.5999999999999</c:v>
                </c:pt>
                <c:pt idx="3">
                  <c:v>1467.4</c:v>
                </c:pt>
                <c:pt idx="4">
                  <c:v>2931.5</c:v>
                </c:pt>
                <c:pt idx="5">
                  <c:v>8566.3000000000011</c:v>
                </c:pt>
                <c:pt idx="6">
                  <c:v>41201.4</c:v>
                </c:pt>
                <c:pt idx="7">
                  <c:v>8721.1</c:v>
                </c:pt>
                <c:pt idx="8">
                  <c:v>1755.5</c:v>
                </c:pt>
                <c:pt idx="9">
                  <c:v>3134.2999999999997</c:v>
                </c:pt>
              </c:numCache>
            </c:numRef>
          </c:val>
        </c:ser>
        <c:ser>
          <c:idx val="1"/>
          <c:order val="1"/>
          <c:tx>
            <c:strRef>
              <c:f>Sheet1!$A$11</c:f>
              <c:strCache>
                <c:ptCount val="1"/>
                <c:pt idx="0">
                  <c:v>Vieglā rūpniecība</c:v>
                </c:pt>
              </c:strCache>
            </c:strRef>
          </c:tx>
          <c:spPr>
            <a:solidFill>
              <a:schemeClr val="bg1">
                <a:lumMod val="85000"/>
              </a:schemeClr>
            </a:solidFill>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Sheet1!$B$11:$K$11</c:f>
              <c:numCache>
                <c:formatCode>General</c:formatCode>
                <c:ptCount val="10"/>
                <c:pt idx="0">
                  <c:v>1438.2</c:v>
                </c:pt>
                <c:pt idx="1">
                  <c:v>2322.4</c:v>
                </c:pt>
                <c:pt idx="2">
                  <c:v>352.8</c:v>
                </c:pt>
                <c:pt idx="3">
                  <c:v>222.29999999999998</c:v>
                </c:pt>
                <c:pt idx="4">
                  <c:v>554.90000000000009</c:v>
                </c:pt>
                <c:pt idx="5">
                  <c:v>999.9</c:v>
                </c:pt>
                <c:pt idx="6">
                  <c:v>4517</c:v>
                </c:pt>
                <c:pt idx="7">
                  <c:v>3586</c:v>
                </c:pt>
                <c:pt idx="8">
                  <c:v>744.2</c:v>
                </c:pt>
                <c:pt idx="9">
                  <c:v>1044.8</c:v>
                </c:pt>
              </c:numCache>
            </c:numRef>
          </c:val>
        </c:ser>
        <c:ser>
          <c:idx val="2"/>
          <c:order val="2"/>
          <c:tx>
            <c:strRef>
              <c:f>Sheet1!$A$12</c:f>
              <c:strCache>
                <c:ptCount val="1"/>
                <c:pt idx="0">
                  <c:v>Kokapstrāde</c:v>
                </c:pt>
              </c:strCache>
            </c:strRef>
          </c:tx>
          <c:spPr>
            <a:solidFill>
              <a:srgbClr val="339933"/>
            </a:solidFill>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Sheet1!$B$12:$K$12</c:f>
              <c:numCache>
                <c:formatCode>General</c:formatCode>
                <c:ptCount val="10"/>
                <c:pt idx="0">
                  <c:v>321.2</c:v>
                </c:pt>
                <c:pt idx="1">
                  <c:v>3174.7</c:v>
                </c:pt>
                <c:pt idx="2">
                  <c:v>1132</c:v>
                </c:pt>
                <c:pt idx="3">
                  <c:v>1342.6</c:v>
                </c:pt>
                <c:pt idx="4">
                  <c:v>714.3</c:v>
                </c:pt>
                <c:pt idx="5">
                  <c:v>721.9</c:v>
                </c:pt>
                <c:pt idx="6">
                  <c:v>6052.6</c:v>
                </c:pt>
                <c:pt idx="7">
                  <c:v>2098.9</c:v>
                </c:pt>
                <c:pt idx="8">
                  <c:v>579.29999999999995</c:v>
                </c:pt>
                <c:pt idx="9">
                  <c:v>1193</c:v>
                </c:pt>
              </c:numCache>
            </c:numRef>
          </c:val>
        </c:ser>
        <c:ser>
          <c:idx val="3"/>
          <c:order val="3"/>
          <c:tx>
            <c:strRef>
              <c:f>Sheet1!$A$13</c:f>
              <c:strCache>
                <c:ptCount val="1"/>
                <c:pt idx="0">
                  <c:v>Papīra ražošana un poligrāfija</c:v>
                </c:pt>
              </c:strCache>
            </c:strRef>
          </c:tx>
          <c:spPr>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Sheet1!$B$13:$K$13</c:f>
              <c:numCache>
                <c:formatCode>General</c:formatCode>
                <c:ptCount val="10"/>
                <c:pt idx="0">
                  <c:v>631.40000000000009</c:v>
                </c:pt>
                <c:pt idx="1">
                  <c:v>3901</c:v>
                </c:pt>
                <c:pt idx="2">
                  <c:v>375.9</c:v>
                </c:pt>
                <c:pt idx="3">
                  <c:v>245.2</c:v>
                </c:pt>
                <c:pt idx="4">
                  <c:v>367.5</c:v>
                </c:pt>
                <c:pt idx="5">
                  <c:v>1931.1</c:v>
                </c:pt>
                <c:pt idx="6">
                  <c:v>8541.9</c:v>
                </c:pt>
                <c:pt idx="7">
                  <c:v>1301.7</c:v>
                </c:pt>
                <c:pt idx="8">
                  <c:v>1093.4000000000001</c:v>
                </c:pt>
                <c:pt idx="9">
                  <c:v>1604</c:v>
                </c:pt>
              </c:numCache>
            </c:numRef>
          </c:val>
        </c:ser>
        <c:ser>
          <c:idx val="4"/>
          <c:order val="4"/>
          <c:tx>
            <c:strRef>
              <c:f>Sheet1!$A$14</c:f>
              <c:strCache>
                <c:ptCount val="1"/>
                <c:pt idx="0">
                  <c:v>Ķīmiskā rūpniecība</c:v>
                </c:pt>
              </c:strCache>
            </c:strRef>
          </c:tx>
          <c:spPr>
            <a:solidFill>
              <a:schemeClr val="bg2">
                <a:lumMod val="75000"/>
              </a:schemeClr>
            </a:solidFill>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Sheet1!$B$14:$K$14</c:f>
              <c:numCache>
                <c:formatCode>General</c:formatCode>
                <c:ptCount val="10"/>
                <c:pt idx="0">
                  <c:v>1754.4</c:v>
                </c:pt>
                <c:pt idx="1">
                  <c:v>13637.7</c:v>
                </c:pt>
                <c:pt idx="2">
                  <c:v>589.9</c:v>
                </c:pt>
                <c:pt idx="3">
                  <c:v>330.79999999999995</c:v>
                </c:pt>
                <c:pt idx="4">
                  <c:v>2212.8000000000002</c:v>
                </c:pt>
                <c:pt idx="5">
                  <c:v>6884.2999999999993</c:v>
                </c:pt>
                <c:pt idx="6">
                  <c:v>24459.4</c:v>
                </c:pt>
                <c:pt idx="7">
                  <c:v>5049.1000000000004</c:v>
                </c:pt>
                <c:pt idx="8">
                  <c:v>2670.5</c:v>
                </c:pt>
                <c:pt idx="9">
                  <c:v>4479.6000000000004</c:v>
                </c:pt>
              </c:numCache>
            </c:numRef>
          </c:val>
        </c:ser>
        <c:ser>
          <c:idx val="5"/>
          <c:order val="5"/>
          <c:tx>
            <c:strRef>
              <c:f>Sheet1!$A$15</c:f>
              <c:strCache>
                <c:ptCount val="1"/>
                <c:pt idx="0">
                  <c:v>Nemetālisko minerālu ražošana</c:v>
                </c:pt>
              </c:strCache>
            </c:strRef>
          </c:tx>
          <c:spPr>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Sheet1!$B$15:$K$15</c:f>
              <c:numCache>
                <c:formatCode>General</c:formatCode>
                <c:ptCount val="10"/>
                <c:pt idx="0">
                  <c:v>1037.2</c:v>
                </c:pt>
                <c:pt idx="1">
                  <c:v>4775.1000000000004</c:v>
                </c:pt>
                <c:pt idx="2">
                  <c:v>296.8</c:v>
                </c:pt>
                <c:pt idx="3">
                  <c:v>278.89999999999998</c:v>
                </c:pt>
                <c:pt idx="4">
                  <c:v>323.89999999999998</c:v>
                </c:pt>
                <c:pt idx="5">
                  <c:v>1772.5</c:v>
                </c:pt>
                <c:pt idx="6">
                  <c:v>9984</c:v>
                </c:pt>
                <c:pt idx="7">
                  <c:v>2357</c:v>
                </c:pt>
                <c:pt idx="8">
                  <c:v>834</c:v>
                </c:pt>
                <c:pt idx="9">
                  <c:v>1437.8</c:v>
                </c:pt>
              </c:numCache>
            </c:numRef>
          </c:val>
        </c:ser>
        <c:ser>
          <c:idx val="6"/>
          <c:order val="6"/>
          <c:tx>
            <c:strRef>
              <c:f>Sheet1!$A$16</c:f>
              <c:strCache>
                <c:ptCount val="1"/>
                <c:pt idx="0">
                  <c:v>Metālapstrāde</c:v>
                </c:pt>
              </c:strCache>
            </c:strRef>
          </c:tx>
          <c:spPr>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Sheet1!$B$16:$K$16</c:f>
              <c:numCache>
                <c:formatCode>General</c:formatCode>
                <c:ptCount val="10"/>
                <c:pt idx="0">
                  <c:v>4319.3999999999996</c:v>
                </c:pt>
                <c:pt idx="1">
                  <c:v>17496.7</c:v>
                </c:pt>
                <c:pt idx="2">
                  <c:v>860.1</c:v>
                </c:pt>
                <c:pt idx="3">
                  <c:v>808.3</c:v>
                </c:pt>
                <c:pt idx="4">
                  <c:v>476.5</c:v>
                </c:pt>
                <c:pt idx="5">
                  <c:v>5318.2</c:v>
                </c:pt>
                <c:pt idx="6">
                  <c:v>24223</c:v>
                </c:pt>
                <c:pt idx="7">
                  <c:v>6678.4</c:v>
                </c:pt>
                <c:pt idx="8">
                  <c:v>3856.6</c:v>
                </c:pt>
                <c:pt idx="9">
                  <c:v>7473.9000000000005</c:v>
                </c:pt>
              </c:numCache>
            </c:numRef>
          </c:val>
        </c:ser>
        <c:ser>
          <c:idx val="7"/>
          <c:order val="7"/>
          <c:tx>
            <c:strRef>
              <c:f>Sheet1!$A$17</c:f>
              <c:strCache>
                <c:ptCount val="1"/>
                <c:pt idx="0">
                  <c:v>Elektrisko un optisko iekārtu ražošana</c:v>
                </c:pt>
              </c:strCache>
            </c:strRef>
          </c:tx>
          <c:spPr>
            <a:solidFill>
              <a:srgbClr val="C00000"/>
            </a:solidFill>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Sheet1!$B$17:$K$17</c:f>
              <c:numCache>
                <c:formatCode>General</c:formatCode>
                <c:ptCount val="10"/>
                <c:pt idx="0">
                  <c:v>1112.4000000000001</c:v>
                </c:pt>
                <c:pt idx="1">
                  <c:v>17749.2</c:v>
                </c:pt>
                <c:pt idx="2">
                  <c:v>1277.5</c:v>
                </c:pt>
                <c:pt idx="3">
                  <c:v>211.5</c:v>
                </c:pt>
                <c:pt idx="4">
                  <c:v>398.1</c:v>
                </c:pt>
                <c:pt idx="5">
                  <c:v>19034.100000000002</c:v>
                </c:pt>
                <c:pt idx="6">
                  <c:v>19767.900000000001</c:v>
                </c:pt>
                <c:pt idx="7">
                  <c:v>5050.2999999999993</c:v>
                </c:pt>
                <c:pt idx="8">
                  <c:v>2746.9</c:v>
                </c:pt>
                <c:pt idx="9">
                  <c:v>8876.1</c:v>
                </c:pt>
              </c:numCache>
            </c:numRef>
          </c:val>
        </c:ser>
        <c:ser>
          <c:idx val="8"/>
          <c:order val="8"/>
          <c:tx>
            <c:strRef>
              <c:f>Sheet1!$A$18</c:f>
              <c:strCache>
                <c:ptCount val="1"/>
                <c:pt idx="0">
                  <c:v>Mašīnu un iekārtu ražošana</c:v>
                </c:pt>
              </c:strCache>
            </c:strRef>
          </c:tx>
          <c:spPr>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Sheet1!$B$18:$K$18</c:f>
              <c:numCache>
                <c:formatCode>General</c:formatCode>
                <c:ptCount val="10"/>
                <c:pt idx="0">
                  <c:v>885.1</c:v>
                </c:pt>
                <c:pt idx="1">
                  <c:v>9861.7999999999993</c:v>
                </c:pt>
                <c:pt idx="2">
                  <c:v>194.6</c:v>
                </c:pt>
                <c:pt idx="3">
                  <c:v>105.5</c:v>
                </c:pt>
                <c:pt idx="4">
                  <c:v>214.2</c:v>
                </c:pt>
                <c:pt idx="5">
                  <c:v>5148.8999999999996</c:v>
                </c:pt>
                <c:pt idx="6">
                  <c:v>8736.4</c:v>
                </c:pt>
                <c:pt idx="7">
                  <c:v>1939.9</c:v>
                </c:pt>
                <c:pt idx="8">
                  <c:v>1317.9</c:v>
                </c:pt>
                <c:pt idx="9">
                  <c:v>2617.1</c:v>
                </c:pt>
              </c:numCache>
            </c:numRef>
          </c:val>
        </c:ser>
        <c:ser>
          <c:idx val="9"/>
          <c:order val="9"/>
          <c:tx>
            <c:strRef>
              <c:f>Sheet1!$A$19</c:f>
              <c:strCache>
                <c:ptCount val="1"/>
                <c:pt idx="0">
                  <c:v>Transportlīdzekļu ražošana</c:v>
                </c:pt>
              </c:strCache>
            </c:strRef>
          </c:tx>
          <c:spPr>
            <a:solidFill>
              <a:srgbClr val="FFFFB7"/>
            </a:solidFill>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Sheet1!$B$19:$K$19</c:f>
              <c:numCache>
                <c:formatCode>General</c:formatCode>
                <c:ptCount val="10"/>
                <c:pt idx="0">
                  <c:v>595.1</c:v>
                </c:pt>
                <c:pt idx="1">
                  <c:v>29096.2</c:v>
                </c:pt>
                <c:pt idx="2">
                  <c:v>294.3</c:v>
                </c:pt>
                <c:pt idx="3">
                  <c:v>162.80000000000001</c:v>
                </c:pt>
                <c:pt idx="4">
                  <c:v>232.9</c:v>
                </c:pt>
                <c:pt idx="5">
                  <c:v>13613.3</c:v>
                </c:pt>
                <c:pt idx="6">
                  <c:v>26498.2</c:v>
                </c:pt>
                <c:pt idx="7">
                  <c:v>9012.1999999999989</c:v>
                </c:pt>
                <c:pt idx="8">
                  <c:v>2629.6</c:v>
                </c:pt>
                <c:pt idx="9">
                  <c:v>13471.6</c:v>
                </c:pt>
              </c:numCache>
            </c:numRef>
          </c:val>
        </c:ser>
        <c:ser>
          <c:idx val="10"/>
          <c:order val="10"/>
          <c:tx>
            <c:strRef>
              <c:f>Sheet1!$A$20</c:f>
              <c:strCache>
                <c:ptCount val="1"/>
                <c:pt idx="0">
                  <c:v>Pārējās nozares</c:v>
                </c:pt>
              </c:strCache>
            </c:strRef>
          </c:tx>
          <c:spPr>
            <a:solidFill>
              <a:srgbClr val="00B050"/>
            </a:solidFill>
            <a:ln>
              <a:solidFill>
                <a:schemeClr val="tx1"/>
              </a:solidFill>
            </a:ln>
          </c:spPr>
          <c:invertIfNegative val="0"/>
          <c:cat>
            <c:strRef>
              <c:f>Sheet1!$B$9:$K$9</c:f>
              <c:strCache>
                <c:ptCount val="10"/>
                <c:pt idx="0">
                  <c:v>BG</c:v>
                </c:pt>
                <c:pt idx="1">
                  <c:v>CZ</c:v>
                </c:pt>
                <c:pt idx="2">
                  <c:v>EE</c:v>
                </c:pt>
                <c:pt idx="3">
                  <c:v>LV</c:v>
                </c:pt>
                <c:pt idx="4">
                  <c:v>LT</c:v>
                </c:pt>
                <c:pt idx="5">
                  <c:v>HU</c:v>
                </c:pt>
                <c:pt idx="6">
                  <c:v>PL</c:v>
                </c:pt>
                <c:pt idx="7">
                  <c:v>RO</c:v>
                </c:pt>
                <c:pt idx="8">
                  <c:v>SI</c:v>
                </c:pt>
                <c:pt idx="9">
                  <c:v>SK</c:v>
                </c:pt>
              </c:strCache>
            </c:strRef>
          </c:cat>
          <c:val>
            <c:numRef>
              <c:f>Sheet1!$B$20:$K$20</c:f>
              <c:numCache>
                <c:formatCode>General</c:formatCode>
                <c:ptCount val="10"/>
                <c:pt idx="0">
                  <c:v>521.29999999999995</c:v>
                </c:pt>
                <c:pt idx="1">
                  <c:v>3104</c:v>
                </c:pt>
                <c:pt idx="2">
                  <c:v>436.5</c:v>
                </c:pt>
                <c:pt idx="3">
                  <c:v>149.9</c:v>
                </c:pt>
                <c:pt idx="4">
                  <c:v>887.8</c:v>
                </c:pt>
                <c:pt idx="5">
                  <c:v>1331.6</c:v>
                </c:pt>
                <c:pt idx="6">
                  <c:v>8380.1</c:v>
                </c:pt>
                <c:pt idx="7">
                  <c:v>1702.8</c:v>
                </c:pt>
                <c:pt idx="8">
                  <c:v>745.1</c:v>
                </c:pt>
                <c:pt idx="9">
                  <c:v>965.7</c:v>
                </c:pt>
              </c:numCache>
            </c:numRef>
          </c:val>
        </c:ser>
        <c:dLbls>
          <c:showLegendKey val="0"/>
          <c:showVal val="0"/>
          <c:showCatName val="0"/>
          <c:showSerName val="0"/>
          <c:showPercent val="0"/>
          <c:showBubbleSize val="0"/>
        </c:dLbls>
        <c:gapWidth val="50"/>
        <c:overlap val="100"/>
        <c:axId val="277025536"/>
        <c:axId val="277027072"/>
      </c:barChart>
      <c:catAx>
        <c:axId val="277025536"/>
        <c:scaling>
          <c:orientation val="minMax"/>
        </c:scaling>
        <c:delete val="1"/>
        <c:axPos val="b"/>
        <c:numFmt formatCode="General" sourceLinked="1"/>
        <c:majorTickMark val="cross"/>
        <c:minorTickMark val="none"/>
        <c:tickLblPos val="nextTo"/>
        <c:crossAx val="277027072"/>
        <c:crosses val="autoZero"/>
        <c:auto val="1"/>
        <c:lblAlgn val="ctr"/>
        <c:lblOffset val="0"/>
        <c:noMultiLvlLbl val="0"/>
      </c:catAx>
      <c:valAx>
        <c:axId val="277027072"/>
        <c:scaling>
          <c:orientation val="minMax"/>
        </c:scaling>
        <c:delete val="1"/>
        <c:axPos val="l"/>
        <c:numFmt formatCode="0%" sourceLinked="0"/>
        <c:majorTickMark val="cross"/>
        <c:minorTickMark val="none"/>
        <c:tickLblPos val="nextTo"/>
        <c:crossAx val="277025536"/>
        <c:crosses val="autoZero"/>
        <c:crossBetween val="between"/>
      </c:valAx>
    </c:plotArea>
    <c:legend>
      <c:legendPos val="t"/>
      <c:layout>
        <c:manualLayout>
          <c:xMode val="edge"/>
          <c:yMode val="edge"/>
          <c:x val="0"/>
          <c:y val="1.3277961749564774E-2"/>
          <c:w val="0.97564697635680753"/>
          <c:h val="0.98521153638724557"/>
        </c:manualLayout>
      </c:layout>
      <c:overlay val="0"/>
      <c:spPr>
        <a:solidFill>
          <a:schemeClr val="bg1"/>
        </a:solidFill>
      </c:spPr>
      <c:txPr>
        <a:bodyPr/>
        <a:lstStyle/>
        <a:p>
          <a:pPr>
            <a:defRPr sz="800">
              <a:latin typeface="Arial Narrow" pitchFamily="34" charset="0"/>
            </a:defRPr>
          </a:pPr>
          <a:endParaRPr lang="lv-LV"/>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0.15271004540969041"/>
          <c:w val="0.84631315184653555"/>
          <c:h val="0.67882956036745412"/>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105.37893108781577</c:v>
                </c:pt>
                <c:pt idx="1">
                  <c:v>114.60732084550609</c:v>
                </c:pt>
                <c:pt idx="2">
                  <c:v>101.34043650111703</c:v>
                </c:pt>
                <c:pt idx="3">
                  <c:v>76.078363980065305</c:v>
                </c:pt>
                <c:pt idx="4">
                  <c:v>68.29352122357794</c:v>
                </c:pt>
                <c:pt idx="5">
                  <c:v>71.26654064272212</c:v>
                </c:pt>
                <c:pt idx="6">
                  <c:v>76.387695480323075</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107.69904287737673</c:v>
                </c:pt>
                <c:pt idx="1">
                  <c:v>107.88188334263276</c:v>
                </c:pt>
                <c:pt idx="2">
                  <c:v>103.72033134469294</c:v>
                </c:pt>
                <c:pt idx="3">
                  <c:v>85.978797373277843</c:v>
                </c:pt>
                <c:pt idx="4">
                  <c:v>103.00871282029276</c:v>
                </c:pt>
                <c:pt idx="5">
                  <c:v>102.50225331559297</c:v>
                </c:pt>
                <c:pt idx="6">
                  <c:v>112.84432808275035</c:v>
                </c:pt>
              </c:numCache>
            </c:numRef>
          </c:val>
          <c:smooth val="0"/>
        </c:ser>
        <c:dLbls>
          <c:showLegendKey val="0"/>
          <c:showVal val="0"/>
          <c:showCatName val="0"/>
          <c:showSerName val="0"/>
          <c:showPercent val="0"/>
          <c:showBubbleSize val="0"/>
        </c:dLbls>
        <c:marker val="1"/>
        <c:smooth val="0"/>
        <c:axId val="264895104"/>
        <c:axId val="157286784"/>
      </c:lineChart>
      <c:catAx>
        <c:axId val="264895104"/>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157286784"/>
        <c:crosses val="autoZero"/>
        <c:auto val="1"/>
        <c:lblAlgn val="ctr"/>
        <c:lblOffset val="0"/>
        <c:noMultiLvlLbl val="0"/>
      </c:catAx>
      <c:valAx>
        <c:axId val="157286784"/>
        <c:scaling>
          <c:orientation val="minMax"/>
          <c:min val="6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64895104"/>
        <c:crosses val="autoZero"/>
        <c:crossBetween val="between"/>
        <c:majorUnit val="10"/>
      </c:valAx>
      <c:spPr>
        <a:solidFill>
          <a:sysClr val="window" lastClr="FFFFFF"/>
        </a:solidFill>
        <a:ln w="6350">
          <a:noFill/>
        </a:ln>
      </c:spPr>
    </c:plotArea>
    <c:legend>
      <c:legendPos val="t"/>
      <c:layout>
        <c:manualLayout>
          <c:xMode val="edge"/>
          <c:yMode val="edge"/>
          <c:x val="0.26210471059538609"/>
          <c:y val="1.0352099123335016E-2"/>
          <c:w val="0.72829506837961044"/>
          <c:h val="0.19964223582144541"/>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4.8706240487062395E-2"/>
          <c:w val="0.84631315184653555"/>
          <c:h val="0.78299596798952076"/>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99.626947553214833</c:v>
                </c:pt>
                <c:pt idx="1">
                  <c:v>105.92495062541144</c:v>
                </c:pt>
                <c:pt idx="2">
                  <c:v>97.399605003291626</c:v>
                </c:pt>
                <c:pt idx="3">
                  <c:v>74.983541803818298</c:v>
                </c:pt>
                <c:pt idx="4">
                  <c:v>73.348694316436251</c:v>
                </c:pt>
                <c:pt idx="5">
                  <c:v>77.30963353083169</c:v>
                </c:pt>
                <c:pt idx="6">
                  <c:v>79.361421988150099</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120.26036510169698</c:v>
                </c:pt>
                <c:pt idx="1">
                  <c:v>124.00083372414151</c:v>
                </c:pt>
                <c:pt idx="2">
                  <c:v>121.5682698487138</c:v>
                </c:pt>
                <c:pt idx="3">
                  <c:v>99.084640369617702</c:v>
                </c:pt>
                <c:pt idx="4">
                  <c:v>104.21551769058411</c:v>
                </c:pt>
                <c:pt idx="5">
                  <c:v>108.79318430514301</c:v>
                </c:pt>
                <c:pt idx="6">
                  <c:v>117.86861897069804</c:v>
                </c:pt>
              </c:numCache>
            </c:numRef>
          </c:val>
          <c:smooth val="0"/>
        </c:ser>
        <c:dLbls>
          <c:showLegendKey val="0"/>
          <c:showVal val="0"/>
          <c:showCatName val="0"/>
          <c:showSerName val="0"/>
          <c:showPercent val="0"/>
          <c:showBubbleSize val="0"/>
        </c:dLbls>
        <c:marker val="1"/>
        <c:smooth val="0"/>
        <c:axId val="157348608"/>
        <c:axId val="157350144"/>
      </c:lineChart>
      <c:catAx>
        <c:axId val="157348608"/>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157350144"/>
        <c:crosses val="autoZero"/>
        <c:auto val="1"/>
        <c:lblAlgn val="ctr"/>
        <c:lblOffset val="0"/>
        <c:noMultiLvlLbl val="0"/>
      </c:catAx>
      <c:valAx>
        <c:axId val="157350144"/>
        <c:scaling>
          <c:orientation val="minMax"/>
          <c:min val="7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157348608"/>
        <c:crosses val="autoZero"/>
        <c:crossBetween val="between"/>
        <c:majorUnit val="25"/>
      </c:valAx>
      <c:spPr>
        <a:solidFill>
          <a:sysClr val="window" lastClr="FFFFFF"/>
        </a:solidFill>
        <a:ln w="6350">
          <a:noFill/>
        </a:ln>
      </c:spPr>
    </c:plotArea>
    <c:legend>
      <c:legendPos val="t"/>
      <c:layout>
        <c:manualLayout>
          <c:xMode val="edge"/>
          <c:yMode val="edge"/>
          <c:x val="0.14280650412978177"/>
          <c:y val="3.1201248049921998E-2"/>
          <c:w val="0.66522555642560421"/>
          <c:h val="0.19964223582144541"/>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0.13190921337640907"/>
          <c:w val="0.84631315184653555"/>
          <c:h val="0.69966289370078749"/>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108.79310344827586</c:v>
                </c:pt>
                <c:pt idx="1">
                  <c:v>131.37931034482759</c:v>
                </c:pt>
                <c:pt idx="2">
                  <c:v>115.0344827586207</c:v>
                </c:pt>
                <c:pt idx="3">
                  <c:v>74.172413793103459</c:v>
                </c:pt>
                <c:pt idx="4">
                  <c:v>71.448275862068982</c:v>
                </c:pt>
                <c:pt idx="5">
                  <c:v>76.551724137931046</c:v>
                </c:pt>
                <c:pt idx="6">
                  <c:v>81.206896551724142</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110.00700302549011</c:v>
                </c:pt>
                <c:pt idx="1">
                  <c:v>91.180307309236227</c:v>
                </c:pt>
                <c:pt idx="2">
                  <c:v>78.054440513189036</c:v>
                </c:pt>
                <c:pt idx="3">
                  <c:v>46.724369155563288</c:v>
                </c:pt>
                <c:pt idx="4">
                  <c:v>54.926147832494962</c:v>
                </c:pt>
                <c:pt idx="5">
                  <c:v>68.198940849608888</c:v>
                </c:pt>
                <c:pt idx="6">
                  <c:v>74.094298255651637</c:v>
                </c:pt>
              </c:numCache>
            </c:numRef>
          </c:val>
          <c:smooth val="0"/>
        </c:ser>
        <c:dLbls>
          <c:showLegendKey val="0"/>
          <c:showVal val="0"/>
          <c:showCatName val="0"/>
          <c:showSerName val="0"/>
          <c:showPercent val="0"/>
          <c:showBubbleSize val="0"/>
        </c:dLbls>
        <c:marker val="1"/>
        <c:smooth val="0"/>
        <c:axId val="265046656"/>
        <c:axId val="265056640"/>
      </c:lineChart>
      <c:catAx>
        <c:axId val="265046656"/>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65056640"/>
        <c:crosses val="autoZero"/>
        <c:auto val="1"/>
        <c:lblAlgn val="ctr"/>
        <c:lblOffset val="0"/>
        <c:noMultiLvlLbl val="0"/>
      </c:catAx>
      <c:valAx>
        <c:axId val="265056640"/>
        <c:scaling>
          <c:orientation val="minMax"/>
          <c:min val="4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65046656"/>
        <c:crosses val="autoZero"/>
        <c:crossBetween val="between"/>
        <c:majorUnit val="25"/>
      </c:valAx>
      <c:spPr>
        <a:solidFill>
          <a:sysClr val="window" lastClr="FFFFFF"/>
        </a:solidFill>
        <a:ln w="6350">
          <a:noFill/>
        </a:ln>
      </c:spPr>
    </c:plotArea>
    <c:legend>
      <c:legendPos val="t"/>
      <c:layout>
        <c:manualLayout>
          <c:xMode val="edge"/>
          <c:yMode val="edge"/>
          <c:x val="0.40947313164801769"/>
          <c:y val="1.0352099123335016E-2"/>
          <c:w val="0.58094881017160604"/>
          <c:h val="0.19964223582144541"/>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4.8706240487062395E-2"/>
          <c:w val="0.84631315184653555"/>
          <c:h val="0.78299596798952076"/>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115.27606858643038</c:v>
                </c:pt>
                <c:pt idx="1">
                  <c:v>111.62523586840594</c:v>
                </c:pt>
                <c:pt idx="2">
                  <c:v>121.60964804331775</c:v>
                </c:pt>
                <c:pt idx="3">
                  <c:v>82.869800639921237</c:v>
                </c:pt>
                <c:pt idx="4">
                  <c:v>82.631881204364589</c:v>
                </c:pt>
                <c:pt idx="5">
                  <c:v>96.82500615308885</c:v>
                </c:pt>
                <c:pt idx="6">
                  <c:v>103.87234391664616</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111.26831397555603</c:v>
                </c:pt>
                <c:pt idx="1">
                  <c:v>124.03685568966823</c:v>
                </c:pt>
                <c:pt idx="2">
                  <c:v>125.80182949973427</c:v>
                </c:pt>
                <c:pt idx="3">
                  <c:v>91.664768845365501</c:v>
                </c:pt>
                <c:pt idx="4">
                  <c:v>113.86832915812644</c:v>
                </c:pt>
                <c:pt idx="5">
                  <c:v>146.11136415395123</c:v>
                </c:pt>
                <c:pt idx="6">
                  <c:v>169.86164882714638</c:v>
                </c:pt>
              </c:numCache>
            </c:numRef>
          </c:val>
          <c:smooth val="0"/>
        </c:ser>
        <c:dLbls>
          <c:showLegendKey val="0"/>
          <c:showVal val="0"/>
          <c:showCatName val="0"/>
          <c:showSerName val="0"/>
          <c:showPercent val="0"/>
          <c:showBubbleSize val="0"/>
        </c:dLbls>
        <c:marker val="1"/>
        <c:smooth val="0"/>
        <c:axId val="266371840"/>
        <c:axId val="266373376"/>
      </c:lineChart>
      <c:catAx>
        <c:axId val="266371840"/>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66373376"/>
        <c:crosses val="autoZero"/>
        <c:auto val="1"/>
        <c:lblAlgn val="ctr"/>
        <c:lblOffset val="0"/>
        <c:noMultiLvlLbl val="0"/>
      </c:catAx>
      <c:valAx>
        <c:axId val="266373376"/>
        <c:scaling>
          <c:orientation val="minMax"/>
          <c:min val="8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66371840"/>
        <c:crosses val="autoZero"/>
        <c:crossBetween val="between"/>
        <c:majorUnit val="20"/>
      </c:valAx>
      <c:spPr>
        <a:noFill/>
        <a:ln w="25400">
          <a:noFill/>
        </a:ln>
      </c:spPr>
    </c:plotArea>
    <c:legend>
      <c:legendPos val="t"/>
      <c:layout>
        <c:manualLayout>
          <c:xMode val="edge"/>
          <c:yMode val="edge"/>
          <c:x val="0.13964857024450889"/>
          <c:y val="6.25E-2"/>
          <c:w val="0.63716303112269024"/>
          <c:h val="0.25209809711286091"/>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73546128124922"/>
          <c:y val="4.8706240487062395E-2"/>
          <c:w val="0.84631315184653555"/>
          <c:h val="0.78299596798952076"/>
        </c:manualLayout>
      </c:layout>
      <c:lineChart>
        <c:grouping val="standard"/>
        <c:varyColors val="0"/>
        <c:ser>
          <c:idx val="0"/>
          <c:order val="0"/>
          <c:tx>
            <c:strRef>
              <c:f>Sheet1!$A$2</c:f>
              <c:strCache>
                <c:ptCount val="1"/>
                <c:pt idx="0">
                  <c:v>Nodarbinātie</c:v>
                </c:pt>
              </c:strCache>
            </c:strRef>
          </c:tx>
          <c:spPr>
            <a:ln w="19050">
              <a:solidFill>
                <a:srgbClr val="0070C0"/>
              </a:solidFill>
              <a:prstDash val="dash"/>
            </a:ln>
          </c:spPr>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Sheet1!$B$2:$H$2</c:f>
              <c:numCache>
                <c:formatCode>0.0</c:formatCode>
                <c:ptCount val="7"/>
                <c:pt idx="0">
                  <c:v>112.1930567315834</c:v>
                </c:pt>
                <c:pt idx="1">
                  <c:v>116.13039796782387</c:v>
                </c:pt>
                <c:pt idx="2">
                  <c:v>104.72057578323454</c:v>
                </c:pt>
                <c:pt idx="3">
                  <c:v>75.127011007620652</c:v>
                </c:pt>
                <c:pt idx="4">
                  <c:v>69.580863674851813</c:v>
                </c:pt>
                <c:pt idx="5">
                  <c:v>81.138865368331906</c:v>
                </c:pt>
                <c:pt idx="6">
                  <c:v>87.066045723962716</c:v>
                </c:pt>
              </c:numCache>
            </c:numRef>
          </c:val>
          <c:smooth val="0"/>
        </c:ser>
        <c:ser>
          <c:idx val="1"/>
          <c:order val="1"/>
          <c:tx>
            <c:strRef>
              <c:f>Sheet1!$A$3</c:f>
              <c:strCache>
                <c:ptCount val="1"/>
                <c:pt idx="0">
                  <c:v>Ražošanas apjomi</c:v>
                </c:pt>
              </c:strCache>
            </c:strRef>
          </c:tx>
          <c:marker>
            <c:symbol val="none"/>
          </c:marker>
          <c:cat>
            <c:numRef>
              <c:f>Sheet1!$B$1:$H$1</c:f>
              <c:numCache>
                <c:formatCode>General</c:formatCode>
                <c:ptCount val="7"/>
                <c:pt idx="0">
                  <c:v>2006</c:v>
                </c:pt>
                <c:pt idx="1">
                  <c:v>2007</c:v>
                </c:pt>
                <c:pt idx="2">
                  <c:v>2008</c:v>
                </c:pt>
                <c:pt idx="3">
                  <c:v>2009</c:v>
                </c:pt>
                <c:pt idx="4">
                  <c:v>2010</c:v>
                </c:pt>
                <c:pt idx="5">
                  <c:v>2011</c:v>
                </c:pt>
                <c:pt idx="6">
                  <c:v>2012</c:v>
                </c:pt>
              </c:numCache>
            </c:numRef>
          </c:cat>
          <c:val>
            <c:numRef>
              <c:f>Sheet1!$B$3:$H$3</c:f>
              <c:numCache>
                <c:formatCode>0.0</c:formatCode>
                <c:ptCount val="7"/>
                <c:pt idx="0">
                  <c:v>116.42395871802292</c:v>
                </c:pt>
                <c:pt idx="1">
                  <c:v>120.82863388196309</c:v>
                </c:pt>
                <c:pt idx="2">
                  <c:v>137.86443621555262</c:v>
                </c:pt>
                <c:pt idx="3">
                  <c:v>89.927037898372092</c:v>
                </c:pt>
                <c:pt idx="4">
                  <c:v>119.77562407050675</c:v>
                </c:pt>
                <c:pt idx="5">
                  <c:v>155.26954056832588</c:v>
                </c:pt>
                <c:pt idx="6">
                  <c:v>186.24399884218826</c:v>
                </c:pt>
              </c:numCache>
            </c:numRef>
          </c:val>
          <c:smooth val="0"/>
        </c:ser>
        <c:dLbls>
          <c:showLegendKey val="0"/>
          <c:showVal val="0"/>
          <c:showCatName val="0"/>
          <c:showSerName val="0"/>
          <c:showPercent val="0"/>
          <c:showBubbleSize val="0"/>
        </c:dLbls>
        <c:marker val="1"/>
        <c:smooth val="0"/>
        <c:axId val="264768128"/>
        <c:axId val="264769920"/>
      </c:lineChart>
      <c:catAx>
        <c:axId val="264768128"/>
        <c:scaling>
          <c:orientation val="minMax"/>
        </c:scaling>
        <c:delete val="0"/>
        <c:axPos val="b"/>
        <c:numFmt formatCode="General" sourceLinked="1"/>
        <c:majorTickMark val="cross"/>
        <c:minorTickMark val="none"/>
        <c:tickLblPos val="nextTo"/>
        <c:spPr>
          <a:ln w="6350">
            <a:solidFill>
              <a:srgbClr val="000000"/>
            </a:solidFill>
            <a:prstDash val="solid"/>
          </a:ln>
        </c:spPr>
        <c:txPr>
          <a:bodyPr rot="-5400000" vert="horz"/>
          <a:lstStyle/>
          <a:p>
            <a:pPr>
              <a:defRPr sz="700" b="0" i="0" u="none" strike="noStrike" baseline="0">
                <a:solidFill>
                  <a:srgbClr val="000000"/>
                </a:solidFill>
                <a:latin typeface="Arial Narrow" pitchFamily="34" charset="0"/>
                <a:ea typeface="Times New Roman"/>
                <a:cs typeface="Times New Roman" pitchFamily="18" charset="0"/>
              </a:defRPr>
            </a:pPr>
            <a:endParaRPr lang="lv-LV"/>
          </a:p>
        </c:txPr>
        <c:crossAx val="264769920"/>
        <c:crosses val="autoZero"/>
        <c:auto val="1"/>
        <c:lblAlgn val="ctr"/>
        <c:lblOffset val="0"/>
        <c:noMultiLvlLbl val="0"/>
      </c:catAx>
      <c:valAx>
        <c:axId val="264769920"/>
        <c:scaling>
          <c:orientation val="minMax"/>
          <c:min val="50"/>
        </c:scaling>
        <c:delete val="0"/>
        <c:axPos val="l"/>
        <c:numFmt formatCode="0" sourceLinked="0"/>
        <c:majorTickMark val="cross"/>
        <c:minorTickMark val="none"/>
        <c:tickLblPos val="nextTo"/>
        <c:spPr>
          <a:ln w="6350">
            <a:solidFill>
              <a:sysClr val="windowText" lastClr="000000"/>
            </a:solidFill>
          </a:ln>
        </c:spPr>
        <c:txPr>
          <a:bodyPr rot="0" vert="horz"/>
          <a:lstStyle/>
          <a:p>
            <a:pPr>
              <a:defRPr sz="700" b="0" i="0" u="none" strike="noStrike" baseline="0">
                <a:solidFill>
                  <a:srgbClr val="000000"/>
                </a:solidFill>
                <a:latin typeface="Arial Narrow" pitchFamily="34" charset="0"/>
                <a:ea typeface="Times New Roman"/>
                <a:cs typeface="Times New Roman"/>
              </a:defRPr>
            </a:pPr>
            <a:endParaRPr lang="lv-LV"/>
          </a:p>
        </c:txPr>
        <c:crossAx val="264768128"/>
        <c:crosses val="autoZero"/>
        <c:crossBetween val="between"/>
        <c:majorUnit val="25"/>
      </c:valAx>
      <c:spPr>
        <a:solidFill>
          <a:sysClr val="window" lastClr="FFFFFF"/>
        </a:solidFill>
        <a:ln w="6350">
          <a:noFill/>
        </a:ln>
      </c:spPr>
    </c:plotArea>
    <c:legend>
      <c:legendPos val="t"/>
      <c:layout>
        <c:manualLayout>
          <c:xMode val="edge"/>
          <c:yMode val="edge"/>
          <c:x val="0.15368365796380715"/>
          <c:y val="0"/>
          <c:w val="0.6231131540591146"/>
          <c:h val="0.23080626640419946"/>
        </c:manualLayout>
      </c:layout>
      <c:overlay val="0"/>
      <c:txPr>
        <a:bodyPr/>
        <a:lstStyle/>
        <a:p>
          <a:pPr>
            <a:defRPr sz="700" b="0">
              <a:latin typeface="Arial Narrow" pitchFamily="34" charset="0"/>
            </a:defRPr>
          </a:pPr>
          <a:endParaRPr lang="lv-LV"/>
        </a:p>
      </c:txPr>
    </c:legend>
    <c:plotVisOnly val="1"/>
    <c:dispBlanksAs val="zero"/>
    <c:showDLblsOverMax val="0"/>
  </c:chart>
  <c:spPr>
    <a:noFill/>
    <a:ln cap="sq">
      <a:noFill/>
    </a:ln>
  </c:spPr>
  <c:txPr>
    <a:bodyPr/>
    <a:lstStyle/>
    <a:p>
      <a:pPr>
        <a:spcBef>
          <a:spcPts val="600"/>
        </a:spcBef>
        <a:spcAft>
          <a:spcPts val="1200"/>
        </a:spcAft>
        <a:defRPr sz="800" b="1" i="0" u="none" strike="noStrike" baseline="0">
          <a:solidFill>
            <a:srgbClr val="000000"/>
          </a:solidFill>
          <a:latin typeface="Arial"/>
          <a:ea typeface="Arial"/>
          <a:cs typeface="Arial"/>
        </a:defRPr>
      </a:pPr>
      <a:endParaRPr lang="lv-LV"/>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0.13087</cdr:x>
      <cdr:y>0.05703</cdr:y>
    </cdr:from>
    <cdr:to>
      <cdr:x>0.28205</cdr:x>
      <cdr:y>0.74244</cdr:y>
    </cdr:to>
    <cdr:cxnSp macro="">
      <cdr:nvCxnSpPr>
        <cdr:cNvPr id="3" name="Straight Connector 2"/>
        <cdr:cNvCxnSpPr/>
      </cdr:nvCxnSpPr>
      <cdr:spPr>
        <a:xfrm xmlns:a="http://schemas.openxmlformats.org/drawingml/2006/main" flipV="1">
          <a:off x="729204" y="142875"/>
          <a:ext cx="842421" cy="171698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0.1094</cdr:x>
      <cdr:y>0.06102</cdr:y>
    </cdr:from>
    <cdr:to>
      <cdr:x>0.96068</cdr:x>
      <cdr:y>0.82373</cdr:y>
    </cdr:to>
    <cdr:cxnSp macro="">
      <cdr:nvCxnSpPr>
        <cdr:cNvPr id="2" name="Straight Connector 1"/>
        <cdr:cNvCxnSpPr/>
      </cdr:nvCxnSpPr>
      <cdr:spPr>
        <a:xfrm xmlns:a="http://schemas.openxmlformats.org/drawingml/2006/main" flipV="1">
          <a:off x="609600" y="171450"/>
          <a:ext cx="4743450" cy="21431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0.20608</cdr:x>
      <cdr:y>0.68012</cdr:y>
    </cdr:from>
    <cdr:to>
      <cdr:x>0.95726</cdr:x>
      <cdr:y>0.81468</cdr:y>
    </cdr:to>
    <cdr:cxnSp macro="">
      <cdr:nvCxnSpPr>
        <cdr:cNvPr id="3" name="Straight Connector 2"/>
        <cdr:cNvCxnSpPr/>
      </cdr:nvCxnSpPr>
      <cdr:spPr>
        <a:xfrm xmlns:a="http://schemas.openxmlformats.org/drawingml/2006/main" flipV="1">
          <a:off x="1148304" y="2085975"/>
          <a:ext cx="4185696" cy="41269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A4B7-BD62-48D8-BDCA-A4369C78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7775</Words>
  <Characters>4432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Apstrādes rūpniecības raksturojums</vt:lpstr>
    </vt:vector>
  </TitlesOfParts>
  <Company>Ekonomikas ministrija</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Apstrādes rūpniecības raksturojums</dc:title>
  <dc:subject>Pielikums</dc:subject>
  <dc:creator>Kristaps Soms</dc:creator>
  <dc:description>Kristaps Soms
Tālr. 67013299
Kristaps.soms@em.gov.lv</dc:description>
  <cp:lastModifiedBy>Kristaps Soms</cp:lastModifiedBy>
  <cp:revision>2</cp:revision>
  <cp:lastPrinted>2013-05-15T10:47:00Z</cp:lastPrinted>
  <dcterms:created xsi:type="dcterms:W3CDTF">2013-05-15T11:28:00Z</dcterms:created>
  <dcterms:modified xsi:type="dcterms:W3CDTF">2013-05-15T11:28:00Z</dcterms:modified>
</cp:coreProperties>
</file>