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0" w:rsidRPr="00082D79" w:rsidRDefault="002805B0" w:rsidP="002805B0">
      <w:pPr>
        <w:pStyle w:val="Heading3"/>
        <w:rPr>
          <w:b w:val="0"/>
        </w:rPr>
      </w:pPr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/>
      </w:tblPr>
      <w:tblGrid>
        <w:gridCol w:w="3096"/>
        <w:gridCol w:w="2824"/>
        <w:gridCol w:w="3368"/>
      </w:tblGrid>
      <w:tr w:rsidR="002805B0" w:rsidTr="006D7A8B"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9733BF">
            <w:pPr>
              <w:rPr>
                <w:b/>
                <w:sz w:val="28"/>
              </w:rPr>
            </w:pPr>
            <w:r>
              <w:rPr>
                <w:sz w:val="28"/>
              </w:rPr>
              <w:t>200</w:t>
            </w:r>
            <w:r w:rsidR="009733BF">
              <w:rPr>
                <w:sz w:val="28"/>
              </w:rPr>
              <w:t>9</w:t>
            </w:r>
            <w:r>
              <w:rPr>
                <w:sz w:val="28"/>
              </w:rPr>
              <w:t>.gada</w:t>
            </w:r>
            <w:r w:rsidR="002A63A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2805B0" w:rsidRPr="000077D1" w:rsidRDefault="00B9358D" w:rsidP="00646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informatīvo ziņojumu</w:t>
      </w:r>
      <w:r w:rsidR="000077D1" w:rsidRPr="000077D1">
        <w:rPr>
          <w:b/>
          <w:sz w:val="28"/>
          <w:szCs w:val="28"/>
        </w:rPr>
        <w:t xml:space="preserve"> </w:t>
      </w:r>
      <w:r w:rsidR="00FE2123">
        <w:rPr>
          <w:b/>
          <w:sz w:val="28"/>
          <w:szCs w:val="28"/>
        </w:rPr>
        <w:t>„P</w:t>
      </w:r>
      <w:r w:rsidR="000C64E4">
        <w:rPr>
          <w:b/>
          <w:sz w:val="28"/>
          <w:szCs w:val="28"/>
        </w:rPr>
        <w:t>ar</w:t>
      </w:r>
      <w:r w:rsidR="000077D1" w:rsidRPr="000077D1">
        <w:rPr>
          <w:b/>
          <w:sz w:val="28"/>
          <w:szCs w:val="28"/>
        </w:rPr>
        <w:t xml:space="preserve"> </w:t>
      </w:r>
      <w:r w:rsidR="00DB0266" w:rsidRPr="00DB0266">
        <w:rPr>
          <w:b/>
          <w:sz w:val="28"/>
          <w:szCs w:val="28"/>
        </w:rPr>
        <w:t>ekonomikas atveseļošanas politikas virzieniem vidēja termiņa periodā</w:t>
      </w:r>
      <w:r w:rsidR="00FE2123">
        <w:rPr>
          <w:b/>
          <w:sz w:val="28"/>
          <w:szCs w:val="28"/>
        </w:rPr>
        <w:t>”</w:t>
      </w:r>
    </w:p>
    <w:p w:rsidR="002805B0" w:rsidRDefault="002805B0" w:rsidP="000077D1">
      <w:p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77696C" w:rsidRDefault="0077696C" w:rsidP="0077696C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B777F0" w:rsidRPr="0074762D" w:rsidRDefault="00B777F0" w:rsidP="0077696C">
      <w:pPr>
        <w:jc w:val="center"/>
        <w:rPr>
          <w:sz w:val="28"/>
          <w:szCs w:val="28"/>
        </w:rPr>
      </w:pPr>
    </w:p>
    <w:p w:rsidR="000077D1" w:rsidRPr="000077D1" w:rsidRDefault="00776A5E" w:rsidP="00776A5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77D1">
        <w:rPr>
          <w:sz w:val="28"/>
          <w:szCs w:val="28"/>
        </w:rPr>
        <w:t xml:space="preserve">Pieņemt zināšanai </w:t>
      </w:r>
      <w:r w:rsidR="00DB0266">
        <w:rPr>
          <w:sz w:val="28"/>
          <w:szCs w:val="28"/>
        </w:rPr>
        <w:t>ekonomikas</w:t>
      </w:r>
      <w:r w:rsidR="000077D1">
        <w:rPr>
          <w:sz w:val="28"/>
          <w:szCs w:val="28"/>
        </w:rPr>
        <w:t xml:space="preserve"> ministra</w:t>
      </w:r>
      <w:r w:rsidR="000077D1" w:rsidRPr="003A2941">
        <w:rPr>
          <w:sz w:val="28"/>
          <w:szCs w:val="28"/>
        </w:rPr>
        <w:t xml:space="preserve"> </w:t>
      </w:r>
      <w:r w:rsidR="00FE2123">
        <w:rPr>
          <w:sz w:val="28"/>
          <w:szCs w:val="28"/>
        </w:rPr>
        <w:t>iesniegto informatīvo ziņojumu „P</w:t>
      </w:r>
      <w:r w:rsidR="000077D1" w:rsidRPr="003A2941">
        <w:rPr>
          <w:sz w:val="28"/>
          <w:szCs w:val="28"/>
        </w:rPr>
        <w:t>ar</w:t>
      </w:r>
      <w:r w:rsidR="00DB0266">
        <w:rPr>
          <w:sz w:val="28"/>
          <w:szCs w:val="28"/>
        </w:rPr>
        <w:t xml:space="preserve"> </w:t>
      </w:r>
      <w:r w:rsidR="00DB0266" w:rsidRPr="00DB0266">
        <w:rPr>
          <w:sz w:val="28"/>
          <w:szCs w:val="28"/>
        </w:rPr>
        <w:t>ekonomikas atveseļošanas politikas virzieniem vidēja termiņa periodā</w:t>
      </w:r>
      <w:r w:rsidR="00FE2123">
        <w:rPr>
          <w:sz w:val="28"/>
          <w:szCs w:val="28"/>
        </w:rPr>
        <w:t>”</w:t>
      </w:r>
      <w:r w:rsidR="00E105E6">
        <w:rPr>
          <w:sz w:val="28"/>
          <w:szCs w:val="28"/>
        </w:rPr>
        <w:t>.</w:t>
      </w:r>
    </w:p>
    <w:p w:rsidR="00A474B7" w:rsidRPr="00B777F0" w:rsidRDefault="00A474B7" w:rsidP="00776A5E">
      <w:pPr>
        <w:tabs>
          <w:tab w:val="left" w:pos="284"/>
          <w:tab w:val="left" w:pos="6804"/>
        </w:tabs>
        <w:ind w:right="-143"/>
        <w:jc w:val="both"/>
        <w:rPr>
          <w:sz w:val="16"/>
          <w:szCs w:val="12"/>
        </w:rPr>
      </w:pPr>
    </w:p>
    <w:p w:rsidR="00EB678C" w:rsidRPr="00D739FF" w:rsidRDefault="00D739FF" w:rsidP="00776A5E">
      <w:pPr>
        <w:pStyle w:val="ListParagraph"/>
        <w:tabs>
          <w:tab w:val="left" w:pos="284"/>
        </w:tabs>
        <w:ind w:left="0"/>
        <w:jc w:val="both"/>
        <w:rPr>
          <w:sz w:val="28"/>
        </w:rPr>
      </w:pPr>
      <w:r>
        <w:rPr>
          <w:sz w:val="28"/>
        </w:rPr>
        <w:t>2. </w:t>
      </w:r>
      <w:r w:rsidRPr="00D739FF">
        <w:rPr>
          <w:sz w:val="28"/>
        </w:rPr>
        <w:t xml:space="preserve">Valsts kancelejai un ministrijām, izstrādājot darbības stratēģijas, politiku pamatnostādnes un citus plānošanas dokumentus, nodrošināt to atbilstību informatīvajā ziņojumā „Par ekonomikas atveseļošanas politikas virzieniem </w:t>
      </w:r>
      <w:r>
        <w:rPr>
          <w:sz w:val="28"/>
        </w:rPr>
        <w:t>vidēja termiņa periodā” noteiktajiem</w:t>
      </w:r>
      <w:r w:rsidRPr="00D739FF">
        <w:rPr>
          <w:sz w:val="28"/>
        </w:rPr>
        <w:t xml:space="preserve"> mērķ</w:t>
      </w:r>
      <w:r>
        <w:rPr>
          <w:sz w:val="28"/>
        </w:rPr>
        <w:t>iem</w:t>
      </w:r>
      <w:r w:rsidRPr="00D739FF">
        <w:rPr>
          <w:sz w:val="28"/>
        </w:rPr>
        <w:t xml:space="preserve"> un darbības virzien</w:t>
      </w:r>
      <w:r>
        <w:rPr>
          <w:sz w:val="28"/>
        </w:rPr>
        <w:t>iem</w:t>
      </w:r>
      <w:r w:rsidRPr="00D739FF">
        <w:rPr>
          <w:sz w:val="28"/>
        </w:rPr>
        <w:t>.</w:t>
      </w:r>
    </w:p>
    <w:p w:rsidR="00D739FF" w:rsidRPr="00B777F0" w:rsidRDefault="00D739FF" w:rsidP="00776A5E">
      <w:pPr>
        <w:pStyle w:val="ListParagraph"/>
        <w:tabs>
          <w:tab w:val="left" w:pos="284"/>
        </w:tabs>
        <w:ind w:left="0"/>
        <w:jc w:val="both"/>
        <w:rPr>
          <w:sz w:val="16"/>
          <w:szCs w:val="12"/>
        </w:rPr>
      </w:pPr>
    </w:p>
    <w:p w:rsidR="00550505" w:rsidRPr="00B777F0" w:rsidRDefault="00776A5E" w:rsidP="00776A5E">
      <w:pPr>
        <w:tabs>
          <w:tab w:val="left" w:pos="28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B678C" w:rsidRPr="00B777F0">
        <w:rPr>
          <w:sz w:val="28"/>
          <w:szCs w:val="28"/>
        </w:rPr>
        <w:t xml:space="preserve">Reģionālās attīstības un pašvaldību </w:t>
      </w:r>
      <w:r w:rsidR="00550505" w:rsidRPr="00B777F0">
        <w:rPr>
          <w:sz w:val="28"/>
          <w:szCs w:val="28"/>
        </w:rPr>
        <w:t xml:space="preserve">lietu </w:t>
      </w:r>
      <w:r w:rsidR="00EB678C" w:rsidRPr="00B777F0">
        <w:rPr>
          <w:sz w:val="28"/>
          <w:szCs w:val="28"/>
        </w:rPr>
        <w:t>ministrijai</w:t>
      </w:r>
      <w:r w:rsidR="00B777F0">
        <w:rPr>
          <w:sz w:val="28"/>
          <w:szCs w:val="28"/>
        </w:rPr>
        <w:t>,</w:t>
      </w:r>
      <w:r w:rsidR="00550505" w:rsidRPr="00B777F0">
        <w:rPr>
          <w:sz w:val="28"/>
          <w:szCs w:val="28"/>
        </w:rPr>
        <w:t xml:space="preserve"> </w:t>
      </w:r>
      <w:r w:rsidR="00705C3E" w:rsidRPr="00B777F0">
        <w:rPr>
          <w:sz w:val="28"/>
          <w:szCs w:val="28"/>
        </w:rPr>
        <w:t>atbilstoši</w:t>
      </w:r>
      <w:r w:rsidR="005B36D2" w:rsidRPr="00B777F0">
        <w:rPr>
          <w:sz w:val="28"/>
          <w:szCs w:val="28"/>
        </w:rPr>
        <w:t xml:space="preserve"> </w:t>
      </w:r>
      <w:r w:rsidR="00705C3E" w:rsidRPr="00B777F0">
        <w:rPr>
          <w:sz w:val="28"/>
          <w:szCs w:val="28"/>
        </w:rPr>
        <w:t>Ministru kabineta 2009.gada 1</w:t>
      </w:r>
      <w:r w:rsidR="00AD67CC">
        <w:rPr>
          <w:sz w:val="28"/>
          <w:szCs w:val="28"/>
        </w:rPr>
        <w:t>5</w:t>
      </w:r>
      <w:r w:rsidR="00705C3E" w:rsidRPr="00B777F0">
        <w:rPr>
          <w:sz w:val="28"/>
          <w:szCs w:val="28"/>
        </w:rPr>
        <w:t>.septembra sēdes protokola Nr.5</w:t>
      </w:r>
      <w:r w:rsidR="00AD67CC">
        <w:rPr>
          <w:sz w:val="28"/>
          <w:szCs w:val="28"/>
        </w:rPr>
        <w:t>8</w:t>
      </w:r>
      <w:r w:rsidR="00705C3E" w:rsidRPr="00B777F0">
        <w:rPr>
          <w:sz w:val="28"/>
          <w:szCs w:val="28"/>
        </w:rPr>
        <w:t xml:space="preserve"> </w:t>
      </w:r>
      <w:r w:rsidR="00AD67CC">
        <w:rPr>
          <w:sz w:val="28"/>
          <w:szCs w:val="28"/>
        </w:rPr>
        <w:t>6</w:t>
      </w:r>
      <w:r w:rsidR="00705C3E" w:rsidRPr="00B777F0">
        <w:rPr>
          <w:sz w:val="28"/>
          <w:szCs w:val="28"/>
        </w:rPr>
        <w:t xml:space="preserve">.§ </w:t>
      </w:r>
      <w:r w:rsidR="00AD67CC">
        <w:rPr>
          <w:sz w:val="28"/>
          <w:szCs w:val="28"/>
        </w:rPr>
        <w:t>4</w:t>
      </w:r>
      <w:r w:rsidR="00705C3E" w:rsidRPr="00B777F0">
        <w:rPr>
          <w:sz w:val="28"/>
          <w:szCs w:val="28"/>
        </w:rPr>
        <w:t xml:space="preserve">.punktam, </w:t>
      </w:r>
      <w:r w:rsidR="00550505" w:rsidRPr="00B777F0">
        <w:rPr>
          <w:sz w:val="28"/>
          <w:szCs w:val="28"/>
        </w:rPr>
        <w:t>iesniedzot izskat</w:t>
      </w:r>
      <w:r w:rsidR="00705C3E" w:rsidRPr="00B777F0">
        <w:rPr>
          <w:sz w:val="28"/>
          <w:szCs w:val="28"/>
        </w:rPr>
        <w:t>īšanai Ministru kabinetā</w:t>
      </w:r>
      <w:r w:rsidR="00550505" w:rsidRPr="00B777F0">
        <w:rPr>
          <w:sz w:val="28"/>
          <w:szCs w:val="28"/>
        </w:rPr>
        <w:t xml:space="preserve"> Latvijas stratēģiskās attīstības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550505" w:rsidRPr="00B777F0">
          <w:rPr>
            <w:sz w:val="28"/>
            <w:szCs w:val="28"/>
          </w:rPr>
          <w:t>plāna</w:t>
        </w:r>
      </w:smartTag>
      <w:r w:rsidR="00550505" w:rsidRPr="00B777F0">
        <w:rPr>
          <w:sz w:val="28"/>
          <w:szCs w:val="28"/>
        </w:rPr>
        <w:t xml:space="preserve"> projektu 2009.-2013.gadam</w:t>
      </w:r>
      <w:r w:rsidR="00600A7A" w:rsidRPr="00B777F0">
        <w:rPr>
          <w:sz w:val="28"/>
          <w:szCs w:val="28"/>
        </w:rPr>
        <w:t xml:space="preserve">, protokollēmumā iekļaut punktu, kas paredz </w:t>
      </w:r>
      <w:r w:rsidR="00550505" w:rsidRPr="00B777F0">
        <w:rPr>
          <w:sz w:val="28"/>
          <w:szCs w:val="28"/>
        </w:rPr>
        <w:t>Nacio</w:t>
      </w:r>
      <w:r w:rsidR="00431710" w:rsidRPr="00B777F0">
        <w:rPr>
          <w:sz w:val="28"/>
          <w:szCs w:val="28"/>
        </w:rPr>
        <w:t>nālā attīstības plāna</w:t>
      </w:r>
      <w:r w:rsidR="00AB1264" w:rsidRPr="00B777F0">
        <w:rPr>
          <w:sz w:val="28"/>
          <w:szCs w:val="28"/>
        </w:rPr>
        <w:t xml:space="preserve"> </w:t>
      </w:r>
      <w:r w:rsidR="00431710" w:rsidRPr="00B777F0">
        <w:rPr>
          <w:sz w:val="28"/>
          <w:szCs w:val="28"/>
        </w:rPr>
        <w:t>atcelšanu.</w:t>
      </w:r>
    </w:p>
    <w:p w:rsidR="00B777F0" w:rsidRDefault="00B777F0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776A5E" w:rsidRDefault="00776A5E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776A5E" w:rsidRDefault="00776A5E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082D79" w:rsidP="002805B0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 xml:space="preserve">Ministru prezidents </w:t>
      </w:r>
      <w:r>
        <w:rPr>
          <w:sz w:val="28"/>
        </w:rPr>
        <w:tab/>
      </w:r>
      <w:r w:rsidR="000077D1">
        <w:rPr>
          <w:sz w:val="28"/>
        </w:rPr>
        <w:t>V.Dombrovskis</w:t>
      </w:r>
    </w:p>
    <w:p w:rsidR="002805B0" w:rsidRDefault="002805B0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B777F0" w:rsidRDefault="00B777F0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2805B0" w:rsidP="0077696C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>Valsts kanceleja</w:t>
      </w:r>
      <w:r w:rsidR="000C64E4">
        <w:rPr>
          <w:sz w:val="28"/>
        </w:rPr>
        <w:t xml:space="preserve">s direktore </w:t>
      </w:r>
      <w:r w:rsidR="000C64E4">
        <w:rPr>
          <w:sz w:val="28"/>
        </w:rPr>
        <w:tab/>
      </w:r>
      <w:r>
        <w:rPr>
          <w:sz w:val="28"/>
        </w:rPr>
        <w:t>G.Veismane</w:t>
      </w:r>
    </w:p>
    <w:p w:rsidR="00C25BA2" w:rsidRDefault="00C25BA2" w:rsidP="0077696C">
      <w:pPr>
        <w:tabs>
          <w:tab w:val="left" w:pos="6804"/>
        </w:tabs>
        <w:ind w:right="-143"/>
        <w:jc w:val="both"/>
        <w:rPr>
          <w:sz w:val="28"/>
        </w:rPr>
      </w:pPr>
    </w:p>
    <w:p w:rsidR="00C25BA2" w:rsidRDefault="00C25BA2" w:rsidP="0077696C">
      <w:pPr>
        <w:tabs>
          <w:tab w:val="left" w:pos="6804"/>
        </w:tabs>
        <w:ind w:right="-143"/>
        <w:jc w:val="both"/>
        <w:rPr>
          <w:sz w:val="28"/>
        </w:rPr>
      </w:pPr>
    </w:p>
    <w:p w:rsidR="001B16CB" w:rsidRDefault="001B16CB" w:rsidP="003D44C6">
      <w:pPr>
        <w:tabs>
          <w:tab w:val="left" w:pos="6840"/>
        </w:tabs>
        <w:jc w:val="both"/>
        <w:rPr>
          <w:sz w:val="28"/>
        </w:rPr>
      </w:pPr>
    </w:p>
    <w:p w:rsidR="00152D73" w:rsidRDefault="00DB0266" w:rsidP="002805B0">
      <w:pPr>
        <w:tabs>
          <w:tab w:val="left" w:pos="6840"/>
        </w:tabs>
        <w:jc w:val="both"/>
        <w:rPr>
          <w:sz w:val="28"/>
        </w:rPr>
      </w:pPr>
      <w:r>
        <w:rPr>
          <w:sz w:val="28"/>
        </w:rPr>
        <w:t>Ekonomikas</w:t>
      </w:r>
      <w:r w:rsidR="000077D1">
        <w:rPr>
          <w:sz w:val="28"/>
        </w:rPr>
        <w:t xml:space="preserve"> ministrs</w:t>
      </w:r>
      <w:r w:rsidR="000077D1">
        <w:rPr>
          <w:sz w:val="28"/>
        </w:rPr>
        <w:tab/>
      </w:r>
      <w:r>
        <w:rPr>
          <w:sz w:val="28"/>
        </w:rPr>
        <w:t>A</w:t>
      </w:r>
      <w:r w:rsidR="000077D1">
        <w:rPr>
          <w:sz w:val="28"/>
        </w:rPr>
        <w:t>.</w:t>
      </w:r>
      <w:r>
        <w:rPr>
          <w:sz w:val="28"/>
        </w:rPr>
        <w:t>Kampars</w:t>
      </w:r>
    </w:p>
    <w:p w:rsidR="000077D1" w:rsidRDefault="000077D1" w:rsidP="002805B0">
      <w:pPr>
        <w:tabs>
          <w:tab w:val="left" w:pos="6840"/>
        </w:tabs>
        <w:jc w:val="both"/>
        <w:rPr>
          <w:sz w:val="28"/>
        </w:rPr>
      </w:pPr>
    </w:p>
    <w:p w:rsidR="00B777F0" w:rsidRDefault="00B777F0" w:rsidP="002805B0">
      <w:pPr>
        <w:tabs>
          <w:tab w:val="left" w:pos="6840"/>
        </w:tabs>
        <w:jc w:val="both"/>
        <w:rPr>
          <w:sz w:val="28"/>
        </w:rPr>
      </w:pPr>
    </w:p>
    <w:p w:rsidR="000077D1" w:rsidRDefault="000077D1" w:rsidP="00DB0266">
      <w:pPr>
        <w:tabs>
          <w:tab w:val="left" w:pos="6840"/>
        </w:tabs>
        <w:jc w:val="both"/>
        <w:rPr>
          <w:sz w:val="28"/>
        </w:rPr>
      </w:pPr>
      <w:r>
        <w:rPr>
          <w:sz w:val="28"/>
        </w:rPr>
        <w:t>Vīza:  Valsts sekretār</w:t>
      </w:r>
      <w:r w:rsidR="00DB0266">
        <w:rPr>
          <w:sz w:val="28"/>
        </w:rPr>
        <w:t>s</w:t>
      </w:r>
      <w:r>
        <w:rPr>
          <w:sz w:val="28"/>
        </w:rPr>
        <w:tab/>
      </w:r>
      <w:r w:rsidR="00DB0266">
        <w:rPr>
          <w:sz w:val="28"/>
        </w:rPr>
        <w:t>A</w:t>
      </w:r>
      <w:r>
        <w:rPr>
          <w:sz w:val="28"/>
        </w:rPr>
        <w:t>.</w:t>
      </w:r>
      <w:r w:rsidR="00DB0266">
        <w:rPr>
          <w:sz w:val="28"/>
        </w:rPr>
        <w:t>Matīss</w:t>
      </w:r>
    </w:p>
    <w:p w:rsidR="00E51240" w:rsidRPr="003D44C6" w:rsidRDefault="00E51240" w:rsidP="002805B0">
      <w:pPr>
        <w:tabs>
          <w:tab w:val="left" w:pos="6840"/>
        </w:tabs>
        <w:jc w:val="both"/>
        <w:rPr>
          <w:sz w:val="44"/>
        </w:rPr>
      </w:pPr>
    </w:p>
    <w:p w:rsidR="003D44C6" w:rsidRDefault="003D44C6" w:rsidP="003D44C6">
      <w:pPr>
        <w:rPr>
          <w:sz w:val="20"/>
          <w:szCs w:val="18"/>
        </w:rPr>
      </w:pPr>
    </w:p>
    <w:p w:rsidR="00B777F0" w:rsidRDefault="00B777F0" w:rsidP="003D44C6">
      <w:pPr>
        <w:rPr>
          <w:sz w:val="20"/>
          <w:szCs w:val="18"/>
        </w:rPr>
      </w:pPr>
    </w:p>
    <w:p w:rsidR="003D44C6" w:rsidRPr="00DB2696" w:rsidRDefault="00D40608" w:rsidP="003D44C6">
      <w:pPr>
        <w:rPr>
          <w:sz w:val="20"/>
          <w:szCs w:val="18"/>
        </w:rPr>
      </w:pPr>
      <w:r>
        <w:rPr>
          <w:sz w:val="20"/>
          <w:szCs w:val="18"/>
        </w:rPr>
        <w:t>0</w:t>
      </w:r>
      <w:r w:rsidR="00D739FF">
        <w:rPr>
          <w:sz w:val="20"/>
          <w:szCs w:val="18"/>
        </w:rPr>
        <w:t>7</w:t>
      </w:r>
      <w:r>
        <w:rPr>
          <w:sz w:val="20"/>
          <w:szCs w:val="18"/>
        </w:rPr>
        <w:t>.10.2009. 1</w:t>
      </w:r>
      <w:r w:rsidR="00123C6A">
        <w:rPr>
          <w:sz w:val="20"/>
          <w:szCs w:val="18"/>
        </w:rPr>
        <w:t>2</w:t>
      </w:r>
      <w:r w:rsidR="003D44C6" w:rsidRPr="00DB2696">
        <w:rPr>
          <w:sz w:val="20"/>
          <w:szCs w:val="18"/>
        </w:rPr>
        <w:t>.</w:t>
      </w:r>
      <w:r>
        <w:rPr>
          <w:sz w:val="20"/>
          <w:szCs w:val="18"/>
        </w:rPr>
        <w:t>0</w:t>
      </w:r>
      <w:r w:rsidR="003D44C6" w:rsidRPr="00DB2696">
        <w:rPr>
          <w:sz w:val="20"/>
          <w:szCs w:val="18"/>
        </w:rPr>
        <w:t>2</w:t>
      </w:r>
    </w:p>
    <w:p w:rsidR="003D44C6" w:rsidRPr="00DB2696" w:rsidRDefault="000405D9" w:rsidP="003D44C6">
      <w:pPr>
        <w:rPr>
          <w:sz w:val="20"/>
          <w:szCs w:val="18"/>
        </w:rPr>
      </w:pPr>
      <w:fldSimple w:instr=" NUMWORDS   \* MERGEFORMAT ">
        <w:r w:rsidR="00BB1041" w:rsidRPr="00BB1041">
          <w:rPr>
            <w:noProof/>
            <w:sz w:val="20"/>
            <w:szCs w:val="18"/>
          </w:rPr>
          <w:t>129</w:t>
        </w:r>
      </w:fldSimple>
      <w:r w:rsidR="003D44C6" w:rsidRPr="00DB2696">
        <w:rPr>
          <w:sz w:val="20"/>
          <w:szCs w:val="18"/>
        </w:rPr>
        <w:br/>
        <w:t>Jānis Salmiņš</w:t>
      </w:r>
    </w:p>
    <w:p w:rsidR="002805B0" w:rsidRPr="002805B0" w:rsidRDefault="000405D9" w:rsidP="003D44C6">
      <w:pPr>
        <w:rPr>
          <w:sz w:val="20"/>
          <w:szCs w:val="20"/>
        </w:rPr>
      </w:pPr>
      <w:hyperlink r:id="rId7" w:history="1">
        <w:r w:rsidR="003D44C6" w:rsidRPr="00DB2696">
          <w:rPr>
            <w:rStyle w:val="Hyperlink"/>
            <w:sz w:val="20"/>
            <w:szCs w:val="18"/>
          </w:rPr>
          <w:t>janis.salmins@em.gov.lv</w:t>
        </w:r>
      </w:hyperlink>
      <w:r w:rsidR="003D44C6" w:rsidRPr="00DB2696">
        <w:rPr>
          <w:sz w:val="20"/>
          <w:szCs w:val="18"/>
        </w:rPr>
        <w:t>, 67013112</w:t>
      </w:r>
    </w:p>
    <w:sectPr w:rsidR="002805B0" w:rsidRPr="002805B0" w:rsidSect="003D44C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991" w:bottom="1134" w:left="1418" w:header="720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61" w:rsidRDefault="00D14361" w:rsidP="002805B0">
      <w:r>
        <w:separator/>
      </w:r>
    </w:p>
  </w:endnote>
  <w:endnote w:type="continuationSeparator" w:id="0">
    <w:p w:rsidR="00D14361" w:rsidRDefault="00D14361" w:rsidP="0028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Pr="00D739FF" w:rsidRDefault="00D739FF" w:rsidP="00D739FF">
    <w:pPr>
      <w:jc w:val="both"/>
      <w:rPr>
        <w:sz w:val="20"/>
        <w:szCs w:val="20"/>
      </w:rPr>
    </w:pPr>
    <w:r w:rsidRPr="00DB0266">
      <w:rPr>
        <w:sz w:val="20"/>
        <w:szCs w:val="20"/>
      </w:rPr>
      <w:t>EMProt_</w:t>
    </w:r>
    <w:r>
      <w:rPr>
        <w:sz w:val="20"/>
        <w:szCs w:val="20"/>
      </w:rPr>
      <w:t>071</w:t>
    </w:r>
    <w:r w:rsidRPr="00DB0266">
      <w:rPr>
        <w:sz w:val="20"/>
        <w:szCs w:val="20"/>
      </w:rPr>
      <w:t>0</w:t>
    </w:r>
    <w:r>
      <w:rPr>
        <w:sz w:val="20"/>
        <w:szCs w:val="20"/>
      </w:rPr>
      <w:t>0</w:t>
    </w:r>
    <w:r w:rsidRPr="00DB0266">
      <w:rPr>
        <w:sz w:val="20"/>
        <w:szCs w:val="20"/>
      </w:rPr>
      <w:t>9; Ministru kabineta sēdes protokollēmuma projekts „Par ekonomikas atveseļošanas politikas virzieniem vidēja termiņa periodā</w:t>
    </w:r>
    <w:r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Pr="00DB0266" w:rsidRDefault="005B36D2" w:rsidP="00A474B7">
    <w:pPr>
      <w:jc w:val="both"/>
      <w:rPr>
        <w:sz w:val="20"/>
        <w:szCs w:val="20"/>
      </w:rPr>
    </w:pPr>
    <w:r w:rsidRPr="00DB0266">
      <w:rPr>
        <w:sz w:val="20"/>
        <w:szCs w:val="20"/>
      </w:rPr>
      <w:t>EMProt_</w:t>
    </w:r>
    <w:r>
      <w:rPr>
        <w:sz w:val="20"/>
        <w:szCs w:val="20"/>
      </w:rPr>
      <w:t>0</w:t>
    </w:r>
    <w:r w:rsidR="00D739FF">
      <w:rPr>
        <w:sz w:val="20"/>
        <w:szCs w:val="20"/>
      </w:rPr>
      <w:t>7</w:t>
    </w:r>
    <w:r>
      <w:rPr>
        <w:sz w:val="20"/>
        <w:szCs w:val="20"/>
      </w:rPr>
      <w:t>1</w:t>
    </w:r>
    <w:r w:rsidRPr="00DB0266">
      <w:rPr>
        <w:sz w:val="20"/>
        <w:szCs w:val="20"/>
      </w:rPr>
      <w:t>0</w:t>
    </w:r>
    <w:r>
      <w:rPr>
        <w:sz w:val="20"/>
        <w:szCs w:val="20"/>
      </w:rPr>
      <w:t>0</w:t>
    </w:r>
    <w:r w:rsidRPr="00DB0266">
      <w:rPr>
        <w:sz w:val="20"/>
        <w:szCs w:val="20"/>
      </w:rPr>
      <w:t>9; Ministru kabineta sēdes protokollēmuma projekts „Par ekonomikas atveseļošanas politikas virzieniem vidēja termiņa periodā</w:t>
    </w:r>
    <w:r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61" w:rsidRDefault="00D14361" w:rsidP="002805B0">
      <w:r>
        <w:separator/>
      </w:r>
    </w:p>
  </w:footnote>
  <w:footnote w:type="continuationSeparator" w:id="0">
    <w:p w:rsidR="00D14361" w:rsidRDefault="00D14361" w:rsidP="0028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Default="0004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992">
      <w:rPr>
        <w:rStyle w:val="PageNumber"/>
        <w:noProof/>
      </w:rPr>
      <w:t>1</w: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Default="0004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5E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E30"/>
    <w:multiLevelType w:val="multilevel"/>
    <w:tmpl w:val="E19C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657EAD"/>
    <w:multiLevelType w:val="hybridMultilevel"/>
    <w:tmpl w:val="93827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B0"/>
    <w:rsid w:val="000004BF"/>
    <w:rsid w:val="000077D1"/>
    <w:rsid w:val="00035992"/>
    <w:rsid w:val="00035BC1"/>
    <w:rsid w:val="000405D9"/>
    <w:rsid w:val="00082D79"/>
    <w:rsid w:val="000878FC"/>
    <w:rsid w:val="000A03B9"/>
    <w:rsid w:val="000C30D4"/>
    <w:rsid w:val="000C64E4"/>
    <w:rsid w:val="000D7A4F"/>
    <w:rsid w:val="000E17B4"/>
    <w:rsid w:val="000E6939"/>
    <w:rsid w:val="0012018E"/>
    <w:rsid w:val="00123C6A"/>
    <w:rsid w:val="00126922"/>
    <w:rsid w:val="00135862"/>
    <w:rsid w:val="00152D73"/>
    <w:rsid w:val="001963DC"/>
    <w:rsid w:val="001B16CB"/>
    <w:rsid w:val="001F3895"/>
    <w:rsid w:val="00207C1F"/>
    <w:rsid w:val="002120B8"/>
    <w:rsid w:val="002374D7"/>
    <w:rsid w:val="00247AD6"/>
    <w:rsid w:val="002547FA"/>
    <w:rsid w:val="0026355F"/>
    <w:rsid w:val="002805B0"/>
    <w:rsid w:val="00285804"/>
    <w:rsid w:val="00296FA2"/>
    <w:rsid w:val="002A63A5"/>
    <w:rsid w:val="002C5112"/>
    <w:rsid w:val="002F7A2E"/>
    <w:rsid w:val="00300EFE"/>
    <w:rsid w:val="003068F2"/>
    <w:rsid w:val="00314F8A"/>
    <w:rsid w:val="00323128"/>
    <w:rsid w:val="003258F9"/>
    <w:rsid w:val="00350354"/>
    <w:rsid w:val="0037171E"/>
    <w:rsid w:val="00383442"/>
    <w:rsid w:val="003A064E"/>
    <w:rsid w:val="003B7633"/>
    <w:rsid w:val="003D44C6"/>
    <w:rsid w:val="00400A3C"/>
    <w:rsid w:val="00414304"/>
    <w:rsid w:val="00431710"/>
    <w:rsid w:val="00455623"/>
    <w:rsid w:val="00490ABB"/>
    <w:rsid w:val="00494B26"/>
    <w:rsid w:val="004B180A"/>
    <w:rsid w:val="004C3D2A"/>
    <w:rsid w:val="004D683E"/>
    <w:rsid w:val="00502A84"/>
    <w:rsid w:val="00511186"/>
    <w:rsid w:val="00530805"/>
    <w:rsid w:val="0053770E"/>
    <w:rsid w:val="00550505"/>
    <w:rsid w:val="00566E04"/>
    <w:rsid w:val="00570BE7"/>
    <w:rsid w:val="00592A52"/>
    <w:rsid w:val="0059455B"/>
    <w:rsid w:val="005A17CE"/>
    <w:rsid w:val="005B36D2"/>
    <w:rsid w:val="005C4676"/>
    <w:rsid w:val="005D4029"/>
    <w:rsid w:val="005E61E8"/>
    <w:rsid w:val="005F19F5"/>
    <w:rsid w:val="00600A7A"/>
    <w:rsid w:val="00604B50"/>
    <w:rsid w:val="00607F25"/>
    <w:rsid w:val="006465DE"/>
    <w:rsid w:val="006802A7"/>
    <w:rsid w:val="006A6FF1"/>
    <w:rsid w:val="006C3C14"/>
    <w:rsid w:val="006D7A8B"/>
    <w:rsid w:val="006E00BE"/>
    <w:rsid w:val="00705C3E"/>
    <w:rsid w:val="0072573F"/>
    <w:rsid w:val="00741A24"/>
    <w:rsid w:val="00747173"/>
    <w:rsid w:val="00754ADE"/>
    <w:rsid w:val="007606AB"/>
    <w:rsid w:val="00774A0A"/>
    <w:rsid w:val="0077696C"/>
    <w:rsid w:val="00776A5E"/>
    <w:rsid w:val="007825E6"/>
    <w:rsid w:val="007951D4"/>
    <w:rsid w:val="007B1F5A"/>
    <w:rsid w:val="007C55B1"/>
    <w:rsid w:val="0080503A"/>
    <w:rsid w:val="00827EAA"/>
    <w:rsid w:val="00853B07"/>
    <w:rsid w:val="008641A7"/>
    <w:rsid w:val="0088239C"/>
    <w:rsid w:val="00883D68"/>
    <w:rsid w:val="0089090F"/>
    <w:rsid w:val="008A2657"/>
    <w:rsid w:val="008A3CBB"/>
    <w:rsid w:val="008A7A60"/>
    <w:rsid w:val="008B6B52"/>
    <w:rsid w:val="008E07D8"/>
    <w:rsid w:val="008F419D"/>
    <w:rsid w:val="009054F1"/>
    <w:rsid w:val="00912CF8"/>
    <w:rsid w:val="00916D64"/>
    <w:rsid w:val="009733BF"/>
    <w:rsid w:val="00976513"/>
    <w:rsid w:val="0098539D"/>
    <w:rsid w:val="009D6FC2"/>
    <w:rsid w:val="00A448EA"/>
    <w:rsid w:val="00A474B7"/>
    <w:rsid w:val="00A927EC"/>
    <w:rsid w:val="00AA5A89"/>
    <w:rsid w:val="00AB1264"/>
    <w:rsid w:val="00AD215C"/>
    <w:rsid w:val="00AD67CC"/>
    <w:rsid w:val="00AF7965"/>
    <w:rsid w:val="00B075FE"/>
    <w:rsid w:val="00B3067A"/>
    <w:rsid w:val="00B45716"/>
    <w:rsid w:val="00B62E5D"/>
    <w:rsid w:val="00B777F0"/>
    <w:rsid w:val="00B818DA"/>
    <w:rsid w:val="00B8792D"/>
    <w:rsid w:val="00B91319"/>
    <w:rsid w:val="00B9358D"/>
    <w:rsid w:val="00BA4DB3"/>
    <w:rsid w:val="00BB1041"/>
    <w:rsid w:val="00BD3FC9"/>
    <w:rsid w:val="00C07F82"/>
    <w:rsid w:val="00C117A8"/>
    <w:rsid w:val="00C16EBE"/>
    <w:rsid w:val="00C22454"/>
    <w:rsid w:val="00C230FB"/>
    <w:rsid w:val="00C25BA2"/>
    <w:rsid w:val="00C40A01"/>
    <w:rsid w:val="00C47F1C"/>
    <w:rsid w:val="00C82687"/>
    <w:rsid w:val="00CA1F1B"/>
    <w:rsid w:val="00CE50D4"/>
    <w:rsid w:val="00CF2677"/>
    <w:rsid w:val="00D02E95"/>
    <w:rsid w:val="00D14361"/>
    <w:rsid w:val="00D27174"/>
    <w:rsid w:val="00D40608"/>
    <w:rsid w:val="00D43562"/>
    <w:rsid w:val="00D55FCA"/>
    <w:rsid w:val="00D56A94"/>
    <w:rsid w:val="00D6608A"/>
    <w:rsid w:val="00D72B30"/>
    <w:rsid w:val="00D739FF"/>
    <w:rsid w:val="00D83480"/>
    <w:rsid w:val="00D83EAE"/>
    <w:rsid w:val="00D84D01"/>
    <w:rsid w:val="00DA1007"/>
    <w:rsid w:val="00DB0266"/>
    <w:rsid w:val="00DB47C7"/>
    <w:rsid w:val="00DB7524"/>
    <w:rsid w:val="00DC14A5"/>
    <w:rsid w:val="00DC2437"/>
    <w:rsid w:val="00DD2BA3"/>
    <w:rsid w:val="00E105E6"/>
    <w:rsid w:val="00E37BB8"/>
    <w:rsid w:val="00E51240"/>
    <w:rsid w:val="00E63242"/>
    <w:rsid w:val="00E85CB6"/>
    <w:rsid w:val="00EB678C"/>
    <w:rsid w:val="00EF7EDD"/>
    <w:rsid w:val="00F0498F"/>
    <w:rsid w:val="00F1551C"/>
    <w:rsid w:val="00F22A2E"/>
    <w:rsid w:val="00F431DE"/>
    <w:rsid w:val="00F5298E"/>
    <w:rsid w:val="00F62DCD"/>
    <w:rsid w:val="00F81BC7"/>
    <w:rsid w:val="00F82CF0"/>
    <w:rsid w:val="00FA6D98"/>
    <w:rsid w:val="00FC5AED"/>
    <w:rsid w:val="00FD3883"/>
    <w:rsid w:val="00FD4FA9"/>
    <w:rsid w:val="00FE2123"/>
    <w:rsid w:val="00FE466A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is.salmins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1206</Characters>
  <Application>Microsoft Office Word</Application>
  <DocSecurity>0</DocSecurity>
  <Lines>63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konvenciju par centralizētu muitošanu attiecībā uz tādu valsts iekasēšanas izmaksu piešķiršanu, ko patur, nododot tradicionālos pašu resursus Eiropas Savienības budžetā</vt:lpstr>
      <vt:lpstr>Par konvenciju par centralizētu muitošanu attiecībā uz tādu valsts iekasēšanas izmaksu piešķiršanu, ko patur, nododot tradicionālos pašu resursus Eiropas Savienības budžetā</vt:lpstr>
    </vt:vector>
  </TitlesOfParts>
  <Manager>Daina Robežniece</Manager>
  <Company>Finanšu ministrija</Company>
  <LinksUpToDate>false</LinksUpToDate>
  <CharactersWithSpaces>1337</CharactersWithSpaces>
  <SharedDoc>false</SharedDoc>
  <HLinks>
    <vt:vector size="6" baseType="variant"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mailto:janis.salmins@em.gov.lv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konvenciju par centralizētu muitošanu attiecībā uz tādu valsts iekasēšanas izmaksu piešķiršanu, ko patur, nododot tradicionālos pašu resursus Eiropas Savienības budžetā</dc:title>
  <dc:subject>Ministru kabineta sēdes protokola projekts</dc:subject>
  <dc:creator>Marika Munča</dc:creator>
  <cp:keywords/>
  <dc:description>Tālr. 67095559_x000d_
Marika.Munca@fm.gov.lv    </dc:description>
  <cp:lastModifiedBy>SalminsJ</cp:lastModifiedBy>
  <cp:revision>15</cp:revision>
  <cp:lastPrinted>2009-10-07T08:57:00Z</cp:lastPrinted>
  <dcterms:created xsi:type="dcterms:W3CDTF">2009-10-01T12:50:00Z</dcterms:created>
  <dcterms:modified xsi:type="dcterms:W3CDTF">2009-10-07T09:19:00Z</dcterms:modified>
</cp:coreProperties>
</file>