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4B" w:rsidRPr="004B764B" w:rsidRDefault="004B764B" w:rsidP="007A7255">
      <w:pPr>
        <w:spacing w:line="240" w:lineRule="auto"/>
        <w:jc w:val="center"/>
        <w:rPr>
          <w:b/>
          <w:sz w:val="32"/>
          <w:szCs w:val="32"/>
        </w:rPr>
      </w:pPr>
      <w:r w:rsidRPr="004B764B">
        <w:rPr>
          <w:b/>
          <w:sz w:val="32"/>
          <w:szCs w:val="32"/>
        </w:rPr>
        <w:t>Rīcības plāns e</w:t>
      </w:r>
      <w:r w:rsidRPr="004B764B">
        <w:rPr>
          <w:b/>
          <w:color w:val="000000"/>
          <w:sz w:val="32"/>
          <w:szCs w:val="32"/>
        </w:rPr>
        <w:t>lektroenerģijas kopējās cenas pieauguma risku ierobežošanai</w:t>
      </w:r>
    </w:p>
    <w:p w:rsidR="00B37D78" w:rsidRDefault="00B37D78" w:rsidP="00EE4523">
      <w:pPr>
        <w:spacing w:after="0" w:line="240" w:lineRule="auto"/>
        <w:ind w:firstLine="709"/>
        <w:jc w:val="center"/>
        <w:rPr>
          <w:color w:val="000000"/>
          <w:szCs w:val="28"/>
        </w:rPr>
      </w:pPr>
      <w:r>
        <w:rPr>
          <w:color w:val="000000"/>
          <w:szCs w:val="28"/>
        </w:rPr>
        <w:t>Saturs</w:t>
      </w:r>
    </w:p>
    <w:p w:rsidR="00B37D78" w:rsidRDefault="00B37D78" w:rsidP="007A7255">
      <w:pPr>
        <w:spacing w:line="240" w:lineRule="auto"/>
      </w:pPr>
    </w:p>
    <w:p w:rsidR="000020FB" w:rsidRDefault="00BE4AA3">
      <w:pPr>
        <w:pStyle w:val="TOC1"/>
        <w:tabs>
          <w:tab w:val="right" w:leader="dot" w:pos="9061"/>
        </w:tabs>
        <w:rPr>
          <w:rFonts w:asciiTheme="minorHAnsi" w:eastAsiaTheme="minorEastAsia" w:hAnsiTheme="minorHAnsi" w:cstheme="minorBidi"/>
          <w:noProof/>
          <w:sz w:val="22"/>
          <w:lang w:val="en-US" w:eastAsia="en-US"/>
        </w:rPr>
      </w:pPr>
      <w:r>
        <w:rPr>
          <w:color w:val="000000"/>
          <w:szCs w:val="28"/>
        </w:rPr>
        <w:fldChar w:fldCharType="begin"/>
      </w:r>
      <w:r w:rsidR="0030630B">
        <w:rPr>
          <w:color w:val="000000"/>
          <w:szCs w:val="28"/>
        </w:rPr>
        <w:instrText xml:space="preserve"> TOC \o "1-4" \h \z \u </w:instrText>
      </w:r>
      <w:r>
        <w:rPr>
          <w:color w:val="000000"/>
          <w:szCs w:val="28"/>
        </w:rPr>
        <w:fldChar w:fldCharType="separate"/>
      </w:r>
      <w:hyperlink w:anchor="_Toc352179314" w:history="1">
        <w:r w:rsidR="000020FB" w:rsidRPr="004D70FC">
          <w:rPr>
            <w:rStyle w:val="Hyperlink"/>
            <w:noProof/>
          </w:rPr>
          <w:t>Ievads</w:t>
        </w:r>
        <w:r w:rsidR="000020FB">
          <w:rPr>
            <w:noProof/>
            <w:webHidden/>
          </w:rPr>
          <w:tab/>
        </w:r>
        <w:r w:rsidR="000020FB">
          <w:rPr>
            <w:noProof/>
            <w:webHidden/>
          </w:rPr>
          <w:fldChar w:fldCharType="begin"/>
        </w:r>
        <w:r w:rsidR="000020FB">
          <w:rPr>
            <w:noProof/>
            <w:webHidden/>
          </w:rPr>
          <w:instrText xml:space="preserve"> PAGEREF _Toc352179314 \h </w:instrText>
        </w:r>
        <w:r w:rsidR="000020FB">
          <w:rPr>
            <w:noProof/>
            <w:webHidden/>
          </w:rPr>
        </w:r>
        <w:r w:rsidR="000020FB">
          <w:rPr>
            <w:noProof/>
            <w:webHidden/>
          </w:rPr>
          <w:fldChar w:fldCharType="separate"/>
        </w:r>
        <w:r w:rsidR="005D3C4E">
          <w:rPr>
            <w:noProof/>
            <w:webHidden/>
          </w:rPr>
          <w:t>2</w:t>
        </w:r>
        <w:r w:rsidR="000020FB">
          <w:rPr>
            <w:noProof/>
            <w:webHidden/>
          </w:rPr>
          <w:fldChar w:fldCharType="end"/>
        </w:r>
      </w:hyperlink>
    </w:p>
    <w:p w:rsidR="000020FB" w:rsidRDefault="00DA412A">
      <w:pPr>
        <w:pStyle w:val="TOC1"/>
        <w:tabs>
          <w:tab w:val="left" w:pos="1320"/>
          <w:tab w:val="right" w:leader="dot" w:pos="9061"/>
        </w:tabs>
        <w:rPr>
          <w:rFonts w:asciiTheme="minorHAnsi" w:eastAsiaTheme="minorEastAsia" w:hAnsiTheme="minorHAnsi" w:cstheme="minorBidi"/>
          <w:noProof/>
          <w:sz w:val="22"/>
          <w:lang w:val="en-US" w:eastAsia="en-US"/>
        </w:rPr>
      </w:pPr>
      <w:hyperlink w:anchor="_Toc352179315" w:history="1">
        <w:r w:rsidR="000020FB" w:rsidRPr="004D70FC">
          <w:rPr>
            <w:rStyle w:val="Hyperlink"/>
            <w:noProof/>
          </w:rPr>
          <w:t>1.</w:t>
        </w:r>
        <w:r w:rsidR="000020FB">
          <w:rPr>
            <w:rFonts w:asciiTheme="minorHAnsi" w:eastAsiaTheme="minorEastAsia" w:hAnsiTheme="minorHAnsi" w:cstheme="minorBidi"/>
            <w:noProof/>
            <w:sz w:val="22"/>
            <w:lang w:val="en-US" w:eastAsia="en-US"/>
          </w:rPr>
          <w:tab/>
        </w:r>
        <w:r w:rsidR="000020FB" w:rsidRPr="004D70FC">
          <w:rPr>
            <w:rStyle w:val="Hyperlink"/>
            <w:noProof/>
          </w:rPr>
          <w:t>OIK prognoze</w:t>
        </w:r>
        <w:r w:rsidR="000020FB">
          <w:rPr>
            <w:noProof/>
            <w:webHidden/>
          </w:rPr>
          <w:tab/>
        </w:r>
        <w:r w:rsidR="000020FB">
          <w:rPr>
            <w:noProof/>
            <w:webHidden/>
          </w:rPr>
          <w:fldChar w:fldCharType="begin"/>
        </w:r>
        <w:r w:rsidR="000020FB">
          <w:rPr>
            <w:noProof/>
            <w:webHidden/>
          </w:rPr>
          <w:instrText xml:space="preserve"> PAGEREF _Toc352179315 \h </w:instrText>
        </w:r>
        <w:r w:rsidR="000020FB">
          <w:rPr>
            <w:noProof/>
            <w:webHidden/>
          </w:rPr>
        </w:r>
        <w:r w:rsidR="000020FB">
          <w:rPr>
            <w:noProof/>
            <w:webHidden/>
          </w:rPr>
          <w:fldChar w:fldCharType="separate"/>
        </w:r>
        <w:r w:rsidR="005D3C4E">
          <w:rPr>
            <w:noProof/>
            <w:webHidden/>
          </w:rPr>
          <w:t>3</w:t>
        </w:r>
        <w:r w:rsidR="000020FB">
          <w:rPr>
            <w:noProof/>
            <w:webHidden/>
          </w:rPr>
          <w:fldChar w:fldCharType="end"/>
        </w:r>
      </w:hyperlink>
    </w:p>
    <w:p w:rsidR="000020FB" w:rsidRDefault="00DA412A">
      <w:pPr>
        <w:pStyle w:val="TOC2"/>
        <w:tabs>
          <w:tab w:val="left" w:pos="1760"/>
          <w:tab w:val="right" w:leader="dot" w:pos="9061"/>
        </w:tabs>
        <w:rPr>
          <w:rFonts w:asciiTheme="minorHAnsi" w:eastAsiaTheme="minorEastAsia" w:hAnsiTheme="minorHAnsi" w:cstheme="minorBidi"/>
          <w:noProof/>
          <w:sz w:val="22"/>
          <w:lang w:val="en-US" w:eastAsia="en-US"/>
        </w:rPr>
      </w:pPr>
      <w:hyperlink w:anchor="_Toc352179316" w:history="1">
        <w:r w:rsidR="000020FB" w:rsidRPr="004D70FC">
          <w:rPr>
            <w:rStyle w:val="Hyperlink"/>
            <w:noProof/>
          </w:rPr>
          <w:t>1.1.</w:t>
        </w:r>
        <w:r w:rsidR="000020FB">
          <w:rPr>
            <w:rFonts w:asciiTheme="minorHAnsi" w:eastAsiaTheme="minorEastAsia" w:hAnsiTheme="minorHAnsi" w:cstheme="minorBidi"/>
            <w:noProof/>
            <w:sz w:val="22"/>
            <w:lang w:val="en-US" w:eastAsia="en-US"/>
          </w:rPr>
          <w:tab/>
        </w:r>
        <w:r w:rsidR="000020FB" w:rsidRPr="004D70FC">
          <w:rPr>
            <w:rStyle w:val="Hyperlink"/>
            <w:noProof/>
          </w:rPr>
          <w:t>Jaunu projektu realizācija īstermiņā</w:t>
        </w:r>
        <w:r w:rsidR="000020FB">
          <w:rPr>
            <w:noProof/>
            <w:webHidden/>
          </w:rPr>
          <w:tab/>
        </w:r>
        <w:r w:rsidR="000020FB">
          <w:rPr>
            <w:noProof/>
            <w:webHidden/>
          </w:rPr>
          <w:fldChar w:fldCharType="begin"/>
        </w:r>
        <w:r w:rsidR="000020FB">
          <w:rPr>
            <w:noProof/>
            <w:webHidden/>
          </w:rPr>
          <w:instrText xml:space="preserve"> PAGEREF _Toc352179316 \h </w:instrText>
        </w:r>
        <w:r w:rsidR="000020FB">
          <w:rPr>
            <w:noProof/>
            <w:webHidden/>
          </w:rPr>
        </w:r>
        <w:r w:rsidR="000020FB">
          <w:rPr>
            <w:noProof/>
            <w:webHidden/>
          </w:rPr>
          <w:fldChar w:fldCharType="separate"/>
        </w:r>
        <w:r w:rsidR="005D3C4E">
          <w:rPr>
            <w:noProof/>
            <w:webHidden/>
          </w:rPr>
          <w:t>4</w:t>
        </w:r>
        <w:r w:rsidR="000020FB">
          <w:rPr>
            <w:noProof/>
            <w:webHidden/>
          </w:rPr>
          <w:fldChar w:fldCharType="end"/>
        </w:r>
      </w:hyperlink>
    </w:p>
    <w:p w:rsidR="000020FB" w:rsidRDefault="00DA412A">
      <w:pPr>
        <w:pStyle w:val="TOC2"/>
        <w:tabs>
          <w:tab w:val="left" w:pos="1760"/>
          <w:tab w:val="right" w:leader="dot" w:pos="9061"/>
        </w:tabs>
        <w:rPr>
          <w:rFonts w:asciiTheme="minorHAnsi" w:eastAsiaTheme="minorEastAsia" w:hAnsiTheme="minorHAnsi" w:cstheme="minorBidi"/>
          <w:noProof/>
          <w:sz w:val="22"/>
          <w:lang w:val="en-US" w:eastAsia="en-US"/>
        </w:rPr>
      </w:pPr>
      <w:hyperlink w:anchor="_Toc352179317" w:history="1">
        <w:r w:rsidR="000020FB" w:rsidRPr="004D70FC">
          <w:rPr>
            <w:rStyle w:val="Hyperlink"/>
            <w:noProof/>
          </w:rPr>
          <w:t>1.2.</w:t>
        </w:r>
        <w:r w:rsidR="000020FB">
          <w:rPr>
            <w:rFonts w:asciiTheme="minorHAnsi" w:eastAsiaTheme="minorEastAsia" w:hAnsiTheme="minorHAnsi" w:cstheme="minorBidi"/>
            <w:noProof/>
            <w:sz w:val="22"/>
            <w:lang w:val="en-US" w:eastAsia="en-US"/>
          </w:rPr>
          <w:tab/>
        </w:r>
        <w:r w:rsidR="000020FB" w:rsidRPr="004D70FC">
          <w:rPr>
            <w:rStyle w:val="Hyperlink"/>
            <w:noProof/>
          </w:rPr>
          <w:t>Piesaistītais finansējums</w:t>
        </w:r>
        <w:r w:rsidR="000020FB">
          <w:rPr>
            <w:noProof/>
            <w:webHidden/>
          </w:rPr>
          <w:tab/>
        </w:r>
        <w:r w:rsidR="000020FB">
          <w:rPr>
            <w:noProof/>
            <w:webHidden/>
          </w:rPr>
          <w:fldChar w:fldCharType="begin"/>
        </w:r>
        <w:r w:rsidR="000020FB">
          <w:rPr>
            <w:noProof/>
            <w:webHidden/>
          </w:rPr>
          <w:instrText xml:space="preserve"> PAGEREF _Toc352179317 \h </w:instrText>
        </w:r>
        <w:r w:rsidR="000020FB">
          <w:rPr>
            <w:noProof/>
            <w:webHidden/>
          </w:rPr>
        </w:r>
        <w:r w:rsidR="000020FB">
          <w:rPr>
            <w:noProof/>
            <w:webHidden/>
          </w:rPr>
          <w:fldChar w:fldCharType="separate"/>
        </w:r>
        <w:r w:rsidR="005D3C4E">
          <w:rPr>
            <w:noProof/>
            <w:webHidden/>
          </w:rPr>
          <w:t>5</w:t>
        </w:r>
        <w:r w:rsidR="000020FB">
          <w:rPr>
            <w:noProof/>
            <w:webHidden/>
          </w:rPr>
          <w:fldChar w:fldCharType="end"/>
        </w:r>
      </w:hyperlink>
    </w:p>
    <w:p w:rsidR="000020FB" w:rsidRDefault="00DA412A">
      <w:pPr>
        <w:pStyle w:val="TOC1"/>
        <w:tabs>
          <w:tab w:val="right" w:leader="dot" w:pos="9061"/>
        </w:tabs>
        <w:rPr>
          <w:rFonts w:asciiTheme="minorHAnsi" w:eastAsiaTheme="minorEastAsia" w:hAnsiTheme="minorHAnsi" w:cstheme="minorBidi"/>
          <w:noProof/>
          <w:sz w:val="22"/>
          <w:lang w:val="en-US" w:eastAsia="en-US"/>
        </w:rPr>
      </w:pPr>
      <w:hyperlink w:anchor="_Toc352179318" w:history="1">
        <w:r w:rsidR="000020FB" w:rsidRPr="004D70FC">
          <w:rPr>
            <w:rStyle w:val="Hyperlink"/>
            <w:noProof/>
          </w:rPr>
          <w:t>2. Rīcības plāna elektroenerģijas cenas pieauguma ierobežošanai apraksts</w:t>
        </w:r>
        <w:r w:rsidR="000020FB">
          <w:rPr>
            <w:noProof/>
            <w:webHidden/>
          </w:rPr>
          <w:tab/>
        </w:r>
        <w:r w:rsidR="000020FB">
          <w:rPr>
            <w:noProof/>
            <w:webHidden/>
          </w:rPr>
          <w:fldChar w:fldCharType="begin"/>
        </w:r>
        <w:r w:rsidR="000020FB">
          <w:rPr>
            <w:noProof/>
            <w:webHidden/>
          </w:rPr>
          <w:instrText xml:space="preserve"> PAGEREF _Toc352179318 \h </w:instrText>
        </w:r>
        <w:r w:rsidR="000020FB">
          <w:rPr>
            <w:noProof/>
            <w:webHidden/>
          </w:rPr>
        </w:r>
        <w:r w:rsidR="000020FB">
          <w:rPr>
            <w:noProof/>
            <w:webHidden/>
          </w:rPr>
          <w:fldChar w:fldCharType="separate"/>
        </w:r>
        <w:r w:rsidR="005D3C4E">
          <w:rPr>
            <w:noProof/>
            <w:webHidden/>
          </w:rPr>
          <w:t>6</w:t>
        </w:r>
        <w:r w:rsidR="000020FB">
          <w:rPr>
            <w:noProof/>
            <w:webHidden/>
          </w:rPr>
          <w:fldChar w:fldCharType="end"/>
        </w:r>
      </w:hyperlink>
    </w:p>
    <w:p w:rsidR="000020FB" w:rsidRDefault="00DA412A">
      <w:pPr>
        <w:pStyle w:val="TOC2"/>
        <w:tabs>
          <w:tab w:val="left" w:pos="1760"/>
          <w:tab w:val="right" w:leader="dot" w:pos="9061"/>
        </w:tabs>
        <w:rPr>
          <w:rFonts w:asciiTheme="minorHAnsi" w:eastAsiaTheme="minorEastAsia" w:hAnsiTheme="minorHAnsi" w:cstheme="minorBidi"/>
          <w:noProof/>
          <w:sz w:val="22"/>
          <w:lang w:val="en-US" w:eastAsia="en-US"/>
        </w:rPr>
      </w:pPr>
      <w:hyperlink w:anchor="_Toc352179319" w:history="1">
        <w:r w:rsidR="000020FB" w:rsidRPr="004D70FC">
          <w:rPr>
            <w:rStyle w:val="Hyperlink"/>
            <w:noProof/>
          </w:rPr>
          <w:t>2.1.</w:t>
        </w:r>
        <w:r w:rsidR="000020FB">
          <w:rPr>
            <w:rFonts w:asciiTheme="minorHAnsi" w:eastAsiaTheme="minorEastAsia" w:hAnsiTheme="minorHAnsi" w:cstheme="minorBidi"/>
            <w:noProof/>
            <w:sz w:val="22"/>
            <w:lang w:val="en-US" w:eastAsia="en-US"/>
          </w:rPr>
          <w:tab/>
        </w:r>
        <w:r w:rsidR="000020FB" w:rsidRPr="004D70FC">
          <w:rPr>
            <w:rStyle w:val="Hyperlink"/>
            <w:noProof/>
          </w:rPr>
          <w:t>Atbalsta apjoma izvērtēšana dabasgāzes koģenerācijas stacijām līdz 4MW un AER stacijām</w:t>
        </w:r>
        <w:r w:rsidR="000020FB">
          <w:rPr>
            <w:noProof/>
            <w:webHidden/>
          </w:rPr>
          <w:tab/>
        </w:r>
        <w:r w:rsidR="000020FB">
          <w:rPr>
            <w:noProof/>
            <w:webHidden/>
          </w:rPr>
          <w:fldChar w:fldCharType="begin"/>
        </w:r>
        <w:r w:rsidR="000020FB">
          <w:rPr>
            <w:noProof/>
            <w:webHidden/>
          </w:rPr>
          <w:instrText xml:space="preserve"> PAGEREF _Toc352179319 \h </w:instrText>
        </w:r>
        <w:r w:rsidR="000020FB">
          <w:rPr>
            <w:noProof/>
            <w:webHidden/>
          </w:rPr>
        </w:r>
        <w:r w:rsidR="000020FB">
          <w:rPr>
            <w:noProof/>
            <w:webHidden/>
          </w:rPr>
          <w:fldChar w:fldCharType="separate"/>
        </w:r>
        <w:r w:rsidR="005D3C4E">
          <w:rPr>
            <w:noProof/>
            <w:webHidden/>
          </w:rPr>
          <w:t>6</w:t>
        </w:r>
        <w:r w:rsidR="000020FB">
          <w:rPr>
            <w:noProof/>
            <w:webHidden/>
          </w:rPr>
          <w:fldChar w:fldCharType="end"/>
        </w:r>
      </w:hyperlink>
    </w:p>
    <w:p w:rsidR="000020FB" w:rsidRDefault="00DA412A">
      <w:pPr>
        <w:pStyle w:val="TOC2"/>
        <w:tabs>
          <w:tab w:val="left" w:pos="1760"/>
          <w:tab w:val="right" w:leader="dot" w:pos="9061"/>
        </w:tabs>
        <w:rPr>
          <w:rFonts w:asciiTheme="minorHAnsi" w:eastAsiaTheme="minorEastAsia" w:hAnsiTheme="minorHAnsi" w:cstheme="minorBidi"/>
          <w:noProof/>
          <w:sz w:val="22"/>
          <w:lang w:val="en-US" w:eastAsia="en-US"/>
        </w:rPr>
      </w:pPr>
      <w:hyperlink w:anchor="_Toc352179320" w:history="1">
        <w:r w:rsidR="000020FB" w:rsidRPr="004D70FC">
          <w:rPr>
            <w:rStyle w:val="Hyperlink"/>
            <w:noProof/>
          </w:rPr>
          <w:t>2.2.</w:t>
        </w:r>
        <w:r w:rsidR="000020FB">
          <w:rPr>
            <w:rFonts w:asciiTheme="minorHAnsi" w:eastAsiaTheme="minorEastAsia" w:hAnsiTheme="minorHAnsi" w:cstheme="minorBidi"/>
            <w:noProof/>
            <w:sz w:val="22"/>
            <w:lang w:val="en-US" w:eastAsia="en-US"/>
          </w:rPr>
          <w:tab/>
        </w:r>
        <w:r w:rsidR="000020FB" w:rsidRPr="004D70FC">
          <w:rPr>
            <w:rStyle w:val="Hyperlink"/>
            <w:noProof/>
          </w:rPr>
          <w:t>Dabasgāzes koģenerācijas elektrostaciju ar uzstādīto elektrisko jaudu virs 4 MW atbalsta intensitātes samazināšana</w:t>
        </w:r>
        <w:r w:rsidR="000020FB">
          <w:rPr>
            <w:noProof/>
            <w:webHidden/>
          </w:rPr>
          <w:tab/>
        </w:r>
        <w:r w:rsidR="000020FB">
          <w:rPr>
            <w:noProof/>
            <w:webHidden/>
          </w:rPr>
          <w:fldChar w:fldCharType="begin"/>
        </w:r>
        <w:r w:rsidR="000020FB">
          <w:rPr>
            <w:noProof/>
            <w:webHidden/>
          </w:rPr>
          <w:instrText xml:space="preserve"> PAGEREF _Toc352179320 \h </w:instrText>
        </w:r>
        <w:r w:rsidR="000020FB">
          <w:rPr>
            <w:noProof/>
            <w:webHidden/>
          </w:rPr>
        </w:r>
        <w:r w:rsidR="000020FB">
          <w:rPr>
            <w:noProof/>
            <w:webHidden/>
          </w:rPr>
          <w:fldChar w:fldCharType="separate"/>
        </w:r>
        <w:r w:rsidR="005D3C4E">
          <w:rPr>
            <w:noProof/>
            <w:webHidden/>
          </w:rPr>
          <w:t>8</w:t>
        </w:r>
        <w:r w:rsidR="000020FB">
          <w:rPr>
            <w:noProof/>
            <w:webHidden/>
          </w:rPr>
          <w:fldChar w:fldCharType="end"/>
        </w:r>
      </w:hyperlink>
    </w:p>
    <w:p w:rsidR="000020FB" w:rsidRDefault="00DA412A">
      <w:pPr>
        <w:pStyle w:val="TOC2"/>
        <w:tabs>
          <w:tab w:val="left" w:pos="1760"/>
          <w:tab w:val="right" w:leader="dot" w:pos="9061"/>
        </w:tabs>
        <w:rPr>
          <w:rFonts w:asciiTheme="minorHAnsi" w:eastAsiaTheme="minorEastAsia" w:hAnsiTheme="minorHAnsi" w:cstheme="minorBidi"/>
          <w:noProof/>
          <w:sz w:val="22"/>
          <w:lang w:val="en-US" w:eastAsia="en-US"/>
        </w:rPr>
      </w:pPr>
      <w:hyperlink w:anchor="_Toc352179321" w:history="1">
        <w:r w:rsidR="000020FB" w:rsidRPr="004D70FC">
          <w:rPr>
            <w:rStyle w:val="Hyperlink"/>
            <w:noProof/>
          </w:rPr>
          <w:t>2.3.</w:t>
        </w:r>
        <w:r w:rsidR="000020FB">
          <w:rPr>
            <w:rFonts w:asciiTheme="minorHAnsi" w:eastAsiaTheme="minorEastAsia" w:hAnsiTheme="minorHAnsi" w:cstheme="minorBidi"/>
            <w:noProof/>
            <w:sz w:val="22"/>
            <w:lang w:val="en-US" w:eastAsia="en-US"/>
          </w:rPr>
          <w:tab/>
        </w:r>
        <w:r w:rsidR="000020FB" w:rsidRPr="004D70FC">
          <w:rPr>
            <w:rStyle w:val="Hyperlink"/>
            <w:noProof/>
          </w:rPr>
          <w:t>Gāzes koģenerācijas ietekmes mazināšana centralizētajā siltumapgādē</w:t>
        </w:r>
        <w:r w:rsidR="005062B8">
          <w:rPr>
            <w:rStyle w:val="Hyperlink"/>
            <w:noProof/>
          </w:rPr>
          <w:t>.</w:t>
        </w:r>
        <w:r w:rsidR="000020FB">
          <w:rPr>
            <w:noProof/>
            <w:webHidden/>
          </w:rPr>
          <w:tab/>
        </w:r>
        <w:r w:rsidR="000020FB">
          <w:rPr>
            <w:noProof/>
            <w:webHidden/>
          </w:rPr>
          <w:fldChar w:fldCharType="begin"/>
        </w:r>
        <w:r w:rsidR="000020FB">
          <w:rPr>
            <w:noProof/>
            <w:webHidden/>
          </w:rPr>
          <w:instrText xml:space="preserve"> PAGEREF _Toc352179321 \h </w:instrText>
        </w:r>
        <w:r w:rsidR="000020FB">
          <w:rPr>
            <w:noProof/>
            <w:webHidden/>
          </w:rPr>
        </w:r>
        <w:r w:rsidR="000020FB">
          <w:rPr>
            <w:noProof/>
            <w:webHidden/>
          </w:rPr>
          <w:fldChar w:fldCharType="separate"/>
        </w:r>
        <w:r w:rsidR="005D3C4E">
          <w:rPr>
            <w:noProof/>
            <w:webHidden/>
          </w:rPr>
          <w:t>9</w:t>
        </w:r>
        <w:r w:rsidR="000020FB">
          <w:rPr>
            <w:noProof/>
            <w:webHidden/>
          </w:rPr>
          <w:fldChar w:fldCharType="end"/>
        </w:r>
      </w:hyperlink>
    </w:p>
    <w:p w:rsidR="000020FB" w:rsidRDefault="00DA412A">
      <w:pPr>
        <w:pStyle w:val="TOC2"/>
        <w:tabs>
          <w:tab w:val="left" w:pos="1760"/>
          <w:tab w:val="right" w:leader="dot" w:pos="9061"/>
        </w:tabs>
        <w:rPr>
          <w:rFonts w:asciiTheme="minorHAnsi" w:eastAsiaTheme="minorEastAsia" w:hAnsiTheme="minorHAnsi" w:cstheme="minorBidi"/>
          <w:noProof/>
          <w:sz w:val="22"/>
          <w:lang w:val="en-US" w:eastAsia="en-US"/>
        </w:rPr>
      </w:pPr>
      <w:hyperlink w:anchor="_Toc352179322" w:history="1">
        <w:r w:rsidR="000020FB" w:rsidRPr="004D70FC">
          <w:rPr>
            <w:rStyle w:val="Hyperlink"/>
            <w:noProof/>
          </w:rPr>
          <w:t>2.4.</w:t>
        </w:r>
        <w:r w:rsidR="000020FB">
          <w:rPr>
            <w:rFonts w:asciiTheme="minorHAnsi" w:eastAsiaTheme="minorEastAsia" w:hAnsiTheme="minorHAnsi" w:cstheme="minorBidi"/>
            <w:noProof/>
            <w:sz w:val="22"/>
            <w:lang w:val="en-US" w:eastAsia="en-US"/>
          </w:rPr>
          <w:tab/>
        </w:r>
        <w:r w:rsidR="000020FB" w:rsidRPr="004D70FC">
          <w:rPr>
            <w:rStyle w:val="Hyperlink"/>
            <w:noProof/>
          </w:rPr>
          <w:t>Atsevišķu vēja elektrostaciju un hidroelektrostaciju atbalsta intensitātes un perioda izvērtēšana</w:t>
        </w:r>
        <w:r w:rsidR="000020FB">
          <w:rPr>
            <w:noProof/>
            <w:webHidden/>
          </w:rPr>
          <w:tab/>
        </w:r>
        <w:r w:rsidR="000020FB">
          <w:rPr>
            <w:noProof/>
            <w:webHidden/>
          </w:rPr>
          <w:fldChar w:fldCharType="begin"/>
        </w:r>
        <w:r w:rsidR="000020FB">
          <w:rPr>
            <w:noProof/>
            <w:webHidden/>
          </w:rPr>
          <w:instrText xml:space="preserve"> PAGEREF _Toc352179322 \h </w:instrText>
        </w:r>
        <w:r w:rsidR="000020FB">
          <w:rPr>
            <w:noProof/>
            <w:webHidden/>
          </w:rPr>
        </w:r>
        <w:r w:rsidR="000020FB">
          <w:rPr>
            <w:noProof/>
            <w:webHidden/>
          </w:rPr>
          <w:fldChar w:fldCharType="separate"/>
        </w:r>
        <w:r w:rsidR="005D3C4E">
          <w:rPr>
            <w:noProof/>
            <w:webHidden/>
          </w:rPr>
          <w:t>10</w:t>
        </w:r>
        <w:r w:rsidR="000020FB">
          <w:rPr>
            <w:noProof/>
            <w:webHidden/>
          </w:rPr>
          <w:fldChar w:fldCharType="end"/>
        </w:r>
      </w:hyperlink>
    </w:p>
    <w:p w:rsidR="000020FB" w:rsidRDefault="00DA412A">
      <w:pPr>
        <w:pStyle w:val="TOC2"/>
        <w:tabs>
          <w:tab w:val="right" w:leader="dot" w:pos="9061"/>
        </w:tabs>
        <w:rPr>
          <w:rFonts w:asciiTheme="minorHAnsi" w:eastAsiaTheme="minorEastAsia" w:hAnsiTheme="minorHAnsi" w:cstheme="minorBidi"/>
          <w:noProof/>
          <w:sz w:val="22"/>
          <w:lang w:val="en-US" w:eastAsia="en-US"/>
        </w:rPr>
      </w:pPr>
      <w:hyperlink w:anchor="_Toc352179323" w:history="1">
        <w:r w:rsidR="000020FB" w:rsidRPr="004D70FC">
          <w:rPr>
            <w:rStyle w:val="Hyperlink"/>
            <w:noProof/>
          </w:rPr>
          <w:t>2.4. Subsidētās elektroenerģijas ražošanas atbilstība nosacījumiem</w:t>
        </w:r>
        <w:r w:rsidR="000020FB">
          <w:rPr>
            <w:noProof/>
            <w:webHidden/>
          </w:rPr>
          <w:tab/>
        </w:r>
        <w:r w:rsidR="000020FB">
          <w:rPr>
            <w:noProof/>
            <w:webHidden/>
          </w:rPr>
          <w:fldChar w:fldCharType="begin"/>
        </w:r>
        <w:r w:rsidR="000020FB">
          <w:rPr>
            <w:noProof/>
            <w:webHidden/>
          </w:rPr>
          <w:instrText xml:space="preserve"> PAGEREF _Toc352179323 \h </w:instrText>
        </w:r>
        <w:r w:rsidR="000020FB">
          <w:rPr>
            <w:noProof/>
            <w:webHidden/>
          </w:rPr>
        </w:r>
        <w:r w:rsidR="000020FB">
          <w:rPr>
            <w:noProof/>
            <w:webHidden/>
          </w:rPr>
          <w:fldChar w:fldCharType="separate"/>
        </w:r>
        <w:r w:rsidR="005D3C4E">
          <w:rPr>
            <w:noProof/>
            <w:webHidden/>
          </w:rPr>
          <w:t>12</w:t>
        </w:r>
        <w:r w:rsidR="000020FB">
          <w:rPr>
            <w:noProof/>
            <w:webHidden/>
          </w:rPr>
          <w:fldChar w:fldCharType="end"/>
        </w:r>
      </w:hyperlink>
    </w:p>
    <w:p w:rsidR="000020FB" w:rsidRDefault="00DA412A">
      <w:pPr>
        <w:pStyle w:val="TOC3"/>
        <w:tabs>
          <w:tab w:val="right" w:leader="dot" w:pos="9061"/>
        </w:tabs>
        <w:rPr>
          <w:rFonts w:asciiTheme="minorHAnsi" w:eastAsiaTheme="minorEastAsia" w:hAnsiTheme="minorHAnsi" w:cstheme="minorBidi"/>
          <w:noProof/>
          <w:sz w:val="22"/>
          <w:lang w:val="en-US" w:eastAsia="en-US"/>
        </w:rPr>
      </w:pPr>
      <w:hyperlink w:anchor="_Toc352179324" w:history="1">
        <w:r w:rsidR="000020FB" w:rsidRPr="004D70FC">
          <w:rPr>
            <w:rStyle w:val="Hyperlink"/>
            <w:noProof/>
          </w:rPr>
          <w:t>2.4.1. Projektu kontroles grupas izveidošana</w:t>
        </w:r>
        <w:r w:rsidR="000020FB">
          <w:rPr>
            <w:noProof/>
            <w:webHidden/>
          </w:rPr>
          <w:tab/>
        </w:r>
        <w:r w:rsidR="000020FB">
          <w:rPr>
            <w:noProof/>
            <w:webHidden/>
          </w:rPr>
          <w:fldChar w:fldCharType="begin"/>
        </w:r>
        <w:r w:rsidR="000020FB">
          <w:rPr>
            <w:noProof/>
            <w:webHidden/>
          </w:rPr>
          <w:instrText xml:space="preserve"> PAGEREF _Toc352179324 \h </w:instrText>
        </w:r>
        <w:r w:rsidR="000020FB">
          <w:rPr>
            <w:noProof/>
            <w:webHidden/>
          </w:rPr>
        </w:r>
        <w:r w:rsidR="000020FB">
          <w:rPr>
            <w:noProof/>
            <w:webHidden/>
          </w:rPr>
          <w:fldChar w:fldCharType="separate"/>
        </w:r>
        <w:r w:rsidR="005D3C4E">
          <w:rPr>
            <w:noProof/>
            <w:webHidden/>
          </w:rPr>
          <w:t>12</w:t>
        </w:r>
        <w:r w:rsidR="000020FB">
          <w:rPr>
            <w:noProof/>
            <w:webHidden/>
          </w:rPr>
          <w:fldChar w:fldCharType="end"/>
        </w:r>
      </w:hyperlink>
    </w:p>
    <w:p w:rsidR="000020FB" w:rsidRDefault="00DA412A">
      <w:pPr>
        <w:pStyle w:val="TOC3"/>
        <w:tabs>
          <w:tab w:val="right" w:leader="dot" w:pos="9061"/>
        </w:tabs>
        <w:rPr>
          <w:rFonts w:asciiTheme="minorHAnsi" w:eastAsiaTheme="minorEastAsia" w:hAnsiTheme="minorHAnsi" w:cstheme="minorBidi"/>
          <w:noProof/>
          <w:sz w:val="22"/>
          <w:lang w:val="en-US" w:eastAsia="en-US"/>
        </w:rPr>
      </w:pPr>
      <w:hyperlink w:anchor="_Toc352179325" w:history="1">
        <w:r w:rsidR="000020FB" w:rsidRPr="004D70FC">
          <w:rPr>
            <w:rStyle w:val="Hyperlink"/>
            <w:noProof/>
          </w:rPr>
          <w:t>2.4.2. Neatkarīga auditora apstiprināti gada pārskati</w:t>
        </w:r>
        <w:r w:rsidR="000020FB">
          <w:rPr>
            <w:noProof/>
            <w:webHidden/>
          </w:rPr>
          <w:tab/>
        </w:r>
        <w:r w:rsidR="000020FB">
          <w:rPr>
            <w:noProof/>
            <w:webHidden/>
          </w:rPr>
          <w:fldChar w:fldCharType="begin"/>
        </w:r>
        <w:r w:rsidR="000020FB">
          <w:rPr>
            <w:noProof/>
            <w:webHidden/>
          </w:rPr>
          <w:instrText xml:space="preserve"> PAGEREF _Toc352179325 \h </w:instrText>
        </w:r>
        <w:r w:rsidR="000020FB">
          <w:rPr>
            <w:noProof/>
            <w:webHidden/>
          </w:rPr>
        </w:r>
        <w:r w:rsidR="000020FB">
          <w:rPr>
            <w:noProof/>
            <w:webHidden/>
          </w:rPr>
          <w:fldChar w:fldCharType="separate"/>
        </w:r>
        <w:r w:rsidR="005D3C4E">
          <w:rPr>
            <w:noProof/>
            <w:webHidden/>
          </w:rPr>
          <w:t>14</w:t>
        </w:r>
        <w:r w:rsidR="000020FB">
          <w:rPr>
            <w:noProof/>
            <w:webHidden/>
          </w:rPr>
          <w:fldChar w:fldCharType="end"/>
        </w:r>
      </w:hyperlink>
    </w:p>
    <w:p w:rsidR="000020FB" w:rsidRDefault="00DA412A">
      <w:pPr>
        <w:pStyle w:val="TOC3"/>
        <w:tabs>
          <w:tab w:val="right" w:leader="dot" w:pos="9061"/>
        </w:tabs>
        <w:rPr>
          <w:rFonts w:asciiTheme="minorHAnsi" w:eastAsiaTheme="minorEastAsia" w:hAnsiTheme="minorHAnsi" w:cstheme="minorBidi"/>
          <w:noProof/>
          <w:sz w:val="22"/>
          <w:lang w:val="en-US" w:eastAsia="en-US"/>
        </w:rPr>
      </w:pPr>
      <w:hyperlink w:anchor="_Toc352179326" w:history="1">
        <w:r w:rsidR="000020FB" w:rsidRPr="004D70FC">
          <w:rPr>
            <w:rStyle w:val="Hyperlink"/>
            <w:noProof/>
          </w:rPr>
          <w:t>2.4.3. Nodokļu nomaksas pārbaude</w:t>
        </w:r>
        <w:r w:rsidR="000020FB">
          <w:rPr>
            <w:noProof/>
            <w:webHidden/>
          </w:rPr>
          <w:tab/>
        </w:r>
        <w:r w:rsidR="000020FB">
          <w:rPr>
            <w:noProof/>
            <w:webHidden/>
          </w:rPr>
          <w:fldChar w:fldCharType="begin"/>
        </w:r>
        <w:r w:rsidR="000020FB">
          <w:rPr>
            <w:noProof/>
            <w:webHidden/>
          </w:rPr>
          <w:instrText xml:space="preserve"> PAGEREF _Toc352179326 \h </w:instrText>
        </w:r>
        <w:r w:rsidR="000020FB">
          <w:rPr>
            <w:noProof/>
            <w:webHidden/>
          </w:rPr>
        </w:r>
        <w:r w:rsidR="000020FB">
          <w:rPr>
            <w:noProof/>
            <w:webHidden/>
          </w:rPr>
          <w:fldChar w:fldCharType="separate"/>
        </w:r>
        <w:r w:rsidR="005D3C4E">
          <w:rPr>
            <w:noProof/>
            <w:webHidden/>
          </w:rPr>
          <w:t>15</w:t>
        </w:r>
        <w:r w:rsidR="000020FB">
          <w:rPr>
            <w:noProof/>
            <w:webHidden/>
          </w:rPr>
          <w:fldChar w:fldCharType="end"/>
        </w:r>
      </w:hyperlink>
    </w:p>
    <w:p w:rsidR="000020FB" w:rsidRDefault="00DA412A">
      <w:pPr>
        <w:pStyle w:val="TOC3"/>
        <w:tabs>
          <w:tab w:val="right" w:leader="dot" w:pos="9061"/>
        </w:tabs>
        <w:rPr>
          <w:rFonts w:asciiTheme="minorHAnsi" w:eastAsiaTheme="minorEastAsia" w:hAnsiTheme="minorHAnsi" w:cstheme="minorBidi"/>
          <w:noProof/>
          <w:sz w:val="22"/>
          <w:lang w:val="en-US" w:eastAsia="en-US"/>
        </w:rPr>
      </w:pPr>
      <w:hyperlink w:anchor="_Toc352179327" w:history="1">
        <w:r w:rsidR="000020FB" w:rsidRPr="004D70FC">
          <w:rPr>
            <w:rStyle w:val="Hyperlink"/>
            <w:noProof/>
          </w:rPr>
          <w:t>2.4.4. Papildus nosacījumi projekta pirmrealizācijas periodā</w:t>
        </w:r>
        <w:r w:rsidR="000020FB">
          <w:rPr>
            <w:noProof/>
            <w:webHidden/>
          </w:rPr>
          <w:tab/>
        </w:r>
        <w:r w:rsidR="000020FB">
          <w:rPr>
            <w:noProof/>
            <w:webHidden/>
          </w:rPr>
          <w:fldChar w:fldCharType="begin"/>
        </w:r>
        <w:r w:rsidR="000020FB">
          <w:rPr>
            <w:noProof/>
            <w:webHidden/>
          </w:rPr>
          <w:instrText xml:space="preserve"> PAGEREF _Toc352179327 \h </w:instrText>
        </w:r>
        <w:r w:rsidR="000020FB">
          <w:rPr>
            <w:noProof/>
            <w:webHidden/>
          </w:rPr>
        </w:r>
        <w:r w:rsidR="000020FB">
          <w:rPr>
            <w:noProof/>
            <w:webHidden/>
          </w:rPr>
          <w:fldChar w:fldCharType="separate"/>
        </w:r>
        <w:r w:rsidR="005D3C4E">
          <w:rPr>
            <w:noProof/>
            <w:webHidden/>
          </w:rPr>
          <w:t>16</w:t>
        </w:r>
        <w:r w:rsidR="000020FB">
          <w:rPr>
            <w:noProof/>
            <w:webHidden/>
          </w:rPr>
          <w:fldChar w:fldCharType="end"/>
        </w:r>
      </w:hyperlink>
    </w:p>
    <w:p w:rsidR="000020FB" w:rsidRDefault="00DA412A">
      <w:pPr>
        <w:pStyle w:val="TOC3"/>
        <w:tabs>
          <w:tab w:val="right" w:leader="dot" w:pos="9061"/>
        </w:tabs>
        <w:rPr>
          <w:rFonts w:asciiTheme="minorHAnsi" w:eastAsiaTheme="minorEastAsia" w:hAnsiTheme="minorHAnsi" w:cstheme="minorBidi"/>
          <w:noProof/>
          <w:sz w:val="22"/>
          <w:lang w:val="en-US" w:eastAsia="en-US"/>
        </w:rPr>
      </w:pPr>
      <w:hyperlink w:anchor="_Toc352179328" w:history="1">
        <w:r w:rsidR="000020FB" w:rsidRPr="004D70FC">
          <w:rPr>
            <w:rStyle w:val="Hyperlink"/>
            <w:noProof/>
          </w:rPr>
          <w:t>2.4.5. Lēmumu, kas paredz komersantam tiesības pārdot saražoto elektroenerģiju obligātā iepirkuma ietvaros vai tiesības saņemt garantētu maksu par elektrostacijā uzstādīto jaudu, pagarināšana</w:t>
        </w:r>
        <w:r w:rsidR="000020FB">
          <w:rPr>
            <w:noProof/>
            <w:webHidden/>
          </w:rPr>
          <w:tab/>
        </w:r>
        <w:r w:rsidR="000020FB">
          <w:rPr>
            <w:noProof/>
            <w:webHidden/>
          </w:rPr>
          <w:fldChar w:fldCharType="begin"/>
        </w:r>
        <w:r w:rsidR="000020FB">
          <w:rPr>
            <w:noProof/>
            <w:webHidden/>
          </w:rPr>
          <w:instrText xml:space="preserve"> PAGEREF _Toc352179328 \h </w:instrText>
        </w:r>
        <w:r w:rsidR="000020FB">
          <w:rPr>
            <w:noProof/>
            <w:webHidden/>
          </w:rPr>
        </w:r>
        <w:r w:rsidR="000020FB">
          <w:rPr>
            <w:noProof/>
            <w:webHidden/>
          </w:rPr>
          <w:fldChar w:fldCharType="separate"/>
        </w:r>
        <w:r w:rsidR="005D3C4E">
          <w:rPr>
            <w:noProof/>
            <w:webHidden/>
          </w:rPr>
          <w:t>16</w:t>
        </w:r>
        <w:r w:rsidR="000020FB">
          <w:rPr>
            <w:noProof/>
            <w:webHidden/>
          </w:rPr>
          <w:fldChar w:fldCharType="end"/>
        </w:r>
      </w:hyperlink>
    </w:p>
    <w:p w:rsidR="000020FB" w:rsidRDefault="00DA412A">
      <w:pPr>
        <w:pStyle w:val="TOC2"/>
        <w:tabs>
          <w:tab w:val="left" w:pos="1760"/>
          <w:tab w:val="right" w:leader="dot" w:pos="9061"/>
        </w:tabs>
        <w:rPr>
          <w:rFonts w:asciiTheme="minorHAnsi" w:eastAsiaTheme="minorEastAsia" w:hAnsiTheme="minorHAnsi" w:cstheme="minorBidi"/>
          <w:noProof/>
          <w:sz w:val="22"/>
          <w:lang w:val="en-US" w:eastAsia="en-US"/>
        </w:rPr>
      </w:pPr>
      <w:hyperlink w:anchor="_Toc352179329" w:history="1">
        <w:r w:rsidR="000020FB" w:rsidRPr="004D70FC">
          <w:rPr>
            <w:rStyle w:val="Hyperlink"/>
            <w:noProof/>
          </w:rPr>
          <w:t>2.5.</w:t>
        </w:r>
        <w:r w:rsidR="000020FB">
          <w:rPr>
            <w:rFonts w:asciiTheme="minorHAnsi" w:eastAsiaTheme="minorEastAsia" w:hAnsiTheme="minorHAnsi" w:cstheme="minorBidi"/>
            <w:noProof/>
            <w:sz w:val="22"/>
            <w:lang w:val="en-US" w:eastAsia="en-US"/>
          </w:rPr>
          <w:tab/>
        </w:r>
        <w:r w:rsidR="000020FB" w:rsidRPr="004D70FC">
          <w:rPr>
            <w:rStyle w:val="Hyperlink"/>
            <w:noProof/>
          </w:rPr>
          <w:t>Atsevišķa OIK fonda izveide</w:t>
        </w:r>
        <w:r w:rsidR="000020FB">
          <w:rPr>
            <w:noProof/>
            <w:webHidden/>
          </w:rPr>
          <w:tab/>
        </w:r>
        <w:r w:rsidR="000020FB">
          <w:rPr>
            <w:noProof/>
            <w:webHidden/>
          </w:rPr>
          <w:fldChar w:fldCharType="begin"/>
        </w:r>
        <w:r w:rsidR="000020FB">
          <w:rPr>
            <w:noProof/>
            <w:webHidden/>
          </w:rPr>
          <w:instrText xml:space="preserve"> PAGEREF _Toc352179329 \h </w:instrText>
        </w:r>
        <w:r w:rsidR="000020FB">
          <w:rPr>
            <w:noProof/>
            <w:webHidden/>
          </w:rPr>
        </w:r>
        <w:r w:rsidR="000020FB">
          <w:rPr>
            <w:noProof/>
            <w:webHidden/>
          </w:rPr>
          <w:fldChar w:fldCharType="separate"/>
        </w:r>
        <w:r w:rsidR="005D3C4E">
          <w:rPr>
            <w:noProof/>
            <w:webHidden/>
          </w:rPr>
          <w:t>18</w:t>
        </w:r>
        <w:r w:rsidR="000020FB">
          <w:rPr>
            <w:noProof/>
            <w:webHidden/>
          </w:rPr>
          <w:fldChar w:fldCharType="end"/>
        </w:r>
      </w:hyperlink>
    </w:p>
    <w:p w:rsidR="000020FB" w:rsidRDefault="00DA412A">
      <w:pPr>
        <w:pStyle w:val="TOC2"/>
        <w:tabs>
          <w:tab w:val="left" w:pos="1760"/>
          <w:tab w:val="right" w:leader="dot" w:pos="9061"/>
        </w:tabs>
        <w:rPr>
          <w:rFonts w:asciiTheme="minorHAnsi" w:eastAsiaTheme="minorEastAsia" w:hAnsiTheme="minorHAnsi" w:cstheme="minorBidi"/>
          <w:noProof/>
          <w:sz w:val="22"/>
          <w:lang w:val="en-US" w:eastAsia="en-US"/>
        </w:rPr>
      </w:pPr>
      <w:hyperlink w:anchor="_Toc352179330" w:history="1">
        <w:r w:rsidR="000020FB" w:rsidRPr="004D70FC">
          <w:rPr>
            <w:rStyle w:val="Hyperlink"/>
            <w:noProof/>
          </w:rPr>
          <w:t>2.6.</w:t>
        </w:r>
        <w:r w:rsidR="000020FB">
          <w:rPr>
            <w:rFonts w:asciiTheme="minorHAnsi" w:eastAsiaTheme="minorEastAsia" w:hAnsiTheme="minorHAnsi" w:cstheme="minorBidi"/>
            <w:noProof/>
            <w:sz w:val="22"/>
            <w:lang w:val="en-US" w:eastAsia="en-US"/>
          </w:rPr>
          <w:tab/>
        </w:r>
        <w:r w:rsidR="000020FB" w:rsidRPr="004D70FC">
          <w:rPr>
            <w:rStyle w:val="Hyperlink"/>
            <w:noProof/>
          </w:rPr>
          <w:t>Esošo nodokļu izvērtēšana</w:t>
        </w:r>
        <w:r w:rsidR="000020FB">
          <w:rPr>
            <w:noProof/>
            <w:webHidden/>
          </w:rPr>
          <w:tab/>
        </w:r>
        <w:r w:rsidR="000020FB">
          <w:rPr>
            <w:noProof/>
            <w:webHidden/>
          </w:rPr>
          <w:fldChar w:fldCharType="begin"/>
        </w:r>
        <w:r w:rsidR="000020FB">
          <w:rPr>
            <w:noProof/>
            <w:webHidden/>
          </w:rPr>
          <w:instrText xml:space="preserve"> PAGEREF _Toc352179330 \h </w:instrText>
        </w:r>
        <w:r w:rsidR="000020FB">
          <w:rPr>
            <w:noProof/>
            <w:webHidden/>
          </w:rPr>
        </w:r>
        <w:r w:rsidR="000020FB">
          <w:rPr>
            <w:noProof/>
            <w:webHidden/>
          </w:rPr>
          <w:fldChar w:fldCharType="separate"/>
        </w:r>
        <w:r w:rsidR="005D3C4E">
          <w:rPr>
            <w:noProof/>
            <w:webHidden/>
          </w:rPr>
          <w:t>19</w:t>
        </w:r>
        <w:r w:rsidR="000020FB">
          <w:rPr>
            <w:noProof/>
            <w:webHidden/>
          </w:rPr>
          <w:fldChar w:fldCharType="end"/>
        </w:r>
      </w:hyperlink>
    </w:p>
    <w:p w:rsidR="000020FB" w:rsidRDefault="00DA412A">
      <w:pPr>
        <w:pStyle w:val="TOC3"/>
        <w:tabs>
          <w:tab w:val="left" w:pos="2010"/>
          <w:tab w:val="right" w:leader="dot" w:pos="9061"/>
        </w:tabs>
        <w:rPr>
          <w:rFonts w:asciiTheme="minorHAnsi" w:eastAsiaTheme="minorEastAsia" w:hAnsiTheme="minorHAnsi" w:cstheme="minorBidi"/>
          <w:noProof/>
          <w:sz w:val="22"/>
          <w:lang w:val="en-US" w:eastAsia="en-US"/>
        </w:rPr>
      </w:pPr>
      <w:hyperlink w:anchor="_Toc352179331" w:history="1">
        <w:r w:rsidR="000020FB" w:rsidRPr="004D70FC">
          <w:rPr>
            <w:rStyle w:val="Hyperlink"/>
            <w:noProof/>
          </w:rPr>
          <w:t>2.6.1.</w:t>
        </w:r>
        <w:r w:rsidR="000020FB">
          <w:rPr>
            <w:rFonts w:asciiTheme="minorHAnsi" w:eastAsiaTheme="minorEastAsia" w:hAnsiTheme="minorHAnsi" w:cstheme="minorBidi"/>
            <w:noProof/>
            <w:sz w:val="22"/>
            <w:lang w:val="en-US" w:eastAsia="en-US"/>
          </w:rPr>
          <w:tab/>
        </w:r>
        <w:r w:rsidR="000020FB" w:rsidRPr="004D70FC">
          <w:rPr>
            <w:rStyle w:val="Hyperlink"/>
            <w:noProof/>
          </w:rPr>
          <w:t>Elektroenerģijas nodoklis</w:t>
        </w:r>
        <w:r w:rsidR="000020FB">
          <w:rPr>
            <w:noProof/>
            <w:webHidden/>
          </w:rPr>
          <w:tab/>
        </w:r>
        <w:r w:rsidR="000020FB">
          <w:rPr>
            <w:noProof/>
            <w:webHidden/>
          </w:rPr>
          <w:fldChar w:fldCharType="begin"/>
        </w:r>
        <w:r w:rsidR="000020FB">
          <w:rPr>
            <w:noProof/>
            <w:webHidden/>
          </w:rPr>
          <w:instrText xml:space="preserve"> PAGEREF _Toc352179331 \h </w:instrText>
        </w:r>
        <w:r w:rsidR="000020FB">
          <w:rPr>
            <w:noProof/>
            <w:webHidden/>
          </w:rPr>
        </w:r>
        <w:r w:rsidR="000020FB">
          <w:rPr>
            <w:noProof/>
            <w:webHidden/>
          </w:rPr>
          <w:fldChar w:fldCharType="separate"/>
        </w:r>
        <w:r w:rsidR="005D3C4E">
          <w:rPr>
            <w:noProof/>
            <w:webHidden/>
          </w:rPr>
          <w:t>19</w:t>
        </w:r>
        <w:r w:rsidR="000020FB">
          <w:rPr>
            <w:noProof/>
            <w:webHidden/>
          </w:rPr>
          <w:fldChar w:fldCharType="end"/>
        </w:r>
      </w:hyperlink>
    </w:p>
    <w:p w:rsidR="000020FB" w:rsidRDefault="00DA412A">
      <w:pPr>
        <w:pStyle w:val="TOC3"/>
        <w:tabs>
          <w:tab w:val="left" w:pos="2010"/>
          <w:tab w:val="right" w:leader="dot" w:pos="9061"/>
        </w:tabs>
        <w:rPr>
          <w:rFonts w:asciiTheme="minorHAnsi" w:eastAsiaTheme="minorEastAsia" w:hAnsiTheme="minorHAnsi" w:cstheme="minorBidi"/>
          <w:noProof/>
          <w:sz w:val="22"/>
          <w:lang w:val="en-US" w:eastAsia="en-US"/>
        </w:rPr>
      </w:pPr>
      <w:hyperlink w:anchor="_Toc352179332" w:history="1">
        <w:r w:rsidR="000020FB" w:rsidRPr="004D70FC">
          <w:rPr>
            <w:rStyle w:val="Hyperlink"/>
            <w:noProof/>
          </w:rPr>
          <w:t>2.6.2.</w:t>
        </w:r>
        <w:r w:rsidR="000020FB">
          <w:rPr>
            <w:rFonts w:asciiTheme="minorHAnsi" w:eastAsiaTheme="minorEastAsia" w:hAnsiTheme="minorHAnsi" w:cstheme="minorBidi"/>
            <w:noProof/>
            <w:sz w:val="22"/>
            <w:lang w:val="en-US" w:eastAsia="en-US"/>
          </w:rPr>
          <w:tab/>
        </w:r>
        <w:r w:rsidR="000020FB" w:rsidRPr="004D70FC">
          <w:rPr>
            <w:rStyle w:val="Hyperlink"/>
            <w:noProof/>
          </w:rPr>
          <w:t>Akcīzes nodoklis dabasgāzei</w:t>
        </w:r>
        <w:r w:rsidR="000020FB">
          <w:rPr>
            <w:noProof/>
            <w:webHidden/>
          </w:rPr>
          <w:tab/>
        </w:r>
        <w:r w:rsidR="000020FB">
          <w:rPr>
            <w:noProof/>
            <w:webHidden/>
          </w:rPr>
          <w:fldChar w:fldCharType="begin"/>
        </w:r>
        <w:r w:rsidR="000020FB">
          <w:rPr>
            <w:noProof/>
            <w:webHidden/>
          </w:rPr>
          <w:instrText xml:space="preserve"> PAGEREF _Toc352179332 \h </w:instrText>
        </w:r>
        <w:r w:rsidR="000020FB">
          <w:rPr>
            <w:noProof/>
            <w:webHidden/>
          </w:rPr>
        </w:r>
        <w:r w:rsidR="000020FB">
          <w:rPr>
            <w:noProof/>
            <w:webHidden/>
          </w:rPr>
          <w:fldChar w:fldCharType="separate"/>
        </w:r>
        <w:r w:rsidR="005D3C4E">
          <w:rPr>
            <w:noProof/>
            <w:webHidden/>
          </w:rPr>
          <w:t>20</w:t>
        </w:r>
        <w:r w:rsidR="000020FB">
          <w:rPr>
            <w:noProof/>
            <w:webHidden/>
          </w:rPr>
          <w:fldChar w:fldCharType="end"/>
        </w:r>
      </w:hyperlink>
    </w:p>
    <w:p w:rsidR="000020FB" w:rsidRDefault="00DA412A">
      <w:pPr>
        <w:pStyle w:val="TOC3"/>
        <w:tabs>
          <w:tab w:val="left" w:pos="2010"/>
          <w:tab w:val="right" w:leader="dot" w:pos="9061"/>
        </w:tabs>
        <w:rPr>
          <w:rFonts w:asciiTheme="minorHAnsi" w:eastAsiaTheme="minorEastAsia" w:hAnsiTheme="minorHAnsi" w:cstheme="minorBidi"/>
          <w:noProof/>
          <w:sz w:val="22"/>
          <w:lang w:val="en-US" w:eastAsia="en-US"/>
        </w:rPr>
      </w:pPr>
      <w:hyperlink w:anchor="_Toc352179333" w:history="1">
        <w:r w:rsidR="000020FB" w:rsidRPr="004D70FC">
          <w:rPr>
            <w:rStyle w:val="Hyperlink"/>
            <w:noProof/>
          </w:rPr>
          <w:t>2.6.3.</w:t>
        </w:r>
        <w:r w:rsidR="000020FB">
          <w:rPr>
            <w:rFonts w:asciiTheme="minorHAnsi" w:eastAsiaTheme="minorEastAsia" w:hAnsiTheme="minorHAnsi" w:cstheme="minorBidi"/>
            <w:noProof/>
            <w:sz w:val="22"/>
            <w:lang w:val="en-US" w:eastAsia="en-US"/>
          </w:rPr>
          <w:tab/>
        </w:r>
        <w:r w:rsidR="000020FB" w:rsidRPr="004D70FC">
          <w:rPr>
            <w:rStyle w:val="Hyperlink"/>
            <w:noProof/>
          </w:rPr>
          <w:t>Pievienotās vērtības nodoklis</w:t>
        </w:r>
        <w:r w:rsidR="000020FB">
          <w:rPr>
            <w:noProof/>
            <w:webHidden/>
          </w:rPr>
          <w:tab/>
        </w:r>
        <w:r w:rsidR="000020FB">
          <w:rPr>
            <w:noProof/>
            <w:webHidden/>
          </w:rPr>
          <w:fldChar w:fldCharType="begin"/>
        </w:r>
        <w:r w:rsidR="000020FB">
          <w:rPr>
            <w:noProof/>
            <w:webHidden/>
          </w:rPr>
          <w:instrText xml:space="preserve"> PAGEREF _Toc352179333 \h </w:instrText>
        </w:r>
        <w:r w:rsidR="000020FB">
          <w:rPr>
            <w:noProof/>
            <w:webHidden/>
          </w:rPr>
        </w:r>
        <w:r w:rsidR="000020FB">
          <w:rPr>
            <w:noProof/>
            <w:webHidden/>
          </w:rPr>
          <w:fldChar w:fldCharType="separate"/>
        </w:r>
        <w:r w:rsidR="005D3C4E">
          <w:rPr>
            <w:noProof/>
            <w:webHidden/>
          </w:rPr>
          <w:t>22</w:t>
        </w:r>
        <w:r w:rsidR="000020FB">
          <w:rPr>
            <w:noProof/>
            <w:webHidden/>
          </w:rPr>
          <w:fldChar w:fldCharType="end"/>
        </w:r>
      </w:hyperlink>
    </w:p>
    <w:p w:rsidR="000020FB" w:rsidRDefault="00DA412A">
      <w:pPr>
        <w:pStyle w:val="TOC2"/>
        <w:tabs>
          <w:tab w:val="left" w:pos="1760"/>
          <w:tab w:val="right" w:leader="dot" w:pos="9061"/>
        </w:tabs>
        <w:rPr>
          <w:rFonts w:asciiTheme="minorHAnsi" w:eastAsiaTheme="minorEastAsia" w:hAnsiTheme="minorHAnsi" w:cstheme="minorBidi"/>
          <w:noProof/>
          <w:sz w:val="22"/>
          <w:lang w:val="en-US" w:eastAsia="en-US"/>
        </w:rPr>
      </w:pPr>
      <w:hyperlink w:anchor="_Toc352179334" w:history="1">
        <w:r w:rsidR="000020FB" w:rsidRPr="004D70FC">
          <w:rPr>
            <w:rStyle w:val="Hyperlink"/>
            <w:noProof/>
          </w:rPr>
          <w:t>2.7.</w:t>
        </w:r>
        <w:r w:rsidR="000020FB">
          <w:rPr>
            <w:rFonts w:asciiTheme="minorHAnsi" w:eastAsiaTheme="minorEastAsia" w:hAnsiTheme="minorHAnsi" w:cstheme="minorBidi"/>
            <w:noProof/>
            <w:sz w:val="22"/>
            <w:lang w:val="en-US" w:eastAsia="en-US"/>
          </w:rPr>
          <w:tab/>
        </w:r>
        <w:r w:rsidR="000020FB" w:rsidRPr="004D70FC">
          <w:rPr>
            <w:rStyle w:val="Hyperlink"/>
            <w:noProof/>
          </w:rPr>
          <w:t>Enerģētiskās nabadzības mazināšana</w:t>
        </w:r>
        <w:r w:rsidR="000020FB">
          <w:rPr>
            <w:noProof/>
            <w:webHidden/>
          </w:rPr>
          <w:tab/>
        </w:r>
        <w:r w:rsidR="000020FB">
          <w:rPr>
            <w:noProof/>
            <w:webHidden/>
          </w:rPr>
          <w:fldChar w:fldCharType="begin"/>
        </w:r>
        <w:r w:rsidR="000020FB">
          <w:rPr>
            <w:noProof/>
            <w:webHidden/>
          </w:rPr>
          <w:instrText xml:space="preserve"> PAGEREF _Toc352179334 \h </w:instrText>
        </w:r>
        <w:r w:rsidR="000020FB">
          <w:rPr>
            <w:noProof/>
            <w:webHidden/>
          </w:rPr>
        </w:r>
        <w:r w:rsidR="000020FB">
          <w:rPr>
            <w:noProof/>
            <w:webHidden/>
          </w:rPr>
          <w:fldChar w:fldCharType="separate"/>
        </w:r>
        <w:r w:rsidR="005D3C4E">
          <w:rPr>
            <w:noProof/>
            <w:webHidden/>
          </w:rPr>
          <w:t>23</w:t>
        </w:r>
        <w:r w:rsidR="000020FB">
          <w:rPr>
            <w:noProof/>
            <w:webHidden/>
          </w:rPr>
          <w:fldChar w:fldCharType="end"/>
        </w:r>
      </w:hyperlink>
    </w:p>
    <w:p w:rsidR="00F4779C" w:rsidRPr="003E2E63" w:rsidRDefault="00BE4AA3" w:rsidP="00F4779C">
      <w:pPr>
        <w:pStyle w:val="Heading1"/>
        <w:rPr>
          <w:color w:val="000000" w:themeColor="text1"/>
        </w:rPr>
      </w:pPr>
      <w:r>
        <w:fldChar w:fldCharType="end"/>
      </w:r>
      <w:r w:rsidR="00A8354A">
        <w:br w:type="page"/>
      </w:r>
      <w:bookmarkStart w:id="0" w:name="_Toc351283058"/>
      <w:bookmarkStart w:id="1" w:name="_Toc352179314"/>
      <w:r w:rsidR="00F4779C" w:rsidRPr="003E2E63">
        <w:rPr>
          <w:color w:val="000000" w:themeColor="text1"/>
        </w:rPr>
        <w:lastRenderedPageBreak/>
        <w:t>Ievads</w:t>
      </w:r>
      <w:bookmarkEnd w:id="0"/>
      <w:bookmarkEnd w:id="1"/>
    </w:p>
    <w:p w:rsidR="00E63EC8" w:rsidRDefault="00E63EC8" w:rsidP="00190AAE">
      <w:pPr>
        <w:spacing w:after="0" w:line="240" w:lineRule="auto"/>
        <w:jc w:val="both"/>
        <w:rPr>
          <w:color w:val="000000" w:themeColor="text1"/>
          <w:szCs w:val="28"/>
        </w:rPr>
      </w:pPr>
      <w:r w:rsidRPr="003E2E63">
        <w:rPr>
          <w:color w:val="000000" w:themeColor="text1"/>
          <w:szCs w:val="28"/>
        </w:rPr>
        <w:t xml:space="preserve">Ministru kabineta 2013. gada 8. janvāra sēdē tika </w:t>
      </w:r>
      <w:r w:rsidR="00700750" w:rsidRPr="003E2E63">
        <w:rPr>
          <w:color w:val="000000" w:themeColor="text1"/>
          <w:szCs w:val="28"/>
        </w:rPr>
        <w:t>izskatīts un</w:t>
      </w:r>
      <w:r w:rsidRPr="003E2E63">
        <w:rPr>
          <w:color w:val="000000" w:themeColor="text1"/>
          <w:szCs w:val="28"/>
        </w:rPr>
        <w:t xml:space="preserve"> pieņemts zināšanai Ekonomikas ministrijas sagatavot</w:t>
      </w:r>
      <w:r w:rsidR="00FA662D" w:rsidRPr="003E2E63">
        <w:rPr>
          <w:color w:val="000000" w:themeColor="text1"/>
          <w:szCs w:val="28"/>
        </w:rPr>
        <w:t>ais</w:t>
      </w:r>
      <w:r w:rsidR="00261E78" w:rsidRPr="003E2E63">
        <w:rPr>
          <w:color w:val="000000" w:themeColor="text1"/>
          <w:szCs w:val="28"/>
        </w:rPr>
        <w:t xml:space="preserve"> </w:t>
      </w:r>
      <w:r w:rsidRPr="003E2E63">
        <w:rPr>
          <w:color w:val="000000" w:themeColor="text1"/>
          <w:szCs w:val="28"/>
        </w:rPr>
        <w:t>informatīv</w:t>
      </w:r>
      <w:r w:rsidR="00FA662D" w:rsidRPr="003E2E63">
        <w:rPr>
          <w:color w:val="000000" w:themeColor="text1"/>
          <w:szCs w:val="28"/>
        </w:rPr>
        <w:t>ais</w:t>
      </w:r>
      <w:r w:rsidRPr="003E2E63">
        <w:rPr>
          <w:color w:val="000000" w:themeColor="text1"/>
          <w:szCs w:val="28"/>
        </w:rPr>
        <w:t xml:space="preserve"> ziņojum</w:t>
      </w:r>
      <w:r w:rsidR="00FA662D" w:rsidRPr="003E2E63">
        <w:rPr>
          <w:color w:val="000000" w:themeColor="text1"/>
          <w:szCs w:val="28"/>
        </w:rPr>
        <w:t>s</w:t>
      </w:r>
      <w:r w:rsidRPr="003E2E63">
        <w:rPr>
          <w:color w:val="000000" w:themeColor="text1"/>
          <w:szCs w:val="28"/>
        </w:rPr>
        <w:t xml:space="preserve"> „Par elektroenerģijas cenu pieauguma riskiem un to ierobežošanu” (</w:t>
      </w:r>
      <w:proofErr w:type="spellStart"/>
      <w:r w:rsidRPr="003E2E63">
        <w:rPr>
          <w:color w:val="000000" w:themeColor="text1"/>
          <w:szCs w:val="28"/>
        </w:rPr>
        <w:t>prot</w:t>
      </w:r>
      <w:proofErr w:type="spellEnd"/>
      <w:r w:rsidRPr="003E2E63">
        <w:rPr>
          <w:color w:val="000000" w:themeColor="text1"/>
          <w:szCs w:val="28"/>
        </w:rPr>
        <w:t xml:space="preserve">. Nr.2, </w:t>
      </w:r>
      <w:bookmarkStart w:id="2" w:name="29"/>
      <w:r w:rsidRPr="003E2E63">
        <w:rPr>
          <w:color w:val="000000" w:themeColor="text1"/>
          <w:szCs w:val="28"/>
        </w:rPr>
        <w:t>29. §)</w:t>
      </w:r>
      <w:r w:rsidR="00700750" w:rsidRPr="003E2E63">
        <w:rPr>
          <w:color w:val="000000" w:themeColor="text1"/>
          <w:szCs w:val="28"/>
        </w:rPr>
        <w:t>.</w:t>
      </w:r>
      <w:bookmarkEnd w:id="2"/>
      <w:r w:rsidRPr="003E2E63">
        <w:rPr>
          <w:color w:val="000000" w:themeColor="text1"/>
          <w:szCs w:val="28"/>
        </w:rPr>
        <w:t xml:space="preserve"> Ekonomikas ministrijai sadarbībā ar Finanšu ministriju, Tieslietu ministriju, Labklājības ministriju un Sabiedrisko pakalpojumu regulēšanas komisiju </w:t>
      </w:r>
      <w:r w:rsidR="00700750" w:rsidRPr="003E2E63">
        <w:rPr>
          <w:color w:val="000000" w:themeColor="text1"/>
          <w:szCs w:val="28"/>
        </w:rPr>
        <w:t xml:space="preserve">tika uzdots </w:t>
      </w:r>
      <w:r w:rsidRPr="003E2E63">
        <w:rPr>
          <w:color w:val="000000" w:themeColor="text1"/>
          <w:szCs w:val="28"/>
        </w:rPr>
        <w:t>izstrādāt un noteiktā kārtībā līdz 2013. gada 1. aprīlim iesniegt Ministru kabinetā elektroenerģijas kopējās cenas pieauguma risku ierobežošanas rīcības plānu (</w:t>
      </w:r>
      <w:proofErr w:type="spellStart"/>
      <w:r w:rsidR="00E639B7" w:rsidRPr="003E2E63">
        <w:rPr>
          <w:color w:val="000000" w:themeColor="text1"/>
          <w:szCs w:val="28"/>
        </w:rPr>
        <w:t>prot</w:t>
      </w:r>
      <w:proofErr w:type="spellEnd"/>
      <w:r w:rsidR="00E639B7" w:rsidRPr="003E2E63">
        <w:rPr>
          <w:color w:val="000000" w:themeColor="text1"/>
          <w:szCs w:val="28"/>
        </w:rPr>
        <w:t xml:space="preserve">. Nr.2, </w:t>
      </w:r>
      <w:r w:rsidRPr="003E2E63">
        <w:rPr>
          <w:bCs/>
          <w:color w:val="000000" w:themeColor="text1"/>
          <w:szCs w:val="28"/>
          <w:shd w:val="clear" w:color="auto" w:fill="FFFFFF"/>
        </w:rPr>
        <w:t xml:space="preserve">29. §, </w:t>
      </w:r>
      <w:r w:rsidR="00AA5856" w:rsidRPr="003E2E63">
        <w:rPr>
          <w:bCs/>
          <w:color w:val="000000" w:themeColor="text1"/>
          <w:szCs w:val="28"/>
          <w:shd w:val="clear" w:color="auto" w:fill="FFFFFF"/>
        </w:rPr>
        <w:t xml:space="preserve">2. </w:t>
      </w:r>
      <w:r w:rsidRPr="003E2E63">
        <w:rPr>
          <w:bCs/>
          <w:color w:val="000000" w:themeColor="text1"/>
          <w:szCs w:val="28"/>
          <w:shd w:val="clear" w:color="auto" w:fill="FFFFFF"/>
        </w:rPr>
        <w:t>punkts</w:t>
      </w:r>
      <w:r w:rsidRPr="003E2E63">
        <w:rPr>
          <w:color w:val="000000" w:themeColor="text1"/>
          <w:szCs w:val="28"/>
        </w:rPr>
        <w:t xml:space="preserve">) (turpmāk – Rīcības plāns). </w:t>
      </w:r>
    </w:p>
    <w:p w:rsidR="004166B0" w:rsidRPr="003E2E63" w:rsidRDefault="004166B0" w:rsidP="00190AAE">
      <w:pPr>
        <w:spacing w:after="0" w:line="240" w:lineRule="auto"/>
        <w:jc w:val="both"/>
        <w:rPr>
          <w:color w:val="000000" w:themeColor="text1"/>
          <w:szCs w:val="28"/>
        </w:rPr>
      </w:pPr>
      <w:r>
        <w:rPr>
          <w:color w:val="000000" w:themeColor="text1"/>
          <w:szCs w:val="28"/>
        </w:rPr>
        <w:t xml:space="preserve">Ievērojot minēto, saskaņā ar ekonomikas ministra 2013. gada 29. janvāra rīkojumu </w:t>
      </w:r>
      <w:proofErr w:type="spellStart"/>
      <w:r>
        <w:rPr>
          <w:color w:val="000000" w:themeColor="text1"/>
          <w:szCs w:val="28"/>
        </w:rPr>
        <w:t>Nr</w:t>
      </w:r>
      <w:proofErr w:type="spellEnd"/>
      <w:r>
        <w:rPr>
          <w:color w:val="000000" w:themeColor="text1"/>
          <w:szCs w:val="28"/>
        </w:rPr>
        <w:t xml:space="preserve">. 22 izveidota </w:t>
      </w:r>
      <w:r w:rsidRPr="006E5F68">
        <w:rPr>
          <w:color w:val="000000"/>
          <w:szCs w:val="28"/>
        </w:rPr>
        <w:t>elektroenerģijas kopējās cenas pieauguma risku ierobežošanas rīcības plān</w:t>
      </w:r>
      <w:r>
        <w:rPr>
          <w:color w:val="000000"/>
          <w:szCs w:val="28"/>
        </w:rPr>
        <w:t xml:space="preserve">a izstrādes </w:t>
      </w:r>
      <w:r w:rsidRPr="006E5F68">
        <w:rPr>
          <w:color w:val="000000"/>
          <w:szCs w:val="28"/>
        </w:rPr>
        <w:t>starpinstitūciju darba grup</w:t>
      </w:r>
      <w:r>
        <w:rPr>
          <w:color w:val="000000"/>
          <w:szCs w:val="28"/>
        </w:rPr>
        <w:t>a (turpmāk – Darba grupa).</w:t>
      </w:r>
    </w:p>
    <w:p w:rsidR="00DF2B02" w:rsidRPr="003E2E63" w:rsidRDefault="00DF2B02" w:rsidP="00164C98">
      <w:pPr>
        <w:spacing w:after="0" w:line="240" w:lineRule="auto"/>
        <w:jc w:val="both"/>
        <w:rPr>
          <w:color w:val="000000" w:themeColor="text1"/>
          <w:szCs w:val="28"/>
        </w:rPr>
      </w:pPr>
      <w:r w:rsidRPr="003E2E63">
        <w:rPr>
          <w:color w:val="000000" w:themeColor="text1"/>
          <w:szCs w:val="28"/>
        </w:rPr>
        <w:t xml:space="preserve">Ņemot vērā, ka </w:t>
      </w:r>
      <w:r w:rsidR="00DC5114" w:rsidRPr="003E2E63">
        <w:rPr>
          <w:color w:val="000000" w:themeColor="text1"/>
          <w:szCs w:val="28"/>
        </w:rPr>
        <w:t xml:space="preserve">obligātā iepirkuma komponentes (turpmāk – </w:t>
      </w:r>
      <w:r w:rsidRPr="003E2E63">
        <w:rPr>
          <w:color w:val="000000" w:themeColor="text1"/>
          <w:szCs w:val="28"/>
        </w:rPr>
        <w:t>OIK</w:t>
      </w:r>
      <w:r w:rsidR="00DC5114" w:rsidRPr="003E2E63">
        <w:rPr>
          <w:color w:val="000000" w:themeColor="text1"/>
          <w:szCs w:val="28"/>
        </w:rPr>
        <w:t>)</w:t>
      </w:r>
      <w:r w:rsidRPr="003E2E63">
        <w:rPr>
          <w:color w:val="000000" w:themeColor="text1"/>
          <w:szCs w:val="28"/>
        </w:rPr>
        <w:t xml:space="preserve"> un elektroenerģijas kopējās cenas turpmāks pieaugums atstā</w:t>
      </w:r>
      <w:r w:rsidR="00700750" w:rsidRPr="003E2E63">
        <w:rPr>
          <w:color w:val="000000" w:themeColor="text1"/>
          <w:szCs w:val="28"/>
        </w:rPr>
        <w:t>s</w:t>
      </w:r>
      <w:r w:rsidRPr="003E2E63">
        <w:rPr>
          <w:color w:val="000000" w:themeColor="text1"/>
          <w:szCs w:val="28"/>
        </w:rPr>
        <w:t xml:space="preserve"> ietekmi uz </w:t>
      </w:r>
      <w:r w:rsidR="00700750" w:rsidRPr="003E2E63">
        <w:rPr>
          <w:color w:val="000000" w:themeColor="text1"/>
          <w:szCs w:val="28"/>
        </w:rPr>
        <w:t>Latvijas tautsaimniecības</w:t>
      </w:r>
      <w:r w:rsidRPr="003E2E63">
        <w:rPr>
          <w:color w:val="000000" w:themeColor="text1"/>
          <w:szCs w:val="28"/>
        </w:rPr>
        <w:t xml:space="preserve"> konkurētspēju, tajā skaitā pievienotās vērtības radīšanu, pēc iespējas ātrāk nepieciešams ieviest tādas politikas izmaiņas, kas nodrošinātu, ka Latvij</w:t>
      </w:r>
      <w:r w:rsidR="00700750" w:rsidRPr="003E2E63">
        <w:rPr>
          <w:color w:val="000000" w:themeColor="text1"/>
          <w:szCs w:val="28"/>
        </w:rPr>
        <w:t>ā</w:t>
      </w:r>
      <w:r w:rsidRPr="003E2E63">
        <w:rPr>
          <w:color w:val="000000" w:themeColor="text1"/>
          <w:szCs w:val="28"/>
        </w:rPr>
        <w:t xml:space="preserve"> efektīvi </w:t>
      </w:r>
      <w:r w:rsidR="00700750" w:rsidRPr="003E2E63">
        <w:rPr>
          <w:color w:val="000000" w:themeColor="text1"/>
          <w:szCs w:val="28"/>
        </w:rPr>
        <w:t>apgūst</w:t>
      </w:r>
      <w:r w:rsidRPr="003E2E63">
        <w:rPr>
          <w:color w:val="000000" w:themeColor="text1"/>
          <w:szCs w:val="28"/>
        </w:rPr>
        <w:t xml:space="preserve"> </w:t>
      </w:r>
      <w:r w:rsidR="00990F1F" w:rsidRPr="003E2E63">
        <w:rPr>
          <w:color w:val="000000" w:themeColor="text1"/>
          <w:szCs w:val="28"/>
        </w:rPr>
        <w:t xml:space="preserve">atjaunojamo energoresursu (turpmāk – </w:t>
      </w:r>
      <w:r w:rsidRPr="003E2E63">
        <w:rPr>
          <w:color w:val="000000" w:themeColor="text1"/>
          <w:szCs w:val="28"/>
        </w:rPr>
        <w:t>AER</w:t>
      </w:r>
      <w:r w:rsidR="00990F1F" w:rsidRPr="003E2E63">
        <w:rPr>
          <w:color w:val="000000" w:themeColor="text1"/>
          <w:szCs w:val="28"/>
        </w:rPr>
        <w:t>)</w:t>
      </w:r>
      <w:r w:rsidRPr="003E2E63">
        <w:rPr>
          <w:color w:val="000000" w:themeColor="text1"/>
          <w:szCs w:val="28"/>
        </w:rPr>
        <w:t xml:space="preserve"> potenciālu</w:t>
      </w:r>
      <w:r w:rsidR="00700750" w:rsidRPr="003E2E63">
        <w:rPr>
          <w:color w:val="000000" w:themeColor="text1"/>
          <w:szCs w:val="28"/>
        </w:rPr>
        <w:t xml:space="preserve"> un ražo elektroenerģiju koģenerācijā, kā arī</w:t>
      </w:r>
      <w:r w:rsidR="00CB03B9" w:rsidRPr="003E2E63">
        <w:rPr>
          <w:color w:val="000000" w:themeColor="text1"/>
          <w:szCs w:val="28"/>
        </w:rPr>
        <w:t xml:space="preserve"> </w:t>
      </w:r>
      <w:r w:rsidRPr="003E2E63">
        <w:rPr>
          <w:color w:val="000000" w:themeColor="text1"/>
          <w:szCs w:val="28"/>
        </w:rPr>
        <w:t>vienlaikus nodrošina ekonomikas attīstīb</w:t>
      </w:r>
      <w:r w:rsidR="00700750" w:rsidRPr="003E2E63">
        <w:rPr>
          <w:color w:val="000000" w:themeColor="text1"/>
          <w:szCs w:val="28"/>
        </w:rPr>
        <w:t>u</w:t>
      </w:r>
      <w:r w:rsidRPr="003E2E63">
        <w:rPr>
          <w:color w:val="000000" w:themeColor="text1"/>
          <w:szCs w:val="28"/>
        </w:rPr>
        <w:t xml:space="preserve"> un novēr</w:t>
      </w:r>
      <w:r w:rsidR="00700750" w:rsidRPr="003E2E63">
        <w:rPr>
          <w:color w:val="000000" w:themeColor="text1"/>
          <w:szCs w:val="28"/>
        </w:rPr>
        <w:t>š</w:t>
      </w:r>
      <w:r w:rsidRPr="003E2E63">
        <w:rPr>
          <w:color w:val="000000" w:themeColor="text1"/>
          <w:szCs w:val="28"/>
        </w:rPr>
        <w:t xml:space="preserve"> iedzīvotāju dzīves līmeņa pasliktināšan</w:t>
      </w:r>
      <w:r w:rsidR="00700750" w:rsidRPr="003E2E63">
        <w:rPr>
          <w:color w:val="000000" w:themeColor="text1"/>
          <w:szCs w:val="28"/>
        </w:rPr>
        <w:t>o</w:t>
      </w:r>
      <w:r w:rsidRPr="003E2E63">
        <w:rPr>
          <w:color w:val="000000" w:themeColor="text1"/>
          <w:szCs w:val="28"/>
        </w:rPr>
        <w:t>s.</w:t>
      </w:r>
    </w:p>
    <w:p w:rsidR="00592E43" w:rsidRPr="003E2E63" w:rsidRDefault="00CE109F" w:rsidP="004C74E0">
      <w:pPr>
        <w:tabs>
          <w:tab w:val="left" w:pos="142"/>
          <w:tab w:val="left" w:pos="284"/>
        </w:tabs>
        <w:spacing w:after="0" w:line="240" w:lineRule="auto"/>
        <w:ind w:firstLine="709"/>
        <w:jc w:val="both"/>
        <w:rPr>
          <w:color w:val="000000" w:themeColor="text1"/>
          <w:szCs w:val="28"/>
        </w:rPr>
      </w:pPr>
      <w:r w:rsidRPr="003E2E63">
        <w:rPr>
          <w:color w:val="000000" w:themeColor="text1"/>
          <w:szCs w:val="28"/>
        </w:rPr>
        <w:t xml:space="preserve">OIK </w:t>
      </w:r>
      <w:r w:rsidR="00700750" w:rsidRPr="003E2E63">
        <w:rPr>
          <w:color w:val="000000" w:themeColor="text1"/>
          <w:szCs w:val="28"/>
        </w:rPr>
        <w:t>izmaiņas</w:t>
      </w:r>
      <w:r w:rsidRPr="003E2E63">
        <w:rPr>
          <w:color w:val="000000" w:themeColor="text1"/>
          <w:szCs w:val="28"/>
        </w:rPr>
        <w:t xml:space="preserve"> </w:t>
      </w:r>
      <w:r w:rsidR="00592E43" w:rsidRPr="003E2E63">
        <w:rPr>
          <w:color w:val="000000" w:themeColor="text1"/>
          <w:szCs w:val="28"/>
        </w:rPr>
        <w:t>ietekmē vairāki faktori:</w:t>
      </w:r>
    </w:p>
    <w:p w:rsidR="00592E43" w:rsidRPr="003E2E63" w:rsidRDefault="00A81B27" w:rsidP="00C83064">
      <w:pPr>
        <w:numPr>
          <w:ilvl w:val="0"/>
          <w:numId w:val="4"/>
        </w:numPr>
        <w:tabs>
          <w:tab w:val="left" w:pos="142"/>
          <w:tab w:val="left" w:pos="284"/>
        </w:tabs>
        <w:spacing w:after="0" w:line="240" w:lineRule="auto"/>
        <w:jc w:val="both"/>
        <w:rPr>
          <w:color w:val="000000" w:themeColor="text1"/>
          <w:szCs w:val="28"/>
        </w:rPr>
      </w:pPr>
      <w:r>
        <w:rPr>
          <w:color w:val="000000" w:themeColor="text1"/>
          <w:szCs w:val="28"/>
        </w:rPr>
        <w:t>E</w:t>
      </w:r>
      <w:r w:rsidRPr="003E2E63">
        <w:rPr>
          <w:color w:val="000000" w:themeColor="text1"/>
          <w:szCs w:val="28"/>
        </w:rPr>
        <w:t xml:space="preserve">lektroenerģijas </w:t>
      </w:r>
      <w:r w:rsidR="00592E43" w:rsidRPr="003E2E63">
        <w:rPr>
          <w:color w:val="000000" w:themeColor="text1"/>
          <w:szCs w:val="28"/>
        </w:rPr>
        <w:t>vairumtirdzniecības cena. Jo augstāka elektroenerģija</w:t>
      </w:r>
      <w:r w:rsidR="00E208F5" w:rsidRPr="003E2E63">
        <w:rPr>
          <w:color w:val="000000" w:themeColor="text1"/>
          <w:szCs w:val="28"/>
        </w:rPr>
        <w:t>s</w:t>
      </w:r>
      <w:r w:rsidR="00592E43" w:rsidRPr="003E2E63">
        <w:rPr>
          <w:color w:val="000000" w:themeColor="text1"/>
          <w:szCs w:val="28"/>
        </w:rPr>
        <w:t xml:space="preserve"> cena, jo mazāki OIK maksājumi, lai gan tai </w:t>
      </w:r>
      <w:r w:rsidRPr="003E2E63">
        <w:rPr>
          <w:color w:val="000000" w:themeColor="text1"/>
          <w:szCs w:val="28"/>
        </w:rPr>
        <w:t>pa</w:t>
      </w:r>
      <w:r>
        <w:rPr>
          <w:color w:val="000000" w:themeColor="text1"/>
          <w:szCs w:val="28"/>
        </w:rPr>
        <w:t>šā</w:t>
      </w:r>
      <w:r w:rsidRPr="003E2E63">
        <w:rPr>
          <w:color w:val="000000" w:themeColor="text1"/>
          <w:szCs w:val="28"/>
        </w:rPr>
        <w:t xml:space="preserve"> </w:t>
      </w:r>
      <w:r w:rsidR="00592E43" w:rsidRPr="003E2E63">
        <w:rPr>
          <w:color w:val="000000" w:themeColor="text1"/>
          <w:szCs w:val="28"/>
        </w:rPr>
        <w:t>laikā elektroenerģijas kopējā cena š</w:t>
      </w:r>
      <w:r w:rsidR="00700750" w:rsidRPr="003E2E63">
        <w:rPr>
          <w:color w:val="000000" w:themeColor="text1"/>
          <w:szCs w:val="28"/>
        </w:rPr>
        <w:t>o</w:t>
      </w:r>
      <w:r w:rsidR="00592E43" w:rsidRPr="003E2E63">
        <w:rPr>
          <w:color w:val="000000" w:themeColor="text1"/>
          <w:szCs w:val="28"/>
        </w:rPr>
        <w:t xml:space="preserve"> faktor</w:t>
      </w:r>
      <w:r w:rsidR="00700750" w:rsidRPr="003E2E63">
        <w:rPr>
          <w:color w:val="000000" w:themeColor="text1"/>
          <w:szCs w:val="28"/>
        </w:rPr>
        <w:t>u</w:t>
      </w:r>
      <w:r w:rsidR="00592E43" w:rsidRPr="003E2E63">
        <w:rPr>
          <w:color w:val="000000" w:themeColor="text1"/>
          <w:szCs w:val="28"/>
        </w:rPr>
        <w:t xml:space="preserve"> </w:t>
      </w:r>
      <w:r w:rsidR="00700750" w:rsidRPr="003E2E63">
        <w:rPr>
          <w:color w:val="000000" w:themeColor="text1"/>
          <w:szCs w:val="28"/>
        </w:rPr>
        <w:t>dēļ</w:t>
      </w:r>
      <w:r w:rsidR="00592E43" w:rsidRPr="003E2E63">
        <w:rPr>
          <w:color w:val="000000" w:themeColor="text1"/>
          <w:szCs w:val="28"/>
        </w:rPr>
        <w:t xml:space="preserve"> </w:t>
      </w:r>
      <w:r w:rsidR="00CE109F" w:rsidRPr="003E2E63">
        <w:rPr>
          <w:color w:val="000000" w:themeColor="text1"/>
          <w:szCs w:val="28"/>
        </w:rPr>
        <w:t>praktiski nemainās</w:t>
      </w:r>
      <w:r w:rsidR="003E263E" w:rsidRPr="003E2E63">
        <w:rPr>
          <w:color w:val="000000" w:themeColor="text1"/>
          <w:szCs w:val="28"/>
        </w:rPr>
        <w:t>. Elektroenerģijas kopējas cenas veidošanās atkarīga arī no elektroenerģijas vairumtirdzniecības cenas un OIK apjoma dažādās proporcijās</w:t>
      </w:r>
      <w:r w:rsidR="00CE109F" w:rsidRPr="003E2E63">
        <w:rPr>
          <w:color w:val="000000" w:themeColor="text1"/>
          <w:szCs w:val="28"/>
        </w:rPr>
        <w:t>;</w:t>
      </w:r>
      <w:r w:rsidR="00592E43" w:rsidRPr="003E2E63">
        <w:rPr>
          <w:color w:val="000000" w:themeColor="text1"/>
          <w:szCs w:val="28"/>
        </w:rPr>
        <w:t xml:space="preserve">  </w:t>
      </w:r>
    </w:p>
    <w:p w:rsidR="00592E43" w:rsidRPr="003E2E63" w:rsidRDefault="00A81B27" w:rsidP="00C83064">
      <w:pPr>
        <w:numPr>
          <w:ilvl w:val="0"/>
          <w:numId w:val="4"/>
        </w:numPr>
        <w:tabs>
          <w:tab w:val="left" w:pos="142"/>
          <w:tab w:val="left" w:pos="284"/>
        </w:tabs>
        <w:spacing w:after="0" w:line="240" w:lineRule="auto"/>
        <w:jc w:val="both"/>
        <w:rPr>
          <w:color w:val="000000" w:themeColor="text1"/>
          <w:szCs w:val="28"/>
        </w:rPr>
      </w:pPr>
      <w:r>
        <w:rPr>
          <w:color w:val="000000" w:themeColor="text1"/>
          <w:szCs w:val="28"/>
        </w:rPr>
        <w:t>D</w:t>
      </w:r>
      <w:r w:rsidRPr="003E2E63">
        <w:rPr>
          <w:color w:val="000000" w:themeColor="text1"/>
          <w:szCs w:val="28"/>
        </w:rPr>
        <w:t xml:space="preserve">abasgāzes </w:t>
      </w:r>
      <w:r w:rsidR="00592E43" w:rsidRPr="003E2E63">
        <w:rPr>
          <w:color w:val="000000" w:themeColor="text1"/>
          <w:szCs w:val="28"/>
        </w:rPr>
        <w:t>cena</w:t>
      </w:r>
      <w:r w:rsidR="00CE109F" w:rsidRPr="003E2E63">
        <w:rPr>
          <w:color w:val="000000" w:themeColor="text1"/>
          <w:szCs w:val="28"/>
        </w:rPr>
        <w:t>. Tā tiek rēķināta atbilstoši iepriekšējo 9 mēnešu mazuta un dīzeļdegvielas kotācijai. Rūpnieciskajiem klientiem  dabasgāzes tarifi</w:t>
      </w:r>
      <w:r w:rsidR="008A3AC7">
        <w:rPr>
          <w:color w:val="000000" w:themeColor="text1"/>
          <w:szCs w:val="28"/>
        </w:rPr>
        <w:t xml:space="preserve"> tiek noteikti </w:t>
      </w:r>
      <w:r w:rsidR="00CE109F" w:rsidRPr="003E2E63">
        <w:rPr>
          <w:color w:val="000000" w:themeColor="text1"/>
          <w:szCs w:val="28"/>
        </w:rPr>
        <w:t xml:space="preserve"> katru mēnesi</w:t>
      </w:r>
      <w:r w:rsidR="008A3AC7">
        <w:rPr>
          <w:color w:val="000000" w:themeColor="text1"/>
          <w:szCs w:val="28"/>
        </w:rPr>
        <w:t xml:space="preserve"> atbilstoši dabasgāzes tirdzniecības cenai</w:t>
      </w:r>
      <w:r w:rsidR="00CE109F" w:rsidRPr="003E2E63">
        <w:rPr>
          <w:color w:val="000000" w:themeColor="text1"/>
          <w:szCs w:val="28"/>
        </w:rPr>
        <w:t>. Pēdējos divus gadus dabasgāzes tarifs ir pa</w:t>
      </w:r>
      <w:r w:rsidR="004D569F" w:rsidRPr="003E2E63">
        <w:rPr>
          <w:color w:val="000000" w:themeColor="text1"/>
          <w:szCs w:val="28"/>
        </w:rPr>
        <w:t>kāpeniski</w:t>
      </w:r>
      <w:r w:rsidR="00CE109F" w:rsidRPr="003E2E63">
        <w:rPr>
          <w:color w:val="000000" w:themeColor="text1"/>
          <w:szCs w:val="28"/>
        </w:rPr>
        <w:t xml:space="preserve"> pieaudzis, t</w:t>
      </w:r>
      <w:r w:rsidR="004D569F" w:rsidRPr="003E2E63">
        <w:rPr>
          <w:color w:val="000000" w:themeColor="text1"/>
          <w:szCs w:val="28"/>
        </w:rPr>
        <w:t>aču</w:t>
      </w:r>
      <w:r w:rsidR="00CE109F" w:rsidRPr="003E2E63">
        <w:rPr>
          <w:color w:val="000000" w:themeColor="text1"/>
          <w:szCs w:val="28"/>
        </w:rPr>
        <w:t xml:space="preserve"> sākot ar 2013.</w:t>
      </w:r>
      <w:r>
        <w:rPr>
          <w:color w:val="000000" w:themeColor="text1"/>
          <w:szCs w:val="28"/>
        </w:rPr>
        <w:t> </w:t>
      </w:r>
      <w:r w:rsidR="00CE109F" w:rsidRPr="003E2E63">
        <w:rPr>
          <w:color w:val="000000" w:themeColor="text1"/>
          <w:szCs w:val="28"/>
        </w:rPr>
        <w:t>gada februāri</w:t>
      </w:r>
      <w:r w:rsidR="00E208F5" w:rsidRPr="003E2E63">
        <w:rPr>
          <w:color w:val="000000" w:themeColor="text1"/>
          <w:szCs w:val="28"/>
        </w:rPr>
        <w:t>,</w:t>
      </w:r>
      <w:r w:rsidR="00CE109F" w:rsidRPr="003E2E63">
        <w:rPr>
          <w:color w:val="000000" w:themeColor="text1"/>
          <w:szCs w:val="28"/>
        </w:rPr>
        <w:t xml:space="preserve"> ir vērojams neliels cenas kritums. </w:t>
      </w:r>
    </w:p>
    <w:p w:rsidR="00592E43" w:rsidRPr="003E2E63" w:rsidRDefault="001D5858" w:rsidP="00C83064">
      <w:pPr>
        <w:numPr>
          <w:ilvl w:val="0"/>
          <w:numId w:val="4"/>
        </w:numPr>
        <w:tabs>
          <w:tab w:val="left" w:pos="142"/>
          <w:tab w:val="left" w:pos="284"/>
        </w:tabs>
        <w:spacing w:after="0" w:line="240" w:lineRule="auto"/>
        <w:jc w:val="both"/>
        <w:rPr>
          <w:color w:val="000000" w:themeColor="text1"/>
          <w:szCs w:val="28"/>
        </w:rPr>
      </w:pPr>
      <w:r w:rsidRPr="003E2E63">
        <w:rPr>
          <w:color w:val="000000" w:themeColor="text1"/>
          <w:szCs w:val="28"/>
        </w:rPr>
        <w:t xml:space="preserve">Obligātajā iepirkumā </w:t>
      </w:r>
      <w:r w:rsidR="001C0297" w:rsidRPr="003E2E63">
        <w:rPr>
          <w:color w:val="000000" w:themeColor="text1"/>
          <w:szCs w:val="28"/>
        </w:rPr>
        <w:t>i</w:t>
      </w:r>
      <w:r w:rsidR="00592E43" w:rsidRPr="003E2E63">
        <w:rPr>
          <w:color w:val="000000" w:themeColor="text1"/>
          <w:szCs w:val="28"/>
        </w:rPr>
        <w:t xml:space="preserve">epirktais </w:t>
      </w:r>
      <w:r w:rsidR="00864915" w:rsidRPr="003E2E63">
        <w:rPr>
          <w:color w:val="000000" w:themeColor="text1"/>
          <w:szCs w:val="28"/>
        </w:rPr>
        <w:t xml:space="preserve">elektroenerģijas </w:t>
      </w:r>
      <w:r w:rsidR="00592E43" w:rsidRPr="003E2E63">
        <w:rPr>
          <w:color w:val="000000" w:themeColor="text1"/>
          <w:szCs w:val="28"/>
        </w:rPr>
        <w:t>apjoms</w:t>
      </w:r>
      <w:r w:rsidRPr="003E2E63">
        <w:rPr>
          <w:color w:val="000000" w:themeColor="text1"/>
          <w:szCs w:val="28"/>
        </w:rPr>
        <w:t xml:space="preserve">. </w:t>
      </w:r>
      <w:r w:rsidR="007C5D6E" w:rsidRPr="003E2E63">
        <w:rPr>
          <w:color w:val="000000" w:themeColor="text1"/>
          <w:szCs w:val="28"/>
        </w:rPr>
        <w:t xml:space="preserve">OIK apmērs ir atkarīgs no obligātā iepirkuma ietvaros iepirktās elektroenerģijas izmaksām iepriekšējā kalendārajā gadā. Elektroenerģijas ražošanas veidu īpatsvars obligātā iepirkuma izmaksās 2011. un 2012. gadā OIK atainots 1. attēlā. </w:t>
      </w:r>
      <w:r w:rsidRPr="003E2E63">
        <w:rPr>
          <w:color w:val="000000" w:themeColor="text1"/>
          <w:szCs w:val="28"/>
        </w:rPr>
        <w:t>Ja 2011.gadā tika iepirktas 2 843,6 GWh, tad 2012.</w:t>
      </w:r>
      <w:r w:rsidR="00A81B27">
        <w:rPr>
          <w:color w:val="000000" w:themeColor="text1"/>
          <w:szCs w:val="28"/>
        </w:rPr>
        <w:t> </w:t>
      </w:r>
      <w:r w:rsidRPr="003E2E63">
        <w:rPr>
          <w:color w:val="000000" w:themeColor="text1"/>
          <w:szCs w:val="28"/>
        </w:rPr>
        <w:t xml:space="preserve">gadā tika iepirkts salīdzinoši mazāks apjoms – 2 262,7 GWh. </w:t>
      </w:r>
      <w:r w:rsidR="007C5D6E" w:rsidRPr="003E2E63">
        <w:rPr>
          <w:color w:val="000000" w:themeColor="text1"/>
          <w:szCs w:val="28"/>
        </w:rPr>
        <w:t xml:space="preserve">2012. gadā salīdzinot </w:t>
      </w:r>
      <w:r w:rsidR="00E208F5" w:rsidRPr="003E2E63">
        <w:rPr>
          <w:color w:val="000000" w:themeColor="text1"/>
          <w:szCs w:val="28"/>
        </w:rPr>
        <w:t>ar</w:t>
      </w:r>
      <w:r w:rsidR="007C5D6E" w:rsidRPr="003E2E63">
        <w:rPr>
          <w:color w:val="000000" w:themeColor="text1"/>
          <w:szCs w:val="28"/>
        </w:rPr>
        <w:t xml:space="preserve"> 2011.gadu no </w:t>
      </w:r>
      <w:r w:rsidR="00A6737A">
        <w:rPr>
          <w:color w:val="000000" w:themeColor="text1"/>
          <w:szCs w:val="28"/>
        </w:rPr>
        <w:t xml:space="preserve">Rīgas </w:t>
      </w:r>
      <w:r w:rsidR="007C5D6E" w:rsidRPr="003E2E63">
        <w:rPr>
          <w:color w:val="000000" w:themeColor="text1"/>
          <w:szCs w:val="28"/>
        </w:rPr>
        <w:t>TEC</w:t>
      </w:r>
      <w:r w:rsidR="00790DBE">
        <w:rPr>
          <w:color w:val="000000" w:themeColor="text1"/>
          <w:szCs w:val="28"/>
        </w:rPr>
        <w:t>-</w:t>
      </w:r>
      <w:r w:rsidR="007C5D6E" w:rsidRPr="003E2E63">
        <w:rPr>
          <w:color w:val="000000" w:themeColor="text1"/>
          <w:szCs w:val="28"/>
        </w:rPr>
        <w:t>1 un TEC</w:t>
      </w:r>
      <w:r w:rsidR="00790DBE">
        <w:rPr>
          <w:color w:val="000000" w:themeColor="text1"/>
          <w:szCs w:val="28"/>
        </w:rPr>
        <w:t>-</w:t>
      </w:r>
      <w:r w:rsidR="007C5D6E" w:rsidRPr="003E2E63">
        <w:rPr>
          <w:color w:val="000000" w:themeColor="text1"/>
          <w:szCs w:val="28"/>
        </w:rPr>
        <w:t xml:space="preserve">2 kopā tika iepirkts par 849 GWh mazāk, toties </w:t>
      </w:r>
      <w:r w:rsidRPr="003E2E63">
        <w:rPr>
          <w:color w:val="000000" w:themeColor="text1"/>
          <w:szCs w:val="28"/>
        </w:rPr>
        <w:t>obligātajā iepirkumā iepirktā</w:t>
      </w:r>
      <w:r w:rsidR="004D569F" w:rsidRPr="003E2E63">
        <w:rPr>
          <w:color w:val="000000" w:themeColor="text1"/>
          <w:szCs w:val="28"/>
        </w:rPr>
        <w:t>s</w:t>
      </w:r>
      <w:r w:rsidRPr="003E2E63">
        <w:rPr>
          <w:color w:val="000000" w:themeColor="text1"/>
          <w:szCs w:val="28"/>
        </w:rPr>
        <w:t xml:space="preserve"> elektroenerģija</w:t>
      </w:r>
      <w:r w:rsidR="004D569F" w:rsidRPr="003E2E63">
        <w:rPr>
          <w:color w:val="000000" w:themeColor="text1"/>
          <w:szCs w:val="28"/>
        </w:rPr>
        <w:t>s apjoms</w:t>
      </w:r>
      <w:r w:rsidRPr="003E2E63">
        <w:rPr>
          <w:color w:val="000000" w:themeColor="text1"/>
          <w:szCs w:val="28"/>
        </w:rPr>
        <w:t xml:space="preserve"> no </w:t>
      </w:r>
      <w:r w:rsidR="007C5D6E" w:rsidRPr="003E2E63">
        <w:rPr>
          <w:color w:val="000000" w:themeColor="text1"/>
          <w:szCs w:val="28"/>
        </w:rPr>
        <w:t xml:space="preserve">mazajām elektrostacijām pieauga. </w:t>
      </w:r>
      <w:r w:rsidRPr="003E2E63">
        <w:rPr>
          <w:color w:val="000000" w:themeColor="text1"/>
          <w:szCs w:val="28"/>
        </w:rPr>
        <w:t xml:space="preserve"> </w:t>
      </w:r>
    </w:p>
    <w:p w:rsidR="00592E43" w:rsidRPr="003E2E63" w:rsidRDefault="00A81B27" w:rsidP="00C83064">
      <w:pPr>
        <w:numPr>
          <w:ilvl w:val="0"/>
          <w:numId w:val="4"/>
        </w:numPr>
        <w:tabs>
          <w:tab w:val="left" w:pos="142"/>
          <w:tab w:val="left" w:pos="284"/>
        </w:tabs>
        <w:spacing w:after="0" w:line="240" w:lineRule="auto"/>
        <w:jc w:val="both"/>
        <w:rPr>
          <w:color w:val="000000" w:themeColor="text1"/>
          <w:szCs w:val="28"/>
        </w:rPr>
      </w:pPr>
      <w:r>
        <w:rPr>
          <w:color w:val="000000" w:themeColor="text1"/>
          <w:szCs w:val="28"/>
        </w:rPr>
        <w:lastRenderedPageBreak/>
        <w:t>E</w:t>
      </w:r>
      <w:r w:rsidRPr="003E2E63">
        <w:rPr>
          <w:color w:val="000000" w:themeColor="text1"/>
          <w:szCs w:val="28"/>
        </w:rPr>
        <w:t xml:space="preserve">lektroenerģijas </w:t>
      </w:r>
      <w:r w:rsidR="00592E43" w:rsidRPr="003E2E63">
        <w:rPr>
          <w:color w:val="000000" w:themeColor="text1"/>
          <w:szCs w:val="28"/>
        </w:rPr>
        <w:t>kopējais pieprasījums</w:t>
      </w:r>
      <w:r w:rsidR="001C0297" w:rsidRPr="003E2E63">
        <w:rPr>
          <w:color w:val="000000" w:themeColor="text1"/>
          <w:szCs w:val="28"/>
        </w:rPr>
        <w:t xml:space="preserve">. </w:t>
      </w:r>
      <w:r w:rsidR="001338A5" w:rsidRPr="003E2E63">
        <w:rPr>
          <w:color w:val="000000" w:themeColor="text1"/>
          <w:szCs w:val="28"/>
        </w:rPr>
        <w:t xml:space="preserve">Saskaņā ar </w:t>
      </w:r>
      <w:r w:rsidR="004D569F" w:rsidRPr="003E2E63">
        <w:rPr>
          <w:color w:val="000000" w:themeColor="text1"/>
          <w:szCs w:val="28"/>
        </w:rPr>
        <w:t>p</w:t>
      </w:r>
      <w:r w:rsidR="001338A5" w:rsidRPr="003E2E63">
        <w:rPr>
          <w:color w:val="000000" w:themeColor="text1"/>
          <w:szCs w:val="28"/>
        </w:rPr>
        <w:t>ārvades sistēmas operatora ikgadējo novērtējuma ziņojumu (27.09.2012.) gada patēriņš 2012. gadā tika plānots – 7496 GWh, 2013.</w:t>
      </w:r>
      <w:r w:rsidR="00F74BAA">
        <w:rPr>
          <w:color w:val="000000" w:themeColor="text1"/>
          <w:szCs w:val="28"/>
        </w:rPr>
        <w:t>g. – 7672 GWh, 2014.g.</w:t>
      </w:r>
      <w:r>
        <w:rPr>
          <w:color w:val="000000" w:themeColor="text1"/>
          <w:szCs w:val="28"/>
        </w:rPr>
        <w:t xml:space="preserve"> </w:t>
      </w:r>
      <w:r w:rsidR="001338A5" w:rsidRPr="003E2E63">
        <w:rPr>
          <w:color w:val="000000" w:themeColor="text1"/>
          <w:szCs w:val="28"/>
        </w:rPr>
        <w:t>– 7805 GWh</w:t>
      </w:r>
      <w:r w:rsidR="005051C4" w:rsidRPr="003E2E63">
        <w:rPr>
          <w:color w:val="000000" w:themeColor="text1"/>
          <w:szCs w:val="28"/>
        </w:rPr>
        <w:t xml:space="preserve">, </w:t>
      </w:r>
      <w:r w:rsidR="00CD6C29" w:rsidRPr="003E2E63">
        <w:rPr>
          <w:color w:val="000000" w:themeColor="text1"/>
          <w:szCs w:val="28"/>
        </w:rPr>
        <w:t xml:space="preserve">tātad </w:t>
      </w:r>
      <w:r w:rsidRPr="003E2E63">
        <w:rPr>
          <w:color w:val="000000" w:themeColor="text1"/>
          <w:szCs w:val="28"/>
        </w:rPr>
        <w:t>ti</w:t>
      </w:r>
      <w:r>
        <w:rPr>
          <w:color w:val="000000" w:themeColor="text1"/>
          <w:szCs w:val="28"/>
        </w:rPr>
        <w:t>ka</w:t>
      </w:r>
      <w:r w:rsidRPr="003E2E63">
        <w:rPr>
          <w:color w:val="000000" w:themeColor="text1"/>
          <w:szCs w:val="28"/>
        </w:rPr>
        <w:t xml:space="preserve"> </w:t>
      </w:r>
      <w:r w:rsidR="001338A5" w:rsidRPr="003E2E63">
        <w:rPr>
          <w:color w:val="000000" w:themeColor="text1"/>
          <w:szCs w:val="28"/>
        </w:rPr>
        <w:t xml:space="preserve">prognozēts elektroenerģijas </w:t>
      </w:r>
      <w:r w:rsidR="00CD6C29" w:rsidRPr="003E2E63">
        <w:rPr>
          <w:color w:val="000000" w:themeColor="text1"/>
          <w:szCs w:val="28"/>
        </w:rPr>
        <w:t xml:space="preserve">patēriņa pieaugums. </w:t>
      </w:r>
      <w:r w:rsidR="005051C4" w:rsidRPr="003E2E63">
        <w:rPr>
          <w:color w:val="000000" w:themeColor="text1"/>
          <w:szCs w:val="28"/>
        </w:rPr>
        <w:t xml:space="preserve">Savukārt reālās elektroenerģijas piegādes </w:t>
      </w:r>
      <w:r w:rsidR="00E407BC" w:rsidRPr="003E2E63">
        <w:rPr>
          <w:color w:val="000000" w:themeColor="text1"/>
          <w:szCs w:val="28"/>
        </w:rPr>
        <w:t xml:space="preserve">Latvijas </w:t>
      </w:r>
      <w:r w:rsidR="005051C4" w:rsidRPr="003E2E63">
        <w:rPr>
          <w:color w:val="000000" w:themeColor="text1"/>
          <w:szCs w:val="28"/>
        </w:rPr>
        <w:t>iekšējam</w:t>
      </w:r>
      <w:r>
        <w:rPr>
          <w:color w:val="000000" w:themeColor="text1"/>
          <w:szCs w:val="28"/>
        </w:rPr>
        <w:t xml:space="preserve"> elektroenerģijas</w:t>
      </w:r>
      <w:r w:rsidR="005051C4" w:rsidRPr="003E2E63">
        <w:rPr>
          <w:color w:val="000000" w:themeColor="text1"/>
          <w:szCs w:val="28"/>
        </w:rPr>
        <w:t xml:space="preserve"> </w:t>
      </w:r>
      <w:r w:rsidR="00E407BC" w:rsidRPr="003E2E63">
        <w:rPr>
          <w:color w:val="000000" w:themeColor="text1"/>
          <w:szCs w:val="28"/>
        </w:rPr>
        <w:t xml:space="preserve">tirgum </w:t>
      </w:r>
      <w:r w:rsidR="005051C4" w:rsidRPr="003E2E63">
        <w:rPr>
          <w:color w:val="000000" w:themeColor="text1"/>
          <w:szCs w:val="28"/>
        </w:rPr>
        <w:t xml:space="preserve">2010. gadā - 7298 GWh, 2011.gadā – 7159 GWh, bet 2012.gadā – 7505 GWh. </w:t>
      </w:r>
    </w:p>
    <w:p w:rsidR="001F19F6" w:rsidRPr="003E2E63" w:rsidRDefault="003A782B" w:rsidP="004C74E0">
      <w:pPr>
        <w:tabs>
          <w:tab w:val="left" w:pos="142"/>
          <w:tab w:val="left" w:pos="284"/>
        </w:tabs>
        <w:spacing w:line="240" w:lineRule="auto"/>
        <w:jc w:val="center"/>
        <w:rPr>
          <w:color w:val="000000" w:themeColor="text1"/>
          <w:szCs w:val="28"/>
        </w:rPr>
      </w:pPr>
      <w:r w:rsidRPr="003E2E63">
        <w:rPr>
          <w:noProof/>
          <w:color w:val="000000" w:themeColor="text1"/>
          <w:szCs w:val="28"/>
        </w:rPr>
        <w:drawing>
          <wp:inline distT="0" distB="0" distL="0" distR="0" wp14:anchorId="543D768B" wp14:editId="54F9988C">
            <wp:extent cx="2552700" cy="1781175"/>
            <wp:effectExtent l="0" t="0" r="0" b="9525"/>
            <wp:docPr id="3" name="Picture 1" descr="OIK_2013_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K_2013_4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52700" cy="1781175"/>
                    </a:xfrm>
                    <a:prstGeom prst="rect">
                      <a:avLst/>
                    </a:prstGeom>
                    <a:noFill/>
                    <a:ln>
                      <a:noFill/>
                    </a:ln>
                  </pic:spPr>
                </pic:pic>
              </a:graphicData>
            </a:graphic>
          </wp:inline>
        </w:drawing>
      </w:r>
      <w:r w:rsidRPr="003E2E63">
        <w:rPr>
          <w:noProof/>
          <w:color w:val="000000" w:themeColor="text1"/>
          <w:szCs w:val="28"/>
        </w:rPr>
        <w:drawing>
          <wp:inline distT="0" distB="0" distL="0" distR="0" wp14:anchorId="065E1BD6" wp14:editId="635EA693">
            <wp:extent cx="2524125" cy="1819275"/>
            <wp:effectExtent l="0" t="0" r="9525" b="9525"/>
            <wp:docPr id="2" name="Picture 2" descr="OIK_2013_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K_2013_4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24125" cy="1819275"/>
                    </a:xfrm>
                    <a:prstGeom prst="rect">
                      <a:avLst/>
                    </a:prstGeom>
                    <a:noFill/>
                    <a:ln>
                      <a:noFill/>
                    </a:ln>
                  </pic:spPr>
                </pic:pic>
              </a:graphicData>
            </a:graphic>
          </wp:inline>
        </w:drawing>
      </w:r>
    </w:p>
    <w:p w:rsidR="001F19F6" w:rsidRPr="003E2E63" w:rsidRDefault="001F19F6" w:rsidP="004C74E0">
      <w:pPr>
        <w:tabs>
          <w:tab w:val="center" w:pos="1843"/>
          <w:tab w:val="center" w:pos="6379"/>
        </w:tabs>
        <w:spacing w:after="0" w:line="240" w:lineRule="auto"/>
        <w:jc w:val="both"/>
        <w:rPr>
          <w:b/>
          <w:bCs/>
          <w:color w:val="000000" w:themeColor="text1"/>
          <w:szCs w:val="28"/>
        </w:rPr>
      </w:pPr>
      <w:r w:rsidRPr="003E2E63">
        <w:rPr>
          <w:b/>
          <w:bCs/>
          <w:color w:val="000000" w:themeColor="text1"/>
          <w:szCs w:val="28"/>
        </w:rPr>
        <w:tab/>
      </w:r>
      <w:r w:rsidR="00752386">
        <w:rPr>
          <w:b/>
          <w:bCs/>
          <w:color w:val="000000" w:themeColor="text1"/>
          <w:szCs w:val="28"/>
        </w:rPr>
        <w:t xml:space="preserve">            </w:t>
      </w:r>
      <w:r w:rsidRPr="003E2E63">
        <w:rPr>
          <w:b/>
          <w:bCs/>
          <w:color w:val="000000" w:themeColor="text1"/>
          <w:szCs w:val="28"/>
        </w:rPr>
        <w:t>2011. gads</w:t>
      </w:r>
      <w:r w:rsidRPr="003E2E63">
        <w:rPr>
          <w:b/>
          <w:bCs/>
          <w:color w:val="000000" w:themeColor="text1"/>
          <w:szCs w:val="28"/>
        </w:rPr>
        <w:tab/>
        <w:t>2012. gads</w:t>
      </w:r>
    </w:p>
    <w:p w:rsidR="001F19F6" w:rsidRPr="003E2E63" w:rsidRDefault="008911D1" w:rsidP="0095341A">
      <w:pPr>
        <w:tabs>
          <w:tab w:val="left" w:pos="142"/>
          <w:tab w:val="left" w:pos="284"/>
        </w:tabs>
        <w:spacing w:after="0" w:line="240" w:lineRule="auto"/>
        <w:ind w:firstLine="0"/>
        <w:jc w:val="both"/>
        <w:rPr>
          <w:b/>
          <w:bCs/>
          <w:color w:val="000000" w:themeColor="text1"/>
          <w:sz w:val="20"/>
          <w:szCs w:val="20"/>
        </w:rPr>
      </w:pPr>
      <w:r w:rsidRPr="003E2E63">
        <w:rPr>
          <w:b/>
          <w:color w:val="000000" w:themeColor="text1"/>
          <w:sz w:val="20"/>
          <w:szCs w:val="20"/>
        </w:rPr>
        <w:t>1.</w:t>
      </w:r>
      <w:r w:rsidR="00223B80" w:rsidRPr="003E2E63">
        <w:rPr>
          <w:b/>
          <w:color w:val="000000" w:themeColor="text1"/>
          <w:sz w:val="20"/>
          <w:szCs w:val="20"/>
        </w:rPr>
        <w:t> attēls.</w:t>
      </w:r>
      <w:r w:rsidR="00223B80" w:rsidRPr="003E2E63">
        <w:rPr>
          <w:b/>
          <w:noProof/>
          <w:color w:val="000000" w:themeColor="text1"/>
          <w:sz w:val="20"/>
          <w:szCs w:val="20"/>
        </w:rPr>
        <w:t xml:space="preserve"> </w:t>
      </w:r>
      <w:r w:rsidR="001F19F6" w:rsidRPr="003E2E63">
        <w:rPr>
          <w:b/>
          <w:bCs/>
          <w:color w:val="000000" w:themeColor="text1"/>
          <w:sz w:val="20"/>
          <w:szCs w:val="20"/>
        </w:rPr>
        <w:t xml:space="preserve">Obligātā iepirkuma kompensējamās izmaksas </w:t>
      </w:r>
      <w:r w:rsidR="007C5D6E" w:rsidRPr="003E2E63">
        <w:rPr>
          <w:b/>
          <w:bCs/>
          <w:color w:val="000000" w:themeColor="text1"/>
          <w:sz w:val="20"/>
          <w:szCs w:val="20"/>
        </w:rPr>
        <w:t xml:space="preserve">pa </w:t>
      </w:r>
      <w:r w:rsidR="001F19F6" w:rsidRPr="003E2E63">
        <w:rPr>
          <w:b/>
          <w:bCs/>
          <w:color w:val="000000" w:themeColor="text1"/>
          <w:sz w:val="20"/>
          <w:szCs w:val="20"/>
        </w:rPr>
        <w:t>ražošana</w:t>
      </w:r>
      <w:r w:rsidR="007C5D6E" w:rsidRPr="003E2E63">
        <w:rPr>
          <w:b/>
          <w:bCs/>
          <w:color w:val="000000" w:themeColor="text1"/>
          <w:sz w:val="20"/>
          <w:szCs w:val="20"/>
        </w:rPr>
        <w:t>s</w:t>
      </w:r>
      <w:r w:rsidR="001F19F6" w:rsidRPr="003E2E63">
        <w:rPr>
          <w:b/>
          <w:bCs/>
          <w:color w:val="000000" w:themeColor="text1"/>
          <w:sz w:val="20"/>
          <w:szCs w:val="20"/>
        </w:rPr>
        <w:t xml:space="preserve"> veidiem (%)</w:t>
      </w:r>
      <w:r w:rsidR="0095341A" w:rsidRPr="003E2E63">
        <w:rPr>
          <w:b/>
          <w:bCs/>
          <w:color w:val="000000" w:themeColor="text1"/>
          <w:sz w:val="20"/>
          <w:szCs w:val="20"/>
        </w:rPr>
        <w:t>.</w:t>
      </w:r>
    </w:p>
    <w:p w:rsidR="001F19F6" w:rsidRPr="003E2E63" w:rsidRDefault="001F19F6" w:rsidP="0095341A">
      <w:pPr>
        <w:tabs>
          <w:tab w:val="left" w:pos="142"/>
          <w:tab w:val="left" w:pos="284"/>
        </w:tabs>
        <w:spacing w:after="0" w:line="240" w:lineRule="auto"/>
        <w:ind w:firstLine="0"/>
        <w:jc w:val="both"/>
        <w:rPr>
          <w:bCs/>
          <w:color w:val="000000" w:themeColor="text1"/>
          <w:sz w:val="20"/>
          <w:szCs w:val="20"/>
        </w:rPr>
      </w:pPr>
      <w:r w:rsidRPr="003E2E63">
        <w:rPr>
          <w:bCs/>
          <w:color w:val="000000" w:themeColor="text1"/>
          <w:sz w:val="20"/>
          <w:szCs w:val="20"/>
        </w:rPr>
        <w:t>Avots: AS „Latvenergo”</w:t>
      </w:r>
    </w:p>
    <w:p w:rsidR="001620D0" w:rsidRPr="003E2E63" w:rsidRDefault="001620D0" w:rsidP="004C74E0">
      <w:pPr>
        <w:tabs>
          <w:tab w:val="left" w:pos="142"/>
          <w:tab w:val="left" w:pos="284"/>
        </w:tabs>
        <w:spacing w:after="0" w:line="240" w:lineRule="auto"/>
        <w:jc w:val="both"/>
        <w:rPr>
          <w:bCs/>
          <w:color w:val="000000" w:themeColor="text1"/>
          <w:sz w:val="20"/>
          <w:szCs w:val="20"/>
        </w:rPr>
      </w:pPr>
    </w:p>
    <w:p w:rsidR="007C5D6E" w:rsidRPr="003E2E63" w:rsidRDefault="007C5D6E" w:rsidP="007C5D6E">
      <w:pPr>
        <w:spacing w:after="0" w:line="240" w:lineRule="auto"/>
        <w:jc w:val="both"/>
        <w:rPr>
          <w:color w:val="000000" w:themeColor="text1"/>
          <w:szCs w:val="28"/>
        </w:rPr>
      </w:pPr>
      <w:r w:rsidRPr="003E2E63">
        <w:rPr>
          <w:color w:val="000000" w:themeColor="text1"/>
          <w:szCs w:val="28"/>
        </w:rPr>
        <w:t xml:space="preserve">Saskaņā ar Sabiedrisko pakalpojumu regulēšanas komisijas 2013. gada 20. februāra lēmumu Nr.44 „Par obligātā iepirkuma komponentēm un elektroenerģijas tirdzniecības vidējo tarifu saistītajiem lietotājiem no 2013. gada 1. aprīļa” no 2013. gada 1. aprīļa apstiprinātās OIK galalietotājiem kopā veido </w:t>
      </w:r>
      <w:r w:rsidR="005F6272" w:rsidRPr="00EC185C">
        <w:rPr>
          <w:b/>
          <w:color w:val="000000" w:themeColor="text1"/>
          <w:szCs w:val="28"/>
        </w:rPr>
        <w:t xml:space="preserve">1.89 </w:t>
      </w:r>
      <w:proofErr w:type="spellStart"/>
      <w:r w:rsidR="005F6272" w:rsidRPr="00EC185C">
        <w:rPr>
          <w:b/>
          <w:color w:val="000000" w:themeColor="text1"/>
          <w:szCs w:val="28"/>
        </w:rPr>
        <w:t>sant</w:t>
      </w:r>
      <w:proofErr w:type="spellEnd"/>
      <w:r w:rsidR="005F6272" w:rsidRPr="00EC185C">
        <w:rPr>
          <w:b/>
          <w:color w:val="000000" w:themeColor="text1"/>
          <w:szCs w:val="28"/>
        </w:rPr>
        <w:t>./kWh</w:t>
      </w:r>
      <w:r w:rsidR="005F6272">
        <w:rPr>
          <w:color w:val="000000" w:themeColor="text1"/>
          <w:szCs w:val="28"/>
        </w:rPr>
        <w:t xml:space="preserve">, </w:t>
      </w:r>
      <w:r w:rsidRPr="003E2E63">
        <w:rPr>
          <w:color w:val="000000" w:themeColor="text1"/>
          <w:szCs w:val="28"/>
        </w:rPr>
        <w:t>tajā skaitā komponente no ražotājiem, kas elektroenerģiju ražo:</w:t>
      </w:r>
    </w:p>
    <w:p w:rsidR="007C5D6E" w:rsidRPr="003E2E63" w:rsidRDefault="007C5D6E" w:rsidP="00C83064">
      <w:pPr>
        <w:numPr>
          <w:ilvl w:val="0"/>
          <w:numId w:val="1"/>
        </w:numPr>
        <w:tabs>
          <w:tab w:val="left" w:pos="2835"/>
        </w:tabs>
        <w:spacing w:after="0" w:line="240" w:lineRule="auto"/>
        <w:ind w:left="2694" w:hanging="218"/>
        <w:jc w:val="both"/>
        <w:rPr>
          <w:color w:val="000000" w:themeColor="text1"/>
          <w:szCs w:val="28"/>
        </w:rPr>
      </w:pPr>
      <w:r w:rsidRPr="003E2E63">
        <w:rPr>
          <w:color w:val="000000" w:themeColor="text1"/>
          <w:szCs w:val="28"/>
        </w:rPr>
        <w:t>koģenerācijā –1</w:t>
      </w:r>
      <w:r w:rsidR="005051C4" w:rsidRPr="003E2E63">
        <w:rPr>
          <w:color w:val="000000" w:themeColor="text1"/>
          <w:szCs w:val="28"/>
        </w:rPr>
        <w:t>,</w:t>
      </w:r>
      <w:r w:rsidRPr="003E2E63">
        <w:rPr>
          <w:color w:val="000000" w:themeColor="text1"/>
          <w:szCs w:val="28"/>
        </w:rPr>
        <w:t xml:space="preserve">33 </w:t>
      </w:r>
      <w:proofErr w:type="spellStart"/>
      <w:r w:rsidR="005051C4" w:rsidRPr="003E2E63">
        <w:rPr>
          <w:color w:val="000000" w:themeColor="text1"/>
          <w:szCs w:val="28"/>
        </w:rPr>
        <w:t>sant</w:t>
      </w:r>
      <w:proofErr w:type="spellEnd"/>
      <w:r w:rsidR="005051C4" w:rsidRPr="003E2E63">
        <w:rPr>
          <w:color w:val="000000" w:themeColor="text1"/>
          <w:szCs w:val="28"/>
        </w:rPr>
        <w:t>./</w:t>
      </w:r>
      <w:r w:rsidR="005051C4" w:rsidRPr="003E2E63" w:rsidDel="005051C4">
        <w:rPr>
          <w:color w:val="000000" w:themeColor="text1"/>
          <w:szCs w:val="28"/>
        </w:rPr>
        <w:t xml:space="preserve"> </w:t>
      </w:r>
      <w:r w:rsidRPr="003E2E63">
        <w:rPr>
          <w:color w:val="000000" w:themeColor="text1"/>
          <w:szCs w:val="28"/>
        </w:rPr>
        <w:t>kWh,</w:t>
      </w:r>
    </w:p>
    <w:p w:rsidR="007C5D6E" w:rsidRDefault="007C5D6E" w:rsidP="00C83064">
      <w:pPr>
        <w:numPr>
          <w:ilvl w:val="0"/>
          <w:numId w:val="1"/>
        </w:numPr>
        <w:tabs>
          <w:tab w:val="left" w:pos="2835"/>
        </w:tabs>
        <w:spacing w:after="0" w:line="240" w:lineRule="auto"/>
        <w:ind w:left="2694" w:hanging="218"/>
        <w:jc w:val="both"/>
        <w:rPr>
          <w:color w:val="000000" w:themeColor="text1"/>
          <w:szCs w:val="28"/>
        </w:rPr>
      </w:pPr>
      <w:r w:rsidRPr="003E2E63">
        <w:rPr>
          <w:color w:val="000000" w:themeColor="text1"/>
          <w:szCs w:val="28"/>
        </w:rPr>
        <w:t>izmantojot AER –0</w:t>
      </w:r>
      <w:r w:rsidR="005051C4" w:rsidRPr="003E2E63">
        <w:rPr>
          <w:color w:val="000000" w:themeColor="text1"/>
          <w:szCs w:val="28"/>
        </w:rPr>
        <w:t>,</w:t>
      </w:r>
      <w:r w:rsidRPr="003E2E63">
        <w:rPr>
          <w:color w:val="000000" w:themeColor="text1"/>
          <w:szCs w:val="28"/>
        </w:rPr>
        <w:t xml:space="preserve">56 </w:t>
      </w:r>
      <w:proofErr w:type="spellStart"/>
      <w:r w:rsidR="005051C4" w:rsidRPr="003E2E63">
        <w:rPr>
          <w:color w:val="000000" w:themeColor="text1"/>
          <w:szCs w:val="28"/>
        </w:rPr>
        <w:t>sant</w:t>
      </w:r>
      <w:proofErr w:type="spellEnd"/>
      <w:r w:rsidR="005051C4" w:rsidRPr="003E2E63">
        <w:rPr>
          <w:color w:val="000000" w:themeColor="text1"/>
          <w:szCs w:val="28"/>
        </w:rPr>
        <w:t>./</w:t>
      </w:r>
      <w:r w:rsidR="005051C4" w:rsidRPr="003E2E63" w:rsidDel="005051C4">
        <w:rPr>
          <w:color w:val="000000" w:themeColor="text1"/>
          <w:szCs w:val="28"/>
        </w:rPr>
        <w:t xml:space="preserve"> </w:t>
      </w:r>
      <w:r w:rsidRPr="003E2E63">
        <w:rPr>
          <w:color w:val="000000" w:themeColor="text1"/>
          <w:szCs w:val="28"/>
        </w:rPr>
        <w:t>kWh.</w:t>
      </w:r>
    </w:p>
    <w:p w:rsidR="0079642E" w:rsidRPr="003E2E63" w:rsidRDefault="0079642E" w:rsidP="0079642E">
      <w:pPr>
        <w:tabs>
          <w:tab w:val="left" w:pos="2835"/>
        </w:tabs>
        <w:spacing w:after="0" w:line="240" w:lineRule="auto"/>
        <w:jc w:val="both"/>
        <w:rPr>
          <w:color w:val="000000" w:themeColor="text1"/>
          <w:szCs w:val="28"/>
        </w:rPr>
      </w:pPr>
      <w:r>
        <w:rPr>
          <w:color w:val="000000" w:themeColor="text1"/>
          <w:szCs w:val="28"/>
        </w:rPr>
        <w:t xml:space="preserve">Savukārt, apskatot OIK komponenti Baltijas valstu līmenī, var norādīt, ka OIK Lietuvā sastāda </w:t>
      </w:r>
      <w:r>
        <w:t>1</w:t>
      </w:r>
      <w:r w:rsidR="005F6272">
        <w:t>,</w:t>
      </w:r>
      <w:r>
        <w:t xml:space="preserve">91 </w:t>
      </w:r>
      <w:proofErr w:type="spellStart"/>
      <w:r w:rsidR="005F6272">
        <w:t>sant</w:t>
      </w:r>
      <w:proofErr w:type="spellEnd"/>
      <w:r w:rsidR="005F6272">
        <w:t>./</w:t>
      </w:r>
      <w:r>
        <w:t>kWh</w:t>
      </w:r>
      <w:r>
        <w:rPr>
          <w:rStyle w:val="FootnoteReference"/>
        </w:rPr>
        <w:footnoteReference w:id="2"/>
      </w:r>
      <w:r>
        <w:t xml:space="preserve">, bet Igaunijā OIK sastāda </w:t>
      </w:r>
      <w:r w:rsidR="00532ED4">
        <w:t>0</w:t>
      </w:r>
      <w:r w:rsidR="005F6272">
        <w:t>,</w:t>
      </w:r>
      <w:r w:rsidR="00532ED4">
        <w:t xml:space="preserve">61 </w:t>
      </w:r>
      <w:proofErr w:type="spellStart"/>
      <w:r w:rsidR="005F6272">
        <w:t>sant</w:t>
      </w:r>
      <w:proofErr w:type="spellEnd"/>
      <w:r w:rsidR="00A81B27">
        <w:t>.</w:t>
      </w:r>
      <w:r w:rsidR="005F6272">
        <w:t>/</w:t>
      </w:r>
      <w:r w:rsidR="005F6272" w:rsidDel="005F6272">
        <w:t xml:space="preserve"> </w:t>
      </w:r>
      <w:r w:rsidR="00532ED4">
        <w:t>kWh</w:t>
      </w:r>
      <w:r w:rsidR="006C7EBF">
        <w:rPr>
          <w:rStyle w:val="FootnoteReference"/>
        </w:rPr>
        <w:footnoteReference w:id="3"/>
      </w:r>
      <w:r w:rsidR="006C7EBF">
        <w:t>.</w:t>
      </w:r>
    </w:p>
    <w:p w:rsidR="00592E43" w:rsidRPr="003E2E63" w:rsidRDefault="008911D1" w:rsidP="00C83064">
      <w:pPr>
        <w:pStyle w:val="Heading1"/>
        <w:numPr>
          <w:ilvl w:val="0"/>
          <w:numId w:val="5"/>
        </w:numPr>
        <w:rPr>
          <w:color w:val="000000" w:themeColor="text1"/>
        </w:rPr>
      </w:pPr>
      <w:bookmarkStart w:id="3" w:name="_Toc351283059"/>
      <w:bookmarkStart w:id="4" w:name="_Toc352179315"/>
      <w:bookmarkStart w:id="5" w:name="_Toc350183107"/>
      <w:r w:rsidRPr="003E2E63">
        <w:rPr>
          <w:color w:val="000000" w:themeColor="text1"/>
        </w:rPr>
        <w:t>OIK prognoze</w:t>
      </w:r>
      <w:bookmarkEnd w:id="3"/>
      <w:bookmarkEnd w:id="4"/>
      <w:r w:rsidRPr="003E2E63">
        <w:rPr>
          <w:color w:val="000000" w:themeColor="text1"/>
        </w:rPr>
        <w:t xml:space="preserve"> </w:t>
      </w:r>
    </w:p>
    <w:p w:rsidR="00592E43" w:rsidRDefault="007E7F0C" w:rsidP="00A81B27">
      <w:pPr>
        <w:spacing w:after="0" w:line="240" w:lineRule="auto"/>
        <w:jc w:val="both"/>
        <w:rPr>
          <w:color w:val="000000" w:themeColor="text1"/>
        </w:rPr>
      </w:pPr>
      <w:r w:rsidRPr="003E2E63">
        <w:rPr>
          <w:color w:val="000000" w:themeColor="text1"/>
        </w:rPr>
        <w:t xml:space="preserve">Ņemot vērā, ka OIK maksājumus ietekmē vairāki faktori, </w:t>
      </w:r>
      <w:r w:rsidR="00B93048" w:rsidRPr="003E2E63">
        <w:rPr>
          <w:color w:val="000000" w:themeColor="text1"/>
        </w:rPr>
        <w:t>piemēram</w:t>
      </w:r>
      <w:r w:rsidRPr="003E2E63">
        <w:rPr>
          <w:color w:val="000000" w:themeColor="text1"/>
        </w:rPr>
        <w:t xml:space="preserve">, dabasgāzes cenas, iepirktais elektroenerģijas apjoms, kas saražots no atjaunojamiem energoresursiem un koģenerācijas stacijās, elektroenerģijas vairumtirdzniecības cena, kā arī elektroenerģijas kopējais pieprasījums, </w:t>
      </w:r>
      <w:r w:rsidR="00B93048" w:rsidRPr="003E2E63">
        <w:rPr>
          <w:color w:val="000000" w:themeColor="text1"/>
        </w:rPr>
        <w:t>prognozējot OIK,</w:t>
      </w:r>
      <w:r w:rsidRPr="003E2E63">
        <w:rPr>
          <w:color w:val="000000" w:themeColor="text1"/>
        </w:rPr>
        <w:t xml:space="preserve"> </w:t>
      </w:r>
      <w:r w:rsidR="00A81B27">
        <w:rPr>
          <w:color w:val="000000" w:themeColor="text1"/>
        </w:rPr>
        <w:t xml:space="preserve">ir </w:t>
      </w:r>
      <w:r w:rsidRPr="003E2E63">
        <w:rPr>
          <w:color w:val="000000" w:themeColor="text1"/>
        </w:rPr>
        <w:t xml:space="preserve">jāvērtē visi šie faktori. </w:t>
      </w:r>
    </w:p>
    <w:p w:rsidR="00EC185C" w:rsidRDefault="00EC185C" w:rsidP="00EC185C">
      <w:pPr>
        <w:spacing w:after="0" w:line="240" w:lineRule="auto"/>
        <w:ind w:firstLine="567"/>
        <w:jc w:val="both"/>
        <w:rPr>
          <w:b/>
          <w:color w:val="000000" w:themeColor="text1"/>
          <w:szCs w:val="28"/>
        </w:rPr>
      </w:pPr>
      <w:r w:rsidRPr="006A45D8">
        <w:rPr>
          <w:b/>
          <w:color w:val="000000" w:themeColor="text1"/>
          <w:szCs w:val="28"/>
        </w:rPr>
        <w:t xml:space="preserve">Izvērtējot </w:t>
      </w:r>
      <w:r>
        <w:rPr>
          <w:b/>
          <w:color w:val="000000" w:themeColor="text1"/>
          <w:szCs w:val="28"/>
        </w:rPr>
        <w:t xml:space="preserve">visus </w:t>
      </w:r>
      <w:r w:rsidRPr="006A45D8">
        <w:rPr>
          <w:b/>
          <w:color w:val="000000" w:themeColor="text1"/>
          <w:szCs w:val="28"/>
        </w:rPr>
        <w:t>iepriekš minētos nosacījumus</w:t>
      </w:r>
      <w:r w:rsidR="008A3AC7">
        <w:rPr>
          <w:b/>
          <w:color w:val="000000" w:themeColor="text1"/>
          <w:szCs w:val="28"/>
        </w:rPr>
        <w:t>,</w:t>
      </w:r>
      <w:r w:rsidRPr="006A45D8">
        <w:rPr>
          <w:b/>
          <w:color w:val="000000" w:themeColor="text1"/>
          <w:szCs w:val="28"/>
        </w:rPr>
        <w:t xml:space="preserve"> 2014.gadā OIK varētu pieaugt robežās </w:t>
      </w:r>
      <w:r w:rsidR="008A3AC7">
        <w:rPr>
          <w:b/>
          <w:color w:val="000000" w:themeColor="text1"/>
          <w:szCs w:val="28"/>
        </w:rPr>
        <w:t>no</w:t>
      </w:r>
      <w:r w:rsidR="008A3AC7" w:rsidRPr="006A45D8">
        <w:rPr>
          <w:b/>
          <w:color w:val="000000" w:themeColor="text1"/>
          <w:szCs w:val="28"/>
        </w:rPr>
        <w:t xml:space="preserve"> </w:t>
      </w:r>
      <w:r w:rsidRPr="006A45D8">
        <w:rPr>
          <w:b/>
          <w:color w:val="000000" w:themeColor="text1"/>
          <w:szCs w:val="28"/>
        </w:rPr>
        <w:t>2,47</w:t>
      </w:r>
      <w:r w:rsidR="008A3AC7">
        <w:rPr>
          <w:b/>
          <w:color w:val="000000" w:themeColor="text1"/>
          <w:szCs w:val="28"/>
        </w:rPr>
        <w:t xml:space="preserve"> </w:t>
      </w:r>
      <w:proofErr w:type="spellStart"/>
      <w:r w:rsidR="008A3AC7" w:rsidRPr="006A45D8">
        <w:rPr>
          <w:b/>
          <w:color w:val="000000" w:themeColor="text1"/>
          <w:szCs w:val="28"/>
        </w:rPr>
        <w:t>sant</w:t>
      </w:r>
      <w:proofErr w:type="spellEnd"/>
      <w:r w:rsidR="008A3AC7" w:rsidRPr="006A45D8">
        <w:rPr>
          <w:b/>
          <w:color w:val="000000" w:themeColor="text1"/>
          <w:szCs w:val="28"/>
        </w:rPr>
        <w:t>./kWh</w:t>
      </w:r>
      <w:r w:rsidRPr="006A45D8">
        <w:rPr>
          <w:b/>
          <w:color w:val="000000" w:themeColor="text1"/>
          <w:szCs w:val="28"/>
        </w:rPr>
        <w:t xml:space="preserve"> </w:t>
      </w:r>
      <w:r w:rsidR="008A3AC7">
        <w:rPr>
          <w:b/>
          <w:color w:val="000000" w:themeColor="text1"/>
          <w:szCs w:val="28"/>
        </w:rPr>
        <w:t>līdz</w:t>
      </w:r>
      <w:r w:rsidR="008A3AC7" w:rsidRPr="006A45D8">
        <w:rPr>
          <w:b/>
          <w:color w:val="000000" w:themeColor="text1"/>
          <w:szCs w:val="28"/>
        </w:rPr>
        <w:t xml:space="preserve"> </w:t>
      </w:r>
      <w:r w:rsidRPr="006A45D8">
        <w:rPr>
          <w:b/>
          <w:color w:val="000000" w:themeColor="text1"/>
          <w:szCs w:val="28"/>
        </w:rPr>
        <w:t xml:space="preserve">2,69 </w:t>
      </w:r>
      <w:proofErr w:type="spellStart"/>
      <w:r w:rsidRPr="006A45D8">
        <w:rPr>
          <w:b/>
          <w:color w:val="000000" w:themeColor="text1"/>
          <w:szCs w:val="28"/>
        </w:rPr>
        <w:t>sant</w:t>
      </w:r>
      <w:proofErr w:type="spellEnd"/>
      <w:r w:rsidRPr="006A45D8">
        <w:rPr>
          <w:b/>
          <w:color w:val="000000" w:themeColor="text1"/>
          <w:szCs w:val="28"/>
        </w:rPr>
        <w:t xml:space="preserve">./kWh, ja netiek veiktas nekādas OIK samazināšanas aktivitātes. </w:t>
      </w:r>
    </w:p>
    <w:p w:rsidR="00DA2A75" w:rsidRPr="006A45D8" w:rsidRDefault="00DA2A75" w:rsidP="00EC185C">
      <w:pPr>
        <w:spacing w:after="0" w:line="240" w:lineRule="auto"/>
        <w:ind w:firstLine="567"/>
        <w:jc w:val="both"/>
        <w:rPr>
          <w:b/>
          <w:color w:val="000000" w:themeColor="text1"/>
          <w:szCs w:val="28"/>
        </w:rPr>
      </w:pPr>
      <w:r w:rsidRPr="003E2E63">
        <w:rPr>
          <w:color w:val="000000" w:themeColor="text1"/>
        </w:rPr>
        <w:lastRenderedPageBreak/>
        <w:t xml:space="preserve">Precīzāka OIK ilgtermiņa prognoze tiks veikta, izvērtējot progresu virzībā uz </w:t>
      </w:r>
      <w:r w:rsidRPr="008E3867">
        <w:rPr>
          <w:szCs w:val="28"/>
        </w:rPr>
        <w:t>Eiropas Parlamenta un Padomes Direktīv</w:t>
      </w:r>
      <w:r>
        <w:rPr>
          <w:szCs w:val="28"/>
        </w:rPr>
        <w:t>ā</w:t>
      </w:r>
      <w:r w:rsidRPr="008E3867">
        <w:rPr>
          <w:szCs w:val="28"/>
        </w:rPr>
        <w:t xml:space="preserve"> 2009/28/EK (2009. gada 23. aprīlis) par atjaunojamo energoresursu izmantošanas veicināšanu un ar ko groza un sekojoši atceļ Direktīvas 2001/77/EK un 2003/30/EK </w:t>
      </w:r>
      <w:r>
        <w:rPr>
          <w:szCs w:val="28"/>
        </w:rPr>
        <w:t xml:space="preserve"> </w:t>
      </w:r>
      <w:r w:rsidRPr="003E2E63">
        <w:rPr>
          <w:color w:val="000000" w:themeColor="text1"/>
        </w:rPr>
        <w:t xml:space="preserve">noteiktā mērķa izpildi. </w:t>
      </w:r>
    </w:p>
    <w:p w:rsidR="00EC185C" w:rsidRPr="003E2E63" w:rsidRDefault="00EC185C" w:rsidP="00592E43">
      <w:pPr>
        <w:spacing w:after="0" w:line="240" w:lineRule="auto"/>
        <w:ind w:firstLine="567"/>
        <w:jc w:val="both"/>
        <w:rPr>
          <w:color w:val="000000" w:themeColor="text1"/>
          <w:szCs w:val="28"/>
        </w:rPr>
      </w:pPr>
    </w:p>
    <w:p w:rsidR="00592E43" w:rsidRPr="003E2E63" w:rsidRDefault="00EC185C" w:rsidP="00C83064">
      <w:pPr>
        <w:pStyle w:val="Heading2"/>
        <w:numPr>
          <w:ilvl w:val="1"/>
          <w:numId w:val="5"/>
        </w:numPr>
        <w:rPr>
          <w:color w:val="000000" w:themeColor="text1"/>
        </w:rPr>
      </w:pPr>
      <w:bookmarkStart w:id="6" w:name="_Toc352179316"/>
      <w:bookmarkStart w:id="7" w:name="_Toc351283060"/>
      <w:r>
        <w:rPr>
          <w:color w:val="000000" w:themeColor="text1"/>
        </w:rPr>
        <w:t>Jaunu projektu realizācija īstermiņ</w:t>
      </w:r>
      <w:r w:rsidR="008A3AC7">
        <w:rPr>
          <w:color w:val="000000" w:themeColor="text1"/>
        </w:rPr>
        <w:t>ā</w:t>
      </w:r>
      <w:bookmarkEnd w:id="6"/>
      <w:r>
        <w:rPr>
          <w:color w:val="000000" w:themeColor="text1"/>
        </w:rPr>
        <w:t xml:space="preserve"> </w:t>
      </w:r>
      <w:bookmarkEnd w:id="7"/>
    </w:p>
    <w:p w:rsidR="00EC185C" w:rsidRPr="003E2E63" w:rsidRDefault="00EC185C" w:rsidP="00EC185C">
      <w:pPr>
        <w:spacing w:after="0" w:line="240" w:lineRule="auto"/>
        <w:ind w:firstLine="709"/>
        <w:jc w:val="both"/>
        <w:rPr>
          <w:color w:val="000000" w:themeColor="text1"/>
          <w:szCs w:val="28"/>
        </w:rPr>
      </w:pPr>
      <w:r w:rsidRPr="003E2E63">
        <w:rPr>
          <w:color w:val="000000" w:themeColor="text1"/>
          <w:szCs w:val="28"/>
        </w:rPr>
        <w:t>Kopumā 866 komersanti ir ieguvuši tiesības pārdot saražoto elektroenerģiju obligātā iepirkuma ietvaros vai tiesības saņemt garantēto maksu par uzstādīto elektrisko jaudu. No tiem 139 komersantiem Ekonomikas ministrija ir atcēlusi lēmumu par iegūtajām tiesībām. Elektroenerģijas ražošanu ir uzsākuši 224 komersanti ar kopējo uzstādīto elektrisko jaudu 1033,91 MW, kuru obligātā iepirkuma ietvaros pārdodamās elektroenerģijas noteiktais maksimālais apjoms gadā ir 3311 GWh.</w:t>
      </w:r>
    </w:p>
    <w:p w:rsidR="00A6737A" w:rsidRDefault="00F53787" w:rsidP="00592E43">
      <w:pPr>
        <w:spacing w:after="0" w:line="240" w:lineRule="auto"/>
        <w:ind w:firstLine="567"/>
        <w:jc w:val="both"/>
        <w:rPr>
          <w:color w:val="000000" w:themeColor="text1"/>
        </w:rPr>
      </w:pPr>
      <w:r w:rsidRPr="003E2E63">
        <w:rPr>
          <w:color w:val="000000" w:themeColor="text1"/>
        </w:rPr>
        <w:t xml:space="preserve">Kamēr atsevišķu lielo projektu realizēšanas iespējas ir pietiekami skaidras, </w:t>
      </w:r>
      <w:r w:rsidR="008C00C3" w:rsidRPr="003E2E63">
        <w:rPr>
          <w:color w:val="000000" w:themeColor="text1"/>
        </w:rPr>
        <w:t xml:space="preserve">pastāv daudzi </w:t>
      </w:r>
      <w:r w:rsidR="00A6737A" w:rsidRPr="003E2E63">
        <w:rPr>
          <w:color w:val="000000" w:themeColor="text1"/>
        </w:rPr>
        <w:t>maz</w:t>
      </w:r>
      <w:r w:rsidR="00A6737A">
        <w:rPr>
          <w:color w:val="000000" w:themeColor="text1"/>
        </w:rPr>
        <w:t>u</w:t>
      </w:r>
      <w:r w:rsidR="00A6737A" w:rsidRPr="003E2E63">
        <w:rPr>
          <w:color w:val="000000" w:themeColor="text1"/>
        </w:rPr>
        <w:t xml:space="preserve"> </w:t>
      </w:r>
      <w:r w:rsidR="008C00C3" w:rsidRPr="003E2E63">
        <w:rPr>
          <w:color w:val="000000" w:themeColor="text1"/>
        </w:rPr>
        <w:t>projektu pieteikumi, kur</w:t>
      </w:r>
      <w:r w:rsidR="004D569F" w:rsidRPr="003E2E63">
        <w:rPr>
          <w:color w:val="000000" w:themeColor="text1"/>
        </w:rPr>
        <w:t>u</w:t>
      </w:r>
      <w:r w:rsidR="008C00C3" w:rsidRPr="003E2E63">
        <w:rPr>
          <w:color w:val="000000" w:themeColor="text1"/>
        </w:rPr>
        <w:t xml:space="preserve"> īstenošanas iespējas novērtēt nav vienkārši. </w:t>
      </w:r>
    </w:p>
    <w:p w:rsidR="00F53787" w:rsidRPr="003E2E63" w:rsidRDefault="008C00C3" w:rsidP="00592E43">
      <w:pPr>
        <w:spacing w:after="0" w:line="240" w:lineRule="auto"/>
        <w:ind w:firstLine="567"/>
        <w:jc w:val="both"/>
        <w:rPr>
          <w:color w:val="000000" w:themeColor="text1"/>
        </w:rPr>
      </w:pPr>
      <w:r w:rsidRPr="003E2E63">
        <w:rPr>
          <w:color w:val="000000" w:themeColor="text1"/>
        </w:rPr>
        <w:t>2012.</w:t>
      </w:r>
      <w:r w:rsidR="00E347C2" w:rsidRPr="003E2E63">
        <w:rPr>
          <w:color w:val="000000" w:themeColor="text1"/>
        </w:rPr>
        <w:t> </w:t>
      </w:r>
      <w:r w:rsidRPr="003E2E63">
        <w:rPr>
          <w:color w:val="000000" w:themeColor="text1"/>
        </w:rPr>
        <w:t xml:space="preserve">gadā </w:t>
      </w:r>
      <w:r w:rsidR="004D569F" w:rsidRPr="003E2E63">
        <w:rPr>
          <w:color w:val="000000" w:themeColor="text1"/>
        </w:rPr>
        <w:t xml:space="preserve">visu atbalstāmo staciju uzstādītā </w:t>
      </w:r>
      <w:r w:rsidR="006E4CC6" w:rsidRPr="003E2E63">
        <w:rPr>
          <w:color w:val="000000" w:themeColor="text1"/>
        </w:rPr>
        <w:t>elektriskā jauda bija 1033,9 MW, kas</w:t>
      </w:r>
      <w:r w:rsidR="004D569F" w:rsidRPr="003E2E63">
        <w:rPr>
          <w:color w:val="000000" w:themeColor="text1"/>
        </w:rPr>
        <w:t>,</w:t>
      </w:r>
      <w:r w:rsidR="006E4CC6" w:rsidRPr="003E2E63">
        <w:rPr>
          <w:color w:val="000000" w:themeColor="text1"/>
        </w:rPr>
        <w:t xml:space="preserve"> salīdzinot ar 2011.</w:t>
      </w:r>
      <w:r w:rsidR="00E347C2" w:rsidRPr="003E2E63">
        <w:rPr>
          <w:color w:val="000000" w:themeColor="text1"/>
        </w:rPr>
        <w:t> </w:t>
      </w:r>
      <w:r w:rsidR="000A4A5B" w:rsidRPr="003E2E63">
        <w:rPr>
          <w:color w:val="000000" w:themeColor="text1"/>
        </w:rPr>
        <w:t>g</w:t>
      </w:r>
      <w:r w:rsidR="006E4CC6" w:rsidRPr="003E2E63">
        <w:rPr>
          <w:color w:val="000000" w:themeColor="text1"/>
        </w:rPr>
        <w:t>adu</w:t>
      </w:r>
      <w:r w:rsidR="004D569F" w:rsidRPr="003E2E63">
        <w:rPr>
          <w:color w:val="000000" w:themeColor="text1"/>
        </w:rPr>
        <w:t>,</w:t>
      </w:r>
      <w:r w:rsidR="006E4CC6" w:rsidRPr="003E2E63">
        <w:rPr>
          <w:color w:val="000000" w:themeColor="text1"/>
        </w:rPr>
        <w:t xml:space="preserve"> bija pieaugusi par 8%. Sagaidāms, ka 2013.</w:t>
      </w:r>
      <w:r w:rsidR="00E347C2" w:rsidRPr="003E2E63">
        <w:rPr>
          <w:color w:val="000000" w:themeColor="text1"/>
        </w:rPr>
        <w:t> </w:t>
      </w:r>
      <w:r w:rsidR="006E4CC6" w:rsidRPr="003E2E63">
        <w:rPr>
          <w:color w:val="000000" w:themeColor="text1"/>
        </w:rPr>
        <w:t>gada septembrī darbu uzsāks SIA „</w:t>
      </w:r>
      <w:r w:rsidR="006E4CC6" w:rsidRPr="003E2E63">
        <w:rPr>
          <w:i/>
          <w:color w:val="000000" w:themeColor="text1"/>
        </w:rPr>
        <w:t>Fortum Jelgava</w:t>
      </w:r>
      <w:r w:rsidR="006E4CC6" w:rsidRPr="003E2E63">
        <w:rPr>
          <w:color w:val="000000" w:themeColor="text1"/>
        </w:rPr>
        <w:t>” biomasas koģenerācijas stacija, kuras uzstādītā elektriskā jauda ir 23 MW. Jāatzīmē, ka š</w:t>
      </w:r>
      <w:r w:rsidR="004D569F" w:rsidRPr="003E2E63">
        <w:rPr>
          <w:color w:val="000000" w:themeColor="text1"/>
        </w:rPr>
        <w:t>ī</w:t>
      </w:r>
      <w:r w:rsidR="006E4CC6" w:rsidRPr="003E2E63">
        <w:rPr>
          <w:color w:val="000000" w:themeColor="text1"/>
        </w:rPr>
        <w:t xml:space="preserve"> stacija </w:t>
      </w:r>
      <w:r w:rsidR="004D569F" w:rsidRPr="003E2E63">
        <w:rPr>
          <w:color w:val="000000" w:themeColor="text1"/>
        </w:rPr>
        <w:t>atbalstu saņems</w:t>
      </w:r>
      <w:r w:rsidR="006E4CC6" w:rsidRPr="003E2E63">
        <w:rPr>
          <w:color w:val="000000" w:themeColor="text1"/>
        </w:rPr>
        <w:t xml:space="preserve"> jaudas maksājum</w:t>
      </w:r>
      <w:r w:rsidR="004D569F" w:rsidRPr="003E2E63">
        <w:rPr>
          <w:color w:val="000000" w:themeColor="text1"/>
        </w:rPr>
        <w:t>a veidā</w:t>
      </w:r>
      <w:r w:rsidR="006E4CC6" w:rsidRPr="003E2E63">
        <w:rPr>
          <w:color w:val="000000" w:themeColor="text1"/>
        </w:rPr>
        <w:t>, kas tiks ietverts pārvades un sadales tarifā, bet ne OIK. 2013.</w:t>
      </w:r>
      <w:r w:rsidR="00E347C2" w:rsidRPr="003E2E63">
        <w:rPr>
          <w:color w:val="000000" w:themeColor="text1"/>
        </w:rPr>
        <w:t> </w:t>
      </w:r>
      <w:r w:rsidR="006E4CC6" w:rsidRPr="003E2E63">
        <w:rPr>
          <w:color w:val="000000" w:themeColor="text1"/>
        </w:rPr>
        <w:t xml:space="preserve">gada beigās tiks nodota </w:t>
      </w:r>
      <w:r w:rsidR="004D569F" w:rsidRPr="003E2E63">
        <w:rPr>
          <w:color w:val="000000" w:themeColor="text1"/>
        </w:rPr>
        <w:t xml:space="preserve">ekspluatācijā </w:t>
      </w:r>
      <w:r w:rsidR="00A6737A">
        <w:rPr>
          <w:color w:val="000000" w:themeColor="text1"/>
        </w:rPr>
        <w:t xml:space="preserve">Rīgas </w:t>
      </w:r>
      <w:r w:rsidR="006E4CC6" w:rsidRPr="003E2E63">
        <w:rPr>
          <w:color w:val="000000" w:themeColor="text1"/>
        </w:rPr>
        <w:t>TEC</w:t>
      </w:r>
      <w:r w:rsidR="00A6737A">
        <w:rPr>
          <w:color w:val="000000" w:themeColor="text1"/>
        </w:rPr>
        <w:t>-</w:t>
      </w:r>
      <w:r w:rsidR="006E4CC6" w:rsidRPr="003E2E63">
        <w:rPr>
          <w:color w:val="000000" w:themeColor="text1"/>
        </w:rPr>
        <w:t>2 2.</w:t>
      </w:r>
      <w:r w:rsidR="00E347C2" w:rsidRPr="003E2E63">
        <w:rPr>
          <w:color w:val="000000" w:themeColor="text1"/>
        </w:rPr>
        <w:t> </w:t>
      </w:r>
      <w:r w:rsidR="006E4CC6" w:rsidRPr="003E2E63">
        <w:rPr>
          <w:color w:val="000000" w:themeColor="text1"/>
        </w:rPr>
        <w:t>kārta, k</w:t>
      </w:r>
      <w:r w:rsidR="007463DE" w:rsidRPr="003E2E63">
        <w:rPr>
          <w:color w:val="000000" w:themeColor="text1"/>
        </w:rPr>
        <w:t xml:space="preserve">ur uzstādītā </w:t>
      </w:r>
      <w:r w:rsidR="006B73F1" w:rsidRPr="003E2E63">
        <w:rPr>
          <w:color w:val="000000" w:themeColor="text1"/>
        </w:rPr>
        <w:t xml:space="preserve">bruto </w:t>
      </w:r>
      <w:r w:rsidR="007463DE" w:rsidRPr="003E2E63">
        <w:rPr>
          <w:color w:val="000000" w:themeColor="text1"/>
        </w:rPr>
        <w:t xml:space="preserve">jauda palielināsies par </w:t>
      </w:r>
      <w:r w:rsidR="008B61FA" w:rsidRPr="003E2E63">
        <w:rPr>
          <w:color w:val="000000" w:themeColor="text1"/>
        </w:rPr>
        <w:t>199,2</w:t>
      </w:r>
      <w:r w:rsidR="007463DE" w:rsidRPr="003E2E63">
        <w:rPr>
          <w:color w:val="000000" w:themeColor="text1"/>
        </w:rPr>
        <w:t xml:space="preserve"> MW no </w:t>
      </w:r>
      <w:r w:rsidR="008B61FA" w:rsidRPr="003E2E63">
        <w:rPr>
          <w:color w:val="000000" w:themeColor="text1"/>
        </w:rPr>
        <w:t xml:space="preserve"> 633,3 </w:t>
      </w:r>
      <w:r w:rsidR="007463DE" w:rsidRPr="003E2E63">
        <w:rPr>
          <w:color w:val="000000" w:themeColor="text1"/>
        </w:rPr>
        <w:t>MW līdz 832,5 MW.</w:t>
      </w:r>
      <w:r w:rsidR="006E4CC6" w:rsidRPr="003E2E63">
        <w:rPr>
          <w:color w:val="000000" w:themeColor="text1"/>
        </w:rPr>
        <w:t xml:space="preserve"> </w:t>
      </w:r>
      <w:r w:rsidR="007463DE" w:rsidRPr="003E2E63">
        <w:rPr>
          <w:color w:val="000000" w:themeColor="text1"/>
        </w:rPr>
        <w:t>Tādejādi to koģenerācijas staciju, kuru elektriskā jauda pārsniedz 4</w:t>
      </w:r>
      <w:r w:rsidR="00A6737A">
        <w:rPr>
          <w:color w:val="000000" w:themeColor="text1"/>
        </w:rPr>
        <w:t xml:space="preserve"> </w:t>
      </w:r>
      <w:r w:rsidR="007463DE" w:rsidRPr="003E2E63">
        <w:rPr>
          <w:color w:val="000000" w:themeColor="text1"/>
        </w:rPr>
        <w:t>MW, piešķirtās tiesības būs realizētas pilnā apjomā</w:t>
      </w:r>
      <w:r w:rsidR="006B73F1" w:rsidRPr="003E2E63">
        <w:rPr>
          <w:color w:val="000000" w:themeColor="text1"/>
        </w:rPr>
        <w:t>. U</w:t>
      </w:r>
      <w:r w:rsidR="00AA6042" w:rsidRPr="003E2E63">
        <w:rPr>
          <w:color w:val="000000" w:themeColor="text1"/>
        </w:rPr>
        <w:t xml:space="preserve">zstādītās jaudas pieaugums </w:t>
      </w:r>
      <w:r w:rsidR="004D569F" w:rsidRPr="003E2E63">
        <w:rPr>
          <w:color w:val="000000" w:themeColor="text1"/>
        </w:rPr>
        <w:t xml:space="preserve">2013. gadā </w:t>
      </w:r>
      <w:r w:rsidR="00AA6042" w:rsidRPr="003E2E63">
        <w:rPr>
          <w:color w:val="000000" w:themeColor="text1"/>
        </w:rPr>
        <w:t xml:space="preserve">varētu palielināties vismaz par 25%, </w:t>
      </w:r>
      <w:r w:rsidR="006B73F1" w:rsidRPr="003E2E63">
        <w:rPr>
          <w:color w:val="000000" w:themeColor="text1"/>
        </w:rPr>
        <w:t>salīdzin</w:t>
      </w:r>
      <w:r w:rsidR="004D569F" w:rsidRPr="003E2E63">
        <w:rPr>
          <w:color w:val="000000" w:themeColor="text1"/>
        </w:rPr>
        <w:t>ot ar</w:t>
      </w:r>
      <w:r w:rsidR="006B73F1" w:rsidRPr="003E2E63">
        <w:rPr>
          <w:color w:val="000000" w:themeColor="text1"/>
        </w:rPr>
        <w:t xml:space="preserve"> 2012. gadu. </w:t>
      </w:r>
    </w:p>
    <w:p w:rsidR="00592E43" w:rsidRPr="003E2E63" w:rsidRDefault="006B73F1" w:rsidP="00592E43">
      <w:pPr>
        <w:spacing w:after="0" w:line="240" w:lineRule="auto"/>
        <w:ind w:firstLine="567"/>
        <w:jc w:val="both"/>
        <w:rPr>
          <w:color w:val="000000" w:themeColor="text1"/>
          <w:szCs w:val="28"/>
        </w:rPr>
      </w:pPr>
      <w:r w:rsidRPr="003E2E63">
        <w:rPr>
          <w:color w:val="000000" w:themeColor="text1"/>
        </w:rPr>
        <w:t xml:space="preserve">Lai izvērtētu </w:t>
      </w:r>
      <w:r w:rsidR="004D569F" w:rsidRPr="003E2E63">
        <w:rPr>
          <w:color w:val="000000" w:themeColor="text1"/>
        </w:rPr>
        <w:t xml:space="preserve">mazo </w:t>
      </w:r>
      <w:r w:rsidRPr="003E2E63">
        <w:rPr>
          <w:color w:val="000000" w:themeColor="text1"/>
        </w:rPr>
        <w:t>projektu</w:t>
      </w:r>
      <w:r w:rsidR="004D569F" w:rsidRPr="003E2E63">
        <w:rPr>
          <w:color w:val="000000" w:themeColor="text1"/>
        </w:rPr>
        <w:t xml:space="preserve"> (zem 4 MW)</w:t>
      </w:r>
      <w:r w:rsidRPr="003E2E63">
        <w:rPr>
          <w:color w:val="000000" w:themeColor="text1"/>
        </w:rPr>
        <w:t xml:space="preserve"> gatavību, </w:t>
      </w:r>
      <w:r w:rsidR="00592E43" w:rsidRPr="003E2E63">
        <w:rPr>
          <w:color w:val="000000" w:themeColor="text1"/>
        </w:rPr>
        <w:t xml:space="preserve">AS „Sadales tīkls” pēc Ekonomikas ministrijas lūguma sniedza informāciju par tiem komersantiem, kas vērsušies AS „Sadales tīkls” nolūkā saņemt tehniskos noteikumus elektrostacijas pieslēgšanai elektrotīklam. Saņemtās informācijas </w:t>
      </w:r>
      <w:r w:rsidR="00592E43" w:rsidRPr="003E2E63">
        <w:rPr>
          <w:color w:val="000000" w:themeColor="text1"/>
          <w:szCs w:val="28"/>
        </w:rPr>
        <w:t xml:space="preserve">par pieteikuma elektrostacijas pieslēgumam sadales tīklam esamību un statusu </w:t>
      </w:r>
      <w:r w:rsidR="00592E43" w:rsidRPr="003E2E63">
        <w:rPr>
          <w:color w:val="000000" w:themeColor="text1"/>
        </w:rPr>
        <w:t xml:space="preserve">izvērtēšana, ņemot vērā </w:t>
      </w:r>
      <w:r w:rsidR="00592E43" w:rsidRPr="003E2E63">
        <w:rPr>
          <w:color w:val="000000" w:themeColor="text1"/>
          <w:szCs w:val="28"/>
        </w:rPr>
        <w:t xml:space="preserve">vidējo elektrostacijas projektēšanas un izbūves laiku, </w:t>
      </w:r>
      <w:r w:rsidR="00592E43" w:rsidRPr="003E2E63">
        <w:rPr>
          <w:color w:val="000000" w:themeColor="text1"/>
        </w:rPr>
        <w:t xml:space="preserve">ļauj </w:t>
      </w:r>
      <w:r w:rsidR="004D569F" w:rsidRPr="003E2E63">
        <w:rPr>
          <w:color w:val="000000" w:themeColor="text1"/>
        </w:rPr>
        <w:t xml:space="preserve">prognozēt, ka </w:t>
      </w:r>
      <w:r w:rsidR="00592E43" w:rsidRPr="003E2E63">
        <w:rPr>
          <w:color w:val="000000" w:themeColor="text1"/>
        </w:rPr>
        <w:t>daļ</w:t>
      </w:r>
      <w:r w:rsidR="004D569F" w:rsidRPr="003E2E63">
        <w:rPr>
          <w:color w:val="000000" w:themeColor="text1"/>
        </w:rPr>
        <w:t>a</w:t>
      </w:r>
      <w:r w:rsidR="00592E43" w:rsidRPr="003E2E63">
        <w:rPr>
          <w:color w:val="000000" w:themeColor="text1"/>
        </w:rPr>
        <w:t xml:space="preserve"> projektu</w:t>
      </w:r>
      <w:r w:rsidR="00E407BC" w:rsidRPr="003E2E63">
        <w:rPr>
          <w:color w:val="000000" w:themeColor="text1"/>
        </w:rPr>
        <w:t xml:space="preserve"> </w:t>
      </w:r>
      <w:r w:rsidR="00592E43" w:rsidRPr="003E2E63">
        <w:rPr>
          <w:color w:val="000000" w:themeColor="text1"/>
        </w:rPr>
        <w:t xml:space="preserve">netiks īstenoti tiem </w:t>
      </w:r>
      <w:r w:rsidR="00592E43" w:rsidRPr="003E2E63">
        <w:rPr>
          <w:color w:val="000000" w:themeColor="text1"/>
          <w:szCs w:val="28"/>
        </w:rPr>
        <w:t>noteiktajā elektroenerģijas ražošanas uzsākšanas termiņā.</w:t>
      </w:r>
    </w:p>
    <w:p w:rsidR="008911D1" w:rsidRPr="003E2E63" w:rsidRDefault="00592E43" w:rsidP="008911D1">
      <w:pPr>
        <w:spacing w:after="0" w:line="240" w:lineRule="auto"/>
        <w:ind w:firstLine="709"/>
        <w:jc w:val="both"/>
        <w:rPr>
          <w:color w:val="000000" w:themeColor="text1"/>
          <w:szCs w:val="28"/>
        </w:rPr>
      </w:pPr>
      <w:r w:rsidRPr="003E2E63">
        <w:rPr>
          <w:color w:val="000000" w:themeColor="text1"/>
          <w:szCs w:val="28"/>
        </w:rPr>
        <w:t>Saskaņā ar AS „Sadales tīkls” sniegto informāciju 320 komersanti (plānotā jauda 439,13 MW, obligātā iepirkuma ietvaros pārdodamās elektroenerģijas noteiktais apjoms gadā 3361,6 GWh) nav iesnieguši pieteikumu par pieslēguma ierīkošanu elektrostacijai vai tiem izsniegti</w:t>
      </w:r>
      <w:r w:rsidR="007B5FF2" w:rsidRPr="003E2E63">
        <w:rPr>
          <w:color w:val="000000" w:themeColor="text1"/>
          <w:szCs w:val="28"/>
        </w:rPr>
        <w:t>e</w:t>
      </w:r>
      <w:r w:rsidRPr="003E2E63">
        <w:rPr>
          <w:color w:val="000000" w:themeColor="text1"/>
          <w:szCs w:val="28"/>
        </w:rPr>
        <w:t xml:space="preserve"> tehniskie noteikumi ir zaudējuši spēku. 2013.</w:t>
      </w:r>
      <w:r w:rsidR="001B4DC1" w:rsidRPr="003E2E63">
        <w:rPr>
          <w:color w:val="000000" w:themeColor="text1"/>
          <w:szCs w:val="28"/>
        </w:rPr>
        <w:t> </w:t>
      </w:r>
      <w:r w:rsidRPr="003E2E63">
        <w:rPr>
          <w:color w:val="000000" w:themeColor="text1"/>
          <w:szCs w:val="28"/>
        </w:rPr>
        <w:t>gadā elektroenerģijas ražošanu būtu jāuzsāk 6 komersantiem, 2014.</w:t>
      </w:r>
      <w:r w:rsidR="00E347C2" w:rsidRPr="003E2E63">
        <w:rPr>
          <w:color w:val="000000" w:themeColor="text1"/>
          <w:szCs w:val="28"/>
        </w:rPr>
        <w:t> </w:t>
      </w:r>
      <w:r w:rsidRPr="003E2E63">
        <w:rPr>
          <w:color w:val="000000" w:themeColor="text1"/>
          <w:szCs w:val="28"/>
        </w:rPr>
        <w:t>gadā – 93, 2015.</w:t>
      </w:r>
      <w:r w:rsidR="00E347C2" w:rsidRPr="003E2E63">
        <w:rPr>
          <w:color w:val="000000" w:themeColor="text1"/>
          <w:szCs w:val="28"/>
        </w:rPr>
        <w:t> </w:t>
      </w:r>
      <w:r w:rsidR="00E2208D" w:rsidRPr="003E2E63">
        <w:rPr>
          <w:color w:val="000000" w:themeColor="text1"/>
          <w:szCs w:val="28"/>
        </w:rPr>
        <w:t>gadā –</w:t>
      </w:r>
      <w:r w:rsidRPr="003E2E63">
        <w:rPr>
          <w:color w:val="000000" w:themeColor="text1"/>
          <w:szCs w:val="28"/>
        </w:rPr>
        <w:t xml:space="preserve"> 135, 2016.</w:t>
      </w:r>
      <w:r w:rsidR="00E347C2" w:rsidRPr="003E2E63">
        <w:rPr>
          <w:color w:val="000000" w:themeColor="text1"/>
          <w:szCs w:val="28"/>
        </w:rPr>
        <w:t> </w:t>
      </w:r>
      <w:r w:rsidRPr="003E2E63">
        <w:rPr>
          <w:color w:val="000000" w:themeColor="text1"/>
          <w:szCs w:val="28"/>
        </w:rPr>
        <w:t xml:space="preserve">gadā </w:t>
      </w:r>
      <w:r w:rsidR="00E2208D" w:rsidRPr="003E2E63">
        <w:rPr>
          <w:color w:val="000000" w:themeColor="text1"/>
          <w:szCs w:val="28"/>
        </w:rPr>
        <w:t xml:space="preserve">– </w:t>
      </w:r>
      <w:r w:rsidRPr="003E2E63">
        <w:rPr>
          <w:color w:val="000000" w:themeColor="text1"/>
          <w:szCs w:val="28"/>
        </w:rPr>
        <w:t>6 un 2017.</w:t>
      </w:r>
      <w:r w:rsidR="00E347C2" w:rsidRPr="003E2E63">
        <w:rPr>
          <w:color w:val="000000" w:themeColor="text1"/>
          <w:szCs w:val="28"/>
        </w:rPr>
        <w:t> </w:t>
      </w:r>
      <w:r w:rsidRPr="003E2E63">
        <w:rPr>
          <w:color w:val="000000" w:themeColor="text1"/>
          <w:szCs w:val="28"/>
        </w:rPr>
        <w:t>gadā – 75 komersantiem.</w:t>
      </w:r>
      <w:r w:rsidR="00554B4B" w:rsidRPr="003E2E63">
        <w:rPr>
          <w:color w:val="000000" w:themeColor="text1"/>
          <w:szCs w:val="28"/>
        </w:rPr>
        <w:t xml:space="preserve"> </w:t>
      </w:r>
      <w:r w:rsidR="008911D1" w:rsidRPr="003E2E63">
        <w:rPr>
          <w:color w:val="000000" w:themeColor="text1"/>
          <w:szCs w:val="28"/>
        </w:rPr>
        <w:t xml:space="preserve"> </w:t>
      </w:r>
    </w:p>
    <w:p w:rsidR="008911D1" w:rsidRPr="003E2E63" w:rsidRDefault="008911D1" w:rsidP="008911D1">
      <w:pPr>
        <w:spacing w:after="0" w:line="240" w:lineRule="auto"/>
        <w:ind w:firstLine="709"/>
        <w:jc w:val="both"/>
        <w:rPr>
          <w:color w:val="000000" w:themeColor="text1"/>
          <w:szCs w:val="28"/>
        </w:rPr>
      </w:pPr>
      <w:r w:rsidRPr="003E2E63">
        <w:rPr>
          <w:color w:val="000000" w:themeColor="text1"/>
          <w:szCs w:val="28"/>
        </w:rPr>
        <w:lastRenderedPageBreak/>
        <w:t>Papildus Ekonomikas ministrija 2012.</w:t>
      </w:r>
      <w:r w:rsidR="00E71386">
        <w:rPr>
          <w:color w:val="000000" w:themeColor="text1"/>
          <w:szCs w:val="28"/>
        </w:rPr>
        <w:t> </w:t>
      </w:r>
      <w:r w:rsidR="00EC185C">
        <w:rPr>
          <w:color w:val="000000" w:themeColor="text1"/>
          <w:szCs w:val="28"/>
        </w:rPr>
        <w:t>g</w:t>
      </w:r>
      <w:r w:rsidRPr="003E2E63">
        <w:rPr>
          <w:color w:val="000000" w:themeColor="text1"/>
          <w:szCs w:val="28"/>
        </w:rPr>
        <w:t>ad</w:t>
      </w:r>
      <w:r w:rsidR="00EC185C">
        <w:rPr>
          <w:color w:val="000000" w:themeColor="text1"/>
          <w:szCs w:val="28"/>
        </w:rPr>
        <w:t xml:space="preserve">ā </w:t>
      </w:r>
      <w:r w:rsidRPr="003E2E63">
        <w:rPr>
          <w:color w:val="000000" w:themeColor="text1"/>
          <w:szCs w:val="28"/>
        </w:rPr>
        <w:t xml:space="preserve">ir atcēlusi 8 lēmumus par </w:t>
      </w:r>
      <w:r w:rsidR="00A6737A">
        <w:rPr>
          <w:color w:val="000000" w:themeColor="text1"/>
          <w:szCs w:val="28"/>
        </w:rPr>
        <w:t>obligātā iepirkuma</w:t>
      </w:r>
      <w:r w:rsidR="00A6737A" w:rsidRPr="003E2E63">
        <w:rPr>
          <w:color w:val="000000" w:themeColor="text1"/>
          <w:szCs w:val="28"/>
        </w:rPr>
        <w:t xml:space="preserve"> </w:t>
      </w:r>
      <w:r w:rsidRPr="003E2E63">
        <w:rPr>
          <w:color w:val="000000" w:themeColor="text1"/>
          <w:szCs w:val="28"/>
        </w:rPr>
        <w:t>tiesību piešķiršanu par kopējo jaudu 5,31 MW, un elektroenerģijas apjomu 33</w:t>
      </w:r>
      <w:r w:rsidR="00612FDC" w:rsidRPr="003E2E63">
        <w:rPr>
          <w:color w:val="000000" w:themeColor="text1"/>
          <w:szCs w:val="28"/>
        </w:rPr>
        <w:t xml:space="preserve"> </w:t>
      </w:r>
      <w:r w:rsidRPr="003E2E63">
        <w:rPr>
          <w:color w:val="000000" w:themeColor="text1"/>
          <w:szCs w:val="28"/>
        </w:rPr>
        <w:t>430 MWh</w:t>
      </w:r>
      <w:r w:rsidR="00473575" w:rsidRPr="003E2E63">
        <w:rPr>
          <w:color w:val="000000" w:themeColor="text1"/>
          <w:szCs w:val="28"/>
        </w:rPr>
        <w:t xml:space="preserve">, jo ir beidzies </w:t>
      </w:r>
      <w:r w:rsidR="00E44D5A" w:rsidRPr="003E2E63">
        <w:rPr>
          <w:color w:val="000000" w:themeColor="text1"/>
          <w:szCs w:val="28"/>
        </w:rPr>
        <w:t>lēmumā noteikto pienākumu izpildes termiņš</w:t>
      </w:r>
      <w:r w:rsidR="00473575" w:rsidRPr="003E2E63">
        <w:rPr>
          <w:color w:val="000000" w:themeColor="text1"/>
          <w:szCs w:val="28"/>
        </w:rPr>
        <w:t xml:space="preserve">. </w:t>
      </w:r>
    </w:p>
    <w:p w:rsidR="00592E43" w:rsidRPr="003E2E63" w:rsidRDefault="00E36185" w:rsidP="00C83064">
      <w:pPr>
        <w:pStyle w:val="Heading2"/>
        <w:numPr>
          <w:ilvl w:val="1"/>
          <w:numId w:val="5"/>
        </w:numPr>
        <w:rPr>
          <w:color w:val="000000" w:themeColor="text1"/>
        </w:rPr>
      </w:pPr>
      <w:bookmarkStart w:id="8" w:name="_Toc351283061"/>
      <w:bookmarkStart w:id="9" w:name="_Toc352179317"/>
      <w:r w:rsidRPr="003E2E63">
        <w:rPr>
          <w:color w:val="000000" w:themeColor="text1"/>
        </w:rPr>
        <w:t>P</w:t>
      </w:r>
      <w:r w:rsidR="00EC185C">
        <w:rPr>
          <w:color w:val="000000" w:themeColor="text1"/>
        </w:rPr>
        <w:t>iesaistītais finansē</w:t>
      </w:r>
      <w:bookmarkEnd w:id="8"/>
      <w:r w:rsidR="00EC185C">
        <w:rPr>
          <w:color w:val="000000" w:themeColor="text1"/>
        </w:rPr>
        <w:t>jums</w:t>
      </w:r>
      <w:bookmarkEnd w:id="9"/>
      <w:r w:rsidR="00EC185C">
        <w:rPr>
          <w:color w:val="000000" w:themeColor="text1"/>
        </w:rPr>
        <w:t xml:space="preserve"> </w:t>
      </w:r>
      <w:r w:rsidR="00592E43" w:rsidRPr="003E2E63">
        <w:rPr>
          <w:color w:val="000000" w:themeColor="text1"/>
        </w:rPr>
        <w:t xml:space="preserve"> </w:t>
      </w:r>
    </w:p>
    <w:p w:rsidR="001C0297" w:rsidRPr="003E2E63" w:rsidRDefault="001C0297" w:rsidP="001C0297">
      <w:pPr>
        <w:spacing w:after="0" w:line="240" w:lineRule="auto"/>
        <w:ind w:firstLine="709"/>
        <w:jc w:val="both"/>
        <w:rPr>
          <w:color w:val="000000" w:themeColor="text1"/>
          <w:szCs w:val="28"/>
        </w:rPr>
      </w:pPr>
      <w:r w:rsidRPr="003E2E63">
        <w:rPr>
          <w:color w:val="000000" w:themeColor="text1"/>
          <w:szCs w:val="28"/>
        </w:rPr>
        <w:t xml:space="preserve">Lai realizētu projektus, ir nepieciešams adekvāts finansējums. Iztrūkstot </w:t>
      </w:r>
      <w:r w:rsidR="00E30ADB" w:rsidRPr="003E2E63">
        <w:rPr>
          <w:color w:val="000000" w:themeColor="text1"/>
          <w:szCs w:val="28"/>
        </w:rPr>
        <w:t xml:space="preserve">detalizētākai </w:t>
      </w:r>
      <w:r w:rsidRPr="003E2E63">
        <w:rPr>
          <w:color w:val="000000" w:themeColor="text1"/>
          <w:szCs w:val="28"/>
        </w:rPr>
        <w:t xml:space="preserve">informācijai par projekta īstenotāju, veids kā </w:t>
      </w:r>
      <w:r w:rsidR="00257B2B" w:rsidRPr="003E2E63">
        <w:rPr>
          <w:color w:val="000000" w:themeColor="text1"/>
          <w:szCs w:val="28"/>
        </w:rPr>
        <w:t>identificēt</w:t>
      </w:r>
      <w:r w:rsidRPr="003E2E63">
        <w:rPr>
          <w:color w:val="000000" w:themeColor="text1"/>
          <w:szCs w:val="28"/>
        </w:rPr>
        <w:t xml:space="preserve"> tos projektus, kas visticamāk tiks īstenoti, ir apzināt projektus, kas saņēmuši atbalstu citu finansēšanas instrumentu ietvaros. </w:t>
      </w:r>
      <w:r w:rsidR="00A6737A">
        <w:rPr>
          <w:color w:val="000000" w:themeColor="text1"/>
          <w:szCs w:val="28"/>
        </w:rPr>
        <w:t>Pie tādiem</w:t>
      </w:r>
      <w:r w:rsidR="007B5FF2" w:rsidRPr="003E2E63">
        <w:rPr>
          <w:color w:val="000000" w:themeColor="text1"/>
          <w:szCs w:val="28"/>
        </w:rPr>
        <w:t xml:space="preserve"> projekti</w:t>
      </w:r>
      <w:r w:rsidR="00A6737A">
        <w:rPr>
          <w:color w:val="000000" w:themeColor="text1"/>
          <w:szCs w:val="28"/>
        </w:rPr>
        <w:t>em pieder projekti</w:t>
      </w:r>
      <w:r w:rsidRPr="003E2E63">
        <w:rPr>
          <w:color w:val="000000" w:themeColor="text1"/>
          <w:szCs w:val="28"/>
        </w:rPr>
        <w:t>, kas ir saņēmuši investīciju atbalstu Klimata pārmaiņu finanšu instrumenta (turpmāk – KPFI), E</w:t>
      </w:r>
      <w:r w:rsidR="00EA4FC9">
        <w:rPr>
          <w:color w:val="000000" w:themeColor="text1"/>
          <w:szCs w:val="28"/>
        </w:rPr>
        <w:t xml:space="preserve">iropas </w:t>
      </w:r>
      <w:r w:rsidRPr="003E2E63">
        <w:rPr>
          <w:color w:val="000000" w:themeColor="text1"/>
          <w:szCs w:val="28"/>
        </w:rPr>
        <w:t>S</w:t>
      </w:r>
      <w:r w:rsidR="00EA4FC9">
        <w:rPr>
          <w:color w:val="000000" w:themeColor="text1"/>
          <w:szCs w:val="28"/>
        </w:rPr>
        <w:t>avienības (turpmāk – ES)</w:t>
      </w:r>
      <w:r w:rsidRPr="003E2E63">
        <w:rPr>
          <w:color w:val="000000" w:themeColor="text1"/>
          <w:szCs w:val="28"/>
        </w:rPr>
        <w:t xml:space="preserve"> Eiropas Lauksaimniecības fonda lauku attīstībai (ELFLA) Lauku atbalsta dienesta (turpmāk – LAD) administrētās lauku attīstības programmas 2007.-2013. gadam esošā apakšpasākumā „Enerģijas ražošana no lauksaimnieciskas un mežsaimnieciskas izcelsmes biomasas”, vai ES Kohēzijas fonda darbības programmas „Infrastruktūra un pakalpojumi” ietvaros. </w:t>
      </w:r>
    </w:p>
    <w:p w:rsidR="001C0297" w:rsidRPr="003E2E63" w:rsidRDefault="001C0297" w:rsidP="001C0297">
      <w:pPr>
        <w:spacing w:after="0" w:line="240" w:lineRule="auto"/>
        <w:ind w:firstLine="709"/>
        <w:jc w:val="both"/>
        <w:rPr>
          <w:color w:val="000000" w:themeColor="text1"/>
          <w:szCs w:val="28"/>
        </w:rPr>
      </w:pPr>
      <w:r w:rsidRPr="003E2E63">
        <w:rPr>
          <w:color w:val="000000" w:themeColor="text1"/>
          <w:szCs w:val="28"/>
        </w:rPr>
        <w:t xml:space="preserve">Latvijas Investīciju un attīstības aģentūras administrētās </w:t>
      </w:r>
      <w:r w:rsidR="00D161E4">
        <w:rPr>
          <w:color w:val="000000" w:themeColor="text1"/>
          <w:szCs w:val="28"/>
        </w:rPr>
        <w:t>ES</w:t>
      </w:r>
      <w:r w:rsidRPr="003E2E63">
        <w:rPr>
          <w:color w:val="000000" w:themeColor="text1"/>
          <w:szCs w:val="28"/>
        </w:rPr>
        <w:t xml:space="preserve"> Kohēzijas fonda darbības programmas „Infrastruktūra un pakalpojumi” papildinājuma 3.5.2.2.</w:t>
      </w:r>
      <w:r w:rsidR="00E71386">
        <w:rPr>
          <w:color w:val="000000" w:themeColor="text1"/>
          <w:szCs w:val="28"/>
        </w:rPr>
        <w:t> </w:t>
      </w:r>
      <w:r w:rsidR="000052B9" w:rsidRPr="003E2E63" w:rsidDel="000052B9">
        <w:rPr>
          <w:color w:val="000000" w:themeColor="text1"/>
          <w:szCs w:val="28"/>
        </w:rPr>
        <w:t xml:space="preserve"> </w:t>
      </w:r>
      <w:r w:rsidRPr="003E2E63">
        <w:rPr>
          <w:color w:val="000000" w:themeColor="text1"/>
          <w:szCs w:val="28"/>
        </w:rPr>
        <w:t xml:space="preserve">aktivitātes „Atjaunojamo energoresursu izmantojošu koģenerācijas elektrostaciju attīstība” ietvaros atbalstu saņēmuši 10 projekti, kuros paredzēta jaunu koģenerācijas staciju būvniecība, aizstājot esošās stacijas, kas izmanto fosilo kurināmo, un esošo rekonstrukcija šķeldas vai biomasas izmantošanai. Projektu </w:t>
      </w:r>
      <w:r w:rsidR="00A6737A">
        <w:rPr>
          <w:color w:val="000000" w:themeColor="text1"/>
          <w:szCs w:val="28"/>
        </w:rPr>
        <w:t>īstenošanā</w:t>
      </w:r>
      <w:r w:rsidR="00A6737A" w:rsidRPr="003E2E63">
        <w:rPr>
          <w:color w:val="000000" w:themeColor="text1"/>
          <w:szCs w:val="28"/>
        </w:rPr>
        <w:t xml:space="preserve"> </w:t>
      </w:r>
      <w:r w:rsidRPr="003E2E63">
        <w:rPr>
          <w:color w:val="000000" w:themeColor="text1"/>
          <w:szCs w:val="28"/>
        </w:rPr>
        <w:t>plānotā kopējā uzstādītā siltuma jauda ir 106,45 MW</w:t>
      </w:r>
      <w:r w:rsidRPr="003E2E63">
        <w:rPr>
          <w:color w:val="000000" w:themeColor="text1"/>
          <w:szCs w:val="28"/>
          <w:vertAlign w:val="subscript"/>
        </w:rPr>
        <w:t>th</w:t>
      </w:r>
      <w:r w:rsidRPr="003E2E63">
        <w:rPr>
          <w:color w:val="000000" w:themeColor="text1"/>
          <w:szCs w:val="28"/>
        </w:rPr>
        <w:t xml:space="preserve"> un elektriskā jauda 36,75 MW</w:t>
      </w:r>
      <w:r w:rsidRPr="003E2E63">
        <w:rPr>
          <w:color w:val="000000" w:themeColor="text1"/>
          <w:szCs w:val="28"/>
          <w:vertAlign w:val="subscript"/>
        </w:rPr>
        <w:t>el</w:t>
      </w:r>
      <w:r w:rsidRPr="003E2E63">
        <w:rPr>
          <w:color w:val="000000" w:themeColor="text1"/>
          <w:szCs w:val="28"/>
        </w:rPr>
        <w:t xml:space="preserve">, kopējais piešķirtais finansējums LVL 21 316 961,54. No Kohēzijas fonda atbalstu saņēmušajiem projektiem 7 saņem atbalstu arī </w:t>
      </w:r>
      <w:r w:rsidR="00B93048" w:rsidRPr="003E2E63">
        <w:rPr>
          <w:color w:val="000000" w:themeColor="text1"/>
          <w:szCs w:val="28"/>
        </w:rPr>
        <w:t>Ministru kabineta 2009. gada 10. marta</w:t>
      </w:r>
      <w:r w:rsidR="00B93048" w:rsidRPr="003E2E63">
        <w:rPr>
          <w:color w:val="000000" w:themeColor="text1"/>
        </w:rPr>
        <w:t xml:space="preserve"> noteikumu Nr.221 </w:t>
      </w:r>
      <w:r w:rsidR="00B93048" w:rsidRPr="003E2E63">
        <w:rPr>
          <w:color w:val="000000" w:themeColor="text1"/>
          <w:szCs w:val="28"/>
        </w:rPr>
        <w:t xml:space="preserve">„Noteikumi par elektroenerģijas ražošanu un cenu noteikšanu, ražojot elektroenerģiju koģenerācijā” (turpmāk - </w:t>
      </w:r>
      <w:r w:rsidR="005B263A" w:rsidRPr="003E2E63">
        <w:rPr>
          <w:color w:val="000000" w:themeColor="text1"/>
          <w:szCs w:val="28"/>
        </w:rPr>
        <w:t>MK noteikumu Nr.</w:t>
      </w:r>
      <w:r w:rsidRPr="003E2E63">
        <w:rPr>
          <w:color w:val="000000" w:themeColor="text1"/>
          <w:szCs w:val="28"/>
        </w:rPr>
        <w:t>221</w:t>
      </w:r>
      <w:r w:rsidR="00B93048" w:rsidRPr="003E2E63">
        <w:rPr>
          <w:color w:val="000000" w:themeColor="text1"/>
          <w:szCs w:val="28"/>
        </w:rPr>
        <w:t>)</w:t>
      </w:r>
      <w:r w:rsidRPr="003E2E63">
        <w:rPr>
          <w:color w:val="000000" w:themeColor="text1"/>
          <w:szCs w:val="28"/>
        </w:rPr>
        <w:t xml:space="preserve"> noteiktajā kārtībā, tajā skaitā 1 projekts saņems jaudas maksājumu, </w:t>
      </w:r>
      <w:r w:rsidR="00FE2FB6">
        <w:rPr>
          <w:color w:val="000000" w:themeColor="text1"/>
          <w:szCs w:val="28"/>
        </w:rPr>
        <w:t xml:space="preserve">un </w:t>
      </w:r>
      <w:r w:rsidRPr="003E2E63">
        <w:rPr>
          <w:color w:val="000000" w:themeColor="text1"/>
          <w:szCs w:val="28"/>
        </w:rPr>
        <w:t xml:space="preserve">3 projekti </w:t>
      </w:r>
      <w:r w:rsidR="00B93048" w:rsidRPr="003E2E63">
        <w:rPr>
          <w:rFonts w:eastAsia="Calibri"/>
          <w:color w:val="000000" w:themeColor="text1"/>
          <w:szCs w:val="28"/>
        </w:rPr>
        <w:t>Ministru kabineta 2010. gada 16. marta</w:t>
      </w:r>
      <w:r w:rsidR="00B93048" w:rsidRPr="003E2E63">
        <w:rPr>
          <w:rFonts w:eastAsia="Calibri"/>
          <w:color w:val="000000" w:themeColor="text1"/>
        </w:rPr>
        <w:t xml:space="preserve"> noteikumu Nr.262</w:t>
      </w:r>
      <w:r w:rsidR="00B93048" w:rsidRPr="003E2E63">
        <w:rPr>
          <w:rFonts w:eastAsia="Calibri"/>
          <w:color w:val="000000" w:themeColor="text1"/>
          <w:szCs w:val="28"/>
        </w:rPr>
        <w:t xml:space="preserve"> „</w:t>
      </w:r>
      <w:r w:rsidR="00B93048" w:rsidRPr="003E2E63">
        <w:rPr>
          <w:rFonts w:eastAsia="Calibri"/>
          <w:bCs/>
          <w:color w:val="000000" w:themeColor="text1"/>
          <w:szCs w:val="28"/>
        </w:rPr>
        <w:t>Noteikumi par elektroenerģijas ražošanu, izmantojot atjaunojamos energoresursus, un cenu noteikšanas kārtību</w:t>
      </w:r>
      <w:r w:rsidR="00B93048" w:rsidRPr="003E2E63">
        <w:rPr>
          <w:rFonts w:eastAsia="Calibri"/>
          <w:color w:val="000000" w:themeColor="text1"/>
          <w:szCs w:val="28"/>
        </w:rPr>
        <w:t xml:space="preserve">” (turpmāk - </w:t>
      </w:r>
      <w:r w:rsidRPr="003E2E63">
        <w:rPr>
          <w:color w:val="000000" w:themeColor="text1"/>
          <w:szCs w:val="28"/>
        </w:rPr>
        <w:t xml:space="preserve">MK </w:t>
      </w:r>
      <w:r w:rsidR="00B93048" w:rsidRPr="003E2E63">
        <w:rPr>
          <w:color w:val="000000" w:themeColor="text1"/>
          <w:szCs w:val="28"/>
        </w:rPr>
        <w:t xml:space="preserve">noteikumi </w:t>
      </w:r>
      <w:r w:rsidR="005B263A" w:rsidRPr="003E2E63">
        <w:rPr>
          <w:color w:val="000000" w:themeColor="text1"/>
          <w:szCs w:val="28"/>
        </w:rPr>
        <w:t>Nr.</w:t>
      </w:r>
      <w:r w:rsidRPr="003E2E63">
        <w:rPr>
          <w:color w:val="000000" w:themeColor="text1"/>
          <w:szCs w:val="28"/>
        </w:rPr>
        <w:t>262</w:t>
      </w:r>
      <w:r w:rsidR="00B93048" w:rsidRPr="003E2E63">
        <w:rPr>
          <w:color w:val="000000" w:themeColor="text1"/>
          <w:szCs w:val="28"/>
        </w:rPr>
        <w:t xml:space="preserve">) </w:t>
      </w:r>
      <w:r w:rsidRPr="003E2E63">
        <w:rPr>
          <w:color w:val="000000" w:themeColor="text1"/>
          <w:szCs w:val="28"/>
        </w:rPr>
        <w:t xml:space="preserve">noteiktajā kārtībā. 5 koģenerācijas stacijas jau ir uzsākušas savu darbību. Pārējo projektu realizācijas laiks </w:t>
      </w:r>
      <w:r w:rsidR="00FE2FB6">
        <w:rPr>
          <w:color w:val="000000" w:themeColor="text1"/>
          <w:szCs w:val="28"/>
        </w:rPr>
        <w:t xml:space="preserve">ir </w:t>
      </w:r>
      <w:r w:rsidRPr="003E2E63">
        <w:rPr>
          <w:color w:val="000000" w:themeColor="text1"/>
          <w:szCs w:val="28"/>
        </w:rPr>
        <w:t>no 2013. gada līdz 2015.</w:t>
      </w:r>
      <w:r w:rsidR="00E347C2" w:rsidRPr="003E2E63">
        <w:rPr>
          <w:color w:val="000000" w:themeColor="text1"/>
          <w:szCs w:val="28"/>
        </w:rPr>
        <w:t> </w:t>
      </w:r>
      <w:r w:rsidRPr="003E2E63">
        <w:rPr>
          <w:color w:val="000000" w:themeColor="text1"/>
          <w:szCs w:val="28"/>
        </w:rPr>
        <w:t xml:space="preserve">gadam   </w:t>
      </w:r>
    </w:p>
    <w:p w:rsidR="001C0297" w:rsidRPr="003E2E63" w:rsidRDefault="001C0297" w:rsidP="00C64408">
      <w:pPr>
        <w:spacing w:after="0" w:line="240" w:lineRule="auto"/>
        <w:ind w:firstLine="709"/>
        <w:jc w:val="both"/>
        <w:rPr>
          <w:color w:val="000000" w:themeColor="text1"/>
          <w:szCs w:val="28"/>
        </w:rPr>
      </w:pPr>
      <w:r w:rsidRPr="003E2E63">
        <w:rPr>
          <w:color w:val="000000" w:themeColor="text1"/>
          <w:szCs w:val="28"/>
        </w:rPr>
        <w:t>Lauku atbalsta dienesta administrētā Eiropas Savienības ELFLA apakšpasākuma „Enerģijas ražošana no lauksaimnieciskas un mežsaimnieciskas izcelsmes biomasas” ietvaros atbalstu saņēmuši 47 biogāzes staciju projekti ar kopējo elektrisko jaudu 45,232 MW</w:t>
      </w:r>
      <w:r w:rsidRPr="003E2E63">
        <w:rPr>
          <w:color w:val="000000" w:themeColor="text1"/>
          <w:szCs w:val="28"/>
          <w:vertAlign w:val="subscript"/>
        </w:rPr>
        <w:t>el</w:t>
      </w:r>
      <w:r w:rsidRPr="003E2E63">
        <w:rPr>
          <w:color w:val="000000" w:themeColor="text1"/>
          <w:szCs w:val="28"/>
        </w:rPr>
        <w:t>. Kopējā atbalsta summa LVL 36 892 552,46. No ELFLA atbalstu saņēmušajiem projektiem 19 saņem atbalstu arī MK noteikumu Nr.221 noteiktajā kārtībā, 28 projekti MK noteikumu Nr.262 noteiktajā kārtībā. 30 stacijas jau ir uzsākušas darbību, 2013.</w:t>
      </w:r>
      <w:r w:rsidR="00E347C2" w:rsidRPr="003E2E63">
        <w:rPr>
          <w:color w:val="000000" w:themeColor="text1"/>
          <w:szCs w:val="28"/>
        </w:rPr>
        <w:t> </w:t>
      </w:r>
      <w:r w:rsidRPr="003E2E63">
        <w:rPr>
          <w:color w:val="000000" w:themeColor="text1"/>
          <w:szCs w:val="28"/>
        </w:rPr>
        <w:t xml:space="preserve">gadā darbu uzsāks </w:t>
      </w:r>
      <w:r w:rsidRPr="003E2E63">
        <w:rPr>
          <w:color w:val="000000" w:themeColor="text1"/>
          <w:szCs w:val="28"/>
        </w:rPr>
        <w:lastRenderedPageBreak/>
        <w:t>3 stacijas, 2014.</w:t>
      </w:r>
      <w:r w:rsidR="00E347C2" w:rsidRPr="003E2E63">
        <w:rPr>
          <w:color w:val="000000" w:themeColor="text1"/>
          <w:szCs w:val="28"/>
        </w:rPr>
        <w:t> </w:t>
      </w:r>
      <w:r w:rsidRPr="003E2E63">
        <w:rPr>
          <w:color w:val="000000" w:themeColor="text1"/>
          <w:szCs w:val="28"/>
        </w:rPr>
        <w:t>gadā – 9 stacijas, 2015.</w:t>
      </w:r>
      <w:r w:rsidR="00E347C2" w:rsidRPr="003E2E63">
        <w:rPr>
          <w:color w:val="000000" w:themeColor="text1"/>
          <w:szCs w:val="28"/>
        </w:rPr>
        <w:t> </w:t>
      </w:r>
      <w:r w:rsidRPr="003E2E63">
        <w:rPr>
          <w:color w:val="000000" w:themeColor="text1"/>
          <w:szCs w:val="28"/>
        </w:rPr>
        <w:t xml:space="preserve">gadā </w:t>
      </w:r>
      <w:r w:rsidR="00E347C2" w:rsidRPr="003E2E63">
        <w:rPr>
          <w:color w:val="000000" w:themeColor="text1"/>
          <w:szCs w:val="28"/>
        </w:rPr>
        <w:t xml:space="preserve">– </w:t>
      </w:r>
      <w:r w:rsidRPr="003E2E63">
        <w:rPr>
          <w:color w:val="000000" w:themeColor="text1"/>
          <w:szCs w:val="28"/>
        </w:rPr>
        <w:t>3 stacijas un 2017.</w:t>
      </w:r>
      <w:r w:rsidR="00E347C2" w:rsidRPr="003E2E63">
        <w:rPr>
          <w:color w:val="000000" w:themeColor="text1"/>
          <w:szCs w:val="28"/>
        </w:rPr>
        <w:t> gadā –</w:t>
      </w:r>
      <w:r w:rsidRPr="003E2E63">
        <w:rPr>
          <w:color w:val="000000" w:themeColor="text1"/>
          <w:szCs w:val="28"/>
        </w:rPr>
        <w:t xml:space="preserve"> 2 stacijas.</w:t>
      </w:r>
    </w:p>
    <w:p w:rsidR="00592E43" w:rsidRPr="003E2E63" w:rsidRDefault="001C0297" w:rsidP="00C64408">
      <w:pPr>
        <w:spacing w:after="0" w:line="240" w:lineRule="auto"/>
        <w:jc w:val="both"/>
        <w:rPr>
          <w:color w:val="000000" w:themeColor="text1"/>
          <w:szCs w:val="28"/>
        </w:rPr>
      </w:pPr>
      <w:r w:rsidRPr="003E2E63">
        <w:rPr>
          <w:color w:val="000000" w:themeColor="text1"/>
          <w:szCs w:val="28"/>
        </w:rPr>
        <w:t xml:space="preserve">Klimata pārmaiņu finanšu instrumenta ietvaros </w:t>
      </w:r>
      <w:r w:rsidR="00BA6708" w:rsidRPr="003E2E63">
        <w:rPr>
          <w:color w:val="000000" w:themeColor="text1"/>
          <w:szCs w:val="28"/>
        </w:rPr>
        <w:t xml:space="preserve">rīkotajos konkursos </w:t>
      </w:r>
      <w:r w:rsidR="00C64408" w:rsidRPr="003E2E63">
        <w:rPr>
          <w:color w:val="000000" w:themeColor="text1"/>
          <w:szCs w:val="28"/>
        </w:rPr>
        <w:t>elektrostacijas, kas saražo elektroenerģiju</w:t>
      </w:r>
      <w:r w:rsidR="00EA4FC9">
        <w:rPr>
          <w:color w:val="000000" w:themeColor="text1"/>
          <w:szCs w:val="28"/>
        </w:rPr>
        <w:t>,</w:t>
      </w:r>
      <w:r w:rsidR="00C64408" w:rsidRPr="003E2E63">
        <w:rPr>
          <w:color w:val="000000" w:themeColor="text1"/>
          <w:szCs w:val="28"/>
        </w:rPr>
        <w:t xml:space="preserve"> izmantojot </w:t>
      </w:r>
      <w:r w:rsidR="00EA4FC9">
        <w:rPr>
          <w:color w:val="000000" w:themeColor="text1"/>
          <w:szCs w:val="28"/>
        </w:rPr>
        <w:t>AER</w:t>
      </w:r>
      <w:r w:rsidR="00B021D8" w:rsidRPr="003E2E63">
        <w:rPr>
          <w:color w:val="000000" w:themeColor="text1"/>
          <w:szCs w:val="28"/>
        </w:rPr>
        <w:t>,</w:t>
      </w:r>
      <w:r w:rsidR="00C64408" w:rsidRPr="003E2E63">
        <w:rPr>
          <w:color w:val="000000" w:themeColor="text1"/>
          <w:szCs w:val="28"/>
        </w:rPr>
        <w:t xml:space="preserve"> ir saņēmušas</w:t>
      </w:r>
      <w:r w:rsidRPr="003E2E63">
        <w:rPr>
          <w:color w:val="000000" w:themeColor="text1"/>
          <w:szCs w:val="28"/>
        </w:rPr>
        <w:t xml:space="preserve"> atbalstu par kopējo summu LVL 7 931 306,78 saņēmuši 11 projekti, kuros paredzēta tādu energoresursu izmantošana kā vējš, biomasa, šķelda un hidroresursi. Projektu kopējā plānotā elektriskā jauda 124,84 MW</w:t>
      </w:r>
      <w:r w:rsidRPr="003E2E63">
        <w:rPr>
          <w:color w:val="000000" w:themeColor="text1"/>
          <w:szCs w:val="28"/>
          <w:vertAlign w:val="subscript"/>
        </w:rPr>
        <w:t>el</w:t>
      </w:r>
      <w:r w:rsidRPr="003E2E63">
        <w:rPr>
          <w:color w:val="000000" w:themeColor="text1"/>
          <w:szCs w:val="28"/>
        </w:rPr>
        <w:t>. No Klimata pārmaiņu finanšu instrumenta atbalstu saņēmušajiem projektiem 6 saņem atbalstu arī MK noteikumu Nr.221 noteiktajā kārtībā, 5 projekti MK noteikumu Nr.262 noteiktajā kārtībā. 4 stacijas jau ir uzsākušas darbību, 2013.</w:t>
      </w:r>
      <w:r w:rsidR="00E347C2" w:rsidRPr="003E2E63">
        <w:rPr>
          <w:color w:val="000000" w:themeColor="text1"/>
          <w:szCs w:val="28"/>
        </w:rPr>
        <w:t xml:space="preserve"> </w:t>
      </w:r>
      <w:r w:rsidRPr="003E2E63">
        <w:rPr>
          <w:color w:val="000000" w:themeColor="text1"/>
          <w:szCs w:val="28"/>
        </w:rPr>
        <w:t>gadā darbu uzsāks 1 stacija, 2014.</w:t>
      </w:r>
      <w:r w:rsidR="00E347C2" w:rsidRPr="003E2E63">
        <w:rPr>
          <w:color w:val="000000" w:themeColor="text1"/>
          <w:szCs w:val="28"/>
        </w:rPr>
        <w:t> </w:t>
      </w:r>
      <w:r w:rsidRPr="003E2E63">
        <w:rPr>
          <w:color w:val="000000" w:themeColor="text1"/>
          <w:szCs w:val="28"/>
        </w:rPr>
        <w:t>gadā – 2 stacijas, 2015.</w:t>
      </w:r>
      <w:r w:rsidR="00E347C2" w:rsidRPr="003E2E63">
        <w:rPr>
          <w:color w:val="000000" w:themeColor="text1"/>
          <w:szCs w:val="28"/>
        </w:rPr>
        <w:t> </w:t>
      </w:r>
      <w:r w:rsidRPr="003E2E63">
        <w:rPr>
          <w:color w:val="000000" w:themeColor="text1"/>
          <w:szCs w:val="28"/>
        </w:rPr>
        <w:t xml:space="preserve">gadā </w:t>
      </w:r>
      <w:r w:rsidR="00E347C2" w:rsidRPr="003E2E63">
        <w:rPr>
          <w:color w:val="000000" w:themeColor="text1"/>
          <w:szCs w:val="28"/>
        </w:rPr>
        <w:t>–</w:t>
      </w:r>
      <w:r w:rsidRPr="003E2E63">
        <w:rPr>
          <w:color w:val="000000" w:themeColor="text1"/>
          <w:szCs w:val="28"/>
        </w:rPr>
        <w:t xml:space="preserve"> 1 stacija un 2017.</w:t>
      </w:r>
      <w:r w:rsidR="00E347C2" w:rsidRPr="003E2E63">
        <w:rPr>
          <w:color w:val="000000" w:themeColor="text1"/>
          <w:szCs w:val="28"/>
        </w:rPr>
        <w:t> </w:t>
      </w:r>
      <w:r w:rsidRPr="003E2E63">
        <w:rPr>
          <w:color w:val="000000" w:themeColor="text1"/>
          <w:szCs w:val="28"/>
        </w:rPr>
        <w:t xml:space="preserve">gadā </w:t>
      </w:r>
      <w:r w:rsidR="00E347C2" w:rsidRPr="003E2E63">
        <w:rPr>
          <w:color w:val="000000" w:themeColor="text1"/>
          <w:szCs w:val="28"/>
        </w:rPr>
        <w:t xml:space="preserve">– </w:t>
      </w:r>
      <w:r w:rsidRPr="003E2E63">
        <w:rPr>
          <w:color w:val="000000" w:themeColor="text1"/>
          <w:szCs w:val="28"/>
        </w:rPr>
        <w:t xml:space="preserve">3 stacijas. </w:t>
      </w:r>
    </w:p>
    <w:p w:rsidR="00790DBE" w:rsidRDefault="00790DBE" w:rsidP="00612B3C">
      <w:pPr>
        <w:pStyle w:val="Heading1"/>
        <w:spacing w:before="0" w:after="0"/>
        <w:jc w:val="both"/>
        <w:rPr>
          <w:color w:val="000000" w:themeColor="text1"/>
        </w:rPr>
      </w:pPr>
      <w:bookmarkStart w:id="10" w:name="_Toc351283062"/>
      <w:bookmarkStart w:id="11" w:name="_Toc352179318"/>
      <w:bookmarkStart w:id="12" w:name="_Toc349826035"/>
      <w:bookmarkStart w:id="13" w:name="_Toc349826100"/>
    </w:p>
    <w:p w:rsidR="00A8354A" w:rsidRDefault="0030630B" w:rsidP="00612B3C">
      <w:pPr>
        <w:pStyle w:val="Heading1"/>
        <w:spacing w:before="0" w:after="0"/>
        <w:jc w:val="both"/>
        <w:rPr>
          <w:color w:val="000000" w:themeColor="text1"/>
        </w:rPr>
      </w:pPr>
      <w:r w:rsidRPr="003E2E63">
        <w:rPr>
          <w:color w:val="000000" w:themeColor="text1"/>
        </w:rPr>
        <w:t>2</w:t>
      </w:r>
      <w:r w:rsidR="00ED4A76" w:rsidRPr="003E2E63">
        <w:rPr>
          <w:color w:val="000000" w:themeColor="text1"/>
        </w:rPr>
        <w:t xml:space="preserve">. </w:t>
      </w:r>
      <w:r w:rsidR="008467A5" w:rsidRPr="003E2E63">
        <w:rPr>
          <w:color w:val="000000" w:themeColor="text1"/>
        </w:rPr>
        <w:t>Rīcības plāna elektroenerģijas cenas pieauguma ierobežošanai apraksts</w:t>
      </w:r>
      <w:bookmarkEnd w:id="10"/>
      <w:bookmarkEnd w:id="11"/>
      <w:r w:rsidR="008467A5" w:rsidRPr="003E2E63">
        <w:rPr>
          <w:color w:val="000000" w:themeColor="text1"/>
        </w:rPr>
        <w:t xml:space="preserve"> </w:t>
      </w:r>
      <w:bookmarkEnd w:id="5"/>
      <w:bookmarkEnd w:id="12"/>
      <w:bookmarkEnd w:id="13"/>
    </w:p>
    <w:p w:rsidR="00612B3C" w:rsidRPr="00612B3C" w:rsidRDefault="00612B3C" w:rsidP="00612B3C"/>
    <w:p w:rsidR="00DA646B" w:rsidRPr="003E2E63" w:rsidRDefault="00ED4A76" w:rsidP="00896EA0">
      <w:pPr>
        <w:spacing w:after="0" w:line="240" w:lineRule="auto"/>
        <w:jc w:val="both"/>
        <w:rPr>
          <w:color w:val="000000" w:themeColor="text1"/>
          <w:szCs w:val="28"/>
        </w:rPr>
      </w:pPr>
      <w:r w:rsidRPr="003E2E63">
        <w:rPr>
          <w:color w:val="000000" w:themeColor="text1"/>
          <w:szCs w:val="28"/>
        </w:rPr>
        <w:t xml:space="preserve">Rīcības plāna mērķis ir </w:t>
      </w:r>
      <w:r w:rsidR="00ED7CDC">
        <w:rPr>
          <w:color w:val="000000" w:themeColor="text1"/>
          <w:szCs w:val="28"/>
        </w:rPr>
        <w:t xml:space="preserve">definēt </w:t>
      </w:r>
      <w:r w:rsidR="00EA4FC9">
        <w:rPr>
          <w:color w:val="000000" w:themeColor="text1"/>
          <w:szCs w:val="28"/>
        </w:rPr>
        <w:t xml:space="preserve">pasākumus elektroenerģijas kopējās cenas pieauguma risku ierobežošanai, proti, </w:t>
      </w:r>
      <w:r w:rsidRPr="003E2E63">
        <w:rPr>
          <w:color w:val="000000" w:themeColor="text1"/>
          <w:szCs w:val="28"/>
        </w:rPr>
        <w:t xml:space="preserve">nepieļaut subsidētās elektroenerģijas izmaksu turpmāku pieaugumu </w:t>
      </w:r>
      <w:r w:rsidR="003D3A27" w:rsidRPr="003E2E63">
        <w:rPr>
          <w:color w:val="000000" w:themeColor="text1"/>
          <w:szCs w:val="28"/>
        </w:rPr>
        <w:t>elektroenerģijas lietotājiem</w:t>
      </w:r>
      <w:r w:rsidRPr="003E2E63">
        <w:rPr>
          <w:color w:val="000000" w:themeColor="text1"/>
          <w:szCs w:val="28"/>
        </w:rPr>
        <w:t xml:space="preserve">, lai nevairotu nabadzību un negrautu ekonomikas konkurētspēju. </w:t>
      </w:r>
    </w:p>
    <w:p w:rsidR="006F1B63" w:rsidRPr="003E2E63" w:rsidRDefault="006F1B63" w:rsidP="006F1B63">
      <w:pPr>
        <w:pStyle w:val="Heading2"/>
        <w:numPr>
          <w:ilvl w:val="1"/>
          <w:numId w:val="12"/>
        </w:numPr>
        <w:rPr>
          <w:color w:val="000000" w:themeColor="text1"/>
        </w:rPr>
      </w:pPr>
      <w:bookmarkStart w:id="14" w:name="_Toc351283068"/>
      <w:bookmarkStart w:id="15" w:name="_Toc352179319"/>
      <w:bookmarkStart w:id="16" w:name="_Toc349826038"/>
      <w:bookmarkStart w:id="17" w:name="_Toc349826103"/>
      <w:bookmarkStart w:id="18" w:name="_Toc350183112"/>
      <w:bookmarkStart w:id="19" w:name="_Toc351283063"/>
      <w:r w:rsidRPr="003E2E63">
        <w:rPr>
          <w:color w:val="000000" w:themeColor="text1"/>
        </w:rPr>
        <w:t>Atbalsta ap</w:t>
      </w:r>
      <w:r w:rsidRPr="003E2E63">
        <w:rPr>
          <w:rStyle w:val="Heading2Char"/>
          <w:color w:val="000000" w:themeColor="text1"/>
        </w:rPr>
        <w:t>j</w:t>
      </w:r>
      <w:r w:rsidRPr="003E2E63">
        <w:rPr>
          <w:color w:val="000000" w:themeColor="text1"/>
        </w:rPr>
        <w:t xml:space="preserve">oma izvērtēšana </w:t>
      </w:r>
      <w:bookmarkEnd w:id="14"/>
      <w:r>
        <w:rPr>
          <w:color w:val="000000" w:themeColor="text1"/>
        </w:rPr>
        <w:t>dabasgāzes koģenerācijas stacijām līdz 4MW un AER stacijām</w:t>
      </w:r>
      <w:bookmarkEnd w:id="15"/>
      <w:r>
        <w:rPr>
          <w:color w:val="000000" w:themeColor="text1"/>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104"/>
      </w:tblGrid>
      <w:tr w:rsidR="006F1B63" w:rsidRPr="003E2E63" w:rsidTr="00BC723A">
        <w:trPr>
          <w:trHeight w:val="657"/>
        </w:trPr>
        <w:tc>
          <w:tcPr>
            <w:tcW w:w="9104" w:type="dxa"/>
          </w:tcPr>
          <w:p w:rsidR="00EC1C30" w:rsidRDefault="006F1B63" w:rsidP="00EC1C30">
            <w:pPr>
              <w:spacing w:after="0" w:line="240" w:lineRule="auto"/>
              <w:jc w:val="both"/>
              <w:rPr>
                <w:rFonts w:eastAsia="Calibri"/>
                <w:color w:val="000000" w:themeColor="text1"/>
                <w:szCs w:val="28"/>
              </w:rPr>
            </w:pPr>
            <w:r w:rsidRPr="003E2E63">
              <w:rPr>
                <w:color w:val="000000" w:themeColor="text1"/>
                <w:szCs w:val="28"/>
              </w:rPr>
              <w:t xml:space="preserve">Lai noteiktu adekvātu atbalsta intensitāti, nepieciešams izvērtēt esošā elektroenerģijas, kas ražota no </w:t>
            </w:r>
            <w:r>
              <w:rPr>
                <w:color w:val="000000" w:themeColor="text1"/>
                <w:szCs w:val="28"/>
              </w:rPr>
              <w:t>AER</w:t>
            </w:r>
            <w:r w:rsidRPr="003E2E63">
              <w:rPr>
                <w:color w:val="000000" w:themeColor="text1"/>
                <w:szCs w:val="28"/>
              </w:rPr>
              <w:t xml:space="preserve"> un efektīvā koģenerācijā, reālās izmaksas un atbilstošo atbalsta intensitāti. Ekonomikas ministrija </w:t>
            </w:r>
            <w:r w:rsidR="00790DBE">
              <w:rPr>
                <w:color w:val="000000" w:themeColor="text1"/>
                <w:szCs w:val="28"/>
              </w:rPr>
              <w:t xml:space="preserve">2013.gada martā </w:t>
            </w:r>
            <w:r w:rsidRPr="003E2E63">
              <w:rPr>
                <w:color w:val="000000" w:themeColor="text1"/>
                <w:szCs w:val="28"/>
              </w:rPr>
              <w:t>organizē</w:t>
            </w:r>
            <w:r>
              <w:rPr>
                <w:color w:val="000000" w:themeColor="text1"/>
                <w:szCs w:val="28"/>
              </w:rPr>
              <w:t>ja</w:t>
            </w:r>
            <w:r w:rsidRPr="003E2E63">
              <w:rPr>
                <w:color w:val="000000" w:themeColor="text1"/>
                <w:szCs w:val="28"/>
              </w:rPr>
              <w:t xml:space="preserve"> iepirkumu </w:t>
            </w:r>
            <w:r w:rsidR="00790DBE">
              <w:rPr>
                <w:color w:val="000000" w:themeColor="text1"/>
                <w:szCs w:val="28"/>
              </w:rPr>
              <w:t xml:space="preserve">par pētījuma veikšanu, kura </w:t>
            </w:r>
            <w:r w:rsidRPr="003E2E63">
              <w:rPr>
                <w:color w:val="000000" w:themeColor="text1"/>
                <w:szCs w:val="28"/>
              </w:rPr>
              <w:t>mērķi</w:t>
            </w:r>
            <w:r w:rsidR="00790DBE">
              <w:rPr>
                <w:color w:val="000000" w:themeColor="text1"/>
                <w:szCs w:val="28"/>
              </w:rPr>
              <w:t>s ir</w:t>
            </w:r>
            <w:r w:rsidRPr="003E2E63">
              <w:rPr>
                <w:color w:val="000000" w:themeColor="text1"/>
                <w:szCs w:val="28"/>
              </w:rPr>
              <w:t xml:space="preserve"> nodrošināt detalizētu informatīvo bāzi kvalitatīva Rīcības plāna un jauna atbalsta mehānisma izstrādei.</w:t>
            </w:r>
            <w:r w:rsidRPr="003E2E63">
              <w:rPr>
                <w:rFonts w:eastAsia="Calibri"/>
                <w:color w:val="000000" w:themeColor="text1"/>
                <w:szCs w:val="28"/>
              </w:rPr>
              <w:t xml:space="preserve"> Darba gaitā paredzēta tirgus izpēte un esošā atbalsta intensitātes analīze stacijām, kas elektroenerģiju ražo gan no atjaunojamiem, gan no fosilajiem energoresursiem. Ņemot vērā esošā atbalsta intensitātes analīzes rezultātus, tiks vērtēta formulu pamatotība obligātā iepirkuma ietvaros iepērkamās elektroenerģijas cenas un garantētās maksas par elektrostacijā uzstādīto elektrisko jaudu noteikšanai (MK noteikumi Nr.221 un MK noteikumi Nr.262), tajā skaitā formulu piesaiste dabasgāzes cenai, cenas diferencēšanas koeficienta nepieciešamība, jaudas un enerģijas komponentes sadalījuma pamatotība </w:t>
            </w:r>
            <w:proofErr w:type="spellStart"/>
            <w:r w:rsidRPr="003E2E63">
              <w:rPr>
                <w:rFonts w:eastAsia="Calibri"/>
                <w:color w:val="000000" w:themeColor="text1"/>
                <w:szCs w:val="28"/>
              </w:rPr>
              <w:t>u.c</w:t>
            </w:r>
            <w:proofErr w:type="spellEnd"/>
            <w:r w:rsidRPr="003E2E63">
              <w:rPr>
                <w:rFonts w:eastAsia="Calibri"/>
                <w:color w:val="000000" w:themeColor="text1"/>
                <w:szCs w:val="28"/>
              </w:rPr>
              <w:t>. nosacījumi.</w:t>
            </w:r>
            <w:r w:rsidR="00EC1C30">
              <w:rPr>
                <w:rFonts w:eastAsia="Calibri"/>
                <w:color w:val="000000" w:themeColor="text1"/>
                <w:szCs w:val="28"/>
              </w:rPr>
              <w:t xml:space="preserve"> </w:t>
            </w:r>
            <w:r w:rsidRPr="003E2E63">
              <w:rPr>
                <w:rFonts w:eastAsia="Calibri"/>
                <w:color w:val="000000" w:themeColor="text1"/>
                <w:szCs w:val="28"/>
              </w:rPr>
              <w:t>Nepieciešamības gadījumā tiks ierosināti grozījumi MK noteikumos Nr.221 un MK noteikumos Nr.262 definētajās atbalsta intensitātes formulās</w:t>
            </w:r>
            <w:r w:rsidR="00EC1C30">
              <w:rPr>
                <w:rFonts w:eastAsia="Calibri"/>
                <w:color w:val="000000" w:themeColor="text1"/>
                <w:szCs w:val="28"/>
              </w:rPr>
              <w:t xml:space="preserve">, tajā skaitā attiecībā uz to atsaistīšanu no  </w:t>
            </w:r>
            <w:r w:rsidR="00EC1C30">
              <w:rPr>
                <w:rFonts w:eastAsia="Calibri"/>
                <w:szCs w:val="28"/>
              </w:rPr>
              <w:t>dabasgāzes cenas.</w:t>
            </w:r>
          </w:p>
          <w:p w:rsidR="006F1B63" w:rsidRPr="002B5C3D" w:rsidRDefault="006F1B63" w:rsidP="00EC1C30">
            <w:pPr>
              <w:spacing w:after="0" w:line="240" w:lineRule="auto"/>
              <w:jc w:val="both"/>
              <w:rPr>
                <w:rFonts w:eastAsia="Calibri"/>
                <w:color w:val="000000" w:themeColor="text1"/>
                <w:szCs w:val="28"/>
              </w:rPr>
            </w:pPr>
            <w:r>
              <w:rPr>
                <w:rFonts w:eastAsia="Calibri"/>
                <w:color w:val="000000" w:themeColor="text1"/>
                <w:szCs w:val="28"/>
              </w:rPr>
              <w:t xml:space="preserve">Veicot revīziju Ekonomikas ministrijā par obligātu elektroenerģijas iepirkumu, Valsts kontrole ir norādījusi, ka aprēķināmais atbalsts ievērojami </w:t>
            </w:r>
            <w:r>
              <w:rPr>
                <w:rFonts w:eastAsia="Calibri"/>
                <w:color w:val="000000" w:themeColor="text1"/>
                <w:szCs w:val="28"/>
              </w:rPr>
              <w:lastRenderedPageBreak/>
              <w:t>pārsniedz</w:t>
            </w:r>
            <w:r w:rsidR="00EC1C30">
              <w:rPr>
                <w:rFonts w:eastAsia="Calibri"/>
                <w:color w:val="000000" w:themeColor="text1"/>
                <w:szCs w:val="28"/>
              </w:rPr>
              <w:t xml:space="preserve"> izdevumus, kas</w:t>
            </w:r>
            <w:r>
              <w:rPr>
                <w:rFonts w:eastAsia="Calibri"/>
                <w:color w:val="000000" w:themeColor="text1"/>
                <w:szCs w:val="28"/>
              </w:rPr>
              <w:t xml:space="preserve"> </w:t>
            </w:r>
            <w:r w:rsidR="00EC1C30">
              <w:rPr>
                <w:rFonts w:eastAsia="Calibri"/>
                <w:color w:val="000000" w:themeColor="text1"/>
                <w:szCs w:val="28"/>
              </w:rPr>
              <w:t xml:space="preserve">nepieciešami  veikto kapitālieguldījumu </w:t>
            </w:r>
            <w:r>
              <w:rPr>
                <w:rFonts w:eastAsia="Calibri"/>
                <w:color w:val="000000" w:themeColor="text1"/>
                <w:szCs w:val="28"/>
              </w:rPr>
              <w:t>atmaksa</w:t>
            </w:r>
            <w:r w:rsidR="00EC1C30">
              <w:rPr>
                <w:rFonts w:eastAsia="Calibri"/>
                <w:color w:val="000000" w:themeColor="text1"/>
                <w:szCs w:val="28"/>
              </w:rPr>
              <w:t>i</w:t>
            </w:r>
            <w:r>
              <w:rPr>
                <w:rFonts w:eastAsia="Calibri"/>
                <w:color w:val="000000" w:themeColor="text1"/>
                <w:szCs w:val="28"/>
              </w:rPr>
              <w:t xml:space="preserve">. </w:t>
            </w:r>
          </w:p>
        </w:tc>
      </w:tr>
    </w:tbl>
    <w:bookmarkEnd w:id="16"/>
    <w:bookmarkEnd w:id="17"/>
    <w:bookmarkEnd w:id="18"/>
    <w:p w:rsidR="006F1B63" w:rsidRPr="003E2E63" w:rsidRDefault="00F00FBD" w:rsidP="006F1B63">
      <w:pPr>
        <w:spacing w:after="0" w:line="240" w:lineRule="auto"/>
        <w:jc w:val="both"/>
        <w:rPr>
          <w:rFonts w:eastAsia="Calibri"/>
          <w:color w:val="000000" w:themeColor="text1"/>
          <w:szCs w:val="28"/>
        </w:rPr>
      </w:pPr>
      <w:r>
        <w:rPr>
          <w:rFonts w:eastAsia="Calibri"/>
          <w:color w:val="000000" w:themeColor="text1"/>
          <w:szCs w:val="28"/>
        </w:rPr>
        <w:lastRenderedPageBreak/>
        <w:t xml:space="preserve">Kā minēts 1.2. nodaļā, </w:t>
      </w:r>
      <w:r w:rsidR="006F1B63" w:rsidRPr="003E2E63">
        <w:rPr>
          <w:rFonts w:eastAsia="Calibri"/>
          <w:color w:val="000000" w:themeColor="text1"/>
          <w:szCs w:val="28"/>
        </w:rPr>
        <w:t xml:space="preserve">daļa komersantu papildus obligātajam elektroenerģijas iepirkumam ir saņēmuši arī investīciju atbalstu, kā piemēram: </w:t>
      </w:r>
    </w:p>
    <w:p w:rsidR="006F1B63" w:rsidRPr="003E2E63" w:rsidRDefault="006F1B63" w:rsidP="006F1B63">
      <w:pPr>
        <w:numPr>
          <w:ilvl w:val="0"/>
          <w:numId w:val="2"/>
        </w:numPr>
        <w:tabs>
          <w:tab w:val="left" w:pos="851"/>
        </w:tabs>
        <w:spacing w:after="0" w:line="240" w:lineRule="auto"/>
        <w:ind w:left="0" w:firstLine="491"/>
        <w:jc w:val="both"/>
        <w:rPr>
          <w:color w:val="000000" w:themeColor="text1"/>
          <w:szCs w:val="28"/>
        </w:rPr>
      </w:pPr>
      <w:r w:rsidRPr="003E2E63">
        <w:rPr>
          <w:color w:val="000000" w:themeColor="text1"/>
          <w:szCs w:val="28"/>
        </w:rPr>
        <w:t>KPFI ietvaros;</w:t>
      </w:r>
    </w:p>
    <w:p w:rsidR="006F1B63" w:rsidRPr="003E2E63" w:rsidRDefault="006F1B63" w:rsidP="006F1B63">
      <w:pPr>
        <w:numPr>
          <w:ilvl w:val="0"/>
          <w:numId w:val="2"/>
        </w:numPr>
        <w:tabs>
          <w:tab w:val="left" w:pos="851"/>
        </w:tabs>
        <w:spacing w:after="0" w:line="240" w:lineRule="auto"/>
        <w:ind w:left="0" w:firstLine="491"/>
        <w:jc w:val="both"/>
        <w:rPr>
          <w:color w:val="000000" w:themeColor="text1"/>
          <w:szCs w:val="28"/>
        </w:rPr>
      </w:pPr>
      <w:r w:rsidRPr="003E2E63">
        <w:rPr>
          <w:color w:val="000000" w:themeColor="text1"/>
          <w:szCs w:val="28"/>
        </w:rPr>
        <w:t>LAD administrētās lauku attīstības programmas 2007.-2013.</w:t>
      </w:r>
      <w:r>
        <w:rPr>
          <w:color w:val="000000" w:themeColor="text1"/>
          <w:szCs w:val="28"/>
        </w:rPr>
        <w:t> </w:t>
      </w:r>
      <w:r w:rsidRPr="003E2E63">
        <w:rPr>
          <w:color w:val="000000" w:themeColor="text1"/>
          <w:szCs w:val="28"/>
        </w:rPr>
        <w:t>gadam esošā apakšpasākumā „Enerģijas ražošana no lauksaimnieciskas un mežsaimnieciskas izcelsmes biomasas” ietvaros ;</w:t>
      </w:r>
    </w:p>
    <w:p w:rsidR="006F1B63" w:rsidRPr="003E2E63" w:rsidRDefault="006F1B63" w:rsidP="006F1B63">
      <w:pPr>
        <w:numPr>
          <w:ilvl w:val="0"/>
          <w:numId w:val="2"/>
        </w:numPr>
        <w:tabs>
          <w:tab w:val="left" w:pos="851"/>
        </w:tabs>
        <w:spacing w:after="0" w:line="240" w:lineRule="auto"/>
        <w:ind w:left="0" w:firstLine="491"/>
        <w:jc w:val="both"/>
        <w:rPr>
          <w:color w:val="000000" w:themeColor="text1"/>
          <w:szCs w:val="28"/>
        </w:rPr>
      </w:pPr>
      <w:r>
        <w:rPr>
          <w:color w:val="000000" w:themeColor="text1"/>
          <w:szCs w:val="28"/>
        </w:rPr>
        <w:t>ES</w:t>
      </w:r>
      <w:r w:rsidRPr="003E2E63">
        <w:rPr>
          <w:color w:val="000000" w:themeColor="text1"/>
          <w:szCs w:val="28"/>
        </w:rPr>
        <w:t xml:space="preserve"> Kohēzijas fonda darbības programmas „Infrastruktūra un pakalpojumi” papildinājuma 3.5.2.2.</w:t>
      </w:r>
      <w:r>
        <w:rPr>
          <w:color w:val="000000" w:themeColor="text1"/>
          <w:szCs w:val="28"/>
        </w:rPr>
        <w:t> </w:t>
      </w:r>
      <w:r w:rsidRPr="003E2E63" w:rsidDel="000052B9">
        <w:rPr>
          <w:color w:val="000000" w:themeColor="text1"/>
          <w:szCs w:val="28"/>
        </w:rPr>
        <w:t xml:space="preserve"> </w:t>
      </w:r>
      <w:r w:rsidRPr="003E2E63">
        <w:rPr>
          <w:color w:val="000000" w:themeColor="text1"/>
          <w:szCs w:val="28"/>
        </w:rPr>
        <w:t>aktivitātes „Atjaunojamo energoresursu izmantojošu koģenerācijas elektrostaciju attīstība” ietvaros.</w:t>
      </w:r>
    </w:p>
    <w:p w:rsidR="006F1B63" w:rsidRPr="003E2E63" w:rsidRDefault="006F1B63" w:rsidP="006F1B63">
      <w:pPr>
        <w:spacing w:after="0" w:line="240" w:lineRule="auto"/>
        <w:ind w:firstLine="851"/>
        <w:jc w:val="both"/>
        <w:rPr>
          <w:color w:val="000000" w:themeColor="text1"/>
          <w:szCs w:val="28"/>
        </w:rPr>
      </w:pPr>
      <w:r w:rsidRPr="003E2E63">
        <w:rPr>
          <w:color w:val="000000" w:themeColor="text1"/>
          <w:szCs w:val="28"/>
        </w:rPr>
        <w:t xml:space="preserve">Uzņēmumiem, kas saņēmuši gan investīciju atbalstu, gan darbības atbalstu tiks samazināta atbalsta intensitāte, nodrošinot to, ka elektroenerģijas ražotāji, kuri saņem atbalstu no dažādiem finanšu instrumentiem un dažādiem atbalsta mehānismiem, netiek pārsubsidēti, tas ir, kopējais atbalsts sedz ražotāja ekonomiski pamatotās izmaksas un nodrošina tā turpmāku attīstību, kā arī atbilstību valsta atbalsta noteikumiem tādejādi, nodrošinot godīgu konkurenci uzņēmēju starpā. </w:t>
      </w:r>
    </w:p>
    <w:p w:rsidR="006F1B63" w:rsidRPr="00612B3C" w:rsidRDefault="006F1B63" w:rsidP="006F1B63">
      <w:pPr>
        <w:spacing w:after="0" w:line="240" w:lineRule="auto"/>
        <w:jc w:val="both"/>
        <w:rPr>
          <w:rFonts w:eastAsiaTheme="minorHAnsi"/>
          <w:color w:val="000000" w:themeColor="text1"/>
          <w:szCs w:val="28"/>
          <w:lang w:eastAsia="en-US"/>
        </w:rPr>
      </w:pPr>
      <w:r w:rsidRPr="003E2E63">
        <w:rPr>
          <w:rFonts w:eastAsiaTheme="minorHAnsi"/>
          <w:color w:val="000000" w:themeColor="text1"/>
          <w:szCs w:val="28"/>
          <w:lang w:eastAsia="en-US"/>
        </w:rPr>
        <w:t>Līdz 2014.</w:t>
      </w:r>
      <w:r>
        <w:rPr>
          <w:rFonts w:eastAsiaTheme="minorHAnsi"/>
          <w:color w:val="000000" w:themeColor="text1"/>
          <w:szCs w:val="28"/>
          <w:lang w:eastAsia="en-US"/>
        </w:rPr>
        <w:t> </w:t>
      </w:r>
      <w:r w:rsidRPr="003E2E63">
        <w:rPr>
          <w:rFonts w:eastAsiaTheme="minorHAnsi"/>
          <w:color w:val="000000" w:themeColor="text1"/>
          <w:szCs w:val="28"/>
          <w:lang w:eastAsia="en-US"/>
        </w:rPr>
        <w:t xml:space="preserve">gadam darbu būs uzsākušas 24 elektrostacijas, kuru par saņemto atbalstu izveidoto pamatlīdzekļu gada nolietojuma summa </w:t>
      </w:r>
      <w:r>
        <w:rPr>
          <w:rFonts w:eastAsiaTheme="minorHAnsi"/>
          <w:color w:val="000000" w:themeColor="text1"/>
          <w:szCs w:val="28"/>
          <w:lang w:eastAsia="en-US"/>
        </w:rPr>
        <w:t xml:space="preserve">laika periodā </w:t>
      </w:r>
      <w:r w:rsidRPr="003E2E63">
        <w:rPr>
          <w:rFonts w:eastAsiaTheme="minorHAnsi"/>
          <w:color w:val="000000" w:themeColor="text1"/>
          <w:szCs w:val="28"/>
          <w:lang w:eastAsia="en-US"/>
        </w:rPr>
        <w:t>no 2008.</w:t>
      </w:r>
      <w:r>
        <w:rPr>
          <w:rFonts w:eastAsiaTheme="minorHAnsi"/>
          <w:color w:val="000000" w:themeColor="text1"/>
          <w:szCs w:val="28"/>
          <w:lang w:eastAsia="en-US"/>
        </w:rPr>
        <w:t> </w:t>
      </w:r>
      <w:r w:rsidRPr="003E2E63">
        <w:rPr>
          <w:rFonts w:eastAsiaTheme="minorHAnsi"/>
          <w:color w:val="000000" w:themeColor="text1"/>
          <w:szCs w:val="28"/>
          <w:lang w:eastAsia="en-US"/>
        </w:rPr>
        <w:t>gada līdz 2014.</w:t>
      </w:r>
      <w:r>
        <w:rPr>
          <w:rFonts w:eastAsiaTheme="minorHAnsi"/>
          <w:color w:val="000000" w:themeColor="text1"/>
          <w:szCs w:val="28"/>
          <w:lang w:eastAsia="en-US"/>
        </w:rPr>
        <w:t> </w:t>
      </w:r>
      <w:r w:rsidRPr="003E2E63">
        <w:rPr>
          <w:rFonts w:eastAsiaTheme="minorHAnsi"/>
          <w:color w:val="000000" w:themeColor="text1"/>
          <w:szCs w:val="28"/>
          <w:lang w:eastAsia="en-US"/>
        </w:rPr>
        <w:t xml:space="preserve">gadam </w:t>
      </w:r>
      <w:r>
        <w:rPr>
          <w:rFonts w:eastAsiaTheme="minorHAnsi"/>
          <w:color w:val="000000" w:themeColor="text1"/>
          <w:szCs w:val="28"/>
          <w:lang w:eastAsia="en-US"/>
        </w:rPr>
        <w:t xml:space="preserve">veido </w:t>
      </w:r>
      <w:r w:rsidRPr="003E2E63">
        <w:rPr>
          <w:rFonts w:eastAsiaTheme="minorHAnsi"/>
          <w:color w:val="000000" w:themeColor="text1"/>
          <w:szCs w:val="28"/>
          <w:lang w:eastAsia="en-US"/>
        </w:rPr>
        <w:t xml:space="preserve">8,31 </w:t>
      </w:r>
      <w:proofErr w:type="spellStart"/>
      <w:r w:rsidRPr="003E2E63">
        <w:rPr>
          <w:rFonts w:eastAsiaTheme="minorHAnsi"/>
          <w:color w:val="000000" w:themeColor="text1"/>
          <w:szCs w:val="28"/>
          <w:lang w:eastAsia="en-US"/>
        </w:rPr>
        <w:t>milj</w:t>
      </w:r>
      <w:proofErr w:type="spellEnd"/>
      <w:r w:rsidRPr="003E2E63">
        <w:rPr>
          <w:rFonts w:eastAsiaTheme="minorHAnsi"/>
          <w:color w:val="000000" w:themeColor="text1"/>
          <w:szCs w:val="28"/>
          <w:lang w:eastAsia="en-US"/>
        </w:rPr>
        <w:t xml:space="preserve">. LVL. Lai neradītu nevienlīdzīgu attieksmi, nosakot tiešā atbalsta likmi, minētajām elektrostacijām būtu jāpiemēro </w:t>
      </w:r>
      <w:r w:rsidRPr="00612B3C">
        <w:rPr>
          <w:rFonts w:eastAsiaTheme="minorHAnsi"/>
          <w:color w:val="000000" w:themeColor="text1"/>
          <w:szCs w:val="28"/>
          <w:lang w:eastAsia="en-US"/>
        </w:rPr>
        <w:t>modificēta tiešā atbalsta noteikšanas formula.</w:t>
      </w:r>
    </w:p>
    <w:p w:rsidR="006F1B63" w:rsidRDefault="006F1B63" w:rsidP="006F1B63">
      <w:pPr>
        <w:spacing w:after="0" w:line="240" w:lineRule="auto"/>
        <w:ind w:firstLine="851"/>
        <w:jc w:val="both"/>
        <w:rPr>
          <w:color w:val="000000" w:themeColor="text1"/>
          <w:szCs w:val="28"/>
        </w:rPr>
      </w:pPr>
      <w:r w:rsidRPr="00612B3C">
        <w:rPr>
          <w:color w:val="000000" w:themeColor="text1"/>
          <w:szCs w:val="28"/>
        </w:rPr>
        <w:t xml:space="preserve">Pēc Ekonomikas ministrijas pasūtītā pētījuma veikšanas par </w:t>
      </w:r>
      <w:r w:rsidRPr="00612B3C">
        <w:rPr>
          <w:szCs w:val="28"/>
        </w:rPr>
        <w:t>elektroenerģijas, kas ražota no AER un koģenerācijā, atbalsta izvērtējumu un priekšlikumiem atbalsta uzlabošanai</w:t>
      </w:r>
      <w:r>
        <w:rPr>
          <w:color w:val="000000" w:themeColor="text1"/>
          <w:szCs w:val="28"/>
        </w:rPr>
        <w:t>, nepieciešamības gadījumā t</w:t>
      </w:r>
      <w:r w:rsidRPr="003E2E63">
        <w:rPr>
          <w:color w:val="000000" w:themeColor="text1"/>
          <w:szCs w:val="28"/>
        </w:rPr>
        <w:t>iks izstrādāti grozījumi MK noteikumos Nr.</w:t>
      </w:r>
      <w:r>
        <w:rPr>
          <w:color w:val="000000" w:themeColor="text1"/>
          <w:szCs w:val="28"/>
        </w:rPr>
        <w:t>221</w:t>
      </w:r>
      <w:r w:rsidRPr="003E2E63">
        <w:rPr>
          <w:color w:val="000000" w:themeColor="text1"/>
          <w:szCs w:val="28"/>
        </w:rPr>
        <w:t xml:space="preserve"> un MK noteikumos Nr.</w:t>
      </w:r>
      <w:r>
        <w:rPr>
          <w:color w:val="000000" w:themeColor="text1"/>
          <w:szCs w:val="28"/>
        </w:rPr>
        <w:t>262</w:t>
      </w:r>
      <w:r w:rsidRPr="003E2E63">
        <w:rPr>
          <w:color w:val="000000" w:themeColor="text1"/>
          <w:szCs w:val="28"/>
        </w:rPr>
        <w:t xml:space="preserve">, kas paredz kārtību, kādā aprēķināms atbalsts, ja </w:t>
      </w:r>
      <w:r>
        <w:rPr>
          <w:color w:val="000000" w:themeColor="text1"/>
          <w:szCs w:val="28"/>
        </w:rPr>
        <w:t xml:space="preserve">ir </w:t>
      </w:r>
      <w:r w:rsidRPr="003E2E63">
        <w:rPr>
          <w:color w:val="000000" w:themeColor="text1"/>
          <w:szCs w:val="28"/>
        </w:rPr>
        <w:t xml:space="preserve">saņemts investīciju atbalsts citu programmu ietvaros. </w:t>
      </w:r>
    </w:p>
    <w:p w:rsidR="006F1B63" w:rsidRDefault="006F1B63" w:rsidP="006F1B63">
      <w:pPr>
        <w:spacing w:after="0" w:line="240" w:lineRule="auto"/>
        <w:ind w:firstLine="851"/>
        <w:jc w:val="both"/>
        <w:rPr>
          <w:color w:val="000000" w:themeColor="text1"/>
          <w:szCs w:val="28"/>
        </w:rPr>
      </w:pPr>
      <w:r>
        <w:rPr>
          <w:color w:val="000000" w:themeColor="text1"/>
          <w:szCs w:val="28"/>
        </w:rPr>
        <w:t xml:space="preserve">Jau pašlaik Ekonomikas ministrija uzrauga, lai elektroenerģijas ražotājiem netiktu segtas gan investīciju izmaksas, gan pašreizējās izmaksas, vienlaicīgi. Piemēram, Ekonomikas ministrija 2013. gada 4. februārī, sniedzot atzinumu par Vides aizsardzības un reģionālās attīstības ministrijas sagatavoto </w:t>
      </w:r>
      <w:r w:rsidRPr="00EC185C">
        <w:rPr>
          <w:color w:val="000000" w:themeColor="text1"/>
          <w:szCs w:val="28"/>
        </w:rPr>
        <w:t xml:space="preserve">Ministru kabineta noteikumu projektu „Grozījumi Ministru kabineta 2012. gada 14. augusta noteikumos </w:t>
      </w:r>
      <w:proofErr w:type="spellStart"/>
      <w:r w:rsidRPr="00EC185C">
        <w:rPr>
          <w:color w:val="000000" w:themeColor="text1"/>
          <w:szCs w:val="28"/>
        </w:rPr>
        <w:t>Nr</w:t>
      </w:r>
      <w:proofErr w:type="spellEnd"/>
      <w:r w:rsidRPr="00EC185C">
        <w:rPr>
          <w:color w:val="000000" w:themeColor="text1"/>
          <w:szCs w:val="28"/>
        </w:rPr>
        <w:t>. 559 „Klimata pārmaiņu finanšu instrumenta finansēto projektu atklāta konkursa „Kompleksi risinājumi siltumnīcefekta gāzu emisiju samazināšanai” nolikums”” (VSS-32) 2013. gada 4. februārī izteica iebildumu, ka konkursa ietvaros nevar pretendēt komersanti, kas ir ieguvuši tiesības pārdot saražoto elektroenerģiju obligātā iepirkuma ietvaros.</w:t>
      </w:r>
    </w:p>
    <w:p w:rsidR="000020FB" w:rsidRDefault="000020FB" w:rsidP="006F1B63">
      <w:pPr>
        <w:spacing w:after="0" w:line="240" w:lineRule="auto"/>
        <w:ind w:firstLine="851"/>
        <w:jc w:val="both"/>
        <w:rPr>
          <w:color w:val="000000" w:themeColor="text1"/>
          <w:szCs w:val="28"/>
        </w:rPr>
      </w:pPr>
      <w:r w:rsidRPr="000020FB">
        <w:rPr>
          <w:color w:val="000000" w:themeColor="text1"/>
          <w:szCs w:val="28"/>
        </w:rPr>
        <w:t>Lai pilnvērtīgi veikt</w:t>
      </w:r>
      <w:r w:rsidR="00ED7CDC">
        <w:rPr>
          <w:color w:val="000000" w:themeColor="text1"/>
          <w:szCs w:val="28"/>
        </w:rPr>
        <w:t>u</w:t>
      </w:r>
      <w:r w:rsidRPr="000020FB">
        <w:rPr>
          <w:color w:val="000000" w:themeColor="text1"/>
          <w:szCs w:val="28"/>
        </w:rPr>
        <w:t xml:space="preserve"> juridiskās situācijas analīzi un izstrādātu specifisku tiesiskā regulējumu ietvaru, </w:t>
      </w:r>
      <w:r w:rsidR="00ED7CDC">
        <w:rPr>
          <w:color w:val="000000" w:themeColor="text1"/>
          <w:szCs w:val="28"/>
        </w:rPr>
        <w:t>p</w:t>
      </w:r>
      <w:r w:rsidRPr="000020FB">
        <w:rPr>
          <w:color w:val="000000" w:themeColor="text1"/>
          <w:szCs w:val="28"/>
        </w:rPr>
        <w:t>akalpojuma nodrošināšanai nepieciešam</w:t>
      </w:r>
      <w:r w:rsidR="00ED7CDC">
        <w:rPr>
          <w:color w:val="000000" w:themeColor="text1"/>
          <w:szCs w:val="28"/>
        </w:rPr>
        <w:t>i</w:t>
      </w:r>
      <w:r w:rsidRPr="000020FB">
        <w:rPr>
          <w:color w:val="000000" w:themeColor="text1"/>
          <w:szCs w:val="28"/>
        </w:rPr>
        <w:t xml:space="preserve"> </w:t>
      </w:r>
      <w:r w:rsidR="00ED7CDC">
        <w:rPr>
          <w:color w:val="000000" w:themeColor="text1"/>
          <w:szCs w:val="28"/>
        </w:rPr>
        <w:t xml:space="preserve">līdzekļi 20 000 LVL apjomā. Par papildu līdzekļu neparedzētiem gadījumiem piešķiršanu nepieciešams lemt </w:t>
      </w:r>
      <w:r w:rsidRPr="000020FB">
        <w:rPr>
          <w:color w:val="000000" w:themeColor="text1"/>
          <w:szCs w:val="28"/>
        </w:rPr>
        <w:t>atbilstoši Ministru kabineta 2009. gada 22.</w:t>
      </w:r>
      <w:r w:rsidR="00ED7CDC">
        <w:rPr>
          <w:color w:val="000000" w:themeColor="text1"/>
          <w:szCs w:val="28"/>
        </w:rPr>
        <w:t> </w:t>
      </w:r>
      <w:r w:rsidRPr="000020FB">
        <w:rPr>
          <w:color w:val="000000" w:themeColor="text1"/>
          <w:szCs w:val="28"/>
        </w:rPr>
        <w:t xml:space="preserve">decembra noteikumos Nr.1644 „Kārtība, kādā pieprasa un izlieto budžeta </w:t>
      </w:r>
      <w:r w:rsidRPr="000020FB">
        <w:rPr>
          <w:color w:val="000000" w:themeColor="text1"/>
          <w:szCs w:val="28"/>
        </w:rPr>
        <w:lastRenderedPageBreak/>
        <w:t>programmas „Līdzekļi neparedzētiem gadījumiem” līdzekļus” noteiktajai kārtībai.</w:t>
      </w:r>
    </w:p>
    <w:p w:rsidR="006F1B63" w:rsidRDefault="006F1B63" w:rsidP="006F1B63">
      <w:pPr>
        <w:pStyle w:val="Heading2"/>
        <w:numPr>
          <w:ilvl w:val="1"/>
          <w:numId w:val="12"/>
        </w:numPr>
      </w:pPr>
      <w:bookmarkStart w:id="20" w:name="_Toc352179320"/>
      <w:bookmarkStart w:id="21" w:name="_Toc349826042"/>
      <w:bookmarkStart w:id="22" w:name="_Toc349826107"/>
      <w:r>
        <w:t>Dabasgāzes koģenerācijas elektrostaciju ar uzstādīto elektrisko jaudu virs 4 MW atbalsta intensitātes samazināšana</w:t>
      </w:r>
      <w:bookmarkEnd w:id="20"/>
    </w:p>
    <w:p w:rsidR="006F1B63" w:rsidRDefault="00F00FBD" w:rsidP="006F1B63">
      <w:pPr>
        <w:spacing w:after="0" w:line="240" w:lineRule="auto"/>
        <w:jc w:val="both"/>
      </w:pPr>
      <w:r>
        <w:t>K</w:t>
      </w:r>
      <w:r w:rsidR="006F1B63">
        <w:t xml:space="preserve">oģenerācijas elektrostacijas ar uzstādīto elektrisko jaudu virs 4MW, </w:t>
      </w:r>
      <w:r>
        <w:t xml:space="preserve"> kuras kā kurināmo izmanto dabasgāzi un </w:t>
      </w:r>
      <w:r w:rsidR="006F1B63">
        <w:t xml:space="preserve">kuras saņem atbalstu, ir AS „Latvenergo” Rīgas TEC-1 un TEC-2, AS „Rīgas siltums” siltumcentrāle „Imanta” un SIA „Juglas jauda”. </w:t>
      </w:r>
      <w:r>
        <w:t xml:space="preserve">No šīm stacijām obligātā iepirkuma ietvaros </w:t>
      </w:r>
      <w:r w:rsidR="006F1B63">
        <w:t>tiek iepirkta lielākā daļa elektroenerģijas, rezultātā tām sniegtais atbalsts veido liel</w:t>
      </w:r>
      <w:r w:rsidR="001C3912">
        <w:t xml:space="preserve">u </w:t>
      </w:r>
      <w:r w:rsidR="006F1B63">
        <w:t>obligātā iepirkuma izmaksu daļu</w:t>
      </w:r>
      <w:r w:rsidR="001C3912">
        <w:t xml:space="preserve">. </w:t>
      </w:r>
      <w:r w:rsidR="006F1B63">
        <w:t xml:space="preserve">2012. gadā atbalsts virs elektroenerģijas tirgus cenas </w:t>
      </w:r>
      <w:r w:rsidR="001C3912">
        <w:t xml:space="preserve">šīm stacijām </w:t>
      </w:r>
      <w:r w:rsidR="006F1B63">
        <w:t xml:space="preserve">bija 61,7 </w:t>
      </w:r>
      <w:proofErr w:type="spellStart"/>
      <w:r w:rsidR="006F1B63">
        <w:t>milj</w:t>
      </w:r>
      <w:proofErr w:type="spellEnd"/>
      <w:r w:rsidR="006F1B63">
        <w:t xml:space="preserve">. LVL, </w:t>
      </w:r>
      <w:proofErr w:type="spellStart"/>
      <w:r w:rsidR="006F1B63">
        <w:t>t.i</w:t>
      </w:r>
      <w:proofErr w:type="spellEnd"/>
      <w:r w:rsidR="006F1B63">
        <w:t>. 46% no visas atbalsta summas.</w:t>
      </w:r>
      <w:r w:rsidR="001C3912">
        <w:t xml:space="preserve"> </w:t>
      </w:r>
    </w:p>
    <w:p w:rsidR="006F1B63" w:rsidRDefault="006F1B63" w:rsidP="006F1B63">
      <w:pPr>
        <w:spacing w:after="0" w:line="240" w:lineRule="auto"/>
        <w:ind w:firstLine="851"/>
        <w:jc w:val="both"/>
      </w:pPr>
      <w:r>
        <w:t xml:space="preserve">Atbalsta intensitātes samazinājumam </w:t>
      </w:r>
      <w:r w:rsidR="00790DBE">
        <w:t>D</w:t>
      </w:r>
      <w:r>
        <w:t xml:space="preserve">arba grupa rosina izstrādāt MK </w:t>
      </w:r>
      <w:r w:rsidR="00F00FBD">
        <w:t xml:space="preserve">noteikumu </w:t>
      </w:r>
      <w:r>
        <w:t>Nr.221</w:t>
      </w:r>
      <w:r w:rsidR="00F00FBD" w:rsidRPr="00F00FBD">
        <w:t xml:space="preserve"> </w:t>
      </w:r>
      <w:r w:rsidR="00F00FBD">
        <w:t>grozījumu projektu</w:t>
      </w:r>
      <w:r>
        <w:t>, ievērojot šādus principus:</w:t>
      </w:r>
    </w:p>
    <w:p w:rsidR="006F1B63" w:rsidRDefault="006F1B63" w:rsidP="006F1B63">
      <w:pPr>
        <w:numPr>
          <w:ilvl w:val="0"/>
          <w:numId w:val="11"/>
        </w:numPr>
        <w:tabs>
          <w:tab w:val="left" w:pos="851"/>
        </w:tabs>
        <w:spacing w:after="0" w:line="240" w:lineRule="auto"/>
        <w:ind w:left="0" w:firstLine="567"/>
        <w:jc w:val="both"/>
      </w:pPr>
      <w:r>
        <w:t xml:space="preserve">MK noteikumos Nr.221 52. punktā un 55. punktā </w:t>
      </w:r>
      <w:r w:rsidR="005C2F61">
        <w:t>f</w:t>
      </w:r>
      <w:r>
        <w:t>ormul</w:t>
      </w:r>
      <w:r w:rsidR="005C2F61">
        <w:t>u modifikācija</w:t>
      </w:r>
      <w:r>
        <w:t>, lai samazinātu to piemērošanas rezultātā saņemto atbalsta apjomu;</w:t>
      </w:r>
    </w:p>
    <w:p w:rsidR="006F1B63" w:rsidRDefault="006F1B63" w:rsidP="006F1B63">
      <w:pPr>
        <w:numPr>
          <w:ilvl w:val="0"/>
          <w:numId w:val="11"/>
        </w:numPr>
        <w:tabs>
          <w:tab w:val="left" w:pos="851"/>
        </w:tabs>
        <w:spacing w:after="0" w:line="240" w:lineRule="auto"/>
        <w:ind w:left="0" w:firstLine="567"/>
        <w:jc w:val="both"/>
      </w:pPr>
      <w:r>
        <w:t>Jaudas komponentes un maksas par uzstādīto elektrisko jaudu pamatā ir jābūt elektroenerģijas ražošanas alternatīvas etalonam – efektīvas gāzes kombinētā cikla kondensācijas elektrostacijas pastāvīgajām izmaksām un to atšķirībai atkarībā no elektrostacijas uzstādītai jaudas. Papildus jāņem vērā arī līdz šim atbalsta ietvaros atgūtās izmaksas, piemēram, attiecībā uz elektrostacijām kas jau saņem šo atbalstu vairākus gadus;</w:t>
      </w:r>
    </w:p>
    <w:p w:rsidR="006F1B63" w:rsidRDefault="006F1B63" w:rsidP="006F1B63">
      <w:pPr>
        <w:numPr>
          <w:ilvl w:val="0"/>
          <w:numId w:val="11"/>
        </w:numPr>
        <w:tabs>
          <w:tab w:val="left" w:pos="851"/>
        </w:tabs>
        <w:spacing w:after="0" w:line="240" w:lineRule="auto"/>
        <w:ind w:left="0" w:firstLine="567"/>
        <w:jc w:val="both"/>
      </w:pPr>
      <w:r>
        <w:t xml:space="preserve">Jaudas komponentes un maksas par uzstādīto elektrisko jaudu noteikšanas formulā jāiestrādā mehānisms, kas stimulē elektrostacijas īpašnieku pārdot elektroenerģiju tirgū pilnībā, atgūstot ne tikai mainīgās, bet arī daļu no pastāvīgajām izmaksām, tādējādi pie labvēlīgiem tirgus apstākļiem </w:t>
      </w:r>
      <w:r w:rsidR="00F00FBD">
        <w:t xml:space="preserve">vēl vairāk </w:t>
      </w:r>
      <w:r>
        <w:t>samazinot valsts atbalsta intensitāti.</w:t>
      </w:r>
    </w:p>
    <w:p w:rsidR="006F1B63" w:rsidRDefault="006F1B63" w:rsidP="006F1B63">
      <w:pPr>
        <w:spacing w:after="0" w:line="240" w:lineRule="auto"/>
        <w:ind w:firstLine="851"/>
        <w:jc w:val="both"/>
      </w:pPr>
      <w:r>
        <w:t>Priekšlikuma būtība ir veikt attiecīgās izmaiņas ar nosacījumu, ka tiek panākts OIK samazinājums un vienlaicīgi tiktu līdzsvarotas elektrostaciju īpašnieka un elektroenerģijas lietotāja intereses – elektroenerģijas ražošanai nelabvēlīgos tirgus apstākļos elektrostacijas īpašnieks spētu atgūt vismaz daļu no pastāvīgajām izmaksām, bet labvēlīgos apstākļos samazinātos slogs elektroenerģijas lietotājiem.</w:t>
      </w:r>
      <w:r w:rsidR="00763C71">
        <w:t xml:space="preserve"> Plānotās izmaiņas samazinās OIK izmaksu pieaugumu 2015. gadā un turpmākajos gados par </w:t>
      </w:r>
      <w:r w:rsidR="005D3C4E">
        <w:t>vismaz</w:t>
      </w:r>
      <w:r w:rsidR="00763C71">
        <w:t xml:space="preserve"> 10 </w:t>
      </w:r>
      <w:proofErr w:type="spellStart"/>
      <w:r w:rsidR="00763C71">
        <w:t>milj</w:t>
      </w:r>
      <w:proofErr w:type="spellEnd"/>
      <w:r w:rsidR="00763C71">
        <w:t>. LVL gadā.</w:t>
      </w:r>
    </w:p>
    <w:p w:rsidR="006F1B63" w:rsidRPr="00451DB1" w:rsidRDefault="006F1B63" w:rsidP="006F1B63">
      <w:pPr>
        <w:spacing w:after="0" w:line="240" w:lineRule="auto"/>
        <w:ind w:firstLine="851"/>
        <w:jc w:val="both"/>
      </w:pPr>
      <w:r>
        <w:t xml:space="preserve">Papildus jānodala elektroenerģijas stacijas ar elektrisko jaudu virs 15 MW. Lielās koģenerācijas stacijas kalpo ne tikai lokālās siltumenerģijas un elektroenerģijas pieprasījumu segšanai, bet iekļaujas arī </w:t>
      </w:r>
      <w:r w:rsidR="00F00FBD">
        <w:t>p</w:t>
      </w:r>
      <w:r>
        <w:t xml:space="preserve">ārvades sistēmas operatora dispečervadības grafikā (saskaņā ar Tīkla kodeksu </w:t>
      </w:r>
      <w:proofErr w:type="spellStart"/>
      <w:r>
        <w:t>ģenerētājvienības</w:t>
      </w:r>
      <w:proofErr w:type="spellEnd"/>
      <w:r>
        <w:t xml:space="preserve"> ar jaudu 15 MW pilda dispečervadības operatīvos rīkojumus) un piedalās drošas un sabalansētas elektroapgādes nodrošināšanā. Līdz ar to, nosakot koģenerācijas staciju ar jaudu 15 MW un vairāk ekonomisko pamatojumu, ir jāvērtē arī to </w:t>
      </w:r>
      <w:r w:rsidRPr="00451DB1">
        <w:t xml:space="preserve">ietekme uz visu Latvijas elektroapgādes sistēmu. </w:t>
      </w:r>
    </w:p>
    <w:p w:rsidR="006F1B63" w:rsidRDefault="006F1B63" w:rsidP="006F1B63">
      <w:pPr>
        <w:spacing w:after="0" w:line="240" w:lineRule="auto"/>
        <w:jc w:val="both"/>
        <w:rPr>
          <w:sz w:val="24"/>
          <w:szCs w:val="24"/>
        </w:rPr>
      </w:pPr>
      <w:r w:rsidRPr="00451DB1">
        <w:lastRenderedPageBreak/>
        <w:t>Ņemot vērā, ka Eiropas Komisija 2011.</w:t>
      </w:r>
      <w:r>
        <w:t> </w:t>
      </w:r>
      <w:r w:rsidRPr="00451DB1">
        <w:t>gada beigās ir ierosinājusi pārbaudes lietu (SA.32766 (2011/CP) par Latvijas iespējami sniegto atbalstu dabasgāzes koģenerācijas stacijām saistībā ar jaudas maksājumiem, plānojot pasākumus saistībā ar plašāku jaudas maksājumu izmantošanu, laikus jārēķinās, ka jaudas maksājumi var konkrētās lietas ietvaros tikt klasificēti kā valsts atbalsts, līdz ar to pasākumi saistībā ar jaudas maksājumiem ir jāvērtē atbilstoši valsts atbalsta kontroles normām.</w:t>
      </w:r>
      <w:r>
        <w:rPr>
          <w:sz w:val="24"/>
          <w:szCs w:val="24"/>
        </w:rPr>
        <w:t xml:space="preserve"> </w:t>
      </w:r>
    </w:p>
    <w:p w:rsidR="001C3912" w:rsidRDefault="001C3912" w:rsidP="001C3912">
      <w:pPr>
        <w:spacing w:after="0" w:line="240" w:lineRule="auto"/>
        <w:jc w:val="both"/>
      </w:pPr>
      <w:r>
        <w:t xml:space="preserve">2009. gada beigās </w:t>
      </w:r>
      <w:r w:rsidR="008E60F9">
        <w:t xml:space="preserve">tika izsniegta </w:t>
      </w:r>
      <w:r>
        <w:t>atļauja</w:t>
      </w:r>
      <w:r w:rsidR="003C761C">
        <w:t xml:space="preserve"> par tiesību piešķiršanu pārdot saražoto elektroenerģiju obligātā iepirkuma ietvaros AS „Latvenergo”</w:t>
      </w:r>
      <w:r>
        <w:t xml:space="preserve"> TEC</w:t>
      </w:r>
      <w:r w:rsidR="008E60F9">
        <w:t>-</w:t>
      </w:r>
      <w:r>
        <w:t>2</w:t>
      </w:r>
      <w:r w:rsidR="008E60F9">
        <w:t xml:space="preserve"> </w:t>
      </w:r>
      <w:r>
        <w:t>2</w:t>
      </w:r>
      <w:r w:rsidR="008E60F9">
        <w:t>.</w:t>
      </w:r>
      <w:r w:rsidR="005D2364">
        <w:t> </w:t>
      </w:r>
      <w:r w:rsidR="008E60F9">
        <w:t>energoblokam</w:t>
      </w:r>
      <w:r>
        <w:t xml:space="preserve">. Ņemot vērā, ka </w:t>
      </w:r>
      <w:r w:rsidR="008E60F9">
        <w:t xml:space="preserve">to </w:t>
      </w:r>
      <w:r>
        <w:t>nodos ekspluatācijā 2013.</w:t>
      </w:r>
      <w:r w:rsidR="003C761C">
        <w:t> </w:t>
      </w:r>
      <w:r>
        <w:t>gad</w:t>
      </w:r>
      <w:r w:rsidR="003C761C">
        <w:t>ā</w:t>
      </w:r>
      <w:r>
        <w:t>, atkarībā no nostrādātājām stundām 2014.</w:t>
      </w:r>
      <w:r w:rsidR="003C761C">
        <w:t> </w:t>
      </w:r>
      <w:r w:rsidR="005D2364">
        <w:t>g</w:t>
      </w:r>
      <w:r>
        <w:t>adā</w:t>
      </w:r>
      <w:r w:rsidR="005D2364">
        <w:t>,</w:t>
      </w:r>
      <w:r>
        <w:t xml:space="preserve"> </w:t>
      </w:r>
      <w:r w:rsidR="008E60F9">
        <w:t xml:space="preserve">tas </w:t>
      </w:r>
      <w:r>
        <w:t>radīs OIK pieaugumu 2015.</w:t>
      </w:r>
      <w:r w:rsidR="005D2364">
        <w:t> </w:t>
      </w:r>
      <w:r>
        <w:t xml:space="preserve">gadā. Paredzamais pieaugums </w:t>
      </w:r>
      <w:r w:rsidR="00F552BA">
        <w:t>2015</w:t>
      </w:r>
      <w:r w:rsidR="003C761C">
        <w:t>.</w:t>
      </w:r>
      <w:r w:rsidR="005D2364">
        <w:t> </w:t>
      </w:r>
      <w:r w:rsidR="00F552BA">
        <w:t xml:space="preserve">gadā </w:t>
      </w:r>
      <w:r w:rsidR="008E60F9">
        <w:t xml:space="preserve">- </w:t>
      </w:r>
      <w:r w:rsidR="00F552BA">
        <w:t xml:space="preserve">līdz </w:t>
      </w:r>
      <w:r>
        <w:t>0</w:t>
      </w:r>
      <w:r w:rsidR="00F552BA">
        <w:t>,</w:t>
      </w:r>
      <w:r w:rsidR="00807AD2">
        <w:t xml:space="preserve">3 </w:t>
      </w:r>
      <w:proofErr w:type="spellStart"/>
      <w:r w:rsidR="00B35D8D">
        <w:t>sant</w:t>
      </w:r>
      <w:proofErr w:type="spellEnd"/>
      <w:r w:rsidR="00B35D8D">
        <w:t>./</w:t>
      </w:r>
      <w:r>
        <w:t>k</w:t>
      </w:r>
      <w:r w:rsidR="00F552BA">
        <w:t>W</w:t>
      </w:r>
      <w:r>
        <w:t xml:space="preserve">h. </w:t>
      </w:r>
      <w:r w:rsidR="00B35D8D">
        <w:t>Rīcības plānā p</w:t>
      </w:r>
      <w:r>
        <w:t xml:space="preserve">lānotie samazinājuma pasākumi šo pieaugumu mazinās par aptuveni </w:t>
      </w:r>
      <w:r w:rsidR="00F552BA">
        <w:t xml:space="preserve">0,2 </w:t>
      </w:r>
      <w:proofErr w:type="spellStart"/>
      <w:r w:rsidR="00F552BA">
        <w:t>sant</w:t>
      </w:r>
      <w:proofErr w:type="spellEnd"/>
      <w:r w:rsidR="00F552BA">
        <w:t xml:space="preserve">./kWh. </w:t>
      </w:r>
    </w:p>
    <w:p w:rsidR="00330F79" w:rsidRDefault="00330F79" w:rsidP="006F1B63">
      <w:pPr>
        <w:pStyle w:val="Heading2"/>
        <w:numPr>
          <w:ilvl w:val="1"/>
          <w:numId w:val="12"/>
        </w:numPr>
        <w:rPr>
          <w:color w:val="000000" w:themeColor="text1"/>
        </w:rPr>
      </w:pPr>
      <w:bookmarkStart w:id="23" w:name="_Toc352179321"/>
      <w:bookmarkStart w:id="24" w:name="_Toc351283069"/>
      <w:bookmarkStart w:id="25" w:name="_Toc349826046"/>
      <w:bookmarkStart w:id="26" w:name="_Toc349826111"/>
      <w:bookmarkStart w:id="27" w:name="_Toc349727714"/>
      <w:bookmarkStart w:id="28" w:name="_Toc349826040"/>
      <w:bookmarkStart w:id="29" w:name="_Toc349826105"/>
      <w:bookmarkStart w:id="30" w:name="_Toc349727711"/>
      <w:bookmarkEnd w:id="19"/>
      <w:bookmarkEnd w:id="21"/>
      <w:bookmarkEnd w:id="22"/>
      <w:r>
        <w:rPr>
          <w:color w:val="000000" w:themeColor="text1"/>
        </w:rPr>
        <w:t xml:space="preserve">Gāzes koģenerācijas ietekmes mazināšana </w:t>
      </w:r>
      <w:r w:rsidR="00F552BA">
        <w:rPr>
          <w:color w:val="000000" w:themeColor="text1"/>
        </w:rPr>
        <w:t>centralizētajā siltumapgādē</w:t>
      </w:r>
      <w:bookmarkEnd w:id="23"/>
    </w:p>
    <w:p w:rsidR="00604E38" w:rsidRDefault="00604E38" w:rsidP="00330F79">
      <w:pPr>
        <w:spacing w:after="0" w:line="240" w:lineRule="auto"/>
        <w:jc w:val="both"/>
        <w:rPr>
          <w:color w:val="000000" w:themeColor="text1"/>
        </w:rPr>
      </w:pPr>
      <w:r w:rsidRPr="00604E38">
        <w:rPr>
          <w:color w:val="000000" w:themeColor="text1"/>
        </w:rPr>
        <w:t xml:space="preserve">Šobrīd būtiska daļa kurināmā centralizētai siltumapgādei ir jāimportē – 2011.gadā katlumājās siltumenerģijas ražošanai izmantoja 62,9% dabasgāzi, 3,2% naftas produktus, 0,6% akmeņogles un 33,1% biomasu. 2011. gadā centralizēto siltumenerģiju pārdošanai ražoja 83 koģenerācijas stacijās. </w:t>
      </w:r>
    </w:p>
    <w:p w:rsidR="005C639C" w:rsidRDefault="00807AD2" w:rsidP="00330F79">
      <w:pPr>
        <w:spacing w:after="0" w:line="240" w:lineRule="auto"/>
        <w:jc w:val="both"/>
        <w:rPr>
          <w:color w:val="000000" w:themeColor="text1"/>
        </w:rPr>
      </w:pPr>
      <w:r>
        <w:rPr>
          <w:color w:val="000000" w:themeColor="text1"/>
        </w:rPr>
        <w:t>A</w:t>
      </w:r>
      <w:r w:rsidR="005C639C" w:rsidRPr="005C639C">
        <w:rPr>
          <w:color w:val="000000" w:themeColor="text1"/>
        </w:rPr>
        <w:t>tbalsta intensitātes samazināšana koģenerācijas stacijām</w:t>
      </w:r>
      <w:r w:rsidRPr="00807AD2">
        <w:rPr>
          <w:color w:val="000000" w:themeColor="text1"/>
        </w:rPr>
        <w:t xml:space="preserve"> </w:t>
      </w:r>
      <w:r w:rsidRPr="005C639C">
        <w:rPr>
          <w:color w:val="000000" w:themeColor="text1"/>
        </w:rPr>
        <w:t>ietekmēs</w:t>
      </w:r>
      <w:r>
        <w:rPr>
          <w:color w:val="000000" w:themeColor="text1"/>
        </w:rPr>
        <w:t xml:space="preserve"> siltumenerģijas tarifus</w:t>
      </w:r>
      <w:r w:rsidR="005C639C" w:rsidRPr="005C639C">
        <w:rPr>
          <w:color w:val="000000" w:themeColor="text1"/>
        </w:rPr>
        <w:t>, jo samazinot maksu, par obligātā iepirkuma ietvaros saražoto elektroenerģiju varētu paaugstināties siltuma ražošanas izmaksas centralizētajās siltumapgādes sistēmās gadījumos, ja nepastāv alternatīvi siltuma avoti. Ņemot vērā, ka Koģenerācijas tarifu aprēķināšanas metodika, kas apstiprināta ar SPRK 2010.</w:t>
      </w:r>
      <w:r w:rsidR="005D2364">
        <w:rPr>
          <w:color w:val="000000" w:themeColor="text1"/>
        </w:rPr>
        <w:t> </w:t>
      </w:r>
      <w:r w:rsidR="005C639C" w:rsidRPr="005C639C">
        <w:rPr>
          <w:color w:val="000000" w:themeColor="text1"/>
        </w:rPr>
        <w:t>gada 11.</w:t>
      </w:r>
      <w:r w:rsidR="005D2364">
        <w:rPr>
          <w:color w:val="000000" w:themeColor="text1"/>
        </w:rPr>
        <w:t> </w:t>
      </w:r>
      <w:r w:rsidR="005C639C" w:rsidRPr="005C639C">
        <w:rPr>
          <w:color w:val="000000" w:themeColor="text1"/>
        </w:rPr>
        <w:t xml:space="preserve">jūnija lēmumu Nr.1/10, paredz koģenerācijas procesā saražotās elektroenerģijas ieņēmumu iekļaušanu siltumenerģijas tarifa aprēķināšanā, tad atbalsta intensitātes samazināšana elektroenerģijai, varētu izraisīt siltumenerģijas tarifu pieaugumu tādās pilsētās kā Bauska, Cēsis, Daugavpils, Jelgava, Liepāja, Rēzekne, Rīga, Valmiera, Vangaži. </w:t>
      </w:r>
    </w:p>
    <w:p w:rsidR="00604E38" w:rsidRDefault="00330F79" w:rsidP="00330F79">
      <w:pPr>
        <w:spacing w:after="0" w:line="240" w:lineRule="auto"/>
        <w:jc w:val="both"/>
        <w:rPr>
          <w:color w:val="000000" w:themeColor="text1"/>
        </w:rPr>
      </w:pPr>
      <w:r>
        <w:rPr>
          <w:color w:val="000000" w:themeColor="text1"/>
        </w:rPr>
        <w:t>2012.</w:t>
      </w:r>
      <w:r w:rsidR="005D2364">
        <w:rPr>
          <w:color w:val="000000" w:themeColor="text1"/>
        </w:rPr>
        <w:t> </w:t>
      </w:r>
      <w:r>
        <w:rPr>
          <w:color w:val="000000" w:themeColor="text1"/>
        </w:rPr>
        <w:t>gadā gāze</w:t>
      </w:r>
      <w:r w:rsidR="005D2364">
        <w:rPr>
          <w:color w:val="000000" w:themeColor="text1"/>
        </w:rPr>
        <w:t>s koģenerācijas stacijas līdz 4</w:t>
      </w:r>
      <w:r>
        <w:rPr>
          <w:color w:val="000000" w:themeColor="text1"/>
        </w:rPr>
        <w:t>MW saņē</w:t>
      </w:r>
      <w:r w:rsidR="00C704FA">
        <w:rPr>
          <w:color w:val="000000" w:themeColor="text1"/>
        </w:rPr>
        <w:t xml:space="preserve">ma atbalstu elektroenerģijas </w:t>
      </w:r>
      <w:r>
        <w:rPr>
          <w:color w:val="000000" w:themeColor="text1"/>
        </w:rPr>
        <w:t xml:space="preserve">obligātā </w:t>
      </w:r>
      <w:r w:rsidR="00F552BA">
        <w:rPr>
          <w:color w:val="000000" w:themeColor="text1"/>
        </w:rPr>
        <w:t xml:space="preserve"> </w:t>
      </w:r>
      <w:r w:rsidR="00C704FA">
        <w:rPr>
          <w:color w:val="000000" w:themeColor="text1"/>
        </w:rPr>
        <w:t>iepirkum</w:t>
      </w:r>
      <w:r w:rsidR="005C639C">
        <w:rPr>
          <w:color w:val="000000" w:themeColor="text1"/>
        </w:rPr>
        <w:t xml:space="preserve">a ietvaros </w:t>
      </w:r>
      <w:r w:rsidR="00F552BA">
        <w:rPr>
          <w:color w:val="000000" w:themeColor="text1"/>
        </w:rPr>
        <w:t xml:space="preserve"> </w:t>
      </w:r>
      <w:r w:rsidR="00BC723A">
        <w:rPr>
          <w:color w:val="000000" w:themeColor="text1"/>
        </w:rPr>
        <w:t>31</w:t>
      </w:r>
      <w:r w:rsidR="005C639C">
        <w:rPr>
          <w:color w:val="000000" w:themeColor="text1"/>
        </w:rPr>
        <w:t>,</w:t>
      </w:r>
      <w:r w:rsidR="00BC723A">
        <w:rPr>
          <w:color w:val="000000" w:themeColor="text1"/>
        </w:rPr>
        <w:t>6 miljoni LVL apm</w:t>
      </w:r>
      <w:r w:rsidR="005C639C">
        <w:rPr>
          <w:color w:val="000000" w:themeColor="text1"/>
        </w:rPr>
        <w:t xml:space="preserve">ērā. </w:t>
      </w:r>
      <w:r w:rsidR="00C704FA">
        <w:rPr>
          <w:color w:val="000000" w:themeColor="text1"/>
        </w:rPr>
        <w:t>Da</w:t>
      </w:r>
      <w:r w:rsidR="005C639C">
        <w:rPr>
          <w:color w:val="000000" w:themeColor="text1"/>
        </w:rPr>
        <w:t>ļ</w:t>
      </w:r>
      <w:r w:rsidR="00C704FA">
        <w:rPr>
          <w:color w:val="000000" w:themeColor="text1"/>
        </w:rPr>
        <w:t>a</w:t>
      </w:r>
      <w:r w:rsidR="00BC723A">
        <w:rPr>
          <w:color w:val="000000" w:themeColor="text1"/>
        </w:rPr>
        <w:t xml:space="preserve"> no </w:t>
      </w:r>
      <w:r w:rsidR="005C639C">
        <w:rPr>
          <w:color w:val="000000" w:themeColor="text1"/>
        </w:rPr>
        <w:t xml:space="preserve">šīm stacijām </w:t>
      </w:r>
      <w:r w:rsidR="00BC723A">
        <w:rPr>
          <w:color w:val="000000" w:themeColor="text1"/>
        </w:rPr>
        <w:t>ir</w:t>
      </w:r>
      <w:r w:rsidR="00C704FA">
        <w:rPr>
          <w:color w:val="000000" w:themeColor="text1"/>
        </w:rPr>
        <w:t xml:space="preserve"> pievienotas</w:t>
      </w:r>
      <w:r w:rsidR="00BC723A">
        <w:rPr>
          <w:color w:val="000000" w:themeColor="text1"/>
        </w:rPr>
        <w:t xml:space="preserve"> centraliz</w:t>
      </w:r>
      <w:r w:rsidR="005C639C">
        <w:rPr>
          <w:color w:val="000000" w:themeColor="text1"/>
        </w:rPr>
        <w:t xml:space="preserve">ētās </w:t>
      </w:r>
      <w:r w:rsidR="00BC723A">
        <w:rPr>
          <w:color w:val="000000" w:themeColor="text1"/>
        </w:rPr>
        <w:t>siltu</w:t>
      </w:r>
      <w:r w:rsidR="00C704FA">
        <w:rPr>
          <w:color w:val="000000" w:themeColor="text1"/>
        </w:rPr>
        <w:t>mapg</w:t>
      </w:r>
      <w:r w:rsidR="005C639C">
        <w:rPr>
          <w:color w:val="000000" w:themeColor="text1"/>
        </w:rPr>
        <w:t xml:space="preserve">ādes </w:t>
      </w:r>
      <w:r w:rsidR="00C704FA">
        <w:rPr>
          <w:color w:val="000000" w:themeColor="text1"/>
        </w:rPr>
        <w:t>sist</w:t>
      </w:r>
      <w:r w:rsidR="005C639C">
        <w:rPr>
          <w:color w:val="000000" w:themeColor="text1"/>
        </w:rPr>
        <w:t>ēmām. Daļa no stacijām saņems pārejas perioda atbalstu līdz 2017.</w:t>
      </w:r>
      <w:r w:rsidR="005D2364">
        <w:rPr>
          <w:color w:val="000000" w:themeColor="text1"/>
        </w:rPr>
        <w:t> g</w:t>
      </w:r>
      <w:r w:rsidR="005C639C">
        <w:rPr>
          <w:color w:val="000000" w:themeColor="text1"/>
        </w:rPr>
        <w:t>adam</w:t>
      </w:r>
      <w:r w:rsidR="005D2364">
        <w:rPr>
          <w:color w:val="000000" w:themeColor="text1"/>
        </w:rPr>
        <w:t xml:space="preserve"> 1. jūlijam</w:t>
      </w:r>
      <w:r w:rsidR="005C639C">
        <w:rPr>
          <w:color w:val="000000" w:themeColor="text1"/>
        </w:rPr>
        <w:t xml:space="preserve">. </w:t>
      </w:r>
      <w:r w:rsidR="00604E38">
        <w:rPr>
          <w:color w:val="000000" w:themeColor="text1"/>
        </w:rPr>
        <w:t xml:space="preserve">Tuvākajos gados siltumapgādes uzņēmumiem un pašvaldībām būtu jāizvērtē šo staciju jaudu aizvietošanas iespējas. </w:t>
      </w:r>
    </w:p>
    <w:p w:rsidR="00330F79" w:rsidRDefault="00330F79" w:rsidP="00330F79">
      <w:pPr>
        <w:spacing w:after="0" w:line="240" w:lineRule="auto"/>
        <w:jc w:val="both"/>
        <w:rPr>
          <w:color w:val="000000" w:themeColor="text1"/>
        </w:rPr>
      </w:pPr>
      <w:r>
        <w:rPr>
          <w:color w:val="000000" w:themeColor="text1"/>
        </w:rPr>
        <w:t>Ekonomikas ministrija ir paredzē</w:t>
      </w:r>
      <w:r w:rsidR="00A8611F">
        <w:rPr>
          <w:color w:val="000000" w:themeColor="text1"/>
        </w:rPr>
        <w:t>jusi</w:t>
      </w:r>
      <w:r>
        <w:rPr>
          <w:color w:val="000000" w:themeColor="text1"/>
        </w:rPr>
        <w:t xml:space="preserve"> </w:t>
      </w:r>
      <w:r w:rsidR="00A8611F">
        <w:rPr>
          <w:color w:val="000000" w:themeColor="text1"/>
        </w:rPr>
        <w:t xml:space="preserve">līdzekļus </w:t>
      </w:r>
      <w:r w:rsidR="00CE57A2">
        <w:rPr>
          <w:color w:val="000000" w:themeColor="text1"/>
        </w:rPr>
        <w:t>siltumapgādes</w:t>
      </w:r>
      <w:r w:rsidR="00BC723A">
        <w:rPr>
          <w:color w:val="000000" w:themeColor="text1"/>
        </w:rPr>
        <w:t xml:space="preserve"> uzlabošan</w:t>
      </w:r>
      <w:r w:rsidR="00807AD2">
        <w:rPr>
          <w:color w:val="000000" w:themeColor="text1"/>
        </w:rPr>
        <w:t>ai</w:t>
      </w:r>
      <w:r w:rsidR="00BC723A">
        <w:rPr>
          <w:color w:val="000000" w:themeColor="text1"/>
        </w:rPr>
        <w:t xml:space="preserve"> </w:t>
      </w:r>
      <w:r w:rsidR="005D2364">
        <w:rPr>
          <w:color w:val="000000" w:themeColor="text1"/>
        </w:rPr>
        <w:t xml:space="preserve">ES </w:t>
      </w:r>
      <w:r w:rsidR="00BC723A">
        <w:rPr>
          <w:color w:val="000000" w:themeColor="text1"/>
        </w:rPr>
        <w:t>Koh</w:t>
      </w:r>
      <w:r w:rsidR="00604E38">
        <w:rPr>
          <w:color w:val="000000" w:themeColor="text1"/>
        </w:rPr>
        <w:t>ē</w:t>
      </w:r>
      <w:r w:rsidR="00BC723A">
        <w:rPr>
          <w:color w:val="000000" w:themeColor="text1"/>
        </w:rPr>
        <w:t>zijas fonda</w:t>
      </w:r>
      <w:r w:rsidR="00CE57A2">
        <w:rPr>
          <w:color w:val="000000" w:themeColor="text1"/>
        </w:rPr>
        <w:t xml:space="preserve"> ietvaros 2014</w:t>
      </w:r>
      <w:r w:rsidR="00807AD2">
        <w:rPr>
          <w:color w:val="000000" w:themeColor="text1"/>
        </w:rPr>
        <w:t>.</w:t>
      </w:r>
      <w:r w:rsidR="00CE57A2">
        <w:rPr>
          <w:color w:val="000000" w:themeColor="text1"/>
        </w:rPr>
        <w:t>-2020.</w:t>
      </w:r>
      <w:r w:rsidR="005D2364">
        <w:rPr>
          <w:color w:val="000000" w:themeColor="text1"/>
        </w:rPr>
        <w:t> </w:t>
      </w:r>
      <w:r w:rsidR="00CE57A2">
        <w:rPr>
          <w:color w:val="000000" w:themeColor="text1"/>
        </w:rPr>
        <w:t>gadam.</w:t>
      </w:r>
      <w:r w:rsidR="00604E38">
        <w:rPr>
          <w:color w:val="000000" w:themeColor="text1"/>
        </w:rPr>
        <w:t xml:space="preserve"> </w:t>
      </w:r>
      <w:r w:rsidR="007A4380">
        <w:rPr>
          <w:color w:val="000000" w:themeColor="text1"/>
        </w:rPr>
        <w:t>Pasākumiem</w:t>
      </w:r>
      <w:r w:rsidR="00B637F7" w:rsidRPr="00B637F7">
        <w:rPr>
          <w:color w:val="000000" w:themeColor="text1"/>
        </w:rPr>
        <w:t xml:space="preserve"> siltumapgādes sistēmu efektivitātes paaugstināšanai </w:t>
      </w:r>
      <w:r w:rsidR="00B637F7" w:rsidRPr="00604E38">
        <w:rPr>
          <w:color w:val="000000" w:themeColor="text1"/>
        </w:rPr>
        <w:t xml:space="preserve">pieejamais finansējums </w:t>
      </w:r>
      <w:r w:rsidR="00B637F7">
        <w:rPr>
          <w:color w:val="000000" w:themeColor="text1"/>
        </w:rPr>
        <w:t xml:space="preserve">paredzēts </w:t>
      </w:r>
      <w:r w:rsidR="00B637F7" w:rsidRPr="00604E38">
        <w:rPr>
          <w:color w:val="000000" w:themeColor="text1"/>
        </w:rPr>
        <w:t>37</w:t>
      </w:r>
      <w:r w:rsidR="00B637F7">
        <w:rPr>
          <w:color w:val="000000" w:themeColor="text1"/>
        </w:rPr>
        <w:t>,</w:t>
      </w:r>
      <w:r w:rsidR="00B637F7" w:rsidRPr="00604E38">
        <w:rPr>
          <w:color w:val="000000" w:themeColor="text1"/>
        </w:rPr>
        <w:t xml:space="preserve">5 </w:t>
      </w:r>
      <w:proofErr w:type="spellStart"/>
      <w:r w:rsidR="00B637F7" w:rsidRPr="00604E38">
        <w:rPr>
          <w:color w:val="000000" w:themeColor="text1"/>
        </w:rPr>
        <w:t>milj</w:t>
      </w:r>
      <w:proofErr w:type="spellEnd"/>
      <w:r w:rsidR="007A4380">
        <w:rPr>
          <w:color w:val="000000" w:themeColor="text1"/>
        </w:rPr>
        <w:t>.</w:t>
      </w:r>
      <w:r w:rsidR="00B637F7" w:rsidRPr="00604E38">
        <w:rPr>
          <w:color w:val="000000" w:themeColor="text1"/>
        </w:rPr>
        <w:t xml:space="preserve"> LVL</w:t>
      </w:r>
      <w:r w:rsidR="00B637F7">
        <w:rPr>
          <w:color w:val="000000" w:themeColor="text1"/>
        </w:rPr>
        <w:t xml:space="preserve"> ar 50% atbalsta intensitāti </w:t>
      </w:r>
      <w:r w:rsidR="007A4380">
        <w:rPr>
          <w:color w:val="000000" w:themeColor="text1"/>
        </w:rPr>
        <w:t>un siltumapgādes pārvades un sadales sistēmu</w:t>
      </w:r>
      <w:r w:rsidR="007A4380" w:rsidRPr="00B637F7">
        <w:rPr>
          <w:color w:val="000000" w:themeColor="text1"/>
        </w:rPr>
        <w:t xml:space="preserve"> </w:t>
      </w:r>
      <w:r w:rsidR="007A4380">
        <w:rPr>
          <w:color w:val="000000" w:themeColor="text1"/>
        </w:rPr>
        <w:t xml:space="preserve">uzlabošanai </w:t>
      </w:r>
      <w:r w:rsidR="00B637F7" w:rsidRPr="00B637F7">
        <w:rPr>
          <w:color w:val="000000" w:themeColor="text1"/>
        </w:rPr>
        <w:t xml:space="preserve">pieejamais finansējums </w:t>
      </w:r>
      <w:r w:rsidR="00C91F36">
        <w:rPr>
          <w:color w:val="000000" w:themeColor="text1"/>
        </w:rPr>
        <w:t xml:space="preserve">arī </w:t>
      </w:r>
      <w:r w:rsidR="00B637F7" w:rsidRPr="00B637F7">
        <w:rPr>
          <w:color w:val="000000" w:themeColor="text1"/>
        </w:rPr>
        <w:t>paredzēts</w:t>
      </w:r>
      <w:r w:rsidR="00C91F36">
        <w:rPr>
          <w:color w:val="000000" w:themeColor="text1"/>
        </w:rPr>
        <w:t xml:space="preserve"> finansējums</w:t>
      </w:r>
      <w:r w:rsidR="00B637F7" w:rsidRPr="00B637F7">
        <w:rPr>
          <w:color w:val="000000" w:themeColor="text1"/>
        </w:rPr>
        <w:t xml:space="preserve"> 37,5 </w:t>
      </w:r>
      <w:proofErr w:type="spellStart"/>
      <w:r w:rsidR="00B637F7" w:rsidRPr="00B637F7">
        <w:rPr>
          <w:color w:val="000000" w:themeColor="text1"/>
        </w:rPr>
        <w:t>milj</w:t>
      </w:r>
      <w:proofErr w:type="spellEnd"/>
      <w:r w:rsidR="007A4380">
        <w:rPr>
          <w:color w:val="000000" w:themeColor="text1"/>
        </w:rPr>
        <w:t>.</w:t>
      </w:r>
      <w:r w:rsidR="00B637F7" w:rsidRPr="00B637F7">
        <w:rPr>
          <w:color w:val="000000" w:themeColor="text1"/>
        </w:rPr>
        <w:t xml:space="preserve"> LVL ar 50% atbalsta intensitāti</w:t>
      </w:r>
      <w:r w:rsidR="00B637F7">
        <w:rPr>
          <w:color w:val="000000" w:themeColor="text1"/>
        </w:rPr>
        <w:t>.</w:t>
      </w:r>
      <w:r w:rsidR="00B637F7" w:rsidRPr="00B637F7">
        <w:rPr>
          <w:color w:val="000000" w:themeColor="text1"/>
        </w:rPr>
        <w:t xml:space="preserve"> </w:t>
      </w:r>
    </w:p>
    <w:p w:rsidR="00BC723A" w:rsidRPr="005D2364" w:rsidRDefault="00BC723A" w:rsidP="00BC723A">
      <w:pPr>
        <w:spacing w:after="0" w:line="240" w:lineRule="auto"/>
        <w:jc w:val="both"/>
        <w:rPr>
          <w:color w:val="000000" w:themeColor="text1"/>
        </w:rPr>
      </w:pPr>
      <w:r>
        <w:rPr>
          <w:color w:val="000000" w:themeColor="text1"/>
        </w:rPr>
        <w:lastRenderedPageBreak/>
        <w:t>Kop</w:t>
      </w:r>
      <w:r w:rsidR="00604E38">
        <w:rPr>
          <w:color w:val="000000" w:themeColor="text1"/>
        </w:rPr>
        <w:t xml:space="preserve">ā ar </w:t>
      </w:r>
      <w:r>
        <w:rPr>
          <w:color w:val="000000" w:themeColor="text1"/>
        </w:rPr>
        <w:t>siltumapg</w:t>
      </w:r>
      <w:r w:rsidR="00604E38">
        <w:rPr>
          <w:color w:val="000000" w:themeColor="text1"/>
        </w:rPr>
        <w:t xml:space="preserve">ādes </w:t>
      </w:r>
      <w:r>
        <w:rPr>
          <w:color w:val="000000" w:themeColor="text1"/>
        </w:rPr>
        <w:t>uz</w:t>
      </w:r>
      <w:r w:rsidR="00604E38">
        <w:rPr>
          <w:color w:val="000000" w:themeColor="text1"/>
        </w:rPr>
        <w:t xml:space="preserve">ņēmumu asociāciju </w:t>
      </w:r>
      <w:r>
        <w:rPr>
          <w:color w:val="000000" w:themeColor="text1"/>
        </w:rPr>
        <w:t>turpm</w:t>
      </w:r>
      <w:r w:rsidR="00604E38">
        <w:rPr>
          <w:color w:val="000000" w:themeColor="text1"/>
        </w:rPr>
        <w:t xml:space="preserve">āko </w:t>
      </w:r>
      <w:r>
        <w:rPr>
          <w:color w:val="000000" w:themeColor="text1"/>
        </w:rPr>
        <w:t>3 m</w:t>
      </w:r>
      <w:r w:rsidR="00604E38">
        <w:rPr>
          <w:color w:val="000000" w:themeColor="text1"/>
        </w:rPr>
        <w:t xml:space="preserve">ēnešu laikā, </w:t>
      </w:r>
      <w:proofErr w:type="spellStart"/>
      <w:r w:rsidR="00604E38">
        <w:rPr>
          <w:color w:val="000000" w:themeColor="text1"/>
        </w:rPr>
        <w:t>t.i</w:t>
      </w:r>
      <w:proofErr w:type="spellEnd"/>
      <w:r w:rsidR="00604E38">
        <w:rPr>
          <w:color w:val="000000" w:themeColor="text1"/>
        </w:rPr>
        <w:t>. līdz 2013.</w:t>
      </w:r>
      <w:r w:rsidR="005D2364">
        <w:rPr>
          <w:color w:val="000000" w:themeColor="text1"/>
        </w:rPr>
        <w:t> </w:t>
      </w:r>
      <w:r w:rsidR="00604E38">
        <w:rPr>
          <w:color w:val="000000" w:themeColor="text1"/>
        </w:rPr>
        <w:t>gada 1.</w:t>
      </w:r>
      <w:r w:rsidR="005D2364">
        <w:rPr>
          <w:color w:val="000000" w:themeColor="text1"/>
        </w:rPr>
        <w:t> </w:t>
      </w:r>
      <w:r w:rsidR="00604E38">
        <w:rPr>
          <w:color w:val="000000" w:themeColor="text1"/>
        </w:rPr>
        <w:t>jūlijam</w:t>
      </w:r>
      <w:r w:rsidR="00A8611F">
        <w:rPr>
          <w:color w:val="000000" w:themeColor="text1"/>
        </w:rPr>
        <w:t>,</w:t>
      </w:r>
      <w:r w:rsidR="00604E38">
        <w:rPr>
          <w:color w:val="000000" w:themeColor="text1"/>
        </w:rPr>
        <w:t xml:space="preserve"> </w:t>
      </w:r>
      <w:r>
        <w:rPr>
          <w:color w:val="000000" w:themeColor="text1"/>
        </w:rPr>
        <w:t>tiks sagatavots detaliz</w:t>
      </w:r>
      <w:r w:rsidR="00604E38">
        <w:rPr>
          <w:color w:val="000000" w:themeColor="text1"/>
        </w:rPr>
        <w:t xml:space="preserve">ēts </w:t>
      </w:r>
      <w:r>
        <w:rPr>
          <w:color w:val="000000" w:themeColor="text1"/>
        </w:rPr>
        <w:t>pl</w:t>
      </w:r>
      <w:r w:rsidR="00604E38">
        <w:rPr>
          <w:color w:val="000000" w:themeColor="text1"/>
        </w:rPr>
        <w:t>ā</w:t>
      </w:r>
      <w:r>
        <w:rPr>
          <w:color w:val="000000" w:themeColor="text1"/>
        </w:rPr>
        <w:t xml:space="preserve">ns par </w:t>
      </w:r>
      <w:r w:rsidR="00604E38">
        <w:rPr>
          <w:color w:val="000000" w:themeColor="text1"/>
        </w:rPr>
        <w:t xml:space="preserve">nepieciešamo finansējumu un laika grafiku pārejai uz alternatīviem </w:t>
      </w:r>
      <w:r w:rsidR="00A8611F">
        <w:rPr>
          <w:color w:val="000000" w:themeColor="text1"/>
        </w:rPr>
        <w:t xml:space="preserve">siltumenerģijas ražošanas </w:t>
      </w:r>
      <w:r w:rsidR="00604E38">
        <w:rPr>
          <w:color w:val="000000" w:themeColor="text1"/>
        </w:rPr>
        <w:t xml:space="preserve">avotiem, </w:t>
      </w:r>
      <w:r>
        <w:rPr>
          <w:color w:val="000000" w:themeColor="text1"/>
        </w:rPr>
        <w:t>lai b</w:t>
      </w:r>
      <w:r w:rsidR="00604E38">
        <w:rPr>
          <w:color w:val="000000" w:themeColor="text1"/>
        </w:rPr>
        <w:t>ū</w:t>
      </w:r>
      <w:r>
        <w:rPr>
          <w:color w:val="000000" w:themeColor="text1"/>
        </w:rPr>
        <w:t>tiski nepaaugstin</w:t>
      </w:r>
      <w:r w:rsidR="00604E38">
        <w:rPr>
          <w:color w:val="000000" w:themeColor="text1"/>
        </w:rPr>
        <w:t xml:space="preserve">ātu </w:t>
      </w:r>
      <w:r>
        <w:rPr>
          <w:color w:val="000000" w:themeColor="text1"/>
        </w:rPr>
        <w:t>apkures izmaksas iedzīvotajiem</w:t>
      </w:r>
      <w:r w:rsidR="00604E38">
        <w:rPr>
          <w:color w:val="000000" w:themeColor="text1"/>
        </w:rPr>
        <w:t xml:space="preserve"> un </w:t>
      </w:r>
      <w:r>
        <w:rPr>
          <w:color w:val="000000" w:themeColor="text1"/>
        </w:rPr>
        <w:t xml:space="preserve">turpmāk atteiktos no </w:t>
      </w:r>
      <w:proofErr w:type="spellStart"/>
      <w:r w:rsidR="00604E38" w:rsidRPr="005D2364">
        <w:rPr>
          <w:color w:val="000000" w:themeColor="text1"/>
        </w:rPr>
        <w:t>šķērs</w:t>
      </w:r>
      <w:r w:rsidRPr="005D2364">
        <w:rPr>
          <w:color w:val="000000" w:themeColor="text1"/>
        </w:rPr>
        <w:t>subs</w:t>
      </w:r>
      <w:r w:rsidR="00604E38" w:rsidRPr="005D2364">
        <w:rPr>
          <w:color w:val="000000" w:themeColor="text1"/>
        </w:rPr>
        <w:t>īdijām</w:t>
      </w:r>
      <w:proofErr w:type="spellEnd"/>
      <w:r w:rsidR="00604E38" w:rsidRPr="005D2364">
        <w:rPr>
          <w:color w:val="000000" w:themeColor="text1"/>
        </w:rPr>
        <w:t xml:space="preserve"> </w:t>
      </w:r>
      <w:r w:rsidRPr="005D2364">
        <w:rPr>
          <w:color w:val="000000" w:themeColor="text1"/>
        </w:rPr>
        <w:t>centralizētajai siltumapgādei.</w:t>
      </w:r>
    </w:p>
    <w:p w:rsidR="00BC723A" w:rsidRPr="005D2364" w:rsidRDefault="00BC723A" w:rsidP="00BC723A">
      <w:pPr>
        <w:spacing w:after="0" w:line="240" w:lineRule="auto"/>
        <w:jc w:val="both"/>
        <w:rPr>
          <w:color w:val="000000" w:themeColor="text1"/>
        </w:rPr>
      </w:pPr>
      <w:r w:rsidRPr="005D2364">
        <w:rPr>
          <w:color w:val="000000" w:themeColor="text1"/>
        </w:rPr>
        <w:t>Iesp</w:t>
      </w:r>
      <w:r w:rsidR="00604E38" w:rsidRPr="005D2364">
        <w:rPr>
          <w:color w:val="000000" w:themeColor="text1"/>
        </w:rPr>
        <w:t>ē</w:t>
      </w:r>
      <w:r w:rsidRPr="005D2364">
        <w:rPr>
          <w:color w:val="000000" w:themeColor="text1"/>
        </w:rPr>
        <w:t xml:space="preserve">jamais </w:t>
      </w:r>
      <w:r w:rsidR="00604E38" w:rsidRPr="005D2364">
        <w:rPr>
          <w:color w:val="000000" w:themeColor="text1"/>
        </w:rPr>
        <w:t xml:space="preserve">OIK </w:t>
      </w:r>
      <w:r w:rsidRPr="005D2364">
        <w:rPr>
          <w:color w:val="000000" w:themeColor="text1"/>
        </w:rPr>
        <w:t xml:space="preserve">samazinājums </w:t>
      </w:r>
      <w:r w:rsidR="003529BA" w:rsidRPr="005D2364">
        <w:rPr>
          <w:color w:val="000000" w:themeColor="text1"/>
        </w:rPr>
        <w:t>laika periodā līdz 2017.</w:t>
      </w:r>
      <w:r w:rsidR="005D2364" w:rsidRPr="005D2364">
        <w:rPr>
          <w:color w:val="000000" w:themeColor="text1"/>
        </w:rPr>
        <w:t> </w:t>
      </w:r>
      <w:r w:rsidR="003529BA" w:rsidRPr="005D2364">
        <w:rPr>
          <w:color w:val="000000" w:themeColor="text1"/>
        </w:rPr>
        <w:t xml:space="preserve">gadam </w:t>
      </w:r>
      <w:r w:rsidRPr="005D2364">
        <w:rPr>
          <w:color w:val="000000" w:themeColor="text1"/>
        </w:rPr>
        <w:t>b</w:t>
      </w:r>
      <w:r w:rsidR="00604E38" w:rsidRPr="005D2364">
        <w:rPr>
          <w:color w:val="000000" w:themeColor="text1"/>
        </w:rPr>
        <w:t xml:space="preserve">ūs </w:t>
      </w:r>
      <w:r w:rsidR="003529BA" w:rsidRPr="005D2364">
        <w:rPr>
          <w:color w:val="000000" w:themeColor="text1"/>
        </w:rPr>
        <w:t xml:space="preserve">nebūtisks, savukārt no 2018. gada tas būs ievērojams, jo vairākām koģenerācijas stacijām beigsies atbalsta saņemšanas termiņš. </w:t>
      </w:r>
    </w:p>
    <w:p w:rsidR="00BC723A" w:rsidRDefault="00BC723A" w:rsidP="00330F79">
      <w:pPr>
        <w:spacing w:after="0" w:line="240" w:lineRule="auto"/>
        <w:jc w:val="both"/>
        <w:rPr>
          <w:color w:val="000000" w:themeColor="text1"/>
        </w:rPr>
      </w:pPr>
    </w:p>
    <w:p w:rsidR="000C1257" w:rsidRPr="003E2E63" w:rsidRDefault="000C1257" w:rsidP="006F1B63">
      <w:pPr>
        <w:pStyle w:val="Heading2"/>
        <w:numPr>
          <w:ilvl w:val="1"/>
          <w:numId w:val="12"/>
        </w:numPr>
        <w:rPr>
          <w:color w:val="000000" w:themeColor="text1"/>
        </w:rPr>
      </w:pPr>
      <w:bookmarkStart w:id="31" w:name="_Toc352179322"/>
      <w:r w:rsidRPr="003E2E63">
        <w:rPr>
          <w:color w:val="000000" w:themeColor="text1"/>
        </w:rPr>
        <w:t xml:space="preserve">Atsevišķu vēja elektrostaciju </w:t>
      </w:r>
      <w:r w:rsidR="006663F5" w:rsidRPr="003E2E63">
        <w:rPr>
          <w:color w:val="000000" w:themeColor="text1"/>
        </w:rPr>
        <w:t xml:space="preserve">un hidroelektrostaciju </w:t>
      </w:r>
      <w:r w:rsidRPr="003E2E63">
        <w:rPr>
          <w:color w:val="000000" w:themeColor="text1"/>
        </w:rPr>
        <w:t xml:space="preserve">atbalsta intensitātes un perioda </w:t>
      </w:r>
      <w:r w:rsidR="00A94759" w:rsidRPr="003E2E63">
        <w:rPr>
          <w:color w:val="000000" w:themeColor="text1"/>
        </w:rPr>
        <w:t>izvērtēšana</w:t>
      </w:r>
      <w:bookmarkEnd w:id="24"/>
      <w:bookmarkEnd w:id="31"/>
      <w:r w:rsidR="00A94759" w:rsidRPr="003E2E63">
        <w:rPr>
          <w:color w:val="000000" w:themeColor="text1"/>
        </w:rPr>
        <w:t xml:space="preserve"> </w:t>
      </w:r>
      <w:bookmarkEnd w:id="25"/>
      <w:bookmarkEnd w:id="26"/>
    </w:p>
    <w:bookmarkEnd w:id="27"/>
    <w:p w:rsidR="00174584" w:rsidRPr="003E2E63" w:rsidRDefault="00174584" w:rsidP="00174584">
      <w:pPr>
        <w:spacing w:before="120" w:line="240" w:lineRule="auto"/>
        <w:jc w:val="both"/>
        <w:rPr>
          <w:rFonts w:eastAsiaTheme="minorHAnsi" w:cstheme="minorBidi"/>
          <w:color w:val="000000" w:themeColor="text1"/>
          <w:szCs w:val="28"/>
          <w:lang w:eastAsia="en-US"/>
        </w:rPr>
      </w:pPr>
      <w:r w:rsidRPr="003E2E63">
        <w:rPr>
          <w:rFonts w:eastAsiaTheme="minorHAnsi" w:cstheme="minorBidi"/>
          <w:color w:val="000000" w:themeColor="text1"/>
          <w:szCs w:val="28"/>
          <w:lang w:eastAsia="en-US"/>
        </w:rPr>
        <w:t>Vēsturiski pirmie atbalsti tika piešķirti</w:t>
      </w:r>
      <w:r w:rsidR="00775B27" w:rsidRPr="003E2E63">
        <w:rPr>
          <w:rFonts w:eastAsiaTheme="minorHAnsi" w:cstheme="minorBidi"/>
          <w:color w:val="000000" w:themeColor="text1"/>
          <w:szCs w:val="28"/>
          <w:lang w:eastAsia="en-US"/>
        </w:rPr>
        <w:t>,</w:t>
      </w:r>
      <w:r w:rsidRPr="003E2E63">
        <w:rPr>
          <w:rFonts w:eastAsiaTheme="minorHAnsi" w:cstheme="minorBidi"/>
          <w:color w:val="000000" w:themeColor="text1"/>
          <w:szCs w:val="28"/>
          <w:lang w:eastAsia="en-US"/>
        </w:rPr>
        <w:t xml:space="preserve"> ievērojot Enerģētikas likuma 40.</w:t>
      </w:r>
      <w:r w:rsidR="003D7A18">
        <w:rPr>
          <w:rFonts w:eastAsiaTheme="minorHAnsi" w:cstheme="minorBidi"/>
          <w:color w:val="000000" w:themeColor="text1"/>
          <w:szCs w:val="28"/>
          <w:lang w:eastAsia="en-US"/>
        </w:rPr>
        <w:t> </w:t>
      </w:r>
      <w:r w:rsidRPr="003E2E63">
        <w:rPr>
          <w:rFonts w:eastAsiaTheme="minorHAnsi" w:cstheme="minorBidi"/>
          <w:color w:val="000000" w:themeColor="text1"/>
          <w:szCs w:val="28"/>
          <w:lang w:eastAsia="en-US"/>
        </w:rPr>
        <w:t>pantu</w:t>
      </w:r>
      <w:r w:rsidRPr="003E2E63">
        <w:rPr>
          <w:rFonts w:eastAsiaTheme="minorHAnsi" w:cstheme="minorBidi"/>
          <w:color w:val="000000" w:themeColor="text1"/>
          <w:szCs w:val="28"/>
          <w:vertAlign w:val="superscript"/>
          <w:lang w:eastAsia="en-US"/>
        </w:rPr>
        <w:footnoteReference w:id="4"/>
      </w:r>
      <w:r w:rsidRPr="003E2E63">
        <w:rPr>
          <w:rFonts w:eastAsiaTheme="minorHAnsi" w:cstheme="minorBidi"/>
          <w:color w:val="000000" w:themeColor="text1"/>
          <w:szCs w:val="28"/>
          <w:lang w:eastAsia="en-US"/>
        </w:rPr>
        <w:t>, kas noteic</w:t>
      </w:r>
      <w:r w:rsidR="00FF7D72">
        <w:rPr>
          <w:rFonts w:eastAsiaTheme="minorHAnsi" w:cstheme="minorBidi"/>
          <w:color w:val="000000" w:themeColor="text1"/>
          <w:szCs w:val="28"/>
          <w:lang w:eastAsia="en-US"/>
        </w:rPr>
        <w:t>a</w:t>
      </w:r>
      <w:r w:rsidRPr="003E2E63">
        <w:rPr>
          <w:rFonts w:eastAsiaTheme="minorHAnsi" w:cstheme="minorBidi"/>
          <w:color w:val="000000" w:themeColor="text1"/>
          <w:szCs w:val="28"/>
          <w:lang w:eastAsia="en-US"/>
        </w:rPr>
        <w:t xml:space="preserve">, ka no mazām hidroelektrostacijām un vēja elektrostacijām, kuru jauda nepārsniedz divus megavatus, un saules energoiekārtām, ja šo staciju un iekārtu ekspluatācija uzsākta līdz 2005. gada 1. janvārim, to saražotās elektroenerģijas pārpalikumu, astoņus gadus no attiecīgās elektrostacijas ekspluatācijas sākuma iepērk par cenu, kas atbilst divkāršam elektroenerģijas realizācijas vidējam tarifam. Pēc minētā perioda beigām iepirkuma cena atbilst elektroenerģijas realizācijas vidējam tarifam. Šobrīd elektroenerģijas tirdzniecības vidējo tarifu </w:t>
      </w:r>
      <w:r w:rsidR="000C2600">
        <w:rPr>
          <w:rFonts w:eastAsiaTheme="minorHAnsi" w:cstheme="minorBidi"/>
          <w:color w:val="000000" w:themeColor="text1"/>
          <w:szCs w:val="28"/>
          <w:lang w:eastAsia="en-US"/>
        </w:rPr>
        <w:t xml:space="preserve">Sabiedrisko pakalpojumu regulēšanas komisija (turpmāk – </w:t>
      </w:r>
      <w:r w:rsidRPr="003E2E63">
        <w:rPr>
          <w:rFonts w:eastAsiaTheme="minorHAnsi" w:cstheme="minorBidi"/>
          <w:color w:val="000000" w:themeColor="text1"/>
          <w:szCs w:val="28"/>
          <w:lang w:eastAsia="en-US"/>
        </w:rPr>
        <w:t>SPRK</w:t>
      </w:r>
      <w:r w:rsidR="000C2600">
        <w:rPr>
          <w:rFonts w:eastAsiaTheme="minorHAnsi" w:cstheme="minorBidi"/>
          <w:color w:val="000000" w:themeColor="text1"/>
          <w:szCs w:val="28"/>
          <w:lang w:eastAsia="en-US"/>
        </w:rPr>
        <w:t>)</w:t>
      </w:r>
      <w:r w:rsidRPr="003E2E63">
        <w:rPr>
          <w:rFonts w:eastAsiaTheme="minorHAnsi" w:cstheme="minorBidi"/>
          <w:color w:val="000000" w:themeColor="text1"/>
          <w:szCs w:val="28"/>
          <w:lang w:eastAsia="en-US"/>
        </w:rPr>
        <w:t xml:space="preserve"> aprēķina, pamatojoties uz publiskā tirgotāja pusgada faktiskajiem elektroenerģijas tirdzniecības apjomiem un ieņēmumiem no elektroenerģijas tirdzniecības saistītajiem lietotājiem. 2012. gada decembrī šāds elektroenerģijas iepirkuma tiesiskais regulējums tika piemērots 1</w:t>
      </w:r>
      <w:r w:rsidR="0095341A" w:rsidRPr="003E2E63">
        <w:rPr>
          <w:rFonts w:eastAsiaTheme="minorHAnsi" w:cstheme="minorBidi"/>
          <w:color w:val="000000" w:themeColor="text1"/>
          <w:szCs w:val="28"/>
          <w:lang w:eastAsia="en-US"/>
        </w:rPr>
        <w:t>5</w:t>
      </w:r>
      <w:r w:rsidRPr="003E2E63">
        <w:rPr>
          <w:rFonts w:eastAsiaTheme="minorHAnsi" w:cstheme="minorBidi"/>
          <w:color w:val="000000" w:themeColor="text1"/>
          <w:szCs w:val="28"/>
          <w:lang w:eastAsia="en-US"/>
        </w:rPr>
        <w:t xml:space="preserve"> stacijām </w:t>
      </w:r>
      <w:r w:rsidRPr="003E2E63">
        <w:rPr>
          <w:rFonts w:eastAsia="Calibri"/>
          <w:color w:val="000000" w:themeColor="text1"/>
          <w:szCs w:val="28"/>
          <w:lang w:eastAsia="en-US"/>
        </w:rPr>
        <w:t>(</w:t>
      </w:r>
      <w:r w:rsidRPr="003E2E63">
        <w:rPr>
          <w:rFonts w:eastAsia="Calibri"/>
          <w:i/>
          <w:color w:val="000000" w:themeColor="text1"/>
          <w:szCs w:val="28"/>
          <w:lang w:eastAsia="en-US"/>
        </w:rPr>
        <w:t>skat</w:t>
      </w:r>
      <w:r w:rsidR="00AD6E29">
        <w:rPr>
          <w:rFonts w:eastAsia="Calibri"/>
          <w:i/>
          <w:color w:val="000000" w:themeColor="text1"/>
          <w:szCs w:val="28"/>
          <w:lang w:eastAsia="en-US"/>
        </w:rPr>
        <w:t xml:space="preserve">īt </w:t>
      </w:r>
      <w:r w:rsidRPr="003E2E63">
        <w:rPr>
          <w:rFonts w:eastAsia="Calibri"/>
          <w:i/>
          <w:color w:val="000000" w:themeColor="text1"/>
          <w:szCs w:val="28"/>
          <w:lang w:eastAsia="en-US"/>
        </w:rPr>
        <w:t>2.</w:t>
      </w:r>
      <w:r w:rsidR="00C23271">
        <w:rPr>
          <w:rFonts w:eastAsia="Calibri"/>
          <w:i/>
          <w:color w:val="000000" w:themeColor="text1"/>
          <w:szCs w:val="28"/>
          <w:lang w:eastAsia="en-US"/>
        </w:rPr>
        <w:t> </w:t>
      </w:r>
      <w:r w:rsidRPr="003E2E63">
        <w:rPr>
          <w:rFonts w:eastAsia="Calibri"/>
          <w:i/>
          <w:color w:val="000000" w:themeColor="text1"/>
          <w:szCs w:val="28"/>
          <w:lang w:eastAsia="en-US"/>
        </w:rPr>
        <w:t>tabulu</w:t>
      </w:r>
      <w:r w:rsidRPr="003E2E63">
        <w:rPr>
          <w:rFonts w:eastAsia="Calibri"/>
          <w:color w:val="000000" w:themeColor="text1"/>
          <w:szCs w:val="28"/>
          <w:lang w:eastAsia="en-US"/>
        </w:rPr>
        <w:t>)</w:t>
      </w:r>
      <w:r w:rsidR="00721FC9" w:rsidRPr="003E2E63">
        <w:rPr>
          <w:rFonts w:eastAsia="Calibri"/>
          <w:color w:val="000000" w:themeColor="text1"/>
          <w:szCs w:val="28"/>
          <w:lang w:eastAsia="en-US"/>
        </w:rPr>
        <w:t xml:space="preserve">. </w:t>
      </w:r>
    </w:p>
    <w:p w:rsidR="00174584" w:rsidRPr="003E2E63" w:rsidRDefault="00174584" w:rsidP="0095341A">
      <w:pPr>
        <w:spacing w:after="0" w:line="240" w:lineRule="auto"/>
        <w:ind w:firstLine="0"/>
        <w:jc w:val="right"/>
        <w:rPr>
          <w:rFonts w:eastAsia="Calibri"/>
          <w:iCs/>
          <w:color w:val="000000" w:themeColor="text1"/>
          <w:szCs w:val="24"/>
          <w:lang w:eastAsia="en-US"/>
        </w:rPr>
      </w:pPr>
      <w:r w:rsidRPr="003E2E63">
        <w:rPr>
          <w:rFonts w:eastAsia="Calibri"/>
          <w:iCs/>
          <w:color w:val="000000" w:themeColor="text1"/>
          <w:szCs w:val="24"/>
          <w:lang w:eastAsia="en-US"/>
        </w:rPr>
        <w:t>2.</w:t>
      </w:r>
      <w:r w:rsidR="00C23271">
        <w:rPr>
          <w:rFonts w:eastAsia="Calibri"/>
          <w:iCs/>
          <w:color w:val="000000" w:themeColor="text1"/>
          <w:szCs w:val="24"/>
          <w:lang w:eastAsia="en-US"/>
        </w:rPr>
        <w:t> </w:t>
      </w:r>
      <w:r w:rsidRPr="003E2E63">
        <w:rPr>
          <w:rFonts w:eastAsia="Calibri"/>
          <w:iCs/>
          <w:color w:val="000000" w:themeColor="text1"/>
          <w:szCs w:val="24"/>
          <w:lang w:eastAsia="en-US"/>
        </w:rPr>
        <w:t xml:space="preserve">tabula </w:t>
      </w:r>
    </w:p>
    <w:p w:rsidR="00174584" w:rsidRPr="003E2E63" w:rsidRDefault="00174584" w:rsidP="00DA2A75">
      <w:pPr>
        <w:spacing w:after="0" w:line="240" w:lineRule="auto"/>
        <w:jc w:val="center"/>
        <w:rPr>
          <w:rFonts w:eastAsiaTheme="minorHAnsi" w:cstheme="minorBidi"/>
          <w:color w:val="000000" w:themeColor="text1"/>
          <w:szCs w:val="28"/>
          <w:lang w:eastAsia="en-US"/>
        </w:rPr>
      </w:pPr>
      <w:r w:rsidRPr="003E2E63">
        <w:rPr>
          <w:rFonts w:eastAsiaTheme="minorHAnsi" w:cstheme="minorBidi"/>
          <w:color w:val="000000" w:themeColor="text1"/>
          <w:szCs w:val="28"/>
          <w:lang w:eastAsia="en-US"/>
        </w:rPr>
        <w:t>Vēja stacijas, kuras saņem atbalstu par cenu, kas noteikta pirms Elektroenerģijas tirgus likuma stāšanās spēkā</w:t>
      </w:r>
    </w:p>
    <w:tbl>
      <w:tblPr>
        <w:tblStyle w:val="TableGrid2"/>
        <w:tblW w:w="0" w:type="auto"/>
        <w:tblInd w:w="108" w:type="dxa"/>
        <w:tblLayout w:type="fixed"/>
        <w:tblLook w:val="04A0" w:firstRow="1" w:lastRow="0" w:firstColumn="1" w:lastColumn="0" w:noHBand="0" w:noVBand="1"/>
      </w:tblPr>
      <w:tblGrid>
        <w:gridCol w:w="6237"/>
        <w:gridCol w:w="1276"/>
        <w:gridCol w:w="1559"/>
      </w:tblGrid>
      <w:tr w:rsidR="003E2E63" w:rsidRPr="003E2E63" w:rsidTr="001E6AFA">
        <w:trPr>
          <w:trHeight w:val="603"/>
        </w:trPr>
        <w:tc>
          <w:tcPr>
            <w:tcW w:w="6237" w:type="dxa"/>
            <w:vAlign w:val="center"/>
          </w:tcPr>
          <w:p w:rsidR="00174584" w:rsidRPr="003E2E63" w:rsidRDefault="00174584" w:rsidP="00174584">
            <w:pPr>
              <w:spacing w:after="0"/>
              <w:ind w:left="34" w:firstLine="0"/>
              <w:jc w:val="center"/>
              <w:rPr>
                <w:rFonts w:eastAsiaTheme="minorHAnsi"/>
                <w:b/>
                <w:color w:val="000000" w:themeColor="text1"/>
                <w:sz w:val="24"/>
                <w:szCs w:val="24"/>
              </w:rPr>
            </w:pPr>
            <w:r w:rsidRPr="003E2E63">
              <w:rPr>
                <w:rFonts w:eastAsiaTheme="minorHAnsi"/>
                <w:b/>
                <w:color w:val="000000" w:themeColor="text1"/>
                <w:sz w:val="24"/>
                <w:szCs w:val="24"/>
              </w:rPr>
              <w:t>Nosaukums</w:t>
            </w:r>
          </w:p>
        </w:tc>
        <w:tc>
          <w:tcPr>
            <w:tcW w:w="1276" w:type="dxa"/>
            <w:vAlign w:val="center"/>
          </w:tcPr>
          <w:p w:rsidR="00174584" w:rsidRPr="003E2E63" w:rsidRDefault="00174584" w:rsidP="00174584">
            <w:pPr>
              <w:spacing w:after="0"/>
              <w:ind w:left="34" w:firstLine="0"/>
              <w:jc w:val="center"/>
              <w:rPr>
                <w:rFonts w:eastAsiaTheme="minorHAnsi"/>
                <w:b/>
                <w:color w:val="000000" w:themeColor="text1"/>
                <w:sz w:val="24"/>
                <w:szCs w:val="24"/>
              </w:rPr>
            </w:pPr>
            <w:r w:rsidRPr="003E2E63">
              <w:rPr>
                <w:rFonts w:eastAsiaTheme="minorHAnsi"/>
                <w:b/>
                <w:color w:val="000000" w:themeColor="text1"/>
                <w:sz w:val="24"/>
                <w:szCs w:val="24"/>
              </w:rPr>
              <w:t>Uzstādītā jauda, MW</w:t>
            </w:r>
          </w:p>
        </w:tc>
        <w:tc>
          <w:tcPr>
            <w:tcW w:w="1559" w:type="dxa"/>
            <w:vAlign w:val="center"/>
          </w:tcPr>
          <w:p w:rsidR="00174584" w:rsidRPr="003E2E63" w:rsidRDefault="00174584" w:rsidP="00174584">
            <w:pPr>
              <w:spacing w:after="0"/>
              <w:ind w:left="34" w:firstLine="0"/>
              <w:jc w:val="center"/>
              <w:rPr>
                <w:rFonts w:eastAsiaTheme="minorHAnsi"/>
                <w:b/>
                <w:color w:val="000000" w:themeColor="text1"/>
                <w:sz w:val="24"/>
                <w:szCs w:val="24"/>
              </w:rPr>
            </w:pPr>
            <w:r w:rsidRPr="003E2E63">
              <w:rPr>
                <w:rFonts w:eastAsiaTheme="minorHAnsi"/>
                <w:b/>
                <w:color w:val="000000" w:themeColor="text1"/>
                <w:sz w:val="24"/>
                <w:szCs w:val="24"/>
              </w:rPr>
              <w:t>Darbības uzsākšanas datums</w:t>
            </w:r>
          </w:p>
        </w:tc>
      </w:tr>
      <w:tr w:rsidR="001E6AFA" w:rsidRPr="003E2E63" w:rsidTr="001E6AFA">
        <w:tc>
          <w:tcPr>
            <w:tcW w:w="6237" w:type="dxa"/>
          </w:tcPr>
          <w:p w:rsidR="001E6AFA" w:rsidRPr="001E6AFA" w:rsidRDefault="001E6AFA" w:rsidP="00174584">
            <w:pPr>
              <w:spacing w:after="0"/>
              <w:ind w:left="34" w:firstLine="0"/>
              <w:jc w:val="center"/>
              <w:rPr>
                <w:rFonts w:eastAsiaTheme="minorHAnsi" w:cs="Times New Roman"/>
                <w:color w:val="000000" w:themeColor="text1"/>
                <w:sz w:val="24"/>
                <w:szCs w:val="24"/>
              </w:rPr>
            </w:pPr>
            <w:r w:rsidRPr="001E6AFA">
              <w:rPr>
                <w:rFonts w:cs="Times New Roman"/>
                <w:sz w:val="24"/>
                <w:szCs w:val="24"/>
              </w:rPr>
              <w:t xml:space="preserve">BALTNORVENT, SIA, Latvijas Vācijas </w:t>
            </w:r>
            <w:proofErr w:type="spellStart"/>
            <w:r w:rsidRPr="001E6AFA">
              <w:rPr>
                <w:rFonts w:cs="Times New Roman"/>
                <w:sz w:val="24"/>
                <w:szCs w:val="24"/>
              </w:rPr>
              <w:t>kopuzņ</w:t>
            </w:r>
            <w:proofErr w:type="spellEnd"/>
            <w:r w:rsidRPr="001E6AFA">
              <w:rPr>
                <w:rFonts w:cs="Times New Roman"/>
                <w:sz w:val="24"/>
                <w:szCs w:val="24"/>
              </w:rPr>
              <w:t>. Alsungas VES</w:t>
            </w:r>
          </w:p>
        </w:tc>
        <w:tc>
          <w:tcPr>
            <w:tcW w:w="1276" w:type="dxa"/>
          </w:tcPr>
          <w:p w:rsidR="001E6AFA" w:rsidRPr="001E6AFA" w:rsidRDefault="001E6AFA" w:rsidP="00174584">
            <w:pPr>
              <w:spacing w:after="0"/>
              <w:ind w:left="34" w:firstLine="0"/>
              <w:jc w:val="center"/>
              <w:rPr>
                <w:rFonts w:eastAsiaTheme="minorHAnsi" w:cs="Times New Roman"/>
                <w:color w:val="000000" w:themeColor="text1"/>
                <w:sz w:val="24"/>
                <w:szCs w:val="24"/>
              </w:rPr>
            </w:pPr>
            <w:r w:rsidRPr="001E6AFA">
              <w:rPr>
                <w:rFonts w:eastAsiaTheme="minorHAnsi" w:cs="Times New Roman"/>
                <w:color w:val="000000" w:themeColor="text1"/>
                <w:sz w:val="24"/>
                <w:szCs w:val="24"/>
              </w:rPr>
              <w:t>2,0</w:t>
            </w:r>
          </w:p>
        </w:tc>
        <w:tc>
          <w:tcPr>
            <w:tcW w:w="1559" w:type="dxa"/>
          </w:tcPr>
          <w:p w:rsidR="001E6AFA" w:rsidRPr="001E6AFA" w:rsidRDefault="001E6AFA" w:rsidP="00174584">
            <w:pPr>
              <w:spacing w:after="0"/>
              <w:ind w:left="34" w:firstLine="0"/>
              <w:jc w:val="center"/>
              <w:rPr>
                <w:rFonts w:eastAsiaTheme="minorHAnsi" w:cs="Times New Roman"/>
                <w:color w:val="000000" w:themeColor="text1"/>
                <w:sz w:val="24"/>
                <w:szCs w:val="24"/>
              </w:rPr>
            </w:pPr>
            <w:r w:rsidRPr="001E6AFA">
              <w:rPr>
                <w:rFonts w:cs="Times New Roman"/>
                <w:sz w:val="24"/>
                <w:szCs w:val="24"/>
              </w:rPr>
              <w:t>29.11.2002</w:t>
            </w:r>
          </w:p>
        </w:tc>
      </w:tr>
      <w:tr w:rsidR="003E2E63" w:rsidRPr="003E2E63" w:rsidTr="001E6AFA">
        <w:tc>
          <w:tcPr>
            <w:tcW w:w="6237"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SIA „BK Enerģija”</w:t>
            </w:r>
          </w:p>
        </w:tc>
        <w:tc>
          <w:tcPr>
            <w:tcW w:w="1276"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1,950</w:t>
            </w:r>
          </w:p>
        </w:tc>
        <w:tc>
          <w:tcPr>
            <w:tcW w:w="1559"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15.11.2002</w:t>
            </w:r>
          </w:p>
        </w:tc>
      </w:tr>
      <w:tr w:rsidR="003E2E63" w:rsidRPr="003E2E63" w:rsidTr="001E6AFA">
        <w:tc>
          <w:tcPr>
            <w:tcW w:w="6237"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Rīgas pilsētas SIA „</w:t>
            </w:r>
            <w:proofErr w:type="spellStart"/>
            <w:r w:rsidRPr="003E2E63">
              <w:rPr>
                <w:rFonts w:eastAsiaTheme="minorHAnsi"/>
                <w:color w:val="000000" w:themeColor="text1"/>
                <w:sz w:val="24"/>
                <w:szCs w:val="24"/>
              </w:rPr>
              <w:t>Impakt</w:t>
            </w:r>
            <w:proofErr w:type="spellEnd"/>
            <w:r w:rsidRPr="003E2E63">
              <w:rPr>
                <w:rFonts w:eastAsiaTheme="minorHAnsi"/>
                <w:color w:val="000000" w:themeColor="text1"/>
                <w:sz w:val="24"/>
                <w:szCs w:val="24"/>
              </w:rPr>
              <w:t>”, Užavas VES</w:t>
            </w:r>
          </w:p>
        </w:tc>
        <w:tc>
          <w:tcPr>
            <w:tcW w:w="1276"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1,000</w:t>
            </w:r>
          </w:p>
        </w:tc>
        <w:tc>
          <w:tcPr>
            <w:tcW w:w="1559"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31.01.2000</w:t>
            </w:r>
          </w:p>
        </w:tc>
      </w:tr>
      <w:tr w:rsidR="003E2E63" w:rsidRPr="003E2E63" w:rsidTr="001E6AFA">
        <w:tc>
          <w:tcPr>
            <w:tcW w:w="6237"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Liepājas speciālās ekonomiskās zonas AS „Kursa”</w:t>
            </w:r>
          </w:p>
        </w:tc>
        <w:tc>
          <w:tcPr>
            <w:tcW w:w="1276"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0,150</w:t>
            </w:r>
          </w:p>
        </w:tc>
        <w:tc>
          <w:tcPr>
            <w:tcW w:w="1559"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13.02.1998</w:t>
            </w:r>
          </w:p>
        </w:tc>
      </w:tr>
      <w:tr w:rsidR="003E2E63" w:rsidRPr="003E2E63" w:rsidTr="001E6AFA">
        <w:tc>
          <w:tcPr>
            <w:tcW w:w="6237"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SIA „Vēja parks 10”</w:t>
            </w:r>
          </w:p>
        </w:tc>
        <w:tc>
          <w:tcPr>
            <w:tcW w:w="1276"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1,800</w:t>
            </w:r>
          </w:p>
        </w:tc>
        <w:tc>
          <w:tcPr>
            <w:tcW w:w="1559"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26.09.2002</w:t>
            </w:r>
          </w:p>
        </w:tc>
      </w:tr>
      <w:tr w:rsidR="003E2E63" w:rsidRPr="003E2E63" w:rsidTr="001E6AFA">
        <w:tc>
          <w:tcPr>
            <w:tcW w:w="6237"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SIA „Vēja parks 11”</w:t>
            </w:r>
          </w:p>
        </w:tc>
        <w:tc>
          <w:tcPr>
            <w:tcW w:w="1276"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1,800</w:t>
            </w:r>
          </w:p>
        </w:tc>
        <w:tc>
          <w:tcPr>
            <w:tcW w:w="1559"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07.11.2002</w:t>
            </w:r>
          </w:p>
        </w:tc>
      </w:tr>
      <w:tr w:rsidR="003E2E63" w:rsidRPr="003E2E63" w:rsidTr="001E6AFA">
        <w:tc>
          <w:tcPr>
            <w:tcW w:w="6237"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SIA „Vēja parks 12”</w:t>
            </w:r>
          </w:p>
        </w:tc>
        <w:tc>
          <w:tcPr>
            <w:tcW w:w="1276"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1,800</w:t>
            </w:r>
          </w:p>
        </w:tc>
        <w:tc>
          <w:tcPr>
            <w:tcW w:w="1559"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07.11.2002</w:t>
            </w:r>
          </w:p>
        </w:tc>
      </w:tr>
      <w:tr w:rsidR="003E2E63" w:rsidRPr="003E2E63" w:rsidTr="001E6AFA">
        <w:tc>
          <w:tcPr>
            <w:tcW w:w="6237"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lastRenderedPageBreak/>
              <w:t>SIA „Vēja parks 13”</w:t>
            </w:r>
          </w:p>
        </w:tc>
        <w:tc>
          <w:tcPr>
            <w:tcW w:w="1276"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1,800</w:t>
            </w:r>
          </w:p>
        </w:tc>
        <w:tc>
          <w:tcPr>
            <w:tcW w:w="1559"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26.09.2002</w:t>
            </w:r>
          </w:p>
        </w:tc>
      </w:tr>
      <w:tr w:rsidR="003E2E63" w:rsidRPr="003E2E63" w:rsidTr="001E6AFA">
        <w:tc>
          <w:tcPr>
            <w:tcW w:w="6237"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SIA „Vēja parks 14”</w:t>
            </w:r>
          </w:p>
        </w:tc>
        <w:tc>
          <w:tcPr>
            <w:tcW w:w="1276"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1,800</w:t>
            </w:r>
          </w:p>
        </w:tc>
        <w:tc>
          <w:tcPr>
            <w:tcW w:w="1559"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26.09.2002</w:t>
            </w:r>
          </w:p>
        </w:tc>
      </w:tr>
      <w:tr w:rsidR="003E2E63" w:rsidRPr="003E2E63" w:rsidTr="001E6AFA">
        <w:tc>
          <w:tcPr>
            <w:tcW w:w="6237"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SIA „Vēja parks 15”</w:t>
            </w:r>
          </w:p>
        </w:tc>
        <w:tc>
          <w:tcPr>
            <w:tcW w:w="1276"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1,800</w:t>
            </w:r>
          </w:p>
        </w:tc>
        <w:tc>
          <w:tcPr>
            <w:tcW w:w="1559"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26.09.2002</w:t>
            </w:r>
          </w:p>
        </w:tc>
      </w:tr>
      <w:tr w:rsidR="003E2E63" w:rsidRPr="003E2E63" w:rsidTr="001E6AFA">
        <w:tc>
          <w:tcPr>
            <w:tcW w:w="6237"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SIA „Vēja parks 16”</w:t>
            </w:r>
          </w:p>
        </w:tc>
        <w:tc>
          <w:tcPr>
            <w:tcW w:w="1276"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1,800</w:t>
            </w:r>
          </w:p>
        </w:tc>
        <w:tc>
          <w:tcPr>
            <w:tcW w:w="1559"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26.09.2002</w:t>
            </w:r>
          </w:p>
        </w:tc>
      </w:tr>
      <w:tr w:rsidR="003E2E63" w:rsidRPr="003E2E63" w:rsidTr="001E6AFA">
        <w:tc>
          <w:tcPr>
            <w:tcW w:w="6237"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SIA „Vēja parks 17”</w:t>
            </w:r>
          </w:p>
        </w:tc>
        <w:tc>
          <w:tcPr>
            <w:tcW w:w="1276"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1,800</w:t>
            </w:r>
          </w:p>
        </w:tc>
        <w:tc>
          <w:tcPr>
            <w:tcW w:w="1559"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26.09.2002</w:t>
            </w:r>
          </w:p>
        </w:tc>
      </w:tr>
      <w:tr w:rsidR="003E2E63" w:rsidRPr="003E2E63" w:rsidTr="001E6AFA">
        <w:tc>
          <w:tcPr>
            <w:tcW w:w="6237"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SIA „Vēja parks 18”</w:t>
            </w:r>
          </w:p>
        </w:tc>
        <w:tc>
          <w:tcPr>
            <w:tcW w:w="1276"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1,800</w:t>
            </w:r>
          </w:p>
        </w:tc>
        <w:tc>
          <w:tcPr>
            <w:tcW w:w="1559"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07.11.2002</w:t>
            </w:r>
          </w:p>
        </w:tc>
      </w:tr>
      <w:tr w:rsidR="003E2E63" w:rsidRPr="003E2E63" w:rsidTr="001E6AFA">
        <w:tc>
          <w:tcPr>
            <w:tcW w:w="6237"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SIA „Vēja parks 19”</w:t>
            </w:r>
          </w:p>
        </w:tc>
        <w:tc>
          <w:tcPr>
            <w:tcW w:w="1276"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1,800</w:t>
            </w:r>
          </w:p>
        </w:tc>
        <w:tc>
          <w:tcPr>
            <w:tcW w:w="1559" w:type="dxa"/>
          </w:tcPr>
          <w:p w:rsidR="00174584" w:rsidRPr="003E2E63" w:rsidRDefault="00174584" w:rsidP="00174584">
            <w:pPr>
              <w:spacing w:after="0"/>
              <w:ind w:left="34" w:firstLine="0"/>
              <w:jc w:val="center"/>
              <w:rPr>
                <w:rFonts w:eastAsiaTheme="minorHAnsi"/>
                <w:color w:val="000000" w:themeColor="text1"/>
                <w:sz w:val="24"/>
                <w:szCs w:val="24"/>
              </w:rPr>
            </w:pPr>
            <w:r w:rsidRPr="003E2E63">
              <w:rPr>
                <w:rFonts w:eastAsiaTheme="minorHAnsi"/>
                <w:color w:val="000000" w:themeColor="text1"/>
                <w:sz w:val="24"/>
                <w:szCs w:val="24"/>
              </w:rPr>
              <w:t>07.11.2002</w:t>
            </w:r>
          </w:p>
        </w:tc>
      </w:tr>
      <w:tr w:rsidR="003E2E63" w:rsidRPr="003E2E63" w:rsidTr="001E6AFA">
        <w:tc>
          <w:tcPr>
            <w:tcW w:w="6237" w:type="dxa"/>
          </w:tcPr>
          <w:p w:rsidR="00174584" w:rsidRPr="003E2E63" w:rsidRDefault="00174584" w:rsidP="00C91F36">
            <w:pPr>
              <w:spacing w:after="0" w:line="240" w:lineRule="auto"/>
              <w:ind w:left="34" w:firstLine="0"/>
              <w:jc w:val="center"/>
              <w:rPr>
                <w:rFonts w:eastAsiaTheme="minorHAnsi"/>
                <w:color w:val="000000" w:themeColor="text1"/>
                <w:sz w:val="24"/>
                <w:szCs w:val="24"/>
              </w:rPr>
            </w:pPr>
            <w:r w:rsidRPr="003E2E63">
              <w:rPr>
                <w:rFonts w:eastAsiaTheme="minorHAnsi"/>
                <w:color w:val="000000" w:themeColor="text1"/>
                <w:sz w:val="24"/>
                <w:szCs w:val="24"/>
              </w:rPr>
              <w:t>SIA „Vēja parks 20”</w:t>
            </w:r>
          </w:p>
        </w:tc>
        <w:tc>
          <w:tcPr>
            <w:tcW w:w="1276" w:type="dxa"/>
          </w:tcPr>
          <w:p w:rsidR="00174584" w:rsidRPr="003E2E63" w:rsidRDefault="00174584" w:rsidP="00C91F36">
            <w:pPr>
              <w:tabs>
                <w:tab w:val="center" w:pos="1002"/>
              </w:tabs>
              <w:spacing w:after="0" w:line="240" w:lineRule="auto"/>
              <w:ind w:left="34" w:firstLine="0"/>
              <w:jc w:val="center"/>
              <w:rPr>
                <w:rFonts w:eastAsiaTheme="minorHAnsi"/>
                <w:color w:val="000000" w:themeColor="text1"/>
                <w:sz w:val="24"/>
                <w:szCs w:val="24"/>
              </w:rPr>
            </w:pPr>
            <w:r w:rsidRPr="003E2E63">
              <w:rPr>
                <w:rFonts w:eastAsiaTheme="minorHAnsi"/>
                <w:color w:val="000000" w:themeColor="text1"/>
                <w:sz w:val="24"/>
                <w:szCs w:val="24"/>
              </w:rPr>
              <w:t>1,800</w:t>
            </w:r>
          </w:p>
        </w:tc>
        <w:tc>
          <w:tcPr>
            <w:tcW w:w="1559" w:type="dxa"/>
          </w:tcPr>
          <w:p w:rsidR="00174584" w:rsidRPr="003E2E63" w:rsidRDefault="00174584" w:rsidP="00C91F36">
            <w:pPr>
              <w:spacing w:after="0" w:line="240" w:lineRule="auto"/>
              <w:ind w:left="34" w:firstLine="0"/>
              <w:jc w:val="center"/>
              <w:rPr>
                <w:rFonts w:eastAsiaTheme="minorHAnsi"/>
                <w:color w:val="000000" w:themeColor="text1"/>
                <w:sz w:val="24"/>
                <w:szCs w:val="24"/>
              </w:rPr>
            </w:pPr>
            <w:r w:rsidRPr="003E2E63">
              <w:rPr>
                <w:rFonts w:eastAsiaTheme="minorHAnsi"/>
                <w:color w:val="000000" w:themeColor="text1"/>
                <w:sz w:val="24"/>
                <w:szCs w:val="24"/>
              </w:rPr>
              <w:t>07.11.2002</w:t>
            </w:r>
          </w:p>
        </w:tc>
      </w:tr>
    </w:tbl>
    <w:p w:rsidR="00174584" w:rsidRDefault="00174584" w:rsidP="00C91F36">
      <w:pPr>
        <w:spacing w:after="0" w:line="240" w:lineRule="auto"/>
        <w:ind w:firstLine="0"/>
        <w:jc w:val="both"/>
        <w:rPr>
          <w:rFonts w:eastAsia="Calibri"/>
          <w:i/>
          <w:iCs/>
          <w:color w:val="000000" w:themeColor="text1"/>
          <w:sz w:val="20"/>
          <w:szCs w:val="24"/>
        </w:rPr>
      </w:pPr>
      <w:r w:rsidRPr="00733C75">
        <w:rPr>
          <w:rFonts w:eastAsia="Calibri"/>
          <w:i/>
          <w:iCs/>
          <w:color w:val="000000" w:themeColor="text1"/>
          <w:sz w:val="20"/>
          <w:szCs w:val="24"/>
        </w:rPr>
        <w:t>Avots: Ekonomikas ministrija</w:t>
      </w:r>
    </w:p>
    <w:p w:rsidR="00C91F36" w:rsidRPr="00733C75" w:rsidRDefault="00C91F36" w:rsidP="00C91F36">
      <w:pPr>
        <w:spacing w:after="0" w:line="240" w:lineRule="auto"/>
        <w:ind w:firstLine="0"/>
        <w:jc w:val="both"/>
        <w:rPr>
          <w:rFonts w:eastAsia="Calibri"/>
          <w:i/>
          <w:iCs/>
          <w:color w:val="000000" w:themeColor="text1"/>
          <w:sz w:val="20"/>
          <w:szCs w:val="24"/>
        </w:rPr>
      </w:pPr>
    </w:p>
    <w:p w:rsidR="00174584" w:rsidRPr="003E2E63" w:rsidRDefault="00174584" w:rsidP="00A94759">
      <w:pPr>
        <w:spacing w:after="0" w:line="240" w:lineRule="auto"/>
        <w:jc w:val="both"/>
        <w:rPr>
          <w:color w:val="000000" w:themeColor="text1"/>
          <w:szCs w:val="28"/>
        </w:rPr>
      </w:pPr>
      <w:r w:rsidRPr="003E2E63">
        <w:rPr>
          <w:color w:val="000000" w:themeColor="text1"/>
          <w:szCs w:val="28"/>
        </w:rPr>
        <w:t>Ņemot vērā staciju darbības ilgumu</w:t>
      </w:r>
      <w:r w:rsidR="00775B27" w:rsidRPr="003E2E63">
        <w:rPr>
          <w:color w:val="000000" w:themeColor="text1"/>
          <w:szCs w:val="28"/>
        </w:rPr>
        <w:t>,</w:t>
      </w:r>
      <w:r w:rsidRPr="003E2E63">
        <w:rPr>
          <w:color w:val="000000" w:themeColor="text1"/>
          <w:szCs w:val="28"/>
        </w:rPr>
        <w:t xml:space="preserve"> ir pamats uzskatīt, ka to investīcijas ir atpelnījušās. Vairums minēt</w:t>
      </w:r>
      <w:r w:rsidR="00775B27" w:rsidRPr="003E2E63">
        <w:rPr>
          <w:color w:val="000000" w:themeColor="text1"/>
          <w:szCs w:val="28"/>
        </w:rPr>
        <w:t>o</w:t>
      </w:r>
      <w:r w:rsidRPr="003E2E63">
        <w:rPr>
          <w:color w:val="000000" w:themeColor="text1"/>
          <w:szCs w:val="28"/>
        </w:rPr>
        <w:t xml:space="preserve"> stacij</w:t>
      </w:r>
      <w:r w:rsidR="00775B27" w:rsidRPr="003E2E63">
        <w:rPr>
          <w:color w:val="000000" w:themeColor="text1"/>
          <w:szCs w:val="28"/>
        </w:rPr>
        <w:t>u</w:t>
      </w:r>
      <w:r w:rsidRPr="003E2E63">
        <w:rPr>
          <w:color w:val="000000" w:themeColor="text1"/>
          <w:szCs w:val="28"/>
        </w:rPr>
        <w:t xml:space="preserve"> sākotnējo kredītu ņēma 2004.</w:t>
      </w:r>
      <w:r w:rsidR="003D7A18">
        <w:rPr>
          <w:color w:val="000000" w:themeColor="text1"/>
          <w:szCs w:val="28"/>
        </w:rPr>
        <w:t> </w:t>
      </w:r>
      <w:r w:rsidRPr="003E2E63">
        <w:rPr>
          <w:color w:val="000000" w:themeColor="text1"/>
          <w:szCs w:val="28"/>
        </w:rPr>
        <w:t>gadā ar atmaksāšanas termiņu – 2012.</w:t>
      </w:r>
      <w:r w:rsidR="003D7A18">
        <w:rPr>
          <w:color w:val="000000" w:themeColor="text1"/>
          <w:szCs w:val="28"/>
        </w:rPr>
        <w:t> </w:t>
      </w:r>
      <w:r w:rsidRPr="003E2E63">
        <w:rPr>
          <w:color w:val="000000" w:themeColor="text1"/>
          <w:szCs w:val="28"/>
        </w:rPr>
        <w:t xml:space="preserve">gads. Pie tā brīža atbalsta cenām </w:t>
      </w:r>
      <w:r w:rsidR="00FF7D72">
        <w:rPr>
          <w:color w:val="000000" w:themeColor="text1"/>
          <w:szCs w:val="28"/>
        </w:rPr>
        <w:t xml:space="preserve">staciju </w:t>
      </w:r>
      <w:r w:rsidRPr="003E2E63">
        <w:rPr>
          <w:color w:val="000000" w:themeColor="text1"/>
          <w:szCs w:val="28"/>
        </w:rPr>
        <w:t xml:space="preserve">biznesa </w:t>
      </w:r>
      <w:r w:rsidR="00FF7D72" w:rsidRPr="003E2E63">
        <w:rPr>
          <w:color w:val="000000" w:themeColor="text1"/>
          <w:szCs w:val="28"/>
        </w:rPr>
        <w:t>plān</w:t>
      </w:r>
      <w:r w:rsidR="00FF7D72">
        <w:rPr>
          <w:color w:val="000000" w:themeColor="text1"/>
          <w:szCs w:val="28"/>
        </w:rPr>
        <w:t>i</w:t>
      </w:r>
      <w:r w:rsidR="00FF7D72" w:rsidRPr="003E2E63">
        <w:rPr>
          <w:color w:val="000000" w:themeColor="text1"/>
          <w:szCs w:val="28"/>
        </w:rPr>
        <w:t xml:space="preserve"> </w:t>
      </w:r>
      <w:r w:rsidRPr="003E2E63">
        <w:rPr>
          <w:color w:val="000000" w:themeColor="text1"/>
          <w:szCs w:val="28"/>
        </w:rPr>
        <w:t>ir ti</w:t>
      </w:r>
      <w:r w:rsidR="00577AA1">
        <w:rPr>
          <w:color w:val="000000" w:themeColor="text1"/>
          <w:szCs w:val="28"/>
        </w:rPr>
        <w:t>kuši</w:t>
      </w:r>
      <w:r w:rsidRPr="003E2E63">
        <w:rPr>
          <w:color w:val="000000" w:themeColor="text1"/>
          <w:szCs w:val="28"/>
        </w:rPr>
        <w:t xml:space="preserve"> </w:t>
      </w:r>
      <w:r w:rsidR="00577AA1" w:rsidRPr="003E2E63">
        <w:rPr>
          <w:color w:val="000000" w:themeColor="text1"/>
          <w:szCs w:val="28"/>
        </w:rPr>
        <w:t>atzīt</w:t>
      </w:r>
      <w:r w:rsidR="00577AA1">
        <w:rPr>
          <w:color w:val="000000" w:themeColor="text1"/>
          <w:szCs w:val="28"/>
        </w:rPr>
        <w:t>i</w:t>
      </w:r>
      <w:r w:rsidR="00577AA1" w:rsidRPr="003E2E63">
        <w:rPr>
          <w:color w:val="000000" w:themeColor="text1"/>
          <w:szCs w:val="28"/>
        </w:rPr>
        <w:t xml:space="preserve"> </w:t>
      </w:r>
      <w:r w:rsidRPr="003E2E63">
        <w:rPr>
          <w:color w:val="000000" w:themeColor="text1"/>
          <w:szCs w:val="28"/>
        </w:rPr>
        <w:t>par pamatot</w:t>
      </w:r>
      <w:r w:rsidR="00577AA1">
        <w:rPr>
          <w:color w:val="000000" w:themeColor="text1"/>
          <w:szCs w:val="28"/>
        </w:rPr>
        <w:t>iem</w:t>
      </w:r>
      <w:r w:rsidRPr="003E2E63">
        <w:rPr>
          <w:color w:val="000000" w:themeColor="text1"/>
          <w:szCs w:val="28"/>
        </w:rPr>
        <w:t xml:space="preserve"> kredīta saņemšanai, kā arī tajā laikā uzņēmējam nebija nekāda pamata paļauties uz to, ka atbalsta apjomi pieaugs. Faktiski </w:t>
      </w:r>
      <w:r w:rsidR="00577AA1">
        <w:rPr>
          <w:color w:val="000000" w:themeColor="text1"/>
          <w:szCs w:val="28"/>
        </w:rPr>
        <w:t xml:space="preserve">kredītu </w:t>
      </w:r>
      <w:r w:rsidRPr="003E2E63">
        <w:rPr>
          <w:color w:val="000000" w:themeColor="text1"/>
          <w:szCs w:val="28"/>
        </w:rPr>
        <w:t>pamatsumma</w:t>
      </w:r>
      <w:r w:rsidR="00FF7D72">
        <w:rPr>
          <w:color w:val="000000" w:themeColor="text1"/>
          <w:szCs w:val="28"/>
        </w:rPr>
        <w:t xml:space="preserve"> un procentu maksājumi</w:t>
      </w:r>
      <w:r w:rsidRPr="003E2E63">
        <w:rPr>
          <w:color w:val="000000" w:themeColor="text1"/>
          <w:szCs w:val="28"/>
        </w:rPr>
        <w:t xml:space="preserve"> jau </w:t>
      </w:r>
      <w:r w:rsidR="00577AA1" w:rsidRPr="003E2E63">
        <w:rPr>
          <w:color w:val="000000" w:themeColor="text1"/>
          <w:szCs w:val="28"/>
        </w:rPr>
        <w:t>atmaksāt</w:t>
      </w:r>
      <w:r w:rsidR="00577AA1">
        <w:rPr>
          <w:color w:val="000000" w:themeColor="text1"/>
          <w:szCs w:val="28"/>
        </w:rPr>
        <w:t>i</w:t>
      </w:r>
      <w:r w:rsidR="00577AA1" w:rsidRPr="003E2E63">
        <w:rPr>
          <w:color w:val="000000" w:themeColor="text1"/>
          <w:szCs w:val="28"/>
        </w:rPr>
        <w:t xml:space="preserve"> </w:t>
      </w:r>
      <w:r w:rsidRPr="003E2E63">
        <w:rPr>
          <w:color w:val="000000" w:themeColor="text1"/>
          <w:szCs w:val="28"/>
        </w:rPr>
        <w:t>2009.</w:t>
      </w:r>
      <w:r w:rsidR="003D7A18">
        <w:rPr>
          <w:color w:val="000000" w:themeColor="text1"/>
          <w:szCs w:val="28"/>
        </w:rPr>
        <w:t> </w:t>
      </w:r>
      <w:r w:rsidRPr="003E2E63">
        <w:rPr>
          <w:color w:val="000000" w:themeColor="text1"/>
          <w:szCs w:val="28"/>
        </w:rPr>
        <w:t xml:space="preserve">gadā.  </w:t>
      </w:r>
    </w:p>
    <w:p w:rsidR="0049238E" w:rsidRPr="003E2E63" w:rsidRDefault="00A94759" w:rsidP="00A94759">
      <w:pPr>
        <w:spacing w:after="0" w:line="240" w:lineRule="auto"/>
        <w:jc w:val="both"/>
        <w:rPr>
          <w:color w:val="000000" w:themeColor="text1"/>
          <w:szCs w:val="28"/>
        </w:rPr>
      </w:pPr>
      <w:r w:rsidRPr="003E2E63">
        <w:rPr>
          <w:color w:val="000000" w:themeColor="text1"/>
          <w:szCs w:val="28"/>
        </w:rPr>
        <w:t xml:space="preserve">Kopējā uzstādītā elektriskā jauda vēja elektrostacijām ir 24,9 MW. Obligātā iepirkuma ietvaros izmaksātās summas: 2010.g. – 4,56 </w:t>
      </w:r>
      <w:proofErr w:type="spellStart"/>
      <w:r w:rsidRPr="003E2E63">
        <w:rPr>
          <w:color w:val="000000" w:themeColor="text1"/>
          <w:szCs w:val="28"/>
        </w:rPr>
        <w:t>milj</w:t>
      </w:r>
      <w:proofErr w:type="spellEnd"/>
      <w:r w:rsidRPr="003E2E63">
        <w:rPr>
          <w:color w:val="000000" w:themeColor="text1"/>
          <w:szCs w:val="28"/>
        </w:rPr>
        <w:t>. L</w:t>
      </w:r>
      <w:r w:rsidR="003D7A18">
        <w:rPr>
          <w:color w:val="000000" w:themeColor="text1"/>
          <w:szCs w:val="28"/>
        </w:rPr>
        <w:t>VL</w:t>
      </w:r>
      <w:r w:rsidRPr="003E2E63">
        <w:rPr>
          <w:color w:val="000000" w:themeColor="text1"/>
          <w:szCs w:val="28"/>
        </w:rPr>
        <w:t xml:space="preserve">, 2011.g. – 3,53 </w:t>
      </w:r>
      <w:proofErr w:type="spellStart"/>
      <w:r w:rsidRPr="003E2E63">
        <w:rPr>
          <w:color w:val="000000" w:themeColor="text1"/>
          <w:szCs w:val="28"/>
        </w:rPr>
        <w:t>milj</w:t>
      </w:r>
      <w:proofErr w:type="spellEnd"/>
      <w:r w:rsidRPr="003E2E63">
        <w:rPr>
          <w:color w:val="000000" w:themeColor="text1"/>
          <w:szCs w:val="28"/>
        </w:rPr>
        <w:t>. L</w:t>
      </w:r>
      <w:r w:rsidR="003D7A18">
        <w:rPr>
          <w:color w:val="000000" w:themeColor="text1"/>
          <w:szCs w:val="28"/>
        </w:rPr>
        <w:t>VL</w:t>
      </w:r>
      <w:r w:rsidRPr="003E2E63">
        <w:rPr>
          <w:color w:val="000000" w:themeColor="text1"/>
          <w:szCs w:val="28"/>
        </w:rPr>
        <w:t xml:space="preserve">; 2012.g. – 3,53 </w:t>
      </w:r>
      <w:proofErr w:type="spellStart"/>
      <w:r w:rsidRPr="003E2E63">
        <w:rPr>
          <w:color w:val="000000" w:themeColor="text1"/>
          <w:szCs w:val="28"/>
        </w:rPr>
        <w:t>milj</w:t>
      </w:r>
      <w:proofErr w:type="spellEnd"/>
      <w:r w:rsidRPr="003E2E63">
        <w:rPr>
          <w:color w:val="000000" w:themeColor="text1"/>
          <w:szCs w:val="28"/>
        </w:rPr>
        <w:t>. L</w:t>
      </w:r>
      <w:r w:rsidR="003D7A18">
        <w:rPr>
          <w:color w:val="000000" w:themeColor="text1"/>
          <w:szCs w:val="28"/>
        </w:rPr>
        <w:t>VL</w:t>
      </w:r>
      <w:r w:rsidRPr="003E2E63">
        <w:rPr>
          <w:color w:val="000000" w:themeColor="text1"/>
          <w:szCs w:val="28"/>
        </w:rPr>
        <w:t xml:space="preserve">. </w:t>
      </w:r>
      <w:r w:rsidR="00721FC9" w:rsidRPr="003E2E63">
        <w:rPr>
          <w:color w:val="000000" w:themeColor="text1"/>
          <w:szCs w:val="28"/>
        </w:rPr>
        <w:t xml:space="preserve">Vēl aizvien minētajām vēja stacijām nav ierobežots atbalsta saņemšanas periods. </w:t>
      </w:r>
      <w:r w:rsidR="003D7A18">
        <w:rPr>
          <w:color w:val="000000" w:themeColor="text1"/>
          <w:szCs w:val="28"/>
        </w:rPr>
        <w:t>Pieņemot</w:t>
      </w:r>
      <w:r w:rsidRPr="003E2E63">
        <w:rPr>
          <w:color w:val="000000" w:themeColor="text1"/>
          <w:szCs w:val="28"/>
        </w:rPr>
        <w:t>, ka 2014.</w:t>
      </w:r>
      <w:r w:rsidR="003D7A18">
        <w:rPr>
          <w:color w:val="000000" w:themeColor="text1"/>
          <w:szCs w:val="28"/>
        </w:rPr>
        <w:t> </w:t>
      </w:r>
      <w:r w:rsidRPr="003E2E63">
        <w:rPr>
          <w:color w:val="000000" w:themeColor="text1"/>
          <w:szCs w:val="28"/>
        </w:rPr>
        <w:t xml:space="preserve">gadā pie esošās situācija OIK varētu pieaugt līdz 2,47 </w:t>
      </w:r>
      <w:proofErr w:type="spellStart"/>
      <w:r w:rsidRPr="003E2E63">
        <w:rPr>
          <w:color w:val="000000" w:themeColor="text1"/>
          <w:szCs w:val="28"/>
        </w:rPr>
        <w:t>sant</w:t>
      </w:r>
      <w:proofErr w:type="spellEnd"/>
      <w:r w:rsidRPr="003E2E63">
        <w:rPr>
          <w:color w:val="000000" w:themeColor="text1"/>
          <w:szCs w:val="28"/>
        </w:rPr>
        <w:t>./kWh, tad kopējā ietekme uz OIK veidotu apmēram 0,04</w:t>
      </w:r>
      <w:r w:rsidR="003D7A18">
        <w:rPr>
          <w:color w:val="000000" w:themeColor="text1"/>
          <w:szCs w:val="28"/>
        </w:rPr>
        <w:t> </w:t>
      </w:r>
      <w:proofErr w:type="spellStart"/>
      <w:r w:rsidRPr="003E2E63">
        <w:rPr>
          <w:color w:val="000000" w:themeColor="text1"/>
          <w:szCs w:val="28"/>
        </w:rPr>
        <w:t>sant</w:t>
      </w:r>
      <w:proofErr w:type="spellEnd"/>
      <w:r w:rsidRPr="003E2E63">
        <w:rPr>
          <w:color w:val="000000" w:themeColor="text1"/>
          <w:szCs w:val="28"/>
        </w:rPr>
        <w:t xml:space="preserve">./kWh jeb 1,7% no kopējā OIK. </w:t>
      </w:r>
    </w:p>
    <w:p w:rsidR="00721FC9" w:rsidRPr="003E2E63" w:rsidRDefault="00721FC9" w:rsidP="000C1257">
      <w:pPr>
        <w:spacing w:after="0" w:line="240" w:lineRule="auto"/>
        <w:jc w:val="both"/>
        <w:rPr>
          <w:color w:val="000000" w:themeColor="text1"/>
          <w:szCs w:val="28"/>
        </w:rPr>
      </w:pPr>
      <w:r w:rsidRPr="003E2E63">
        <w:rPr>
          <w:color w:val="000000" w:themeColor="text1"/>
          <w:szCs w:val="28"/>
        </w:rPr>
        <w:t>Līdz ar to Elektroenerģijas tirgus likumā ir jāietver norma, ka minētie ražotāji</w:t>
      </w:r>
      <w:r w:rsidR="000C2600">
        <w:rPr>
          <w:color w:val="000000" w:themeColor="text1"/>
          <w:szCs w:val="28"/>
        </w:rPr>
        <w:t>,</w:t>
      </w:r>
      <w:r w:rsidRPr="003E2E63">
        <w:rPr>
          <w:color w:val="000000" w:themeColor="text1"/>
          <w:szCs w:val="28"/>
        </w:rPr>
        <w:t xml:space="preserve"> sākot no </w:t>
      </w:r>
      <w:r w:rsidR="00DE0CDE" w:rsidRPr="003E2E63">
        <w:rPr>
          <w:color w:val="000000" w:themeColor="text1"/>
          <w:szCs w:val="28"/>
        </w:rPr>
        <w:t>201</w:t>
      </w:r>
      <w:r w:rsidR="00DE0CDE">
        <w:rPr>
          <w:color w:val="000000" w:themeColor="text1"/>
          <w:szCs w:val="28"/>
        </w:rPr>
        <w:t>4</w:t>
      </w:r>
      <w:r w:rsidRPr="003E2E63">
        <w:rPr>
          <w:color w:val="000000" w:themeColor="text1"/>
          <w:szCs w:val="28"/>
        </w:rPr>
        <w:t>. gada 1. </w:t>
      </w:r>
      <w:r w:rsidR="00DE0CDE">
        <w:rPr>
          <w:color w:val="000000" w:themeColor="text1"/>
          <w:szCs w:val="28"/>
        </w:rPr>
        <w:t>janvāri</w:t>
      </w:r>
      <w:r w:rsidR="00577AA1">
        <w:rPr>
          <w:color w:val="000000" w:themeColor="text1"/>
          <w:szCs w:val="28"/>
        </w:rPr>
        <w:t>,</w:t>
      </w:r>
      <w:r w:rsidRPr="003E2E63">
        <w:rPr>
          <w:color w:val="000000" w:themeColor="text1"/>
          <w:szCs w:val="28"/>
        </w:rPr>
        <w:t xml:space="preserve"> pārdod elektroenerģiju brīvajā tirgū bez turpmāka atbalsta. </w:t>
      </w:r>
    </w:p>
    <w:p w:rsidR="00721FC9" w:rsidRPr="003E2E63" w:rsidRDefault="00721FC9" w:rsidP="00721FC9">
      <w:pPr>
        <w:spacing w:after="0" w:line="240" w:lineRule="auto"/>
        <w:jc w:val="both"/>
        <w:rPr>
          <w:color w:val="000000" w:themeColor="text1"/>
          <w:szCs w:val="28"/>
        </w:rPr>
      </w:pPr>
      <w:r w:rsidRPr="003E2E63">
        <w:rPr>
          <w:color w:val="000000" w:themeColor="text1"/>
          <w:szCs w:val="28"/>
        </w:rPr>
        <w:t>Kopš 1995.</w:t>
      </w:r>
      <w:r w:rsidR="003D7A18">
        <w:rPr>
          <w:color w:val="000000" w:themeColor="text1"/>
          <w:szCs w:val="28"/>
        </w:rPr>
        <w:t> </w:t>
      </w:r>
      <w:r w:rsidRPr="003E2E63">
        <w:rPr>
          <w:color w:val="000000" w:themeColor="text1"/>
          <w:szCs w:val="28"/>
        </w:rPr>
        <w:t xml:space="preserve">gada Latvijā tiek veicināta </w:t>
      </w:r>
      <w:r w:rsidRPr="003E2E63">
        <w:rPr>
          <w:b/>
          <w:color w:val="000000" w:themeColor="text1"/>
          <w:szCs w:val="28"/>
        </w:rPr>
        <w:t>mazo hidroelektrostaciju attīstība</w:t>
      </w:r>
      <w:r w:rsidRPr="003E2E63">
        <w:rPr>
          <w:color w:val="000000" w:themeColor="text1"/>
          <w:szCs w:val="28"/>
        </w:rPr>
        <w:t>. Ministru kabineta 1995.</w:t>
      </w:r>
      <w:r w:rsidR="003D7A18">
        <w:rPr>
          <w:color w:val="000000" w:themeColor="text1"/>
          <w:szCs w:val="28"/>
        </w:rPr>
        <w:t> </w:t>
      </w:r>
      <w:r w:rsidRPr="003E2E63">
        <w:rPr>
          <w:color w:val="000000" w:themeColor="text1"/>
          <w:szCs w:val="28"/>
        </w:rPr>
        <w:t>gada 14.</w:t>
      </w:r>
      <w:r w:rsidR="003D7A18">
        <w:rPr>
          <w:color w:val="000000" w:themeColor="text1"/>
          <w:szCs w:val="28"/>
        </w:rPr>
        <w:t> </w:t>
      </w:r>
      <w:r w:rsidRPr="003E2E63">
        <w:rPr>
          <w:color w:val="000000" w:themeColor="text1"/>
          <w:szCs w:val="28"/>
        </w:rPr>
        <w:t>marta noteikumu Nr.54 „Par Latvijas Republikā ražotās elektroenerģijas iepirkuma cenām” (spēkā līdz 1995. gada 11.</w:t>
      </w:r>
      <w:r w:rsidR="003D7A18">
        <w:rPr>
          <w:color w:val="000000" w:themeColor="text1"/>
          <w:szCs w:val="28"/>
        </w:rPr>
        <w:t> </w:t>
      </w:r>
      <w:r w:rsidRPr="003E2E63">
        <w:rPr>
          <w:color w:val="000000" w:themeColor="text1"/>
          <w:szCs w:val="28"/>
        </w:rPr>
        <w:t>oktobrim) 3.</w:t>
      </w:r>
      <w:r w:rsidR="003D7A18">
        <w:rPr>
          <w:color w:val="000000" w:themeColor="text1"/>
          <w:szCs w:val="28"/>
        </w:rPr>
        <w:t> </w:t>
      </w:r>
      <w:r w:rsidRPr="003E2E63">
        <w:rPr>
          <w:color w:val="000000" w:themeColor="text1"/>
          <w:szCs w:val="28"/>
        </w:rPr>
        <w:t>punkts noteica, ka iepirkuma cena to decentralizēto mazas jaudas (līdz 2 MW) hidroelektrostaciju ražotajai elektroenerģijai, kuras darbojas vai kuru darbību atjaunos līdz 2000.</w:t>
      </w:r>
      <w:r w:rsidR="003D7A18">
        <w:rPr>
          <w:color w:val="000000" w:themeColor="text1"/>
          <w:szCs w:val="28"/>
        </w:rPr>
        <w:t> </w:t>
      </w:r>
      <w:r w:rsidRPr="003E2E63">
        <w:rPr>
          <w:color w:val="000000" w:themeColor="text1"/>
          <w:szCs w:val="28"/>
        </w:rPr>
        <w:t>gadam, atbilst valsts akciju sabiedrības „Latvenergo” divkāršam elektroenerģijas realizācijas vidējam aprēķina tarifam un ir spēkā astoņus gadus no attiecīgās elektrostacijas ekspluatācijas sākuma.</w:t>
      </w:r>
    </w:p>
    <w:p w:rsidR="00721FC9" w:rsidRPr="003E2E63" w:rsidRDefault="00721FC9" w:rsidP="00721FC9">
      <w:pPr>
        <w:spacing w:after="0" w:line="240" w:lineRule="auto"/>
        <w:jc w:val="both"/>
        <w:rPr>
          <w:color w:val="000000" w:themeColor="text1"/>
          <w:szCs w:val="28"/>
        </w:rPr>
      </w:pPr>
      <w:r w:rsidRPr="003E2E63">
        <w:rPr>
          <w:color w:val="000000" w:themeColor="text1"/>
          <w:szCs w:val="28"/>
        </w:rPr>
        <w:t>1998.</w:t>
      </w:r>
      <w:r w:rsidR="003D7A18">
        <w:rPr>
          <w:color w:val="000000" w:themeColor="text1"/>
          <w:szCs w:val="28"/>
        </w:rPr>
        <w:t> </w:t>
      </w:r>
      <w:r w:rsidRPr="003E2E63">
        <w:rPr>
          <w:color w:val="000000" w:themeColor="text1"/>
          <w:szCs w:val="28"/>
        </w:rPr>
        <w:t>gada 6.</w:t>
      </w:r>
      <w:r w:rsidR="003D7A18">
        <w:rPr>
          <w:color w:val="000000" w:themeColor="text1"/>
          <w:szCs w:val="28"/>
        </w:rPr>
        <w:t> </w:t>
      </w:r>
      <w:r w:rsidRPr="003E2E63">
        <w:rPr>
          <w:color w:val="000000" w:themeColor="text1"/>
          <w:szCs w:val="28"/>
        </w:rPr>
        <w:t>oktobrī spēkā stājās Enerģētikas likums, kura 40.</w:t>
      </w:r>
      <w:r w:rsidR="003D7A18">
        <w:rPr>
          <w:color w:val="000000" w:themeColor="text1"/>
          <w:szCs w:val="28"/>
        </w:rPr>
        <w:t> </w:t>
      </w:r>
      <w:r w:rsidRPr="003E2E63">
        <w:rPr>
          <w:color w:val="000000" w:themeColor="text1"/>
          <w:szCs w:val="28"/>
        </w:rPr>
        <w:t>panta pirmā daļa (spēkā līdz 2005.</w:t>
      </w:r>
      <w:r w:rsidR="003D7A18">
        <w:rPr>
          <w:color w:val="000000" w:themeColor="text1"/>
          <w:szCs w:val="28"/>
        </w:rPr>
        <w:t> </w:t>
      </w:r>
      <w:r w:rsidRPr="003E2E63">
        <w:rPr>
          <w:color w:val="000000" w:themeColor="text1"/>
          <w:szCs w:val="28"/>
        </w:rPr>
        <w:t>gada 15.</w:t>
      </w:r>
      <w:r w:rsidR="003D7A18">
        <w:rPr>
          <w:color w:val="000000" w:themeColor="text1"/>
          <w:szCs w:val="28"/>
        </w:rPr>
        <w:t> </w:t>
      </w:r>
      <w:r w:rsidRPr="003E2E63">
        <w:rPr>
          <w:color w:val="000000" w:themeColor="text1"/>
          <w:szCs w:val="28"/>
        </w:rPr>
        <w:t>aprīlim) noteica, ka licencētais elektroenerģijas sadales uzņēmums savā licences darbības zonā iepērk no mazām hidroelektrostacijām, kuru jauda nepārsniedz divus megavatus, kā arī vēja elektrostacijām, kuru jauda nepārsniedz divus megavatus, un saules energoiekārtām, ja šo staciju un iekārtu ekspluatācija uzsākta līdz 2005.</w:t>
      </w:r>
      <w:r w:rsidR="003D7A18">
        <w:rPr>
          <w:color w:val="000000" w:themeColor="text1"/>
          <w:szCs w:val="28"/>
        </w:rPr>
        <w:t> </w:t>
      </w:r>
      <w:r w:rsidRPr="003E2E63">
        <w:rPr>
          <w:color w:val="000000" w:themeColor="text1"/>
          <w:szCs w:val="28"/>
        </w:rPr>
        <w:t>gada 1.</w:t>
      </w:r>
      <w:r w:rsidR="003D7A18">
        <w:rPr>
          <w:color w:val="000000" w:themeColor="text1"/>
          <w:szCs w:val="28"/>
        </w:rPr>
        <w:t> </w:t>
      </w:r>
      <w:r w:rsidRPr="003E2E63">
        <w:rPr>
          <w:color w:val="000000" w:themeColor="text1"/>
          <w:szCs w:val="28"/>
        </w:rPr>
        <w:t>janvārim, to saražotās elektroenerģijas pārpalikumu, kas atlicis pēc izlietošanas pašu vajadzībām un atbilst valstī noteiktajiem elektroenerģijas parametriem, astoņus gadus no attiecīgās elektrostacijas ekspluatācijas sākuma par cenu, kas atbilst divkāršam elektroenerģijas realizācijas vidējam tarifam.</w:t>
      </w:r>
    </w:p>
    <w:p w:rsidR="000C1257" w:rsidRPr="003E2E63" w:rsidRDefault="000C1257" w:rsidP="000C1257">
      <w:pPr>
        <w:spacing w:after="0" w:line="240" w:lineRule="auto"/>
        <w:jc w:val="both"/>
        <w:rPr>
          <w:color w:val="000000" w:themeColor="text1"/>
          <w:szCs w:val="28"/>
        </w:rPr>
      </w:pPr>
      <w:r w:rsidRPr="003E2E63">
        <w:rPr>
          <w:color w:val="000000" w:themeColor="text1"/>
          <w:szCs w:val="28"/>
        </w:rPr>
        <w:lastRenderedPageBreak/>
        <w:t>Šāda atbalsta esamība radīja pamatu straujai mazo hidroelektrostaciju attīstībai. Līdz ar to būtiski</w:t>
      </w:r>
      <w:r w:rsidRPr="003E2E63">
        <w:rPr>
          <w:b/>
          <w:color w:val="000000" w:themeColor="text1"/>
          <w:szCs w:val="28"/>
        </w:rPr>
        <w:t xml:space="preserve"> </w:t>
      </w:r>
      <w:r w:rsidRPr="003E2E63">
        <w:rPr>
          <w:color w:val="000000" w:themeColor="text1"/>
          <w:szCs w:val="28"/>
        </w:rPr>
        <w:t>ir ņemt vērā apstākli, ka hidroelektrostacijas ar uzstādīto elektrisko jaudu līdz 5 MW atbalstu saņēma vēl pirms tiesību iegūšanas pārdot saražoto elektroenerģiju obligātā iepirkuma ietvaros saskaņā ar Ministru kabineta 2009.</w:t>
      </w:r>
      <w:r w:rsidR="003D7A18">
        <w:rPr>
          <w:color w:val="000000" w:themeColor="text1"/>
          <w:szCs w:val="28"/>
        </w:rPr>
        <w:t> </w:t>
      </w:r>
      <w:r w:rsidRPr="003E2E63">
        <w:rPr>
          <w:color w:val="000000" w:themeColor="text1"/>
          <w:szCs w:val="28"/>
        </w:rPr>
        <w:t>gada 24.</w:t>
      </w:r>
      <w:r w:rsidR="003D7A18">
        <w:rPr>
          <w:color w:val="000000" w:themeColor="text1"/>
          <w:szCs w:val="28"/>
        </w:rPr>
        <w:t> </w:t>
      </w:r>
      <w:r w:rsidRPr="003E2E63">
        <w:rPr>
          <w:color w:val="000000" w:themeColor="text1"/>
          <w:szCs w:val="28"/>
        </w:rPr>
        <w:t>februāra noteikumiem Nr.198 „Noteikumi par elektroenerģijas ražošanu, izmantojot atjaunojamos energoresursus, un cenu noteikšanas kārtību” un tos aizstājušajiem MK noteikumiem Nr.262.</w:t>
      </w:r>
    </w:p>
    <w:p w:rsidR="00721FC9" w:rsidRDefault="00721FC9" w:rsidP="00A94759">
      <w:pPr>
        <w:spacing w:after="0" w:line="240" w:lineRule="auto"/>
        <w:jc w:val="both"/>
        <w:rPr>
          <w:color w:val="000000" w:themeColor="text1"/>
          <w:szCs w:val="28"/>
        </w:rPr>
      </w:pPr>
      <w:r w:rsidRPr="003E2E63">
        <w:rPr>
          <w:color w:val="000000" w:themeColor="text1"/>
          <w:szCs w:val="28"/>
        </w:rPr>
        <w:t>Šobrīd Latvijā pastāvošais tiesiskais ietvars (MK noteikumi Nr.262) elektroenerģijas obligātajam iepirkumam no hidroelektrostacijām paredz, ka hidroelektrostacij</w:t>
      </w:r>
      <w:r w:rsidR="00775B27" w:rsidRPr="003E2E63">
        <w:rPr>
          <w:color w:val="000000" w:themeColor="text1"/>
          <w:szCs w:val="28"/>
        </w:rPr>
        <w:t>ām</w:t>
      </w:r>
      <w:r w:rsidRPr="003E2E63">
        <w:rPr>
          <w:color w:val="000000" w:themeColor="text1"/>
          <w:szCs w:val="28"/>
        </w:rPr>
        <w:t xml:space="preserve"> ar uzstādīto elektrisko jaudu līdz 5 MW pirmos 10 gadus no Ekonomikas ministrijas pieņemtā lēmuma ir tiesības pārdot elektroenerģiju obligātā iepirkuma ietvaros. Savukārt nākamos 10 gadus hidroelektrostacij</w:t>
      </w:r>
      <w:r w:rsidR="00775B27" w:rsidRPr="003E2E63">
        <w:rPr>
          <w:color w:val="000000" w:themeColor="text1"/>
          <w:szCs w:val="28"/>
        </w:rPr>
        <w:t>ām</w:t>
      </w:r>
      <w:r w:rsidRPr="003E2E63">
        <w:rPr>
          <w:color w:val="000000" w:themeColor="text1"/>
          <w:szCs w:val="28"/>
        </w:rPr>
        <w:t xml:space="preserve"> ar uzstādīto elektrisko jaudu līdz 5 MW tiek piešķirta samazināta atbalsta intensitāte. Kopumā hidroelektrostacijas ar uzstādīto elektrisko jaudu līdz 5 MW atbalstu saņem 20 gadus no Ekonomikas ministrijas pieņemtā lēmuma par tiesību piešķiršanu pārdot elektroenerģiju obligātā iepirkuma ietvaros saskaņā ar MK noteikumiem Nr.262, nevis no </w:t>
      </w:r>
      <w:r w:rsidR="0040238E">
        <w:rPr>
          <w:color w:val="000000" w:themeColor="text1"/>
          <w:szCs w:val="28"/>
        </w:rPr>
        <w:t xml:space="preserve">hidroelektrostacijas </w:t>
      </w:r>
      <w:r w:rsidRPr="003E2E63">
        <w:rPr>
          <w:color w:val="000000" w:themeColor="text1"/>
          <w:szCs w:val="28"/>
        </w:rPr>
        <w:t>darbības uzsākšanas. Pirmās hidroelektrostacijas uzsāka darbu jau 1999.</w:t>
      </w:r>
      <w:r w:rsidR="003D7A18">
        <w:rPr>
          <w:color w:val="000000" w:themeColor="text1"/>
          <w:szCs w:val="28"/>
        </w:rPr>
        <w:t> </w:t>
      </w:r>
      <w:r w:rsidRPr="003E2E63">
        <w:rPr>
          <w:color w:val="000000" w:themeColor="text1"/>
          <w:szCs w:val="28"/>
        </w:rPr>
        <w:t xml:space="preserve">gadā, </w:t>
      </w:r>
      <w:r w:rsidR="00577AA1">
        <w:rPr>
          <w:color w:val="000000" w:themeColor="text1"/>
          <w:szCs w:val="28"/>
        </w:rPr>
        <w:t>l</w:t>
      </w:r>
      <w:r w:rsidR="00577AA1" w:rsidRPr="003E2E63">
        <w:rPr>
          <w:color w:val="000000" w:themeColor="text1"/>
          <w:szCs w:val="28"/>
        </w:rPr>
        <w:t xml:space="preserve">īdz ar to rodas situācija, ka atsevišķas hidroelektrostacijas ar uzstādīto elektrisko jaudu līdz 5 MW saražoto elektroenerģiju par paaugstināto tarifu obligātā iepirkuma ietvaros pārdos gandrīz 30 gadus. </w:t>
      </w:r>
      <w:r w:rsidR="00987B71">
        <w:rPr>
          <w:color w:val="000000" w:themeColor="text1"/>
          <w:szCs w:val="28"/>
        </w:rPr>
        <w:t xml:space="preserve">Tādejādi </w:t>
      </w:r>
      <w:r w:rsidRPr="003E2E63">
        <w:rPr>
          <w:color w:val="000000" w:themeColor="text1"/>
          <w:szCs w:val="28"/>
        </w:rPr>
        <w:t xml:space="preserve">tām </w:t>
      </w:r>
      <w:r w:rsidR="0049334E" w:rsidRPr="003E2E63">
        <w:rPr>
          <w:color w:val="000000" w:themeColor="text1"/>
          <w:szCs w:val="28"/>
        </w:rPr>
        <w:t xml:space="preserve">arī </w:t>
      </w:r>
      <w:r w:rsidRPr="003E2E63">
        <w:rPr>
          <w:color w:val="000000" w:themeColor="text1"/>
          <w:szCs w:val="28"/>
        </w:rPr>
        <w:t>atbalsta termiņš būtu skaitāms</w:t>
      </w:r>
      <w:r w:rsidR="00775B27" w:rsidRPr="003E2E63">
        <w:rPr>
          <w:color w:val="000000" w:themeColor="text1"/>
          <w:szCs w:val="28"/>
        </w:rPr>
        <w:t>,</w:t>
      </w:r>
      <w:r w:rsidRPr="003E2E63">
        <w:rPr>
          <w:color w:val="000000" w:themeColor="text1"/>
          <w:szCs w:val="28"/>
        </w:rPr>
        <w:t xml:space="preserve"> sākot no 1999.</w:t>
      </w:r>
      <w:r w:rsidR="003D7A18">
        <w:rPr>
          <w:color w:val="000000" w:themeColor="text1"/>
          <w:szCs w:val="28"/>
        </w:rPr>
        <w:t> </w:t>
      </w:r>
      <w:r w:rsidRPr="003E2E63">
        <w:rPr>
          <w:color w:val="000000" w:themeColor="text1"/>
          <w:szCs w:val="28"/>
        </w:rPr>
        <w:t>gada</w:t>
      </w:r>
      <w:r w:rsidR="00775B27" w:rsidRPr="003E2E63">
        <w:rPr>
          <w:color w:val="000000" w:themeColor="text1"/>
          <w:szCs w:val="28"/>
        </w:rPr>
        <w:t>,</w:t>
      </w:r>
      <w:r w:rsidR="003D7A18">
        <w:rPr>
          <w:color w:val="000000" w:themeColor="text1"/>
          <w:szCs w:val="28"/>
        </w:rPr>
        <w:t xml:space="preserve"> </w:t>
      </w:r>
      <w:r w:rsidR="0049334E" w:rsidRPr="003E2E63">
        <w:rPr>
          <w:color w:val="000000" w:themeColor="text1"/>
          <w:szCs w:val="28"/>
        </w:rPr>
        <w:t>nevis 2009.</w:t>
      </w:r>
      <w:r w:rsidR="003D7A18">
        <w:rPr>
          <w:color w:val="000000" w:themeColor="text1"/>
          <w:szCs w:val="28"/>
        </w:rPr>
        <w:t> </w:t>
      </w:r>
      <w:r w:rsidR="0049334E" w:rsidRPr="003E2E63">
        <w:rPr>
          <w:color w:val="000000" w:themeColor="text1"/>
          <w:szCs w:val="28"/>
        </w:rPr>
        <w:t xml:space="preserve">gada. </w:t>
      </w:r>
    </w:p>
    <w:p w:rsidR="0049334E" w:rsidRPr="003E2E63" w:rsidRDefault="00DC381F" w:rsidP="003D3D56">
      <w:pPr>
        <w:spacing w:after="0" w:line="240" w:lineRule="auto"/>
        <w:jc w:val="both"/>
        <w:rPr>
          <w:color w:val="000000" w:themeColor="text1"/>
          <w:szCs w:val="28"/>
        </w:rPr>
      </w:pPr>
      <w:r>
        <w:rPr>
          <w:color w:val="000000" w:themeColor="text1"/>
          <w:szCs w:val="28"/>
        </w:rPr>
        <w:t>Vēlamies norādīt, ka MK noteikumu Nr.262 37.</w:t>
      </w:r>
      <w:r w:rsidR="000C2600">
        <w:rPr>
          <w:color w:val="000000" w:themeColor="text1"/>
          <w:szCs w:val="28"/>
        </w:rPr>
        <w:t> </w:t>
      </w:r>
      <w:r>
        <w:rPr>
          <w:color w:val="000000" w:themeColor="text1"/>
          <w:szCs w:val="28"/>
        </w:rPr>
        <w:t xml:space="preserve">punktā tikai hidroelektrostacijām tika piemērots izņēmuma gadījums, proti, ka </w:t>
      </w:r>
      <w:r w:rsidRPr="003E2E63">
        <w:rPr>
          <w:color w:val="000000" w:themeColor="text1"/>
          <w:szCs w:val="28"/>
        </w:rPr>
        <w:t>atbalstu saņem 20 gadus no Ekonomikas ministrijas pieņemtā lēmuma par tiesību piešķiršanu pārdot elektroenerģiju obligātā iepirkuma ietvaros</w:t>
      </w:r>
      <w:r>
        <w:rPr>
          <w:color w:val="000000" w:themeColor="text1"/>
          <w:szCs w:val="28"/>
        </w:rPr>
        <w:t>. Savukārt vēja elektrostacijās, saules elektrostacijām, biomasas elektrostacijām</w:t>
      </w:r>
      <w:r w:rsidRPr="003E2E63">
        <w:rPr>
          <w:color w:val="000000" w:themeColor="text1"/>
          <w:szCs w:val="28"/>
        </w:rPr>
        <w:t xml:space="preserve"> </w:t>
      </w:r>
      <w:r>
        <w:rPr>
          <w:color w:val="000000" w:themeColor="text1"/>
          <w:szCs w:val="28"/>
        </w:rPr>
        <w:t xml:space="preserve">un biogāzes stacijām </w:t>
      </w:r>
      <w:r w:rsidRPr="003E2E63">
        <w:rPr>
          <w:color w:val="000000" w:themeColor="text1"/>
          <w:szCs w:val="28"/>
        </w:rPr>
        <w:t>atbalstu saņem 20 gadus no</w:t>
      </w:r>
      <w:r>
        <w:rPr>
          <w:color w:val="000000" w:themeColor="text1"/>
          <w:szCs w:val="28"/>
        </w:rPr>
        <w:t xml:space="preserve"> </w:t>
      </w:r>
      <w:r>
        <w:t>elektrostacijas ekspluatācijas uzsākšanas dienas.</w:t>
      </w:r>
      <w:r w:rsidR="00345FAE">
        <w:t xml:space="preserve"> </w:t>
      </w:r>
      <w:r w:rsidR="00662419">
        <w:t xml:space="preserve">Šāds izņēmums nav pamatots. </w:t>
      </w:r>
      <w:r w:rsidR="0049334E" w:rsidRPr="003E2E63">
        <w:rPr>
          <w:color w:val="000000" w:themeColor="text1"/>
          <w:szCs w:val="28"/>
        </w:rPr>
        <w:t>Juridiski pamatots atbalsta termiņš būtu visām stacijām vienāds, proti 20 gadi, no kuriem pēdējos 10 gadus tiem maksāta pazemināta atbalsta intensitāt</w:t>
      </w:r>
      <w:r w:rsidR="00733C75">
        <w:rPr>
          <w:color w:val="000000" w:themeColor="text1"/>
          <w:szCs w:val="28"/>
        </w:rPr>
        <w:t>e</w:t>
      </w:r>
      <w:r w:rsidR="00107125">
        <w:rPr>
          <w:color w:val="000000" w:themeColor="text1"/>
          <w:szCs w:val="28"/>
        </w:rPr>
        <w:t>,</w:t>
      </w:r>
      <w:r w:rsidR="00733C75">
        <w:rPr>
          <w:color w:val="000000" w:themeColor="text1"/>
          <w:szCs w:val="28"/>
        </w:rPr>
        <w:t xml:space="preserve"> kā to paredz MK noteikumu Nr.</w:t>
      </w:r>
      <w:r w:rsidR="0049334E" w:rsidRPr="003E2E63">
        <w:rPr>
          <w:color w:val="000000" w:themeColor="text1"/>
          <w:szCs w:val="28"/>
        </w:rPr>
        <w:t xml:space="preserve">262. </w:t>
      </w:r>
      <w:r w:rsidR="00026B85">
        <w:rPr>
          <w:color w:val="000000" w:themeColor="text1"/>
          <w:szCs w:val="28"/>
        </w:rPr>
        <w:t xml:space="preserve">Līdz ar to </w:t>
      </w:r>
      <w:r w:rsidR="00C91F36">
        <w:rPr>
          <w:color w:val="000000" w:themeColor="text1"/>
          <w:szCs w:val="28"/>
        </w:rPr>
        <w:t>tiek izstrādāti</w:t>
      </w:r>
      <w:r w:rsidR="00026B85">
        <w:rPr>
          <w:color w:val="000000" w:themeColor="text1"/>
          <w:szCs w:val="28"/>
        </w:rPr>
        <w:t xml:space="preserve"> grozījumi MK not</w:t>
      </w:r>
      <w:r w:rsidR="00C91F36">
        <w:rPr>
          <w:color w:val="000000" w:themeColor="text1"/>
          <w:szCs w:val="28"/>
        </w:rPr>
        <w:t>eikumos Nr.</w:t>
      </w:r>
      <w:r w:rsidR="00026B85">
        <w:rPr>
          <w:color w:val="000000" w:themeColor="text1"/>
          <w:szCs w:val="28"/>
        </w:rPr>
        <w:t>262</w:t>
      </w:r>
      <w:r w:rsidR="00C91F36">
        <w:rPr>
          <w:color w:val="000000" w:themeColor="text1"/>
          <w:szCs w:val="28"/>
        </w:rPr>
        <w:t>, kas paredz, ka kopējais atbalsta termiņš vienai stacijai nepārsniedz 20 gadus</w:t>
      </w:r>
      <w:r w:rsidR="00026B85">
        <w:rPr>
          <w:color w:val="000000" w:themeColor="text1"/>
          <w:szCs w:val="28"/>
        </w:rPr>
        <w:t xml:space="preserve"> un </w:t>
      </w:r>
      <w:r w:rsidR="00C91F36">
        <w:rPr>
          <w:color w:val="000000" w:themeColor="text1"/>
          <w:szCs w:val="28"/>
        </w:rPr>
        <w:t xml:space="preserve">grozījumi </w:t>
      </w:r>
      <w:r w:rsidR="00026B85">
        <w:rPr>
          <w:color w:val="000000" w:themeColor="text1"/>
          <w:szCs w:val="28"/>
        </w:rPr>
        <w:t>Elektroenerģijas tirgus likumā</w:t>
      </w:r>
      <w:r w:rsidR="00DE0CDE">
        <w:rPr>
          <w:color w:val="000000" w:themeColor="text1"/>
          <w:szCs w:val="28"/>
        </w:rPr>
        <w:t>,</w:t>
      </w:r>
      <w:r w:rsidR="00026B85">
        <w:rPr>
          <w:color w:val="000000" w:themeColor="text1"/>
          <w:szCs w:val="28"/>
        </w:rPr>
        <w:t xml:space="preserve"> </w:t>
      </w:r>
      <w:r w:rsidR="00C91F36">
        <w:rPr>
          <w:color w:val="000000" w:themeColor="text1"/>
          <w:szCs w:val="28"/>
        </w:rPr>
        <w:t xml:space="preserve">kas paredz vispārēju </w:t>
      </w:r>
      <w:r w:rsidR="00DC231D">
        <w:rPr>
          <w:color w:val="000000" w:themeColor="text1"/>
          <w:szCs w:val="28"/>
        </w:rPr>
        <w:t>principu par atbalsta termiņa noteik</w:t>
      </w:r>
      <w:r w:rsidR="009F11E4">
        <w:rPr>
          <w:color w:val="000000" w:themeColor="text1"/>
          <w:szCs w:val="28"/>
        </w:rPr>
        <w:t>šan</w:t>
      </w:r>
      <w:r w:rsidR="00060A76">
        <w:rPr>
          <w:color w:val="000000" w:themeColor="text1"/>
          <w:szCs w:val="28"/>
        </w:rPr>
        <w:t>u</w:t>
      </w:r>
      <w:r w:rsidR="00096991">
        <w:rPr>
          <w:color w:val="000000" w:themeColor="text1"/>
          <w:szCs w:val="28"/>
        </w:rPr>
        <w:t>, ka atbalsta termiņš konkrētajai stacijai nepārsniedz 20 gadus</w:t>
      </w:r>
      <w:r w:rsidR="00060A76">
        <w:rPr>
          <w:color w:val="000000" w:themeColor="text1"/>
          <w:szCs w:val="28"/>
        </w:rPr>
        <w:t>.</w:t>
      </w:r>
    </w:p>
    <w:p w:rsidR="006F1B63" w:rsidRPr="003E2E63" w:rsidRDefault="006F1B63" w:rsidP="006F1B63">
      <w:pPr>
        <w:pStyle w:val="Heading2"/>
        <w:rPr>
          <w:color w:val="000000" w:themeColor="text1"/>
        </w:rPr>
      </w:pPr>
      <w:bookmarkStart w:id="32" w:name="_Toc350183119"/>
      <w:bookmarkStart w:id="33" w:name="_Toc352179323"/>
      <w:bookmarkStart w:id="34" w:name="_Toc351283071"/>
      <w:bookmarkStart w:id="35" w:name="_Toc349826050"/>
      <w:bookmarkStart w:id="36" w:name="_Toc349826114"/>
      <w:bookmarkStart w:id="37" w:name="_Toc350183120"/>
      <w:bookmarkEnd w:id="28"/>
      <w:bookmarkEnd w:id="29"/>
      <w:bookmarkEnd w:id="30"/>
      <w:bookmarkEnd w:id="32"/>
      <w:r w:rsidRPr="003E2E63">
        <w:rPr>
          <w:color w:val="000000" w:themeColor="text1"/>
        </w:rPr>
        <w:t>2.</w:t>
      </w:r>
      <w:r>
        <w:rPr>
          <w:color w:val="000000" w:themeColor="text1"/>
        </w:rPr>
        <w:t>4</w:t>
      </w:r>
      <w:r w:rsidRPr="003E2E63">
        <w:rPr>
          <w:color w:val="000000" w:themeColor="text1"/>
        </w:rPr>
        <w:t xml:space="preserve">. </w:t>
      </w:r>
      <w:r>
        <w:rPr>
          <w:color w:val="000000" w:themeColor="text1"/>
        </w:rPr>
        <w:t>Subsidētās e</w:t>
      </w:r>
      <w:r w:rsidRPr="003E2E63">
        <w:rPr>
          <w:color w:val="000000" w:themeColor="text1"/>
        </w:rPr>
        <w:t>lektroenerģijas ražošanas atbilstība nosacījumiem</w:t>
      </w:r>
      <w:bookmarkEnd w:id="33"/>
      <w:r w:rsidRPr="003E2E63">
        <w:rPr>
          <w:color w:val="000000" w:themeColor="text1"/>
        </w:rPr>
        <w:t xml:space="preserve"> </w:t>
      </w:r>
    </w:p>
    <w:p w:rsidR="006F1B63" w:rsidRPr="003E2E63" w:rsidRDefault="006F1B63" w:rsidP="006F1B63">
      <w:pPr>
        <w:pStyle w:val="Heading3"/>
        <w:rPr>
          <w:color w:val="000000" w:themeColor="text1"/>
        </w:rPr>
      </w:pPr>
      <w:bookmarkStart w:id="38" w:name="_Toc351283064"/>
      <w:bookmarkStart w:id="39" w:name="_Toc352179324"/>
      <w:r w:rsidRPr="003E2E63">
        <w:rPr>
          <w:color w:val="000000" w:themeColor="text1"/>
        </w:rPr>
        <w:t>2.</w:t>
      </w:r>
      <w:r>
        <w:rPr>
          <w:color w:val="000000" w:themeColor="text1"/>
        </w:rPr>
        <w:t>4</w:t>
      </w:r>
      <w:r w:rsidRPr="003E2E63">
        <w:rPr>
          <w:color w:val="000000" w:themeColor="text1"/>
        </w:rPr>
        <w:t>.1. Projektu kontroles grupas izveidošana</w:t>
      </w:r>
      <w:bookmarkEnd w:id="38"/>
      <w:bookmarkEnd w:id="39"/>
      <w:r w:rsidRPr="003E2E63">
        <w:rPr>
          <w:color w:val="000000" w:themeColor="text1"/>
        </w:rPr>
        <w:t xml:space="preserve"> </w:t>
      </w:r>
    </w:p>
    <w:p w:rsidR="006F1B63" w:rsidRPr="003E2E63" w:rsidRDefault="006F1B63" w:rsidP="006F1B63">
      <w:pPr>
        <w:spacing w:after="0" w:line="240" w:lineRule="auto"/>
        <w:ind w:firstLine="709"/>
        <w:jc w:val="both"/>
        <w:rPr>
          <w:color w:val="000000" w:themeColor="text1"/>
        </w:rPr>
      </w:pPr>
      <w:r w:rsidRPr="003E2E63">
        <w:rPr>
          <w:color w:val="000000" w:themeColor="text1"/>
          <w:szCs w:val="28"/>
        </w:rPr>
        <w:t xml:space="preserve">Pastiprināta īstenoto elektrostaciju kontrole ir pastāvīgs, ikgadējs pasākums. </w:t>
      </w:r>
      <w:r>
        <w:rPr>
          <w:color w:val="000000" w:themeColor="text1"/>
        </w:rPr>
        <w:t>Projektu k</w:t>
      </w:r>
      <w:r w:rsidRPr="003E2E63">
        <w:rPr>
          <w:color w:val="000000" w:themeColor="text1"/>
        </w:rPr>
        <w:t xml:space="preserve">ontroles grupas kompetence būtu </w:t>
      </w:r>
      <w:r>
        <w:rPr>
          <w:color w:val="000000" w:themeColor="text1"/>
        </w:rPr>
        <w:t>elektrostacijas atrašanās vietā</w:t>
      </w:r>
      <w:r w:rsidRPr="003E2E63">
        <w:rPr>
          <w:color w:val="000000" w:themeColor="text1"/>
        </w:rPr>
        <w:t xml:space="preserve"> pārbaudīt </w:t>
      </w:r>
      <w:r w:rsidRPr="003E2E63">
        <w:rPr>
          <w:color w:val="000000" w:themeColor="text1"/>
          <w:szCs w:val="28"/>
        </w:rPr>
        <w:t xml:space="preserve">MK noteikumos Nr.221 un MK noteikumos Nr.262 ietverto </w:t>
      </w:r>
      <w:r w:rsidRPr="003E2E63">
        <w:rPr>
          <w:color w:val="000000" w:themeColor="text1"/>
          <w:szCs w:val="28"/>
        </w:rPr>
        <w:lastRenderedPageBreak/>
        <w:t xml:space="preserve">prasību ievērošanu, kas paredz atbilstību būvniecību regulējošajiem normatīvajiem aktiem elektrostacijās, atbilstošu izejvielu izmantošanu enerģijas ražošanas procesā, kā arī koģenerācijas stacijās saražotās siltumenerģijas efektīvu </w:t>
      </w:r>
      <w:proofErr w:type="spellStart"/>
      <w:r w:rsidRPr="003E2E63">
        <w:rPr>
          <w:color w:val="000000" w:themeColor="text1"/>
          <w:szCs w:val="28"/>
        </w:rPr>
        <w:t>izmantošanu</w:t>
      </w:r>
      <w:proofErr w:type="spellEnd"/>
      <w:r w:rsidRPr="003E2E63">
        <w:rPr>
          <w:color w:val="000000" w:themeColor="text1"/>
          <w:szCs w:val="28"/>
        </w:rPr>
        <w:t xml:space="preserve">. </w:t>
      </w:r>
      <w:r>
        <w:rPr>
          <w:color w:val="000000" w:themeColor="text1"/>
          <w:szCs w:val="28"/>
        </w:rPr>
        <w:t>Projektu k</w:t>
      </w:r>
      <w:r w:rsidRPr="003E2E63">
        <w:rPr>
          <w:color w:val="000000" w:themeColor="text1"/>
          <w:szCs w:val="28"/>
        </w:rPr>
        <w:t xml:space="preserve">ontroles grupa darbotos Ekonomikas ministrijas pārziņā. Tās sastāvā būtu 2 Ekonomikas ministrijas darbinieki. </w:t>
      </w:r>
      <w:r w:rsidRPr="003E2E63">
        <w:rPr>
          <w:color w:val="000000" w:themeColor="text1"/>
        </w:rPr>
        <w:t xml:space="preserve">Lai nodrošinātu pārbaudes objektivitāti, papildus Ekonomikas ministrijas darbiniekiem būtu lietderīgi piesaistīt vismaz 2 neatkarīgus ekspertus, vienu enerģētikā un vienu būvniecībā ar pienācīgu pieredzi un kvalifikāciju. Vienlaicīgi nepieciešams lemt par papildu līdzekļu </w:t>
      </w:r>
      <w:r>
        <w:rPr>
          <w:color w:val="000000" w:themeColor="text1"/>
        </w:rPr>
        <w:t>17 845</w:t>
      </w:r>
      <w:r w:rsidRPr="003E2E63">
        <w:rPr>
          <w:color w:val="000000" w:themeColor="text1"/>
        </w:rPr>
        <w:t xml:space="preserve"> LVL (</w:t>
      </w:r>
      <w:r w:rsidRPr="00DA2A75">
        <w:rPr>
          <w:i/>
          <w:color w:val="000000" w:themeColor="text1"/>
        </w:rPr>
        <w:t>skatīt 1. tabulu</w:t>
      </w:r>
      <w:r w:rsidRPr="003E2E63">
        <w:rPr>
          <w:color w:val="000000" w:themeColor="text1"/>
        </w:rPr>
        <w:t xml:space="preserve">) apjomā piešķiršanu Ekonomikas ministrijai </w:t>
      </w:r>
      <w:r>
        <w:rPr>
          <w:color w:val="000000" w:themeColor="text1"/>
        </w:rPr>
        <w:t xml:space="preserve">Projektu </w:t>
      </w:r>
      <w:r w:rsidRPr="003E2E63">
        <w:rPr>
          <w:color w:val="000000" w:themeColor="text1"/>
        </w:rPr>
        <w:t>kontroles grupas darbības nodrošināšanai.</w:t>
      </w:r>
    </w:p>
    <w:p w:rsidR="00060A76" w:rsidRDefault="00060A76" w:rsidP="006F1B63">
      <w:pPr>
        <w:spacing w:after="0" w:line="240" w:lineRule="auto"/>
        <w:ind w:firstLine="0"/>
        <w:jc w:val="right"/>
        <w:rPr>
          <w:color w:val="000000" w:themeColor="text1"/>
        </w:rPr>
      </w:pPr>
    </w:p>
    <w:p w:rsidR="006F1B63" w:rsidRPr="003E2E63" w:rsidRDefault="006F1B63" w:rsidP="006F1B63">
      <w:pPr>
        <w:spacing w:after="0" w:line="240" w:lineRule="auto"/>
        <w:ind w:firstLine="0"/>
        <w:jc w:val="right"/>
        <w:rPr>
          <w:color w:val="000000" w:themeColor="text1"/>
        </w:rPr>
      </w:pPr>
      <w:r w:rsidRPr="003E2E63">
        <w:rPr>
          <w:color w:val="000000" w:themeColor="text1"/>
        </w:rPr>
        <w:t>1.</w:t>
      </w:r>
      <w:r>
        <w:rPr>
          <w:color w:val="000000" w:themeColor="text1"/>
        </w:rPr>
        <w:t> </w:t>
      </w:r>
      <w:r w:rsidRPr="003E2E63">
        <w:rPr>
          <w:color w:val="000000" w:themeColor="text1"/>
        </w:rPr>
        <w:t xml:space="preserve">tabula </w:t>
      </w:r>
    </w:p>
    <w:p w:rsidR="006F1B63" w:rsidRPr="003E2E63" w:rsidRDefault="006F1B63" w:rsidP="006F1B63">
      <w:pPr>
        <w:spacing w:after="0" w:line="240" w:lineRule="auto"/>
        <w:ind w:firstLine="0"/>
        <w:jc w:val="right"/>
        <w:rPr>
          <w:color w:val="000000" w:themeColor="text1"/>
        </w:rPr>
      </w:pPr>
      <w:r w:rsidRPr="003E2E63">
        <w:rPr>
          <w:color w:val="000000" w:themeColor="text1"/>
        </w:rPr>
        <w:t>Kontroles grupas izdevumu novērtējums</w:t>
      </w:r>
      <w:r>
        <w:rPr>
          <w:color w:val="000000" w:themeColor="text1"/>
        </w:rPr>
        <w:t xml:space="preserve"> 2013. gadam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843"/>
        <w:gridCol w:w="3543"/>
      </w:tblGrid>
      <w:tr w:rsidR="006F1B63" w:rsidRPr="003E2E63" w:rsidTr="00BC723A">
        <w:tc>
          <w:tcPr>
            <w:tcW w:w="959" w:type="dxa"/>
            <w:shd w:val="clear" w:color="auto" w:fill="auto"/>
          </w:tcPr>
          <w:p w:rsidR="006F1B63" w:rsidRPr="003E2E63" w:rsidRDefault="006F1B63" w:rsidP="00BC723A">
            <w:pPr>
              <w:spacing w:after="0" w:line="240" w:lineRule="auto"/>
              <w:ind w:firstLine="0"/>
              <w:rPr>
                <w:color w:val="000000" w:themeColor="text1"/>
                <w:sz w:val="24"/>
                <w:szCs w:val="24"/>
              </w:rPr>
            </w:pPr>
            <w:proofErr w:type="spellStart"/>
            <w:r w:rsidRPr="003E2E63">
              <w:rPr>
                <w:color w:val="000000" w:themeColor="text1"/>
                <w:sz w:val="24"/>
                <w:szCs w:val="24"/>
              </w:rPr>
              <w:t>Nr</w:t>
            </w:r>
            <w:proofErr w:type="spellEnd"/>
            <w:r w:rsidRPr="003E2E63">
              <w:rPr>
                <w:color w:val="000000" w:themeColor="text1"/>
                <w:sz w:val="24"/>
                <w:szCs w:val="24"/>
              </w:rPr>
              <w:t xml:space="preserve">. </w:t>
            </w:r>
            <w:proofErr w:type="spellStart"/>
            <w:r w:rsidRPr="003E2E63">
              <w:rPr>
                <w:color w:val="000000" w:themeColor="text1"/>
                <w:sz w:val="24"/>
                <w:szCs w:val="24"/>
              </w:rPr>
              <w:t>p.k</w:t>
            </w:r>
            <w:proofErr w:type="spellEnd"/>
            <w:r w:rsidRPr="003E2E63">
              <w:rPr>
                <w:color w:val="000000" w:themeColor="text1"/>
                <w:sz w:val="24"/>
                <w:szCs w:val="24"/>
              </w:rPr>
              <w:t xml:space="preserve">. </w:t>
            </w:r>
          </w:p>
        </w:tc>
        <w:tc>
          <w:tcPr>
            <w:tcW w:w="2835" w:type="dxa"/>
            <w:shd w:val="clear" w:color="auto" w:fill="auto"/>
          </w:tcPr>
          <w:p w:rsidR="006F1B63" w:rsidRPr="003E2E63" w:rsidRDefault="006F1B63" w:rsidP="00BC723A">
            <w:pPr>
              <w:spacing w:after="0" w:line="240" w:lineRule="auto"/>
              <w:ind w:firstLine="0"/>
              <w:rPr>
                <w:color w:val="000000" w:themeColor="text1"/>
                <w:sz w:val="24"/>
                <w:szCs w:val="24"/>
              </w:rPr>
            </w:pPr>
            <w:r w:rsidRPr="003E2E63">
              <w:rPr>
                <w:color w:val="000000" w:themeColor="text1"/>
                <w:sz w:val="24"/>
                <w:szCs w:val="24"/>
              </w:rPr>
              <w:t xml:space="preserve">Izdevumu pozīcija </w:t>
            </w:r>
          </w:p>
        </w:tc>
        <w:tc>
          <w:tcPr>
            <w:tcW w:w="1843" w:type="dxa"/>
            <w:shd w:val="clear" w:color="auto" w:fill="auto"/>
          </w:tcPr>
          <w:p w:rsidR="006F1B63" w:rsidRPr="003E2E63" w:rsidRDefault="006F1B63" w:rsidP="00BC723A">
            <w:pPr>
              <w:spacing w:after="0" w:line="240" w:lineRule="auto"/>
              <w:ind w:firstLine="0"/>
              <w:rPr>
                <w:color w:val="000000" w:themeColor="text1"/>
                <w:sz w:val="24"/>
                <w:szCs w:val="24"/>
              </w:rPr>
            </w:pPr>
            <w:r w:rsidRPr="003E2E63">
              <w:rPr>
                <w:color w:val="000000" w:themeColor="text1"/>
                <w:sz w:val="24"/>
                <w:szCs w:val="24"/>
              </w:rPr>
              <w:t>LVL</w:t>
            </w:r>
          </w:p>
        </w:tc>
        <w:tc>
          <w:tcPr>
            <w:tcW w:w="3543" w:type="dxa"/>
            <w:shd w:val="clear" w:color="auto" w:fill="auto"/>
          </w:tcPr>
          <w:p w:rsidR="006F1B63" w:rsidRPr="003E2E63" w:rsidRDefault="006F1B63" w:rsidP="00BC723A">
            <w:pPr>
              <w:spacing w:after="0" w:line="240" w:lineRule="auto"/>
              <w:ind w:firstLine="0"/>
              <w:rPr>
                <w:color w:val="000000" w:themeColor="text1"/>
                <w:sz w:val="24"/>
                <w:szCs w:val="24"/>
              </w:rPr>
            </w:pPr>
            <w:r w:rsidRPr="003E2E63">
              <w:rPr>
                <w:color w:val="000000" w:themeColor="text1"/>
                <w:sz w:val="24"/>
                <w:szCs w:val="24"/>
              </w:rPr>
              <w:t>Pieņēmumi</w:t>
            </w:r>
          </w:p>
        </w:tc>
      </w:tr>
      <w:tr w:rsidR="006F1B63" w:rsidRPr="003E2E63" w:rsidTr="00BC723A">
        <w:tc>
          <w:tcPr>
            <w:tcW w:w="959" w:type="dxa"/>
            <w:shd w:val="clear" w:color="auto" w:fill="auto"/>
          </w:tcPr>
          <w:p w:rsidR="006F1B63" w:rsidRPr="003E2E63" w:rsidRDefault="006F1B63" w:rsidP="00BC723A">
            <w:pPr>
              <w:numPr>
                <w:ilvl w:val="0"/>
                <w:numId w:val="12"/>
              </w:numPr>
              <w:spacing w:after="0" w:line="240" w:lineRule="auto"/>
              <w:rPr>
                <w:b/>
                <w:color w:val="000000" w:themeColor="text1"/>
                <w:sz w:val="24"/>
                <w:szCs w:val="24"/>
              </w:rPr>
            </w:pPr>
          </w:p>
        </w:tc>
        <w:tc>
          <w:tcPr>
            <w:tcW w:w="2835" w:type="dxa"/>
            <w:shd w:val="clear" w:color="auto" w:fill="auto"/>
          </w:tcPr>
          <w:p w:rsidR="006F1B63" w:rsidRPr="003E2E63" w:rsidRDefault="006F1B63" w:rsidP="00BC723A">
            <w:pPr>
              <w:spacing w:after="0" w:line="240" w:lineRule="auto"/>
              <w:ind w:firstLine="0"/>
              <w:rPr>
                <w:b/>
                <w:color w:val="000000" w:themeColor="text1"/>
                <w:sz w:val="24"/>
                <w:szCs w:val="24"/>
              </w:rPr>
            </w:pPr>
            <w:r w:rsidRPr="003E2E63">
              <w:rPr>
                <w:b/>
                <w:color w:val="000000" w:themeColor="text1"/>
                <w:sz w:val="24"/>
                <w:szCs w:val="24"/>
              </w:rPr>
              <w:t>Cilvēkresursu izmaksas</w:t>
            </w:r>
          </w:p>
        </w:tc>
        <w:tc>
          <w:tcPr>
            <w:tcW w:w="1843" w:type="dxa"/>
            <w:shd w:val="clear" w:color="auto" w:fill="auto"/>
          </w:tcPr>
          <w:p w:rsidR="006F1B63" w:rsidRPr="003E2E63" w:rsidRDefault="006F1B63" w:rsidP="00BC723A">
            <w:pPr>
              <w:spacing w:after="0" w:line="240" w:lineRule="auto"/>
              <w:ind w:firstLine="0"/>
              <w:rPr>
                <w:b/>
                <w:color w:val="000000" w:themeColor="text1"/>
                <w:sz w:val="24"/>
                <w:szCs w:val="24"/>
              </w:rPr>
            </w:pPr>
            <w:r>
              <w:rPr>
                <w:b/>
                <w:color w:val="000000" w:themeColor="text1"/>
                <w:sz w:val="24"/>
                <w:szCs w:val="24"/>
              </w:rPr>
              <w:t>14 000</w:t>
            </w:r>
          </w:p>
        </w:tc>
        <w:tc>
          <w:tcPr>
            <w:tcW w:w="3543" w:type="dxa"/>
            <w:shd w:val="clear" w:color="auto" w:fill="auto"/>
          </w:tcPr>
          <w:p w:rsidR="006F1B63" w:rsidRPr="003E2E63" w:rsidRDefault="006F1B63" w:rsidP="00BC723A">
            <w:pPr>
              <w:spacing w:after="0" w:line="240" w:lineRule="auto"/>
              <w:ind w:firstLine="0"/>
              <w:rPr>
                <w:b/>
                <w:color w:val="000000" w:themeColor="text1"/>
                <w:sz w:val="24"/>
                <w:szCs w:val="24"/>
              </w:rPr>
            </w:pPr>
          </w:p>
        </w:tc>
      </w:tr>
      <w:tr w:rsidR="006F1B63" w:rsidRPr="003E2E63" w:rsidTr="00BC723A">
        <w:tc>
          <w:tcPr>
            <w:tcW w:w="959" w:type="dxa"/>
            <w:shd w:val="clear" w:color="auto" w:fill="auto"/>
          </w:tcPr>
          <w:p w:rsidR="006F1B63" w:rsidRPr="00DC7A73" w:rsidRDefault="006F1B63" w:rsidP="00BC723A">
            <w:pPr>
              <w:spacing w:after="0" w:line="240" w:lineRule="auto"/>
              <w:ind w:firstLine="0"/>
              <w:jc w:val="right"/>
              <w:rPr>
                <w:color w:val="000000" w:themeColor="text1"/>
                <w:sz w:val="24"/>
                <w:szCs w:val="24"/>
              </w:rPr>
            </w:pPr>
            <w:r w:rsidRPr="00DC7A73">
              <w:rPr>
                <w:color w:val="000000" w:themeColor="text1"/>
                <w:sz w:val="24"/>
                <w:szCs w:val="24"/>
              </w:rPr>
              <w:t>1.</w:t>
            </w:r>
            <w:r>
              <w:rPr>
                <w:color w:val="000000" w:themeColor="text1"/>
                <w:sz w:val="24"/>
                <w:szCs w:val="24"/>
              </w:rPr>
              <w:t>1</w:t>
            </w:r>
            <w:r w:rsidRPr="00DC7A73">
              <w:rPr>
                <w:color w:val="000000" w:themeColor="text1"/>
                <w:sz w:val="24"/>
                <w:szCs w:val="24"/>
              </w:rPr>
              <w:t>.</w:t>
            </w:r>
          </w:p>
        </w:tc>
        <w:tc>
          <w:tcPr>
            <w:tcW w:w="2835" w:type="dxa"/>
            <w:shd w:val="clear" w:color="auto" w:fill="auto"/>
          </w:tcPr>
          <w:p w:rsidR="006F1B63" w:rsidRPr="00DC7A73" w:rsidRDefault="006F1B63" w:rsidP="00BC723A">
            <w:pPr>
              <w:spacing w:after="0" w:line="240" w:lineRule="auto"/>
              <w:ind w:firstLine="0"/>
              <w:rPr>
                <w:color w:val="000000" w:themeColor="text1"/>
                <w:sz w:val="24"/>
                <w:szCs w:val="24"/>
              </w:rPr>
            </w:pPr>
            <w:r w:rsidRPr="00DC7A73">
              <w:rPr>
                <w:color w:val="000000" w:themeColor="text1"/>
                <w:sz w:val="24"/>
                <w:szCs w:val="24"/>
              </w:rPr>
              <w:t>Neatkarīgie eksperti</w:t>
            </w:r>
          </w:p>
        </w:tc>
        <w:tc>
          <w:tcPr>
            <w:tcW w:w="1843" w:type="dxa"/>
            <w:shd w:val="clear" w:color="auto" w:fill="auto"/>
          </w:tcPr>
          <w:p w:rsidR="006F1B63" w:rsidRDefault="006F1B63" w:rsidP="00BC723A">
            <w:pPr>
              <w:spacing w:after="0" w:line="240" w:lineRule="auto"/>
              <w:ind w:firstLine="0"/>
              <w:rPr>
                <w:b/>
                <w:color w:val="000000" w:themeColor="text1"/>
                <w:sz w:val="24"/>
                <w:szCs w:val="24"/>
              </w:rPr>
            </w:pPr>
            <w:r>
              <w:rPr>
                <w:b/>
                <w:color w:val="000000" w:themeColor="text1"/>
                <w:sz w:val="24"/>
                <w:szCs w:val="24"/>
              </w:rPr>
              <w:t>6 800</w:t>
            </w:r>
          </w:p>
        </w:tc>
        <w:tc>
          <w:tcPr>
            <w:tcW w:w="3543" w:type="dxa"/>
            <w:shd w:val="clear" w:color="auto" w:fill="auto"/>
          </w:tcPr>
          <w:p w:rsidR="006F1B63" w:rsidRPr="00227453" w:rsidRDefault="006F1B63" w:rsidP="00BC723A">
            <w:pPr>
              <w:spacing w:after="0" w:line="240" w:lineRule="auto"/>
              <w:ind w:firstLine="0"/>
              <w:jc w:val="both"/>
              <w:rPr>
                <w:color w:val="000000" w:themeColor="text1"/>
                <w:sz w:val="24"/>
                <w:szCs w:val="24"/>
              </w:rPr>
            </w:pPr>
            <w:r w:rsidRPr="00227453">
              <w:rPr>
                <w:color w:val="000000" w:themeColor="text1"/>
                <w:sz w:val="24"/>
                <w:szCs w:val="24"/>
              </w:rPr>
              <w:t xml:space="preserve">2 eksperti, dienā pārbauda vidēji 2 stacijas izlases kārtā, strādā 68 dienas, bruto atalgojums 50,00 LVL dienā.  </w:t>
            </w:r>
          </w:p>
        </w:tc>
      </w:tr>
      <w:tr w:rsidR="006F1B63" w:rsidRPr="003E2E63" w:rsidTr="00BC723A">
        <w:tc>
          <w:tcPr>
            <w:tcW w:w="959" w:type="dxa"/>
            <w:shd w:val="clear" w:color="auto" w:fill="auto"/>
          </w:tcPr>
          <w:p w:rsidR="006F1B63" w:rsidRPr="00DC7A73" w:rsidRDefault="006F1B63" w:rsidP="00BC723A">
            <w:pPr>
              <w:spacing w:after="0" w:line="240" w:lineRule="auto"/>
              <w:ind w:firstLine="0"/>
              <w:jc w:val="right"/>
              <w:rPr>
                <w:color w:val="000000" w:themeColor="text1"/>
                <w:sz w:val="24"/>
                <w:szCs w:val="24"/>
              </w:rPr>
            </w:pPr>
            <w:r w:rsidRPr="00DC7A73">
              <w:rPr>
                <w:color w:val="000000" w:themeColor="text1"/>
                <w:sz w:val="24"/>
                <w:szCs w:val="24"/>
              </w:rPr>
              <w:t>1.</w:t>
            </w:r>
            <w:r>
              <w:rPr>
                <w:color w:val="000000" w:themeColor="text1"/>
                <w:sz w:val="24"/>
                <w:szCs w:val="24"/>
              </w:rPr>
              <w:t>2</w:t>
            </w:r>
            <w:r w:rsidRPr="00DC7A73">
              <w:rPr>
                <w:color w:val="000000" w:themeColor="text1"/>
                <w:sz w:val="24"/>
                <w:szCs w:val="24"/>
              </w:rPr>
              <w:t>.</w:t>
            </w:r>
          </w:p>
        </w:tc>
        <w:tc>
          <w:tcPr>
            <w:tcW w:w="2835" w:type="dxa"/>
            <w:shd w:val="clear" w:color="auto" w:fill="auto"/>
          </w:tcPr>
          <w:p w:rsidR="006F1B63" w:rsidRPr="00DC7A73" w:rsidRDefault="006F1B63" w:rsidP="00BC723A">
            <w:pPr>
              <w:spacing w:after="0" w:line="240" w:lineRule="auto"/>
              <w:ind w:firstLine="0"/>
              <w:rPr>
                <w:color w:val="000000" w:themeColor="text1"/>
                <w:sz w:val="24"/>
                <w:szCs w:val="24"/>
              </w:rPr>
            </w:pPr>
            <w:r w:rsidRPr="00DC7A73">
              <w:rPr>
                <w:color w:val="000000" w:themeColor="text1"/>
                <w:sz w:val="24"/>
                <w:szCs w:val="24"/>
              </w:rPr>
              <w:t xml:space="preserve">Ekonomikas ministrijas </w:t>
            </w:r>
            <w:r>
              <w:rPr>
                <w:color w:val="000000" w:themeColor="text1"/>
                <w:sz w:val="24"/>
                <w:szCs w:val="24"/>
              </w:rPr>
              <w:t xml:space="preserve">ārštata darbinieki </w:t>
            </w:r>
          </w:p>
        </w:tc>
        <w:tc>
          <w:tcPr>
            <w:tcW w:w="1843" w:type="dxa"/>
            <w:shd w:val="clear" w:color="auto" w:fill="auto"/>
          </w:tcPr>
          <w:p w:rsidR="006F1B63" w:rsidRDefault="006F1B63" w:rsidP="00BC723A">
            <w:pPr>
              <w:spacing w:after="0" w:line="240" w:lineRule="auto"/>
              <w:ind w:firstLine="0"/>
              <w:rPr>
                <w:b/>
                <w:color w:val="000000" w:themeColor="text1"/>
                <w:sz w:val="24"/>
                <w:szCs w:val="24"/>
              </w:rPr>
            </w:pPr>
            <w:r>
              <w:rPr>
                <w:b/>
                <w:color w:val="000000" w:themeColor="text1"/>
                <w:sz w:val="24"/>
                <w:szCs w:val="24"/>
              </w:rPr>
              <w:t>7200</w:t>
            </w:r>
          </w:p>
        </w:tc>
        <w:tc>
          <w:tcPr>
            <w:tcW w:w="3543" w:type="dxa"/>
            <w:shd w:val="clear" w:color="auto" w:fill="auto"/>
          </w:tcPr>
          <w:p w:rsidR="006F1B63" w:rsidRPr="00227453" w:rsidRDefault="006F1B63" w:rsidP="00BC723A">
            <w:pPr>
              <w:spacing w:after="0" w:line="240" w:lineRule="auto"/>
              <w:ind w:firstLine="0"/>
              <w:jc w:val="both"/>
              <w:rPr>
                <w:color w:val="000000" w:themeColor="text1"/>
                <w:sz w:val="24"/>
                <w:szCs w:val="24"/>
              </w:rPr>
            </w:pPr>
            <w:r w:rsidRPr="00227453">
              <w:rPr>
                <w:color w:val="000000" w:themeColor="text1"/>
                <w:sz w:val="24"/>
                <w:szCs w:val="24"/>
              </w:rPr>
              <w:t xml:space="preserve">2 ārštata darbinieki 6 mēneši, bruto atalgojums 600,00 LVL mēnesī.  </w:t>
            </w:r>
          </w:p>
        </w:tc>
      </w:tr>
      <w:tr w:rsidR="006F1B63" w:rsidRPr="003E2E63" w:rsidTr="00BC723A">
        <w:tc>
          <w:tcPr>
            <w:tcW w:w="959" w:type="dxa"/>
            <w:shd w:val="clear" w:color="auto" w:fill="auto"/>
          </w:tcPr>
          <w:p w:rsidR="006F1B63" w:rsidRPr="003E2E63" w:rsidRDefault="006F1B63" w:rsidP="00BC723A">
            <w:pPr>
              <w:numPr>
                <w:ilvl w:val="0"/>
                <w:numId w:val="12"/>
              </w:numPr>
              <w:spacing w:after="0" w:line="240" w:lineRule="auto"/>
              <w:rPr>
                <w:b/>
                <w:color w:val="000000" w:themeColor="text1"/>
                <w:sz w:val="24"/>
                <w:szCs w:val="24"/>
              </w:rPr>
            </w:pPr>
          </w:p>
        </w:tc>
        <w:tc>
          <w:tcPr>
            <w:tcW w:w="2835" w:type="dxa"/>
            <w:shd w:val="clear" w:color="auto" w:fill="auto"/>
          </w:tcPr>
          <w:p w:rsidR="006F1B63" w:rsidRPr="003E2E63" w:rsidRDefault="006F1B63" w:rsidP="00BC723A">
            <w:pPr>
              <w:spacing w:after="0" w:line="240" w:lineRule="auto"/>
              <w:ind w:firstLine="0"/>
              <w:rPr>
                <w:b/>
                <w:color w:val="000000" w:themeColor="text1"/>
                <w:sz w:val="24"/>
                <w:szCs w:val="24"/>
              </w:rPr>
            </w:pPr>
            <w:r w:rsidRPr="003E2E63">
              <w:rPr>
                <w:b/>
                <w:color w:val="000000" w:themeColor="text1"/>
                <w:sz w:val="24"/>
                <w:szCs w:val="24"/>
              </w:rPr>
              <w:t xml:space="preserve">Autotransports </w:t>
            </w:r>
          </w:p>
        </w:tc>
        <w:tc>
          <w:tcPr>
            <w:tcW w:w="1843" w:type="dxa"/>
            <w:shd w:val="clear" w:color="auto" w:fill="auto"/>
          </w:tcPr>
          <w:p w:rsidR="006F1B63" w:rsidRPr="003E2E63" w:rsidRDefault="006F1B63" w:rsidP="00BC723A">
            <w:pPr>
              <w:spacing w:after="0" w:line="240" w:lineRule="auto"/>
              <w:ind w:firstLine="0"/>
              <w:rPr>
                <w:b/>
                <w:color w:val="000000" w:themeColor="text1"/>
                <w:sz w:val="24"/>
                <w:szCs w:val="24"/>
              </w:rPr>
            </w:pPr>
            <w:r w:rsidRPr="003E2E63">
              <w:rPr>
                <w:b/>
                <w:color w:val="000000" w:themeColor="text1"/>
                <w:sz w:val="24"/>
                <w:szCs w:val="24"/>
              </w:rPr>
              <w:t>2990,00</w:t>
            </w:r>
          </w:p>
        </w:tc>
        <w:tc>
          <w:tcPr>
            <w:tcW w:w="3543" w:type="dxa"/>
            <w:shd w:val="clear" w:color="auto" w:fill="auto"/>
          </w:tcPr>
          <w:p w:rsidR="006F1B63" w:rsidRPr="003E2E63" w:rsidRDefault="006F1B63" w:rsidP="00BC723A">
            <w:pPr>
              <w:spacing w:after="0" w:line="240" w:lineRule="auto"/>
              <w:ind w:firstLine="0"/>
              <w:rPr>
                <w:color w:val="000000" w:themeColor="text1"/>
                <w:sz w:val="24"/>
                <w:szCs w:val="24"/>
              </w:rPr>
            </w:pPr>
          </w:p>
        </w:tc>
      </w:tr>
      <w:tr w:rsidR="006F1B63" w:rsidRPr="00A01C5C" w:rsidTr="00BC723A">
        <w:tc>
          <w:tcPr>
            <w:tcW w:w="959" w:type="dxa"/>
            <w:shd w:val="clear" w:color="auto" w:fill="auto"/>
          </w:tcPr>
          <w:p w:rsidR="006F1B63" w:rsidRPr="009F7DAC" w:rsidRDefault="006F1B63" w:rsidP="00BC723A">
            <w:pPr>
              <w:spacing w:after="0" w:line="240" w:lineRule="auto"/>
              <w:ind w:firstLine="0"/>
              <w:jc w:val="right"/>
              <w:rPr>
                <w:color w:val="000000" w:themeColor="text1"/>
                <w:sz w:val="24"/>
                <w:szCs w:val="24"/>
              </w:rPr>
            </w:pPr>
            <w:r w:rsidRPr="009F7DAC">
              <w:rPr>
                <w:color w:val="000000" w:themeColor="text1"/>
                <w:sz w:val="24"/>
                <w:szCs w:val="24"/>
              </w:rPr>
              <w:t>2.1.</w:t>
            </w:r>
          </w:p>
        </w:tc>
        <w:tc>
          <w:tcPr>
            <w:tcW w:w="2835" w:type="dxa"/>
            <w:shd w:val="clear" w:color="auto" w:fill="auto"/>
          </w:tcPr>
          <w:p w:rsidR="006F1B63" w:rsidRPr="00A01C5C" w:rsidRDefault="006F1B63" w:rsidP="00BC723A">
            <w:pPr>
              <w:spacing w:after="0" w:line="240" w:lineRule="auto"/>
              <w:ind w:firstLine="0"/>
              <w:rPr>
                <w:sz w:val="24"/>
                <w:szCs w:val="24"/>
              </w:rPr>
            </w:pPr>
            <w:r w:rsidRPr="00A01C5C">
              <w:rPr>
                <w:sz w:val="24"/>
                <w:szCs w:val="24"/>
              </w:rPr>
              <w:t xml:space="preserve">Autotransporta noma </w:t>
            </w:r>
          </w:p>
        </w:tc>
        <w:tc>
          <w:tcPr>
            <w:tcW w:w="1843" w:type="dxa"/>
            <w:shd w:val="clear" w:color="auto" w:fill="auto"/>
          </w:tcPr>
          <w:p w:rsidR="006F1B63" w:rsidRPr="00A01C5C" w:rsidRDefault="006F1B63" w:rsidP="00BC723A">
            <w:pPr>
              <w:spacing w:after="0" w:line="240" w:lineRule="auto"/>
              <w:ind w:firstLine="0"/>
              <w:rPr>
                <w:sz w:val="24"/>
                <w:szCs w:val="24"/>
              </w:rPr>
            </w:pPr>
            <w:r w:rsidRPr="00A01C5C">
              <w:rPr>
                <w:sz w:val="24"/>
                <w:szCs w:val="24"/>
              </w:rPr>
              <w:t>1375,00</w:t>
            </w:r>
          </w:p>
        </w:tc>
        <w:tc>
          <w:tcPr>
            <w:tcW w:w="3543" w:type="dxa"/>
            <w:shd w:val="clear" w:color="auto" w:fill="auto"/>
          </w:tcPr>
          <w:p w:rsidR="006F1B63" w:rsidRPr="00A01C5C" w:rsidRDefault="006F1B63" w:rsidP="00BC723A">
            <w:pPr>
              <w:spacing w:after="0" w:line="240" w:lineRule="auto"/>
              <w:ind w:firstLine="0"/>
              <w:rPr>
                <w:sz w:val="24"/>
                <w:szCs w:val="24"/>
              </w:rPr>
            </w:pPr>
            <w:r w:rsidRPr="00A01C5C">
              <w:rPr>
                <w:sz w:val="24"/>
                <w:szCs w:val="24"/>
              </w:rPr>
              <w:t xml:space="preserve">Autotransporta noma izmantojot ilgtermiņa nosacījumus, 25,00 LVL dienā.  </w:t>
            </w:r>
          </w:p>
        </w:tc>
      </w:tr>
      <w:tr w:rsidR="006F1B63" w:rsidRPr="00A01C5C" w:rsidTr="00BC723A">
        <w:tc>
          <w:tcPr>
            <w:tcW w:w="959" w:type="dxa"/>
            <w:shd w:val="clear" w:color="auto" w:fill="auto"/>
          </w:tcPr>
          <w:p w:rsidR="006F1B63" w:rsidRPr="009F7DAC" w:rsidRDefault="006F1B63" w:rsidP="00BC723A">
            <w:pPr>
              <w:spacing w:after="0" w:line="240" w:lineRule="auto"/>
              <w:ind w:firstLine="0"/>
              <w:jc w:val="right"/>
              <w:rPr>
                <w:color w:val="000000" w:themeColor="text1"/>
                <w:sz w:val="24"/>
                <w:szCs w:val="24"/>
              </w:rPr>
            </w:pPr>
            <w:r w:rsidRPr="009F7DAC">
              <w:rPr>
                <w:color w:val="000000" w:themeColor="text1"/>
                <w:sz w:val="24"/>
                <w:szCs w:val="24"/>
              </w:rPr>
              <w:t>2.2.</w:t>
            </w:r>
          </w:p>
        </w:tc>
        <w:tc>
          <w:tcPr>
            <w:tcW w:w="2835" w:type="dxa"/>
            <w:shd w:val="clear" w:color="auto" w:fill="auto"/>
          </w:tcPr>
          <w:p w:rsidR="006F1B63" w:rsidRPr="00A01C5C" w:rsidRDefault="006F1B63" w:rsidP="00BC723A">
            <w:pPr>
              <w:spacing w:after="0" w:line="240" w:lineRule="auto"/>
              <w:ind w:firstLine="0"/>
              <w:rPr>
                <w:sz w:val="24"/>
                <w:szCs w:val="24"/>
              </w:rPr>
            </w:pPr>
            <w:r w:rsidRPr="00A01C5C">
              <w:rPr>
                <w:sz w:val="24"/>
                <w:szCs w:val="24"/>
              </w:rPr>
              <w:t>Degviela</w:t>
            </w:r>
          </w:p>
        </w:tc>
        <w:tc>
          <w:tcPr>
            <w:tcW w:w="1843" w:type="dxa"/>
            <w:shd w:val="clear" w:color="auto" w:fill="auto"/>
          </w:tcPr>
          <w:p w:rsidR="006F1B63" w:rsidRPr="00A01C5C" w:rsidRDefault="006F1B63" w:rsidP="00BC723A">
            <w:pPr>
              <w:spacing w:after="0" w:line="240" w:lineRule="auto"/>
              <w:ind w:firstLine="0"/>
              <w:rPr>
                <w:sz w:val="24"/>
                <w:szCs w:val="24"/>
              </w:rPr>
            </w:pPr>
            <w:r w:rsidRPr="00A01C5C">
              <w:rPr>
                <w:sz w:val="24"/>
                <w:szCs w:val="24"/>
              </w:rPr>
              <w:t>1615,00</w:t>
            </w:r>
          </w:p>
        </w:tc>
        <w:tc>
          <w:tcPr>
            <w:tcW w:w="3543" w:type="dxa"/>
            <w:shd w:val="clear" w:color="auto" w:fill="auto"/>
          </w:tcPr>
          <w:p w:rsidR="006F1B63" w:rsidRPr="00A01C5C" w:rsidRDefault="006F1B63" w:rsidP="00BC723A">
            <w:pPr>
              <w:spacing w:after="0" w:line="240" w:lineRule="auto"/>
              <w:ind w:firstLine="0"/>
              <w:rPr>
                <w:sz w:val="24"/>
                <w:szCs w:val="24"/>
              </w:rPr>
            </w:pPr>
            <w:r w:rsidRPr="00A01C5C">
              <w:rPr>
                <w:sz w:val="24"/>
                <w:szCs w:val="24"/>
              </w:rPr>
              <w:t xml:space="preserve">Degvielas izdevumi aprēķināti pieņemot, ka dienā vidēji tiek nobraukti 300 km, un vidējais autotransporta degvielas patēriņš ir 10 litri uz 100 km. </w:t>
            </w:r>
          </w:p>
        </w:tc>
      </w:tr>
      <w:tr w:rsidR="006F1B63" w:rsidRPr="003E2E63" w:rsidTr="00BC723A">
        <w:tc>
          <w:tcPr>
            <w:tcW w:w="959" w:type="dxa"/>
            <w:shd w:val="clear" w:color="auto" w:fill="auto"/>
          </w:tcPr>
          <w:p w:rsidR="006F1B63" w:rsidRPr="003E2E63" w:rsidRDefault="006F1B63" w:rsidP="00BC723A">
            <w:pPr>
              <w:spacing w:after="0" w:line="240" w:lineRule="auto"/>
              <w:ind w:left="360" w:firstLine="0"/>
              <w:rPr>
                <w:b/>
                <w:color w:val="000000" w:themeColor="text1"/>
                <w:sz w:val="24"/>
                <w:szCs w:val="24"/>
              </w:rPr>
            </w:pPr>
            <w:r w:rsidRPr="003E2E63">
              <w:rPr>
                <w:b/>
                <w:color w:val="000000" w:themeColor="text1"/>
                <w:sz w:val="24"/>
                <w:szCs w:val="24"/>
              </w:rPr>
              <w:t>3.</w:t>
            </w:r>
          </w:p>
        </w:tc>
        <w:tc>
          <w:tcPr>
            <w:tcW w:w="2835" w:type="dxa"/>
            <w:shd w:val="clear" w:color="auto" w:fill="auto"/>
          </w:tcPr>
          <w:p w:rsidR="006F1B63" w:rsidRPr="003E2E63" w:rsidRDefault="006F1B63" w:rsidP="00BC723A">
            <w:pPr>
              <w:spacing w:after="0" w:line="240" w:lineRule="auto"/>
              <w:ind w:firstLine="0"/>
              <w:rPr>
                <w:b/>
                <w:color w:val="000000" w:themeColor="text1"/>
                <w:sz w:val="24"/>
                <w:szCs w:val="24"/>
              </w:rPr>
            </w:pPr>
            <w:r>
              <w:rPr>
                <w:b/>
                <w:color w:val="000000" w:themeColor="text1"/>
                <w:sz w:val="24"/>
                <w:szCs w:val="24"/>
              </w:rPr>
              <w:t>Darba aizsardzības līdzekļi</w:t>
            </w:r>
            <w:r w:rsidRPr="003E2E63" w:rsidDel="005D170B">
              <w:rPr>
                <w:b/>
                <w:color w:val="000000" w:themeColor="text1"/>
                <w:sz w:val="24"/>
                <w:szCs w:val="24"/>
              </w:rPr>
              <w:t xml:space="preserve"> </w:t>
            </w:r>
            <w:r w:rsidRPr="003E2E63">
              <w:rPr>
                <w:b/>
                <w:color w:val="000000" w:themeColor="text1"/>
                <w:sz w:val="24"/>
                <w:szCs w:val="24"/>
              </w:rPr>
              <w:t>(</w:t>
            </w:r>
            <w:r>
              <w:rPr>
                <w:b/>
                <w:color w:val="000000" w:themeColor="text1"/>
                <w:sz w:val="24"/>
                <w:szCs w:val="24"/>
              </w:rPr>
              <w:t>4</w:t>
            </w:r>
            <w:r w:rsidRPr="003E2E63">
              <w:rPr>
                <w:b/>
                <w:color w:val="000000" w:themeColor="text1"/>
                <w:sz w:val="24"/>
                <w:szCs w:val="24"/>
              </w:rPr>
              <w:t xml:space="preserve"> darbiniekiem)</w:t>
            </w:r>
          </w:p>
        </w:tc>
        <w:tc>
          <w:tcPr>
            <w:tcW w:w="1843" w:type="dxa"/>
            <w:shd w:val="clear" w:color="auto" w:fill="auto"/>
          </w:tcPr>
          <w:p w:rsidR="006F1B63" w:rsidRPr="003E2E63" w:rsidRDefault="006F1B63" w:rsidP="00BC723A">
            <w:pPr>
              <w:spacing w:after="0" w:line="240" w:lineRule="auto"/>
              <w:ind w:firstLine="0"/>
              <w:rPr>
                <w:b/>
                <w:color w:val="000000" w:themeColor="text1"/>
                <w:sz w:val="24"/>
                <w:szCs w:val="24"/>
              </w:rPr>
            </w:pPr>
            <w:r w:rsidRPr="003E2E63">
              <w:rPr>
                <w:b/>
                <w:color w:val="000000" w:themeColor="text1"/>
                <w:sz w:val="24"/>
                <w:szCs w:val="24"/>
              </w:rPr>
              <w:t>855,00</w:t>
            </w:r>
          </w:p>
        </w:tc>
        <w:tc>
          <w:tcPr>
            <w:tcW w:w="3543" w:type="dxa"/>
            <w:shd w:val="clear" w:color="auto" w:fill="auto"/>
          </w:tcPr>
          <w:p w:rsidR="006F1B63" w:rsidRPr="0041271C" w:rsidRDefault="006F1B63" w:rsidP="00BC723A">
            <w:pPr>
              <w:spacing w:after="0" w:line="240" w:lineRule="auto"/>
              <w:ind w:firstLine="0"/>
              <w:rPr>
                <w:b/>
                <w:color w:val="000000" w:themeColor="text1"/>
                <w:sz w:val="24"/>
                <w:szCs w:val="24"/>
              </w:rPr>
            </w:pPr>
            <w:r w:rsidRPr="0041271C">
              <w:rPr>
                <w:sz w:val="24"/>
                <w:szCs w:val="24"/>
              </w:rPr>
              <w:t xml:space="preserve">Darba apavi/ puszābaki; </w:t>
            </w:r>
            <w:proofErr w:type="spellStart"/>
            <w:r>
              <w:rPr>
                <w:sz w:val="24"/>
                <w:szCs w:val="24"/>
              </w:rPr>
              <w:t>a</w:t>
            </w:r>
            <w:r w:rsidRPr="0041271C">
              <w:rPr>
                <w:sz w:val="24"/>
                <w:szCs w:val="24"/>
              </w:rPr>
              <w:t>izsargcimdi</w:t>
            </w:r>
            <w:proofErr w:type="spellEnd"/>
            <w:r w:rsidRPr="0041271C">
              <w:rPr>
                <w:sz w:val="24"/>
                <w:szCs w:val="24"/>
              </w:rPr>
              <w:t xml:space="preserve">; </w:t>
            </w:r>
            <w:r>
              <w:rPr>
                <w:sz w:val="24"/>
                <w:szCs w:val="24"/>
              </w:rPr>
              <w:t>a</w:t>
            </w:r>
            <w:r w:rsidRPr="0041271C">
              <w:rPr>
                <w:sz w:val="24"/>
                <w:szCs w:val="24"/>
              </w:rPr>
              <w:t>izsargķiveres</w:t>
            </w:r>
            <w:r>
              <w:rPr>
                <w:sz w:val="24"/>
                <w:szCs w:val="24"/>
              </w:rPr>
              <w:t xml:space="preserve">, </w:t>
            </w:r>
            <w:proofErr w:type="spellStart"/>
            <w:r>
              <w:rPr>
                <w:sz w:val="24"/>
                <w:szCs w:val="24"/>
              </w:rPr>
              <w:t>u.c</w:t>
            </w:r>
            <w:proofErr w:type="spellEnd"/>
            <w:r>
              <w:rPr>
                <w:sz w:val="24"/>
                <w:szCs w:val="24"/>
              </w:rPr>
              <w:t>.</w:t>
            </w:r>
          </w:p>
        </w:tc>
      </w:tr>
      <w:tr w:rsidR="006F1B63" w:rsidRPr="003E2E63" w:rsidTr="00BC723A">
        <w:trPr>
          <w:trHeight w:val="571"/>
        </w:trPr>
        <w:tc>
          <w:tcPr>
            <w:tcW w:w="959" w:type="dxa"/>
            <w:shd w:val="clear" w:color="auto" w:fill="auto"/>
          </w:tcPr>
          <w:p w:rsidR="006F1B63" w:rsidRPr="003E2E63" w:rsidRDefault="006F1B63" w:rsidP="00BC723A">
            <w:pPr>
              <w:spacing w:after="0" w:line="240" w:lineRule="auto"/>
              <w:ind w:left="360" w:firstLine="0"/>
              <w:rPr>
                <w:b/>
                <w:color w:val="000000" w:themeColor="text1"/>
                <w:sz w:val="24"/>
                <w:szCs w:val="24"/>
              </w:rPr>
            </w:pPr>
          </w:p>
        </w:tc>
        <w:tc>
          <w:tcPr>
            <w:tcW w:w="2835" w:type="dxa"/>
            <w:shd w:val="clear" w:color="auto" w:fill="auto"/>
            <w:vAlign w:val="bottom"/>
          </w:tcPr>
          <w:p w:rsidR="006F1B63" w:rsidRPr="003E2E63" w:rsidRDefault="006F1B63" w:rsidP="00BC723A">
            <w:pPr>
              <w:autoSpaceDE w:val="0"/>
              <w:autoSpaceDN w:val="0"/>
              <w:adjustRightInd w:val="0"/>
              <w:spacing w:after="0" w:line="240" w:lineRule="auto"/>
              <w:ind w:firstLine="0"/>
              <w:jc w:val="right"/>
              <w:rPr>
                <w:b/>
                <w:color w:val="000000" w:themeColor="text1"/>
                <w:sz w:val="24"/>
                <w:szCs w:val="24"/>
              </w:rPr>
            </w:pPr>
            <w:r w:rsidRPr="003E2E63">
              <w:rPr>
                <w:b/>
                <w:color w:val="000000" w:themeColor="text1"/>
                <w:sz w:val="24"/>
                <w:szCs w:val="24"/>
              </w:rPr>
              <w:t>KOPĀ</w:t>
            </w:r>
            <w:r>
              <w:rPr>
                <w:b/>
                <w:color w:val="000000" w:themeColor="text1"/>
                <w:sz w:val="24"/>
                <w:szCs w:val="24"/>
              </w:rPr>
              <w:t>:</w:t>
            </w:r>
          </w:p>
        </w:tc>
        <w:tc>
          <w:tcPr>
            <w:tcW w:w="1843" w:type="dxa"/>
            <w:shd w:val="clear" w:color="auto" w:fill="auto"/>
            <w:vAlign w:val="bottom"/>
          </w:tcPr>
          <w:p w:rsidR="006F1B63" w:rsidRPr="003E2E63" w:rsidRDefault="006F1B63" w:rsidP="00BC723A">
            <w:pPr>
              <w:spacing w:after="0" w:line="240" w:lineRule="auto"/>
              <w:ind w:firstLine="0"/>
              <w:jc w:val="right"/>
              <w:rPr>
                <w:b/>
                <w:color w:val="000000" w:themeColor="text1"/>
                <w:sz w:val="24"/>
                <w:szCs w:val="24"/>
              </w:rPr>
            </w:pPr>
            <w:r>
              <w:rPr>
                <w:b/>
                <w:color w:val="000000" w:themeColor="text1"/>
                <w:sz w:val="24"/>
                <w:szCs w:val="24"/>
              </w:rPr>
              <w:t>17 845</w:t>
            </w:r>
            <w:r w:rsidRPr="003E2E63">
              <w:rPr>
                <w:b/>
                <w:color w:val="000000" w:themeColor="text1"/>
                <w:sz w:val="24"/>
                <w:szCs w:val="24"/>
              </w:rPr>
              <w:t xml:space="preserve">,00 </w:t>
            </w:r>
          </w:p>
        </w:tc>
        <w:tc>
          <w:tcPr>
            <w:tcW w:w="3543" w:type="dxa"/>
            <w:shd w:val="clear" w:color="auto" w:fill="auto"/>
          </w:tcPr>
          <w:p w:rsidR="006F1B63" w:rsidRPr="003E2E63" w:rsidRDefault="006F1B63" w:rsidP="00BC723A">
            <w:pPr>
              <w:spacing w:after="0" w:line="240" w:lineRule="auto"/>
              <w:ind w:firstLine="0"/>
              <w:rPr>
                <w:b/>
                <w:color w:val="000000" w:themeColor="text1"/>
                <w:sz w:val="24"/>
                <w:szCs w:val="24"/>
              </w:rPr>
            </w:pPr>
          </w:p>
        </w:tc>
      </w:tr>
    </w:tbl>
    <w:p w:rsidR="006F1B63" w:rsidRPr="003E2E63" w:rsidRDefault="006F1B63" w:rsidP="006F1B63">
      <w:pPr>
        <w:spacing w:after="0" w:line="240" w:lineRule="auto"/>
        <w:ind w:firstLine="0"/>
        <w:jc w:val="both"/>
        <w:rPr>
          <w:i/>
          <w:color w:val="000000" w:themeColor="text1"/>
        </w:rPr>
      </w:pPr>
      <w:r w:rsidRPr="003E2E63">
        <w:rPr>
          <w:i/>
          <w:color w:val="000000" w:themeColor="text1"/>
        </w:rPr>
        <w:t xml:space="preserve">* Tāmē nav ieskaitīta </w:t>
      </w:r>
      <w:proofErr w:type="spellStart"/>
      <w:r w:rsidRPr="003E2E63">
        <w:rPr>
          <w:i/>
          <w:color w:val="000000" w:themeColor="text1"/>
        </w:rPr>
        <w:t>papildaprīkojumu</w:t>
      </w:r>
      <w:proofErr w:type="spellEnd"/>
      <w:r w:rsidRPr="003E2E63">
        <w:rPr>
          <w:i/>
          <w:color w:val="000000" w:themeColor="text1"/>
        </w:rPr>
        <w:t xml:space="preserve"> īre. </w:t>
      </w:r>
    </w:p>
    <w:p w:rsidR="00060A76" w:rsidRDefault="00060A76" w:rsidP="006F1B63">
      <w:pPr>
        <w:spacing w:after="0" w:line="240" w:lineRule="auto"/>
        <w:jc w:val="both"/>
        <w:rPr>
          <w:color w:val="000000" w:themeColor="text1"/>
          <w:szCs w:val="28"/>
        </w:rPr>
      </w:pPr>
    </w:p>
    <w:p w:rsidR="006F1B63" w:rsidRDefault="006F1B63" w:rsidP="006F1B63">
      <w:pPr>
        <w:spacing w:after="0" w:line="240" w:lineRule="auto"/>
        <w:jc w:val="both"/>
        <w:rPr>
          <w:color w:val="000000" w:themeColor="text1"/>
          <w:szCs w:val="28"/>
        </w:rPr>
      </w:pPr>
      <w:r w:rsidRPr="003E2E63">
        <w:rPr>
          <w:color w:val="000000" w:themeColor="text1"/>
          <w:szCs w:val="28"/>
        </w:rPr>
        <w:t>Par papildu līdzekļu neparedzētiem gadījumiem piešķiršanu nepieciešams lemt atbilstoši Ministru kabineta 2009.</w:t>
      </w:r>
      <w:r>
        <w:rPr>
          <w:color w:val="000000" w:themeColor="text1"/>
          <w:szCs w:val="28"/>
        </w:rPr>
        <w:t> </w:t>
      </w:r>
      <w:r w:rsidRPr="003E2E63">
        <w:rPr>
          <w:color w:val="000000" w:themeColor="text1"/>
          <w:szCs w:val="28"/>
        </w:rPr>
        <w:t>gada 22.</w:t>
      </w:r>
      <w:r>
        <w:rPr>
          <w:color w:val="000000" w:themeColor="text1"/>
          <w:szCs w:val="28"/>
        </w:rPr>
        <w:t> </w:t>
      </w:r>
      <w:r w:rsidRPr="003E2E63">
        <w:rPr>
          <w:color w:val="000000" w:themeColor="text1"/>
          <w:szCs w:val="28"/>
        </w:rPr>
        <w:t>decembra noteikumos Nr.1644 „Kārtība, kādā pieprasa un izlieto budžeta programmas „Līdzekļi neparedzētiem gadījumiem” līdzekļus” noteiktajai kārtībai.</w:t>
      </w:r>
    </w:p>
    <w:p w:rsidR="006F1B63" w:rsidRDefault="006F1B63" w:rsidP="006F1B63">
      <w:pPr>
        <w:spacing w:after="0" w:line="240" w:lineRule="auto"/>
        <w:jc w:val="both"/>
        <w:rPr>
          <w:color w:val="000000" w:themeColor="text1"/>
          <w:szCs w:val="28"/>
        </w:rPr>
      </w:pPr>
      <w:r>
        <w:rPr>
          <w:color w:val="000000" w:themeColor="text1"/>
          <w:szCs w:val="28"/>
        </w:rPr>
        <w:t xml:space="preserve">Sākot ar 2014.gadu, neatkarīgie auditori, pārbaudot saskaņā ar </w:t>
      </w:r>
      <w:r w:rsidRPr="003E2E63">
        <w:rPr>
          <w:color w:val="000000" w:themeColor="text1"/>
          <w:szCs w:val="28"/>
        </w:rPr>
        <w:t>MK noteikumiem</w:t>
      </w:r>
      <w:r>
        <w:rPr>
          <w:color w:val="000000" w:themeColor="text1"/>
          <w:szCs w:val="28"/>
        </w:rPr>
        <w:t xml:space="preserve"> Nr.221 vai MK noteikumiem Nr.</w:t>
      </w:r>
      <w:r w:rsidRPr="003E2E63">
        <w:rPr>
          <w:color w:val="000000" w:themeColor="text1"/>
          <w:szCs w:val="28"/>
        </w:rPr>
        <w:t>262</w:t>
      </w:r>
      <w:r>
        <w:rPr>
          <w:color w:val="000000" w:themeColor="text1"/>
          <w:szCs w:val="28"/>
        </w:rPr>
        <w:t xml:space="preserve"> sagatavotos gada pārskatus nodrošinās pilnīgu elektroenerģijas ražošanas kontroli. Plašāk par n</w:t>
      </w:r>
      <w:r w:rsidRPr="003E2E63">
        <w:rPr>
          <w:color w:val="000000" w:themeColor="text1"/>
        </w:rPr>
        <w:t>eatkarīg</w:t>
      </w:r>
      <w:r>
        <w:rPr>
          <w:color w:val="000000" w:themeColor="text1"/>
        </w:rPr>
        <w:t>o</w:t>
      </w:r>
      <w:r w:rsidRPr="003E2E63">
        <w:rPr>
          <w:color w:val="000000" w:themeColor="text1"/>
        </w:rPr>
        <w:t xml:space="preserve"> auditor</w:t>
      </w:r>
      <w:r>
        <w:rPr>
          <w:color w:val="000000" w:themeColor="text1"/>
        </w:rPr>
        <w:t>u</w:t>
      </w:r>
      <w:r w:rsidRPr="003E2E63">
        <w:rPr>
          <w:color w:val="000000" w:themeColor="text1"/>
        </w:rPr>
        <w:t xml:space="preserve"> </w:t>
      </w:r>
      <w:r>
        <w:rPr>
          <w:color w:val="000000" w:themeColor="text1"/>
        </w:rPr>
        <w:t>procesu skatīt Rīcības plāna 2.1.2. apakšnodaļā.</w:t>
      </w:r>
    </w:p>
    <w:p w:rsidR="006F1B63" w:rsidRPr="003E2E63" w:rsidRDefault="006F1B63" w:rsidP="006F1B63">
      <w:pPr>
        <w:spacing w:after="0" w:line="240" w:lineRule="auto"/>
        <w:jc w:val="both"/>
        <w:rPr>
          <w:color w:val="000000" w:themeColor="text1"/>
          <w:szCs w:val="28"/>
        </w:rPr>
      </w:pPr>
      <w:r w:rsidRPr="003E2E63">
        <w:rPr>
          <w:color w:val="000000" w:themeColor="text1"/>
          <w:szCs w:val="28"/>
        </w:rPr>
        <w:t xml:space="preserve">Lai izlietotu līdzekļus efektīvi, iespēju robežās fiziskās kontroles paredzētas kopīgi ar LAD un </w:t>
      </w:r>
      <w:r>
        <w:rPr>
          <w:color w:val="000000" w:themeColor="text1"/>
          <w:szCs w:val="28"/>
        </w:rPr>
        <w:t xml:space="preserve">Latvijas Investīciju un attīstības aģentūru (turpmāk </w:t>
      </w:r>
      <w:r>
        <w:rPr>
          <w:color w:val="000000" w:themeColor="text1"/>
          <w:szCs w:val="28"/>
        </w:rPr>
        <w:lastRenderedPageBreak/>
        <w:t xml:space="preserve">– </w:t>
      </w:r>
      <w:r w:rsidRPr="003E2E63">
        <w:rPr>
          <w:color w:val="000000" w:themeColor="text1"/>
          <w:szCs w:val="28"/>
        </w:rPr>
        <w:t>LIAA</w:t>
      </w:r>
      <w:r>
        <w:rPr>
          <w:color w:val="000000" w:themeColor="text1"/>
          <w:szCs w:val="28"/>
        </w:rPr>
        <w:t>)</w:t>
      </w:r>
      <w:r w:rsidRPr="003E2E63">
        <w:rPr>
          <w:color w:val="000000" w:themeColor="text1"/>
          <w:szCs w:val="28"/>
        </w:rPr>
        <w:t xml:space="preserve"> pārstāvjiem</w:t>
      </w:r>
      <w:r>
        <w:rPr>
          <w:color w:val="000000" w:themeColor="text1"/>
          <w:szCs w:val="28"/>
        </w:rPr>
        <w:t>,</w:t>
      </w:r>
      <w:r w:rsidRPr="003E2E63">
        <w:rPr>
          <w:color w:val="000000" w:themeColor="text1"/>
          <w:szCs w:val="28"/>
        </w:rPr>
        <w:t xml:space="preserve"> pārbaudot Lauku atbalsta programmas un Kohēzijas fondu programmas ietvaros finansētos projektus. Pirmā kontrole kopīgi ar LAD ekspertiem notika </w:t>
      </w:r>
      <w:r>
        <w:rPr>
          <w:color w:val="000000" w:themeColor="text1"/>
          <w:szCs w:val="28"/>
        </w:rPr>
        <w:t>2013. gada 19. martā</w:t>
      </w:r>
      <w:r w:rsidRPr="003E2E63">
        <w:rPr>
          <w:color w:val="000000" w:themeColor="text1"/>
          <w:szCs w:val="28"/>
        </w:rPr>
        <w:t xml:space="preserve">. </w:t>
      </w:r>
    </w:p>
    <w:p w:rsidR="006F1B63" w:rsidRPr="003E2E63" w:rsidRDefault="006F1B63" w:rsidP="006F1B63">
      <w:pPr>
        <w:spacing w:after="0" w:line="240" w:lineRule="auto"/>
        <w:jc w:val="both"/>
        <w:rPr>
          <w:color w:val="000000" w:themeColor="text1"/>
          <w:szCs w:val="28"/>
        </w:rPr>
      </w:pPr>
      <w:r w:rsidRPr="003E2E63">
        <w:rPr>
          <w:color w:val="000000" w:themeColor="text1"/>
          <w:szCs w:val="28"/>
        </w:rPr>
        <w:t xml:space="preserve">Veicot elektrostaciju pārbaudes, </w:t>
      </w:r>
      <w:r>
        <w:rPr>
          <w:color w:val="000000" w:themeColor="text1"/>
          <w:szCs w:val="28"/>
        </w:rPr>
        <w:t xml:space="preserve">Projektu </w:t>
      </w:r>
      <w:r w:rsidRPr="003E2E63">
        <w:rPr>
          <w:color w:val="000000" w:themeColor="text1"/>
          <w:szCs w:val="28"/>
        </w:rPr>
        <w:t>kontroles grupa pastiprinātu uzmanību pievērsīs komersantu saskaņā ar MK noteikumiem</w:t>
      </w:r>
      <w:r>
        <w:rPr>
          <w:color w:val="000000" w:themeColor="text1"/>
          <w:szCs w:val="28"/>
        </w:rPr>
        <w:t xml:space="preserve"> Nr.221 vai MK noteikumiem Nr.</w:t>
      </w:r>
      <w:r w:rsidRPr="003E2E63">
        <w:rPr>
          <w:color w:val="000000" w:themeColor="text1"/>
          <w:szCs w:val="28"/>
        </w:rPr>
        <w:t xml:space="preserve">262 iesniegtajos gada pārskatos norādītās informācijas patiesuma pārbaudei. </w:t>
      </w:r>
    </w:p>
    <w:p w:rsidR="006F1B63" w:rsidRPr="003E2E63" w:rsidRDefault="006F1B63" w:rsidP="006F1B63">
      <w:pPr>
        <w:spacing w:after="0" w:line="240" w:lineRule="auto"/>
        <w:jc w:val="both"/>
        <w:rPr>
          <w:color w:val="000000" w:themeColor="text1"/>
          <w:szCs w:val="28"/>
        </w:rPr>
      </w:pPr>
      <w:r w:rsidRPr="003E2E63">
        <w:rPr>
          <w:color w:val="000000" w:themeColor="text1"/>
          <w:szCs w:val="28"/>
        </w:rPr>
        <w:t>Vienlaikus tiks pievērsta uzmanība elektrostacijas tehnisko iekārtu (sastāvdaļu) atbilstībai (</w:t>
      </w:r>
      <w:r>
        <w:rPr>
          <w:color w:val="000000" w:themeColor="text1"/>
          <w:szCs w:val="28"/>
        </w:rPr>
        <w:t xml:space="preserve">piemēram, </w:t>
      </w:r>
      <w:r w:rsidRPr="003E2E63">
        <w:rPr>
          <w:color w:val="000000" w:themeColor="text1"/>
          <w:szCs w:val="28"/>
        </w:rPr>
        <w:t xml:space="preserve">verificēta saražotā siltuma skaitītāja esamība, kā arī siltumenerģijas pārvades sistēmu, elektroenerģijas fizisku pieslēgumu kopējam elektroenerģijas tīklam, elektrostacijas atbilstību spēkā esošajam būvniecības regulējumam, </w:t>
      </w:r>
      <w:proofErr w:type="spellStart"/>
      <w:r w:rsidRPr="003E2E63">
        <w:rPr>
          <w:color w:val="000000" w:themeColor="text1"/>
          <w:szCs w:val="28"/>
        </w:rPr>
        <w:t>u.c</w:t>
      </w:r>
      <w:proofErr w:type="spellEnd"/>
      <w:r w:rsidRPr="003E2E63">
        <w:rPr>
          <w:color w:val="000000" w:themeColor="text1"/>
          <w:szCs w:val="28"/>
        </w:rPr>
        <w:t xml:space="preserve">.), saražotās siltumenerģijas lietderīgai izmantošanai, pārdotās siltumenerģijas apjomam, saražotās elektroenerģijas apjomam, </w:t>
      </w:r>
      <w:proofErr w:type="spellStart"/>
      <w:r w:rsidRPr="003E2E63">
        <w:rPr>
          <w:color w:val="000000" w:themeColor="text1"/>
          <w:szCs w:val="28"/>
        </w:rPr>
        <w:t>u.c</w:t>
      </w:r>
      <w:proofErr w:type="spellEnd"/>
      <w:r w:rsidRPr="003E2E63">
        <w:rPr>
          <w:color w:val="000000" w:themeColor="text1"/>
          <w:szCs w:val="28"/>
        </w:rPr>
        <w:t>.</w:t>
      </w:r>
    </w:p>
    <w:p w:rsidR="006F1B63" w:rsidRDefault="00431B09" w:rsidP="006F1B63">
      <w:pPr>
        <w:spacing w:after="0" w:line="240" w:lineRule="auto"/>
        <w:jc w:val="both"/>
        <w:rPr>
          <w:color w:val="000000" w:themeColor="text1"/>
          <w:szCs w:val="28"/>
        </w:rPr>
      </w:pPr>
      <w:r>
        <w:rPr>
          <w:color w:val="000000" w:themeColor="text1"/>
          <w:szCs w:val="28"/>
        </w:rPr>
        <w:t>Līdz ar to t</w:t>
      </w:r>
      <w:r w:rsidR="00693C43">
        <w:rPr>
          <w:color w:val="000000" w:themeColor="text1"/>
          <w:szCs w:val="28"/>
        </w:rPr>
        <w:t>iek izstrādāti</w:t>
      </w:r>
      <w:r w:rsidR="006F1B63" w:rsidRPr="003E2E63">
        <w:rPr>
          <w:color w:val="000000" w:themeColor="text1"/>
          <w:szCs w:val="28"/>
        </w:rPr>
        <w:t xml:space="preserve"> grozījumi MK noteikumos Nr.221 un MK noteikumos Nr.262,</w:t>
      </w:r>
      <w:r w:rsidR="006F1B63">
        <w:rPr>
          <w:color w:val="000000" w:themeColor="text1"/>
          <w:szCs w:val="28"/>
        </w:rPr>
        <w:t xml:space="preserve"> ieviešot jaunas tiesību normas,</w:t>
      </w:r>
      <w:r w:rsidR="006F1B63" w:rsidRPr="003E2E63">
        <w:rPr>
          <w:color w:val="000000" w:themeColor="text1"/>
          <w:szCs w:val="28"/>
        </w:rPr>
        <w:t xml:space="preserve"> paredzot</w:t>
      </w:r>
      <w:r w:rsidR="006F1B63">
        <w:rPr>
          <w:color w:val="000000" w:themeColor="text1"/>
          <w:szCs w:val="28"/>
        </w:rPr>
        <w:t xml:space="preserve"> Projektu</w:t>
      </w:r>
      <w:r w:rsidR="006F1B63" w:rsidRPr="003E2E63">
        <w:rPr>
          <w:color w:val="000000" w:themeColor="text1"/>
          <w:szCs w:val="28"/>
        </w:rPr>
        <w:t xml:space="preserve"> kontroles grupas kompetenci un sankcijas gadījumos, ja komersants nestrādā saskaņā ar MK noteikumos Nr.221 vai MK noteikumos Nr.262 noteiktajām prasībām, kā, piemēram</w:t>
      </w:r>
      <w:r w:rsidR="006F1B63">
        <w:rPr>
          <w:color w:val="000000" w:themeColor="text1"/>
          <w:szCs w:val="28"/>
        </w:rPr>
        <w:t>,</w:t>
      </w:r>
      <w:r w:rsidR="006F1B63" w:rsidRPr="003E2E63">
        <w:rPr>
          <w:color w:val="000000" w:themeColor="text1"/>
          <w:szCs w:val="28"/>
        </w:rPr>
        <w:t xml:space="preserve"> atbalsta samazinājums uz laiku, līdz komersants novērš konstatētās nepilnības vai arī atbalsta atcelšana, ja komersants nespēj novērst konstatētas nepilnības noteiktā laika posmā. </w:t>
      </w:r>
    </w:p>
    <w:p w:rsidR="006F1B63" w:rsidRPr="003E2E63" w:rsidRDefault="006F1B63" w:rsidP="006F1B63">
      <w:pPr>
        <w:spacing w:after="0" w:line="240" w:lineRule="auto"/>
        <w:jc w:val="both"/>
        <w:rPr>
          <w:color w:val="000000" w:themeColor="text1"/>
          <w:szCs w:val="28"/>
        </w:rPr>
      </w:pPr>
    </w:p>
    <w:p w:rsidR="006F1B63" w:rsidRPr="003E2E63" w:rsidRDefault="006F1B63" w:rsidP="006F1B63">
      <w:pPr>
        <w:pStyle w:val="Heading3"/>
        <w:rPr>
          <w:color w:val="000000" w:themeColor="text1"/>
        </w:rPr>
      </w:pPr>
      <w:bookmarkStart w:id="40" w:name="_Toc351283065"/>
      <w:bookmarkStart w:id="41" w:name="_Toc352179325"/>
      <w:r w:rsidRPr="003E2E63">
        <w:rPr>
          <w:color w:val="000000" w:themeColor="text1"/>
        </w:rPr>
        <w:t>2.</w:t>
      </w:r>
      <w:r>
        <w:rPr>
          <w:color w:val="000000" w:themeColor="text1"/>
        </w:rPr>
        <w:t>4</w:t>
      </w:r>
      <w:r w:rsidRPr="003E2E63">
        <w:rPr>
          <w:color w:val="000000" w:themeColor="text1"/>
        </w:rPr>
        <w:t>.2. Neatkarīga auditora apstiprināti gada pārskati</w:t>
      </w:r>
      <w:bookmarkEnd w:id="40"/>
      <w:bookmarkEnd w:id="41"/>
      <w:r w:rsidRPr="003E2E63">
        <w:rPr>
          <w:color w:val="000000" w:themeColor="text1"/>
        </w:rPr>
        <w:t xml:space="preserve"> </w:t>
      </w:r>
    </w:p>
    <w:p w:rsidR="006F1B63" w:rsidRPr="003E2E63" w:rsidRDefault="006F1B63" w:rsidP="006F1B63">
      <w:pPr>
        <w:spacing w:after="0" w:line="240" w:lineRule="auto"/>
        <w:jc w:val="both"/>
        <w:rPr>
          <w:i/>
          <w:color w:val="000000" w:themeColor="text1"/>
          <w:u w:val="single"/>
        </w:rPr>
      </w:pPr>
      <w:r w:rsidRPr="003E2E63">
        <w:rPr>
          <w:color w:val="000000" w:themeColor="text1"/>
          <w:szCs w:val="28"/>
        </w:rPr>
        <w:t>Lai pārliecinātos, ka obligātā iepirkuma ietvaros elektroenerģijas ražotājiem piešķirtie līdzekļi tiek izmantoti efektīvi un atbilstoši paredzētajiem mērķiem, MK noteikumos Nr.262 un MK noteikumos Nr.221 iekļauta prasība (spēkā stājās 2012.</w:t>
      </w:r>
      <w:r>
        <w:rPr>
          <w:color w:val="000000" w:themeColor="text1"/>
          <w:szCs w:val="28"/>
        </w:rPr>
        <w:t> </w:t>
      </w:r>
      <w:r w:rsidRPr="003E2E63">
        <w:rPr>
          <w:color w:val="000000" w:themeColor="text1"/>
          <w:szCs w:val="28"/>
        </w:rPr>
        <w:t>gada 8.</w:t>
      </w:r>
      <w:r>
        <w:rPr>
          <w:color w:val="000000" w:themeColor="text1"/>
          <w:szCs w:val="28"/>
        </w:rPr>
        <w:t> </w:t>
      </w:r>
      <w:r w:rsidRPr="003E2E63">
        <w:rPr>
          <w:color w:val="000000" w:themeColor="text1"/>
          <w:szCs w:val="28"/>
        </w:rPr>
        <w:t>septembrī) katru gadu obligāti iesniedzamajā (līdz kārtējā gada 1.</w:t>
      </w:r>
      <w:r>
        <w:rPr>
          <w:color w:val="000000" w:themeColor="text1"/>
          <w:szCs w:val="28"/>
        </w:rPr>
        <w:t> </w:t>
      </w:r>
      <w:r w:rsidRPr="003E2E63">
        <w:rPr>
          <w:color w:val="000000" w:themeColor="text1"/>
          <w:szCs w:val="28"/>
        </w:rPr>
        <w:t xml:space="preserve">martam) gada pārskatā par elektrostacijas darbību sniegtos datus par pārdoto lietderīgo (efektīvi izlietoto) siltumenerģiju apstiprināt pie akreditēta auditora. Vienlaikus  MK noteikumos Nr.221 un MK noteikumos Nr.262 noteikts, ka auditors ir juridiska persona, kura ir akreditēta Latvijas Nacionālajā akreditācijas birojā un atbilst akreditācijas prasībām, ņemot vērā standartu LVS EN ISO/IEC 17020:2012 „Atbilstības novērtēšana. Prasības dažāda veida institūcijām, kas veic inspekciju” (turpmāk – Standarts LVS EN ISO/IEC 17020:2012). </w:t>
      </w:r>
    </w:p>
    <w:p w:rsidR="006F1B63" w:rsidRPr="003E2E63" w:rsidRDefault="006F1B63" w:rsidP="006F1B63">
      <w:pPr>
        <w:spacing w:after="0" w:line="240" w:lineRule="auto"/>
        <w:jc w:val="both"/>
        <w:rPr>
          <w:bCs/>
          <w:color w:val="000000" w:themeColor="text1"/>
          <w:szCs w:val="28"/>
        </w:rPr>
      </w:pPr>
      <w:r w:rsidRPr="003E2E63">
        <w:rPr>
          <w:bCs/>
          <w:color w:val="000000" w:themeColor="text1"/>
          <w:szCs w:val="28"/>
        </w:rPr>
        <w:t xml:space="preserve">Ekonomikas ministrija sadarbībā ar Latvijas Nacionālo akreditācijas biroju ir sagatavojusi </w:t>
      </w:r>
      <w:r>
        <w:rPr>
          <w:bCs/>
          <w:color w:val="000000" w:themeColor="text1"/>
          <w:szCs w:val="28"/>
        </w:rPr>
        <w:t xml:space="preserve">sākotnējo </w:t>
      </w:r>
      <w:r w:rsidRPr="003E2E63">
        <w:rPr>
          <w:bCs/>
          <w:color w:val="000000" w:themeColor="text1"/>
          <w:szCs w:val="28"/>
        </w:rPr>
        <w:t xml:space="preserve">vadlīniju </w:t>
      </w:r>
      <w:r w:rsidRPr="003E2E63">
        <w:rPr>
          <w:color w:val="000000" w:themeColor="text1"/>
          <w:szCs w:val="28"/>
        </w:rPr>
        <w:t>projektu Latvijas Nacionālajam akreditācijas birojam, nolūkā nodrošināt institūciju</w:t>
      </w:r>
      <w:r>
        <w:rPr>
          <w:color w:val="000000" w:themeColor="text1"/>
          <w:szCs w:val="28"/>
        </w:rPr>
        <w:t xml:space="preserve">, kuru </w:t>
      </w:r>
      <w:r w:rsidRPr="003E2E63">
        <w:rPr>
          <w:color w:val="000000" w:themeColor="text1"/>
          <w:szCs w:val="28"/>
        </w:rPr>
        <w:t xml:space="preserve"> </w:t>
      </w:r>
      <w:r>
        <w:rPr>
          <w:color w:val="000000" w:themeColor="text1"/>
          <w:szCs w:val="28"/>
        </w:rPr>
        <w:t xml:space="preserve">auditori </w:t>
      </w:r>
      <w:r w:rsidRPr="003E2E63">
        <w:rPr>
          <w:color w:val="000000" w:themeColor="text1"/>
          <w:szCs w:val="28"/>
        </w:rPr>
        <w:t>pārbaudīs pārdoto lietderīgo (efektīvi izlietoto) siltumenerģiju</w:t>
      </w:r>
      <w:r>
        <w:rPr>
          <w:color w:val="000000" w:themeColor="text1"/>
          <w:szCs w:val="28"/>
        </w:rPr>
        <w:t>,</w:t>
      </w:r>
      <w:r w:rsidRPr="003E2E63">
        <w:rPr>
          <w:color w:val="000000" w:themeColor="text1"/>
          <w:szCs w:val="28"/>
        </w:rPr>
        <w:t xml:space="preserve"> akreditēšanu saskaņā ar tām prasībām, kas paredzētas MK noteikumos Nr.221 un MK noteikumos Nr.262</w:t>
      </w:r>
      <w:r>
        <w:rPr>
          <w:color w:val="000000" w:themeColor="text1"/>
          <w:szCs w:val="28"/>
        </w:rPr>
        <w:t>,</w:t>
      </w:r>
      <w:r w:rsidR="00DD1B94">
        <w:rPr>
          <w:color w:val="000000" w:themeColor="text1"/>
          <w:szCs w:val="28"/>
        </w:rPr>
        <w:t xml:space="preserve"> </w:t>
      </w:r>
      <w:proofErr w:type="spellStart"/>
      <w:r>
        <w:rPr>
          <w:color w:val="000000" w:themeColor="text1"/>
          <w:szCs w:val="28"/>
        </w:rPr>
        <w:t>t.i</w:t>
      </w:r>
      <w:proofErr w:type="spellEnd"/>
      <w:r>
        <w:rPr>
          <w:color w:val="000000" w:themeColor="text1"/>
          <w:szCs w:val="28"/>
        </w:rPr>
        <w:t>.</w:t>
      </w:r>
      <w:r w:rsidRPr="00F0428D">
        <w:rPr>
          <w:color w:val="000000" w:themeColor="text1"/>
          <w:szCs w:val="28"/>
        </w:rPr>
        <w:t xml:space="preserve"> </w:t>
      </w:r>
      <w:r>
        <w:rPr>
          <w:color w:val="000000" w:themeColor="text1"/>
          <w:szCs w:val="28"/>
        </w:rPr>
        <w:t>s</w:t>
      </w:r>
      <w:r w:rsidRPr="003E2E63">
        <w:rPr>
          <w:color w:val="000000" w:themeColor="text1"/>
          <w:szCs w:val="28"/>
        </w:rPr>
        <w:t xml:space="preserve">askaņā ar standartu LVS EN ISO/IEC 17020:2012. Vadlīnijās tiek aprakstīti akreditētam auditoram obligāti veicamie pienākumi, lai pārbaudītu komersantu </w:t>
      </w:r>
      <w:r w:rsidRPr="00EE3169">
        <w:rPr>
          <w:color w:val="000000" w:themeColor="text1"/>
          <w:szCs w:val="28"/>
        </w:rPr>
        <w:lastRenderedPageBreak/>
        <w:t xml:space="preserve">saskaņā ar MK noteikumiem Nr.221 vai MK noteikumiem Nr.262 sagatavotos </w:t>
      </w:r>
      <w:r w:rsidRPr="003E2E63">
        <w:rPr>
          <w:color w:val="000000" w:themeColor="text1"/>
          <w:szCs w:val="28"/>
        </w:rPr>
        <w:t>gada pārskatos sniegtos datus par pārdoto lietderīgo (efektīvi izmantoto) siltumenerģiju. Vadlīnijās arī iekļautas rekomendācijas auditēšanas prasībām, auditēšanas procesu aprakstam, kā arī prasības auditora akreditēšanai. Ar Vadlīniju projektu iespējams iepazīties Ekonomikas ministrijas tīmekļa vietnē: (</w:t>
      </w:r>
      <w:hyperlink r:id="rId28" w:history="1">
        <w:r w:rsidRPr="003E2E63">
          <w:rPr>
            <w:color w:val="000000" w:themeColor="text1"/>
            <w:szCs w:val="28"/>
            <w:u w:val="single"/>
          </w:rPr>
          <w:t>http://www.em.gov.lv/em/2nd/?cat=30168</w:t>
        </w:r>
      </w:hyperlink>
      <w:r w:rsidRPr="003E2E63">
        <w:rPr>
          <w:color w:val="000000" w:themeColor="text1"/>
          <w:szCs w:val="28"/>
        </w:rPr>
        <w:t>).</w:t>
      </w:r>
    </w:p>
    <w:p w:rsidR="006F1B63" w:rsidRPr="003E2E63" w:rsidRDefault="006F1B63" w:rsidP="006F1B63">
      <w:pPr>
        <w:spacing w:after="0" w:line="240" w:lineRule="auto"/>
        <w:jc w:val="both"/>
        <w:rPr>
          <w:color w:val="000000" w:themeColor="text1"/>
          <w:szCs w:val="28"/>
        </w:rPr>
      </w:pPr>
      <w:r w:rsidRPr="003E2E63">
        <w:rPr>
          <w:color w:val="000000" w:themeColor="text1"/>
          <w:szCs w:val="28"/>
        </w:rPr>
        <w:t>Ekonomikas ministrijas un Latvijas Nacionālā akreditācijas biroja pārstāvji 2013.</w:t>
      </w:r>
      <w:r>
        <w:rPr>
          <w:color w:val="000000" w:themeColor="text1"/>
          <w:szCs w:val="28"/>
        </w:rPr>
        <w:t> </w:t>
      </w:r>
      <w:r w:rsidRPr="003E2E63">
        <w:rPr>
          <w:color w:val="000000" w:themeColor="text1"/>
          <w:szCs w:val="28"/>
        </w:rPr>
        <w:t>gada 28.</w:t>
      </w:r>
      <w:r>
        <w:rPr>
          <w:color w:val="000000" w:themeColor="text1"/>
          <w:szCs w:val="28"/>
        </w:rPr>
        <w:t> </w:t>
      </w:r>
      <w:r w:rsidRPr="003E2E63">
        <w:rPr>
          <w:color w:val="000000" w:themeColor="text1"/>
          <w:szCs w:val="28"/>
        </w:rPr>
        <w:t>februārī rīkoja informatīvo semināru akreditē</w:t>
      </w:r>
      <w:r>
        <w:rPr>
          <w:color w:val="000000" w:themeColor="text1"/>
          <w:szCs w:val="28"/>
        </w:rPr>
        <w:t>jamo</w:t>
      </w:r>
      <w:r w:rsidRPr="003E2E63">
        <w:rPr>
          <w:color w:val="000000" w:themeColor="text1"/>
          <w:szCs w:val="28"/>
        </w:rPr>
        <w:t xml:space="preserve"> institūciju pārstāvjiem par akreditācijas procesu saskaņā ar Standartu LVS EN ISO/IEC 17020:2012. </w:t>
      </w:r>
      <w:r>
        <w:rPr>
          <w:color w:val="000000" w:themeColor="text1"/>
          <w:szCs w:val="28"/>
        </w:rPr>
        <w:t>Šobrīd norit vadlīniju papildināšana.</w:t>
      </w:r>
    </w:p>
    <w:p w:rsidR="006F1B63" w:rsidRPr="003E2E63" w:rsidRDefault="006F1B63" w:rsidP="006F1B63">
      <w:pPr>
        <w:spacing w:after="0" w:line="240" w:lineRule="auto"/>
        <w:jc w:val="both"/>
        <w:rPr>
          <w:color w:val="000000" w:themeColor="text1"/>
          <w:szCs w:val="28"/>
        </w:rPr>
      </w:pPr>
    </w:p>
    <w:p w:rsidR="006F1B63" w:rsidRPr="003E2E63" w:rsidRDefault="00431B09" w:rsidP="002A0C94">
      <w:pPr>
        <w:spacing w:after="0" w:line="240" w:lineRule="auto"/>
        <w:ind w:firstLine="0"/>
        <w:jc w:val="both"/>
        <w:rPr>
          <w:color w:val="000000" w:themeColor="text1"/>
          <w:szCs w:val="28"/>
        </w:rPr>
      </w:pPr>
      <w:r w:rsidRPr="002A0C94">
        <w:rPr>
          <w:color w:val="000000" w:themeColor="text1"/>
          <w:szCs w:val="28"/>
        </w:rPr>
        <w:t>Pašlaik notiek</w:t>
      </w:r>
      <w:r w:rsidR="006F1B63" w:rsidRPr="003E2E63">
        <w:rPr>
          <w:color w:val="000000" w:themeColor="text1"/>
          <w:szCs w:val="28"/>
        </w:rPr>
        <w:t xml:space="preserve"> Standarta LV</w:t>
      </w:r>
      <w:r w:rsidR="002A0C94">
        <w:rPr>
          <w:color w:val="000000" w:themeColor="text1"/>
          <w:szCs w:val="28"/>
        </w:rPr>
        <w:t>S EN ISO/IEC 17020:2012 tulkošana</w:t>
      </w:r>
      <w:r w:rsidR="006F1B63" w:rsidRPr="003E2E63">
        <w:rPr>
          <w:color w:val="000000" w:themeColor="text1"/>
          <w:szCs w:val="28"/>
        </w:rPr>
        <w:t xml:space="preserve"> latviešu valodā</w:t>
      </w:r>
      <w:r w:rsidR="002A0C94">
        <w:rPr>
          <w:color w:val="000000" w:themeColor="text1"/>
          <w:szCs w:val="28"/>
        </w:rPr>
        <w:t>, tiek precizētas Vadlīniju, LATAK</w:t>
      </w:r>
      <w:r w:rsidR="006F1B63" w:rsidRPr="003E2E63">
        <w:rPr>
          <w:color w:val="000000" w:themeColor="text1"/>
          <w:szCs w:val="28"/>
        </w:rPr>
        <w:t xml:space="preserve"> izstrādā metodiku akreditācijas procesam</w:t>
      </w:r>
      <w:r w:rsidR="006F1B63">
        <w:rPr>
          <w:color w:val="000000" w:themeColor="text1"/>
          <w:szCs w:val="28"/>
        </w:rPr>
        <w:t>;</w:t>
      </w:r>
      <w:r w:rsidR="006F1B63" w:rsidRPr="003E2E63">
        <w:rPr>
          <w:color w:val="000000" w:themeColor="text1"/>
          <w:szCs w:val="28"/>
        </w:rPr>
        <w:t xml:space="preserve"> </w:t>
      </w:r>
      <w:r w:rsidR="002A0C94">
        <w:rPr>
          <w:color w:val="000000" w:themeColor="text1"/>
          <w:szCs w:val="28"/>
        </w:rPr>
        <w:t>kā arī notiek g</w:t>
      </w:r>
      <w:r w:rsidR="006F1B63" w:rsidRPr="003E2E63">
        <w:rPr>
          <w:color w:val="000000" w:themeColor="text1"/>
          <w:szCs w:val="28"/>
        </w:rPr>
        <w:t xml:space="preserve">rozījumu </w:t>
      </w:r>
      <w:r w:rsidR="002A0C94">
        <w:rPr>
          <w:color w:val="000000" w:themeColor="text1"/>
          <w:szCs w:val="28"/>
        </w:rPr>
        <w:t>izstrāde</w:t>
      </w:r>
      <w:r w:rsidR="006F1B63" w:rsidRPr="003E2E63">
        <w:rPr>
          <w:color w:val="000000" w:themeColor="text1"/>
          <w:szCs w:val="28"/>
        </w:rPr>
        <w:t xml:space="preserve"> MK noteikumos Nr.221 un MK noteikumos Nr.262, nosakot precīzu definējumu Ekonomikas ministrijas darbībā, gadījumos, kad neatkarīgo auditoru veikto auditu ietvaros konstatēti pārkāpumi, kā arī nodefinēt attiecīgās sankcijas pārkāpumu konstatēšanas gadījumos. </w:t>
      </w:r>
    </w:p>
    <w:p w:rsidR="006F1B63" w:rsidRPr="003E2E63" w:rsidRDefault="006F1B63" w:rsidP="006F1B63">
      <w:pPr>
        <w:pStyle w:val="Heading3"/>
        <w:rPr>
          <w:color w:val="000000" w:themeColor="text1"/>
        </w:rPr>
      </w:pPr>
      <w:bookmarkStart w:id="42" w:name="_Toc351283067"/>
      <w:bookmarkStart w:id="43" w:name="_Toc352179326"/>
      <w:r w:rsidRPr="003E2E63">
        <w:rPr>
          <w:color w:val="000000" w:themeColor="text1"/>
        </w:rPr>
        <w:t>2.</w:t>
      </w:r>
      <w:r>
        <w:rPr>
          <w:color w:val="000000" w:themeColor="text1"/>
        </w:rPr>
        <w:t xml:space="preserve">4.3. </w:t>
      </w:r>
      <w:r w:rsidRPr="003E2E63">
        <w:rPr>
          <w:color w:val="000000" w:themeColor="text1"/>
        </w:rPr>
        <w:t>Nodokļu nomaksas pārbaude</w:t>
      </w:r>
      <w:bookmarkEnd w:id="42"/>
      <w:bookmarkEnd w:id="43"/>
    </w:p>
    <w:p w:rsidR="006F1B63" w:rsidRPr="003E2E63" w:rsidRDefault="006F1B63" w:rsidP="006F1B63">
      <w:pPr>
        <w:spacing w:after="0" w:line="240" w:lineRule="auto"/>
        <w:jc w:val="both"/>
        <w:rPr>
          <w:color w:val="000000" w:themeColor="text1"/>
          <w:szCs w:val="28"/>
        </w:rPr>
      </w:pPr>
      <w:r w:rsidRPr="003E2E63">
        <w:rPr>
          <w:color w:val="000000" w:themeColor="text1"/>
          <w:szCs w:val="28"/>
        </w:rPr>
        <w:t xml:space="preserve">Saskaņā ar MK </w:t>
      </w:r>
      <w:r>
        <w:rPr>
          <w:color w:val="000000" w:themeColor="text1"/>
          <w:szCs w:val="28"/>
        </w:rPr>
        <w:t>n</w:t>
      </w:r>
      <w:r w:rsidRPr="003E2E63">
        <w:rPr>
          <w:color w:val="000000" w:themeColor="text1"/>
          <w:szCs w:val="28"/>
        </w:rPr>
        <w:t>oteikumu Nr.262</w:t>
      </w:r>
      <w:r>
        <w:rPr>
          <w:color w:val="000000" w:themeColor="text1"/>
          <w:szCs w:val="28"/>
        </w:rPr>
        <w:t xml:space="preserve"> </w:t>
      </w:r>
      <w:r w:rsidRPr="003E2E63">
        <w:rPr>
          <w:color w:val="000000" w:themeColor="text1"/>
          <w:szCs w:val="28"/>
        </w:rPr>
        <w:t>60.</w:t>
      </w:r>
      <w:r w:rsidRPr="003E2E63">
        <w:rPr>
          <w:color w:val="000000" w:themeColor="text1"/>
          <w:vertAlign w:val="superscript"/>
        </w:rPr>
        <w:t>2</w:t>
      </w:r>
      <w:r w:rsidRPr="003E2E63">
        <w:rPr>
          <w:color w:val="000000" w:themeColor="text1"/>
          <w:szCs w:val="28"/>
        </w:rPr>
        <w:t xml:space="preserve"> punktu un MK </w:t>
      </w:r>
      <w:r>
        <w:rPr>
          <w:color w:val="000000" w:themeColor="text1"/>
          <w:szCs w:val="28"/>
        </w:rPr>
        <w:t>n</w:t>
      </w:r>
      <w:r w:rsidRPr="003E2E63">
        <w:rPr>
          <w:color w:val="000000" w:themeColor="text1"/>
          <w:szCs w:val="28"/>
        </w:rPr>
        <w:t>oteikumu Nr.221 44.</w:t>
      </w:r>
      <w:r w:rsidRPr="003E2E63">
        <w:rPr>
          <w:color w:val="000000" w:themeColor="text1"/>
          <w:vertAlign w:val="superscript"/>
        </w:rPr>
        <w:t>1</w:t>
      </w:r>
      <w:r w:rsidRPr="003E2E63">
        <w:rPr>
          <w:color w:val="000000" w:themeColor="text1"/>
          <w:szCs w:val="28"/>
        </w:rPr>
        <w:t xml:space="preserve"> punktu Ekonomikas ministrijai cita starpā ir jāpārliecinās, ka attiecīgajā gada pārskata periodā komersantam nav bijuši nodokļu parādi, tai skaitā valsts sociālās apdrošināšanas obligāto iemaksu parādi. </w:t>
      </w:r>
    </w:p>
    <w:p w:rsidR="006F1B63" w:rsidRPr="003E2E63" w:rsidRDefault="006F1B63" w:rsidP="006F1B63">
      <w:pPr>
        <w:spacing w:after="0" w:line="240" w:lineRule="auto"/>
        <w:jc w:val="both"/>
        <w:rPr>
          <w:color w:val="000000" w:themeColor="text1"/>
          <w:szCs w:val="28"/>
        </w:rPr>
      </w:pPr>
      <w:r w:rsidRPr="003E2E63">
        <w:rPr>
          <w:color w:val="000000" w:themeColor="text1"/>
          <w:szCs w:val="28"/>
        </w:rPr>
        <w:t xml:space="preserve">Saskaņā ar </w:t>
      </w:r>
      <w:r>
        <w:rPr>
          <w:color w:val="000000" w:themeColor="text1"/>
          <w:szCs w:val="28"/>
        </w:rPr>
        <w:t>Valsts ieņēmuma dienesta</w:t>
      </w:r>
      <w:r w:rsidRPr="003E2E63">
        <w:rPr>
          <w:color w:val="000000" w:themeColor="text1"/>
          <w:szCs w:val="28"/>
        </w:rPr>
        <w:t xml:space="preserve"> 2013.</w:t>
      </w:r>
      <w:r>
        <w:rPr>
          <w:color w:val="000000" w:themeColor="text1"/>
          <w:szCs w:val="28"/>
        </w:rPr>
        <w:t> </w:t>
      </w:r>
      <w:r w:rsidRPr="003E2E63">
        <w:rPr>
          <w:color w:val="000000" w:themeColor="text1"/>
          <w:szCs w:val="28"/>
        </w:rPr>
        <w:t>gada 15.</w:t>
      </w:r>
      <w:r>
        <w:rPr>
          <w:color w:val="000000" w:themeColor="text1"/>
          <w:szCs w:val="28"/>
        </w:rPr>
        <w:t> </w:t>
      </w:r>
      <w:r w:rsidRPr="003E2E63">
        <w:rPr>
          <w:color w:val="000000" w:themeColor="text1"/>
          <w:szCs w:val="28"/>
        </w:rPr>
        <w:t>martā sniegto informāciju 2013.</w:t>
      </w:r>
      <w:r>
        <w:rPr>
          <w:color w:val="000000" w:themeColor="text1"/>
          <w:szCs w:val="28"/>
        </w:rPr>
        <w:t> </w:t>
      </w:r>
      <w:r w:rsidRPr="003E2E63">
        <w:rPr>
          <w:color w:val="000000" w:themeColor="text1"/>
          <w:szCs w:val="28"/>
        </w:rPr>
        <w:t>gada 14.</w:t>
      </w:r>
      <w:r>
        <w:rPr>
          <w:color w:val="000000" w:themeColor="text1"/>
          <w:szCs w:val="28"/>
        </w:rPr>
        <w:t> </w:t>
      </w:r>
      <w:r w:rsidRPr="003E2E63">
        <w:rPr>
          <w:color w:val="000000" w:themeColor="text1"/>
          <w:szCs w:val="28"/>
        </w:rPr>
        <w:t>martā par uzņēmēju nodokļu nomaksu, kuri saņem atbalstu elektroenerģijas ražošanai, tika secināts, ka uz 2013.</w:t>
      </w:r>
      <w:r>
        <w:rPr>
          <w:color w:val="000000" w:themeColor="text1"/>
          <w:szCs w:val="28"/>
        </w:rPr>
        <w:t> </w:t>
      </w:r>
      <w:r w:rsidRPr="003E2E63">
        <w:rPr>
          <w:color w:val="000000" w:themeColor="text1"/>
          <w:szCs w:val="28"/>
        </w:rPr>
        <w:t>gada 1.</w:t>
      </w:r>
      <w:r>
        <w:rPr>
          <w:color w:val="000000" w:themeColor="text1"/>
          <w:szCs w:val="28"/>
        </w:rPr>
        <w:t> </w:t>
      </w:r>
      <w:r w:rsidRPr="003E2E63">
        <w:rPr>
          <w:color w:val="000000" w:themeColor="text1"/>
          <w:szCs w:val="28"/>
        </w:rPr>
        <w:t>janvāri nodokļu parādu kopsumma bija 726 864 LVL, tajā skaitā:</w:t>
      </w:r>
    </w:p>
    <w:p w:rsidR="006F1B63" w:rsidRPr="003E2E63" w:rsidRDefault="006F1B63" w:rsidP="006F1B63">
      <w:pPr>
        <w:numPr>
          <w:ilvl w:val="0"/>
          <w:numId w:val="8"/>
        </w:numPr>
        <w:spacing w:after="0" w:line="240" w:lineRule="auto"/>
        <w:jc w:val="both"/>
        <w:rPr>
          <w:color w:val="000000" w:themeColor="text1"/>
          <w:szCs w:val="28"/>
        </w:rPr>
      </w:pPr>
      <w:r w:rsidRPr="003E2E63">
        <w:rPr>
          <w:color w:val="000000" w:themeColor="text1"/>
          <w:szCs w:val="28"/>
        </w:rPr>
        <w:t>Iedzīvotāju ienākuma nodoklis - 91 587 LVL;</w:t>
      </w:r>
    </w:p>
    <w:p w:rsidR="006F1B63" w:rsidRPr="003E2E63" w:rsidRDefault="006F1B63" w:rsidP="006F1B63">
      <w:pPr>
        <w:numPr>
          <w:ilvl w:val="0"/>
          <w:numId w:val="8"/>
        </w:numPr>
        <w:spacing w:after="0" w:line="240" w:lineRule="auto"/>
        <w:jc w:val="both"/>
        <w:rPr>
          <w:color w:val="000000" w:themeColor="text1"/>
          <w:szCs w:val="28"/>
        </w:rPr>
      </w:pPr>
      <w:r w:rsidRPr="003E2E63">
        <w:rPr>
          <w:color w:val="000000" w:themeColor="text1"/>
          <w:szCs w:val="28"/>
        </w:rPr>
        <w:t>Uzņēmuma ienākuma nodoklis – 36 329 LVL;</w:t>
      </w:r>
    </w:p>
    <w:p w:rsidR="006F1B63" w:rsidRPr="003E2E63" w:rsidRDefault="006F1B63" w:rsidP="006F1B63">
      <w:pPr>
        <w:numPr>
          <w:ilvl w:val="0"/>
          <w:numId w:val="8"/>
        </w:numPr>
        <w:spacing w:after="0" w:line="240" w:lineRule="auto"/>
        <w:jc w:val="both"/>
        <w:rPr>
          <w:color w:val="000000" w:themeColor="text1"/>
          <w:szCs w:val="28"/>
        </w:rPr>
      </w:pPr>
      <w:r w:rsidRPr="003E2E63">
        <w:rPr>
          <w:color w:val="000000" w:themeColor="text1"/>
          <w:szCs w:val="28"/>
        </w:rPr>
        <w:t>Sociālās apdrošināšanas nodoklis – 103 670 LVL;</w:t>
      </w:r>
    </w:p>
    <w:p w:rsidR="006F1B63" w:rsidRPr="003E2E63" w:rsidRDefault="006F1B63" w:rsidP="006F1B63">
      <w:pPr>
        <w:numPr>
          <w:ilvl w:val="0"/>
          <w:numId w:val="8"/>
        </w:numPr>
        <w:spacing w:after="0" w:line="240" w:lineRule="auto"/>
        <w:jc w:val="both"/>
        <w:rPr>
          <w:color w:val="000000" w:themeColor="text1"/>
          <w:szCs w:val="28"/>
        </w:rPr>
      </w:pPr>
      <w:r w:rsidRPr="003E2E63">
        <w:rPr>
          <w:color w:val="000000" w:themeColor="text1"/>
          <w:szCs w:val="28"/>
        </w:rPr>
        <w:t>Pievienotās vērtības nodoklis</w:t>
      </w:r>
      <w:r>
        <w:rPr>
          <w:color w:val="000000" w:themeColor="text1"/>
          <w:szCs w:val="28"/>
        </w:rPr>
        <w:t xml:space="preserve"> (turpmāk - PVN)</w:t>
      </w:r>
      <w:r w:rsidRPr="003E2E63">
        <w:rPr>
          <w:color w:val="000000" w:themeColor="text1"/>
          <w:szCs w:val="28"/>
        </w:rPr>
        <w:t xml:space="preserve"> – 482 118 LVL;</w:t>
      </w:r>
    </w:p>
    <w:p w:rsidR="006F1B63" w:rsidRPr="003E2E63" w:rsidRDefault="006F1B63" w:rsidP="006F1B63">
      <w:pPr>
        <w:numPr>
          <w:ilvl w:val="0"/>
          <w:numId w:val="8"/>
        </w:numPr>
        <w:spacing w:after="0" w:line="240" w:lineRule="auto"/>
        <w:jc w:val="both"/>
        <w:rPr>
          <w:color w:val="000000" w:themeColor="text1"/>
          <w:szCs w:val="28"/>
        </w:rPr>
      </w:pPr>
      <w:r w:rsidRPr="003E2E63">
        <w:rPr>
          <w:color w:val="000000" w:themeColor="text1"/>
          <w:szCs w:val="28"/>
        </w:rPr>
        <w:t>Dabas resursu nodoklis – 11 930 LVL;</w:t>
      </w:r>
    </w:p>
    <w:p w:rsidR="006F1B63" w:rsidRPr="003E2E63" w:rsidRDefault="006F1B63" w:rsidP="006F1B63">
      <w:pPr>
        <w:numPr>
          <w:ilvl w:val="0"/>
          <w:numId w:val="8"/>
        </w:numPr>
        <w:spacing w:after="0" w:line="240" w:lineRule="auto"/>
        <w:jc w:val="both"/>
        <w:rPr>
          <w:color w:val="000000" w:themeColor="text1"/>
          <w:szCs w:val="28"/>
        </w:rPr>
      </w:pPr>
      <w:r w:rsidRPr="003E2E63">
        <w:rPr>
          <w:color w:val="000000" w:themeColor="text1"/>
          <w:szCs w:val="28"/>
        </w:rPr>
        <w:t>Mikrouzņēmuma nodoklis – 865 LVL;</w:t>
      </w:r>
    </w:p>
    <w:p w:rsidR="006F1B63" w:rsidRPr="003E2E63" w:rsidRDefault="006F1B63" w:rsidP="006F1B63">
      <w:pPr>
        <w:numPr>
          <w:ilvl w:val="0"/>
          <w:numId w:val="8"/>
        </w:numPr>
        <w:spacing w:after="0" w:line="240" w:lineRule="auto"/>
        <w:jc w:val="both"/>
        <w:rPr>
          <w:color w:val="000000" w:themeColor="text1"/>
          <w:szCs w:val="28"/>
        </w:rPr>
      </w:pPr>
      <w:r w:rsidRPr="003E2E63">
        <w:rPr>
          <w:color w:val="000000" w:themeColor="text1"/>
          <w:szCs w:val="28"/>
        </w:rPr>
        <w:t>Pārējie nodokļi – 365 LVL.</w:t>
      </w:r>
    </w:p>
    <w:p w:rsidR="006F1B63" w:rsidRPr="003E2E63" w:rsidRDefault="006F1B63" w:rsidP="006F1B63">
      <w:pPr>
        <w:spacing w:after="0" w:line="240" w:lineRule="auto"/>
        <w:jc w:val="both"/>
        <w:rPr>
          <w:color w:val="000000" w:themeColor="text1"/>
          <w:szCs w:val="28"/>
        </w:rPr>
      </w:pPr>
      <w:r w:rsidRPr="003E2E63">
        <w:rPr>
          <w:color w:val="000000" w:themeColor="text1"/>
          <w:szCs w:val="28"/>
        </w:rPr>
        <w:t xml:space="preserve">72 uzņēmējiem nodokļu parāda kopsumma ir vairāk nekā 100 LVL, vislielākais nodokļu kopsummas parāds vienam uzņēmumam - 91 691 LVL. Saskaņā ar MK noteikumu Nr.262 61.3. apakšpunktu vispirms </w:t>
      </w:r>
      <w:r>
        <w:rPr>
          <w:color w:val="000000" w:themeColor="text1"/>
          <w:szCs w:val="28"/>
        </w:rPr>
        <w:t xml:space="preserve">Ekonomikas </w:t>
      </w:r>
      <w:r w:rsidRPr="003E2E63">
        <w:rPr>
          <w:color w:val="000000" w:themeColor="text1"/>
          <w:szCs w:val="28"/>
        </w:rPr>
        <w:t xml:space="preserve">ministrija nosūta komersantam brīdinājumu par neatbilstību un iespēju zaudēt tiesības pārdot saražoto elektroenerģiju obligāti iepērkamā elektroenerģijas apjoma veidā vai saņemt garantētu maksu par elektrostacijā uzstādīto elektrisko jaudu. Komersantam jānodrošina nodokļu nomaksa deviņu mēnešu laikā pēc brīdinājuma nosūtīšanas, kā arī jānosūta apliecinājums par atbilstību prasībām. </w:t>
      </w:r>
      <w:r w:rsidRPr="003E2E63">
        <w:rPr>
          <w:color w:val="000000" w:themeColor="text1"/>
          <w:szCs w:val="28"/>
        </w:rPr>
        <w:lastRenderedPageBreak/>
        <w:t xml:space="preserve">Ja pēc komersanta apliecinājuma iesniegšanas tiek konstatēta neatbilstība, Ekonomikas ministrija 20 dienu laikā pieņem lēmumu par piešķirto tiesību atcelšanu. </w:t>
      </w:r>
    </w:p>
    <w:p w:rsidR="006F1B63" w:rsidRPr="003E2E63" w:rsidRDefault="006F1B63" w:rsidP="006F1B63">
      <w:pPr>
        <w:pStyle w:val="Heading3"/>
        <w:jc w:val="both"/>
        <w:rPr>
          <w:color w:val="000000" w:themeColor="text1"/>
        </w:rPr>
      </w:pPr>
      <w:bookmarkStart w:id="44" w:name="_Toc352179327"/>
      <w:r w:rsidRPr="003E2E63">
        <w:rPr>
          <w:color w:val="000000" w:themeColor="text1"/>
          <w:szCs w:val="28"/>
        </w:rPr>
        <w:t>2.</w:t>
      </w:r>
      <w:r>
        <w:rPr>
          <w:color w:val="000000" w:themeColor="text1"/>
          <w:szCs w:val="28"/>
        </w:rPr>
        <w:t>4.4</w:t>
      </w:r>
      <w:r w:rsidRPr="003E2E63">
        <w:rPr>
          <w:color w:val="000000" w:themeColor="text1"/>
          <w:szCs w:val="28"/>
        </w:rPr>
        <w:t xml:space="preserve">. Papildus nosacījumi projekta </w:t>
      </w:r>
      <w:proofErr w:type="spellStart"/>
      <w:r w:rsidRPr="003E2E63">
        <w:rPr>
          <w:color w:val="000000" w:themeColor="text1"/>
          <w:szCs w:val="28"/>
        </w:rPr>
        <w:t>pirmrealizācijas</w:t>
      </w:r>
      <w:proofErr w:type="spellEnd"/>
      <w:r w:rsidRPr="003E2E63">
        <w:rPr>
          <w:color w:val="000000" w:themeColor="text1"/>
          <w:szCs w:val="28"/>
        </w:rPr>
        <w:t xml:space="preserve"> periodā</w:t>
      </w:r>
      <w:bookmarkEnd w:id="44"/>
      <w:r w:rsidRPr="003E2E63">
        <w:rPr>
          <w:color w:val="000000" w:themeColor="text1"/>
          <w:szCs w:val="28"/>
        </w:rPr>
        <w:t xml:space="preserve"> </w:t>
      </w:r>
    </w:p>
    <w:p w:rsidR="006F1B63" w:rsidRPr="003E2E63" w:rsidRDefault="006F1B63" w:rsidP="006F1B63">
      <w:pPr>
        <w:spacing w:after="0" w:line="240" w:lineRule="auto"/>
        <w:jc w:val="both"/>
        <w:rPr>
          <w:color w:val="000000" w:themeColor="text1"/>
        </w:rPr>
      </w:pPr>
      <w:r w:rsidRPr="003E2E63">
        <w:rPr>
          <w:color w:val="000000" w:themeColor="text1"/>
        </w:rPr>
        <w:t>Lai pārliecinātos par uzņēmēju spēju realizēt piešķirtās tiesības pārdot elektroenerģiju obligātajā iepirkumā, jau šobrīd MK noteikumu Nr.262 47. punktā ir ietverta prasība komersantiem kopā ar iesniegumu vai divu mēnešu laikā pēc MK noteikumu Nr.262 11. vai 36.</w:t>
      </w:r>
      <w:r>
        <w:rPr>
          <w:color w:val="000000" w:themeColor="text1"/>
        </w:rPr>
        <w:t> </w:t>
      </w:r>
      <w:r w:rsidRPr="003E2E63">
        <w:rPr>
          <w:color w:val="000000" w:themeColor="text1"/>
        </w:rPr>
        <w:t xml:space="preserve">punktā minētā lēmuma saņemšanas iesniegt kredītiestādes neatsaucamu izziņu par kredīta piešķiršanu, vai kredītiestādes izziņu, kas apliecina, ka komersantam ir pieejami projekta īstenošanai nepieciešamie līdzekļi. </w:t>
      </w:r>
    </w:p>
    <w:p w:rsidR="006F1B63" w:rsidRPr="003E2E63" w:rsidRDefault="006F1B63" w:rsidP="006F1B63">
      <w:pPr>
        <w:spacing w:after="0" w:line="240" w:lineRule="auto"/>
        <w:jc w:val="both"/>
        <w:rPr>
          <w:color w:val="000000" w:themeColor="text1"/>
        </w:rPr>
      </w:pPr>
      <w:r w:rsidRPr="003E2E63">
        <w:rPr>
          <w:color w:val="000000" w:themeColor="text1"/>
        </w:rPr>
        <w:t xml:space="preserve">Savukārt 12 mēnešu laikā pēc MK noteikumu Nr.262 11. vai 36. punktā minētā lēmuma saņemšanas komersantam noteikts pienākums saņemt būvatļauju elektrostacijas būvniecībai, kā arī uzsākt elektrostacijas būvniecību vai tās jaudas palielināšanu. Ministru kabineta noteikumos Nr.221 šobrīd šādas prasības komersantiem, kuri īsteno elektrostaciju attīstību, nav ietvertas. </w:t>
      </w:r>
    </w:p>
    <w:p w:rsidR="006F1B63" w:rsidRPr="003E2E63" w:rsidRDefault="006F1B63" w:rsidP="006F1B63">
      <w:pPr>
        <w:spacing w:after="0" w:line="240" w:lineRule="auto"/>
        <w:jc w:val="both"/>
        <w:rPr>
          <w:color w:val="000000" w:themeColor="text1"/>
          <w:szCs w:val="28"/>
        </w:rPr>
      </w:pPr>
      <w:r w:rsidRPr="003E2E63">
        <w:rPr>
          <w:color w:val="000000" w:themeColor="text1"/>
        </w:rPr>
        <w:t>Nolūkā nodrošināt e</w:t>
      </w:r>
      <w:r w:rsidRPr="003E2E63">
        <w:rPr>
          <w:color w:val="000000" w:themeColor="text1"/>
          <w:szCs w:val="28"/>
        </w:rPr>
        <w:t>lektroenerģijas obligātā iepirkuma atbalsta sistēmas sakārtošanu, kā arī, lai iegūtu ticamu informāciju enerģijas sektora plānošanā, kas ir īpaši būtiski</w:t>
      </w:r>
      <w:r w:rsidR="00A36B1D">
        <w:rPr>
          <w:color w:val="000000" w:themeColor="text1"/>
          <w:szCs w:val="28"/>
        </w:rPr>
        <w:t>,</w:t>
      </w:r>
      <w:r w:rsidRPr="003E2E63">
        <w:rPr>
          <w:color w:val="000000" w:themeColor="text1"/>
          <w:szCs w:val="28"/>
        </w:rPr>
        <w:t xml:space="preserve"> izstrādājot jauno </w:t>
      </w:r>
      <w:r>
        <w:rPr>
          <w:color w:val="000000" w:themeColor="text1"/>
          <w:szCs w:val="28"/>
        </w:rPr>
        <w:t>atjaunojamās enerģijas</w:t>
      </w:r>
      <w:r w:rsidRPr="003E2E63">
        <w:rPr>
          <w:color w:val="000000" w:themeColor="text1"/>
          <w:szCs w:val="28"/>
        </w:rPr>
        <w:t xml:space="preserve"> atbalsta mehānismu, </w:t>
      </w:r>
      <w:r w:rsidR="007B1209">
        <w:rPr>
          <w:color w:val="000000" w:themeColor="text1"/>
          <w:szCs w:val="28"/>
        </w:rPr>
        <w:t>tiek izstrādāti grozījumi</w:t>
      </w:r>
      <w:r w:rsidRPr="003E2E63">
        <w:rPr>
          <w:color w:val="000000" w:themeColor="text1"/>
          <w:szCs w:val="28"/>
        </w:rPr>
        <w:t xml:space="preserve"> MK noteikumos Nr.221, papildinot ar tiesību normu, kas komersantiem par pienākumu uzliek:</w:t>
      </w:r>
    </w:p>
    <w:p w:rsidR="006F1B63" w:rsidRPr="003E2E63" w:rsidRDefault="006F1B63" w:rsidP="006F1B63">
      <w:pPr>
        <w:numPr>
          <w:ilvl w:val="0"/>
          <w:numId w:val="9"/>
        </w:numPr>
        <w:tabs>
          <w:tab w:val="left" w:pos="851"/>
        </w:tabs>
        <w:spacing w:after="0" w:line="240" w:lineRule="auto"/>
        <w:ind w:left="0" w:firstLine="567"/>
        <w:jc w:val="both"/>
        <w:rPr>
          <w:color w:val="000000" w:themeColor="text1"/>
        </w:rPr>
      </w:pPr>
      <w:r w:rsidRPr="003E2E63">
        <w:rPr>
          <w:color w:val="000000" w:themeColor="text1"/>
        </w:rPr>
        <w:t xml:space="preserve">iesniegt Ekonomikas ministrijai būvatļaujas kopiju; </w:t>
      </w:r>
    </w:p>
    <w:p w:rsidR="006F1B63" w:rsidRPr="003E2E63" w:rsidRDefault="006F1B63" w:rsidP="006F1B63">
      <w:pPr>
        <w:numPr>
          <w:ilvl w:val="0"/>
          <w:numId w:val="9"/>
        </w:numPr>
        <w:tabs>
          <w:tab w:val="left" w:pos="851"/>
        </w:tabs>
        <w:spacing w:after="0" w:line="240" w:lineRule="auto"/>
        <w:ind w:left="0" w:firstLine="567"/>
        <w:jc w:val="both"/>
        <w:rPr>
          <w:color w:val="000000" w:themeColor="text1"/>
        </w:rPr>
      </w:pPr>
      <w:r w:rsidRPr="003E2E63">
        <w:rPr>
          <w:color w:val="000000" w:themeColor="text1"/>
        </w:rPr>
        <w:t xml:space="preserve">iesniegt Ekonomikas ministrijai kredītiestādes neatsaucamu izziņu par kredīta piešķiršanu, vai kredītiestādes izziņu, kas apliecina, ka komersantam ir pieejami projekta īstenošanai nepieciešamie līdzekļi. </w:t>
      </w:r>
    </w:p>
    <w:p w:rsidR="006F1B63" w:rsidRPr="003E2E63" w:rsidRDefault="00A36B1D" w:rsidP="006F1B63">
      <w:pPr>
        <w:spacing w:after="0" w:line="240" w:lineRule="auto"/>
        <w:jc w:val="both"/>
        <w:rPr>
          <w:color w:val="000000" w:themeColor="text1"/>
        </w:rPr>
      </w:pPr>
      <w:r>
        <w:rPr>
          <w:color w:val="000000" w:themeColor="text1"/>
        </w:rPr>
        <w:t>Vienlaikus</w:t>
      </w:r>
      <w:r w:rsidRPr="003E2E63">
        <w:rPr>
          <w:color w:val="000000" w:themeColor="text1"/>
        </w:rPr>
        <w:t xml:space="preserve"> Ekonomikas ministrijai </w:t>
      </w:r>
      <w:r w:rsidR="007B1209">
        <w:rPr>
          <w:color w:val="000000" w:themeColor="text1"/>
        </w:rPr>
        <w:t xml:space="preserve">tiek paredzētas tiesības </w:t>
      </w:r>
      <w:r w:rsidR="006F1B63" w:rsidRPr="003E2E63">
        <w:rPr>
          <w:color w:val="000000" w:themeColor="text1"/>
        </w:rPr>
        <w:t>pārbaudīt iepriekš minēto komersanta iesniegto dokumentu autentiskumu, kā arī pārbaudīt, vai attiecīgās elektrostacijas būvniecība vai tās jaudas palielināšana ir uzsākta.</w:t>
      </w:r>
    </w:p>
    <w:p w:rsidR="006F1B63" w:rsidRPr="003E2E63" w:rsidRDefault="006F1B63" w:rsidP="006F1B63">
      <w:pPr>
        <w:spacing w:after="0" w:line="240" w:lineRule="auto"/>
        <w:jc w:val="both"/>
        <w:rPr>
          <w:color w:val="000000" w:themeColor="text1"/>
        </w:rPr>
      </w:pPr>
    </w:p>
    <w:p w:rsidR="006F1B63" w:rsidRPr="00227453" w:rsidRDefault="006F1B63" w:rsidP="006F1B63">
      <w:pPr>
        <w:pStyle w:val="Heading3"/>
      </w:pPr>
      <w:bookmarkStart w:id="45" w:name="_Toc352179328"/>
      <w:r w:rsidRPr="00227453">
        <w:t>2.</w:t>
      </w:r>
      <w:r>
        <w:t>4</w:t>
      </w:r>
      <w:r w:rsidRPr="00227453">
        <w:t>.5. Lēmumu, kas paredz komersantam tiesības pārdot saražoto elektroenerģiju obligātā iepirkuma ietvaros vai tiesības saņemt garantētu maksu par elektrostacijā uzstādīto jaudu, pagarināšana</w:t>
      </w:r>
      <w:bookmarkEnd w:id="45"/>
      <w:r w:rsidRPr="00227453">
        <w:t xml:space="preserve"> </w:t>
      </w:r>
    </w:p>
    <w:p w:rsidR="006F1B63" w:rsidRPr="003E2E63" w:rsidRDefault="006F1B63" w:rsidP="006F1B63">
      <w:pPr>
        <w:spacing w:after="0" w:line="240" w:lineRule="auto"/>
        <w:jc w:val="both"/>
        <w:rPr>
          <w:color w:val="000000" w:themeColor="text1"/>
        </w:rPr>
      </w:pPr>
      <w:r w:rsidRPr="003E2E63">
        <w:rPr>
          <w:color w:val="000000" w:themeColor="text1"/>
        </w:rPr>
        <w:t>MK noteikumos Nr.262 nav noteikta kārtība, kādā pagarināmi šo noteikumu 11. punktā minētie lēmumi, kas paredz piešķirt komersantam tiesības pārdot hidroelektrostacijās saražoto elektroenerģiju obligātā iepirkuma ietvaros un 36.</w:t>
      </w:r>
      <w:r>
        <w:rPr>
          <w:color w:val="000000" w:themeColor="text1"/>
        </w:rPr>
        <w:t> </w:t>
      </w:r>
      <w:r w:rsidRPr="003E2E63">
        <w:rPr>
          <w:color w:val="000000" w:themeColor="text1"/>
        </w:rPr>
        <w:t xml:space="preserve">punktā minētie lēmumi, kas paredz </w:t>
      </w:r>
      <w:bookmarkStart w:id="46" w:name="333964"/>
      <w:r w:rsidRPr="003E2E63">
        <w:rPr>
          <w:color w:val="000000" w:themeColor="text1"/>
        </w:rPr>
        <w:t>komersantam tiesības pārdot biomasas, biogāzes, saules un vēja elektrostacijās saražoto</w:t>
      </w:r>
      <w:bookmarkEnd w:id="46"/>
      <w:r w:rsidRPr="003E2E63">
        <w:rPr>
          <w:color w:val="000000" w:themeColor="text1"/>
        </w:rPr>
        <w:t xml:space="preserve"> elektroenerģiju obligātā iepirkuma ietvaros. Tāpat nav noteikts</w:t>
      </w:r>
      <w:r>
        <w:rPr>
          <w:color w:val="000000" w:themeColor="text1"/>
        </w:rPr>
        <w:t>,</w:t>
      </w:r>
      <w:r w:rsidRPr="003E2E63">
        <w:rPr>
          <w:color w:val="000000" w:themeColor="text1"/>
        </w:rPr>
        <w:t xml:space="preserve"> kā pagarināmi MK noteikumos </w:t>
      </w:r>
      <w:proofErr w:type="spellStart"/>
      <w:r w:rsidRPr="003E2E63">
        <w:rPr>
          <w:color w:val="000000" w:themeColor="text1"/>
        </w:rPr>
        <w:t>Nr</w:t>
      </w:r>
      <w:proofErr w:type="spellEnd"/>
      <w:r w:rsidRPr="003E2E63">
        <w:rPr>
          <w:color w:val="000000" w:themeColor="text1"/>
        </w:rPr>
        <w:t>. 221 20.</w:t>
      </w:r>
      <w:r>
        <w:rPr>
          <w:color w:val="000000" w:themeColor="text1"/>
        </w:rPr>
        <w:t> </w:t>
      </w:r>
      <w:r w:rsidRPr="003E2E63">
        <w:rPr>
          <w:color w:val="000000" w:themeColor="text1"/>
        </w:rPr>
        <w:t xml:space="preserve">punktā minētie lēmumi, kas paredz piešķirt komersantam tiesības pārdot elektrostacijā koģenerācijā saražoto elektroenerģiju obligātā iepirkuma ietvaros vai tiesības saņemt garantētu maksu par elektrostacijā uzstādīto jaudu. </w:t>
      </w:r>
    </w:p>
    <w:p w:rsidR="006F1B63" w:rsidRPr="003E2E63" w:rsidRDefault="006F1B63" w:rsidP="006F1B63">
      <w:pPr>
        <w:spacing w:after="0" w:line="240" w:lineRule="auto"/>
        <w:jc w:val="both"/>
        <w:rPr>
          <w:color w:val="000000" w:themeColor="text1"/>
        </w:rPr>
      </w:pPr>
      <w:r w:rsidRPr="003E2E63">
        <w:rPr>
          <w:color w:val="000000" w:themeColor="text1"/>
        </w:rPr>
        <w:lastRenderedPageBreak/>
        <w:t xml:space="preserve">MK noteikumi Nr.221 nenosaka termiņu, līdz kuram komersantam, kas saņēmis tiesības pārdot koģenerācijā saražoto elektroenerģiju obligātā iepirkuma ietvaros, jāuzsāk elektroenerģijas ražošana koģenerācijā. Šādu termiņu noteica Ekonomikas ministrija, vadoties </w:t>
      </w:r>
      <w:r>
        <w:rPr>
          <w:color w:val="000000" w:themeColor="text1"/>
        </w:rPr>
        <w:t>pēc</w:t>
      </w:r>
      <w:r w:rsidRPr="003E2E63">
        <w:rPr>
          <w:color w:val="000000" w:themeColor="text1"/>
        </w:rPr>
        <w:t xml:space="preserve"> komersantam i</w:t>
      </w:r>
      <w:r>
        <w:rPr>
          <w:color w:val="000000" w:themeColor="text1"/>
        </w:rPr>
        <w:t>z</w:t>
      </w:r>
      <w:r w:rsidRPr="003E2E63">
        <w:rPr>
          <w:color w:val="000000" w:themeColor="text1"/>
        </w:rPr>
        <w:t>sniegtās atļaujas jaunu ražošanas iekārtu ieviešanai derīguma termiņa.</w:t>
      </w:r>
    </w:p>
    <w:p w:rsidR="006F1B63" w:rsidRPr="003E2E63" w:rsidRDefault="006F1B63" w:rsidP="006F1B63">
      <w:pPr>
        <w:spacing w:after="0" w:line="240" w:lineRule="auto"/>
        <w:jc w:val="both"/>
        <w:rPr>
          <w:color w:val="000000" w:themeColor="text1"/>
        </w:rPr>
      </w:pPr>
      <w:r w:rsidRPr="003E2E63">
        <w:rPr>
          <w:color w:val="000000" w:themeColor="text1"/>
        </w:rPr>
        <w:t xml:space="preserve">Līdz </w:t>
      </w:r>
      <w:r w:rsidRPr="00130C33">
        <w:rPr>
          <w:color w:val="000000" w:themeColor="text1"/>
        </w:rPr>
        <w:t>M</w:t>
      </w:r>
      <w:r>
        <w:rPr>
          <w:color w:val="000000" w:themeColor="text1"/>
        </w:rPr>
        <w:t xml:space="preserve">inistru kabineta </w:t>
      </w:r>
      <w:r w:rsidRPr="003E2E63">
        <w:rPr>
          <w:color w:val="000000" w:themeColor="text1"/>
        </w:rPr>
        <w:t>2012.</w:t>
      </w:r>
      <w:r>
        <w:rPr>
          <w:color w:val="000000" w:themeColor="text1"/>
        </w:rPr>
        <w:t> gada 28. augusta noteikumu Nr.604 „</w:t>
      </w:r>
      <w:r w:rsidRPr="00130C33">
        <w:rPr>
          <w:color w:val="000000" w:themeColor="text1"/>
        </w:rPr>
        <w:t>Grozījumi Ministru kabineta 2009.g</w:t>
      </w:r>
      <w:r>
        <w:rPr>
          <w:color w:val="000000" w:themeColor="text1"/>
        </w:rPr>
        <w:t>ada 10.marta noteikumos Nr.221 „</w:t>
      </w:r>
      <w:r w:rsidRPr="00130C33">
        <w:rPr>
          <w:color w:val="000000" w:themeColor="text1"/>
        </w:rPr>
        <w:t>Noteikumi par elektroenerģijas ražošanu un cenu noteikšanu, ražojot elektroenerģiju koģenerācijā</w:t>
      </w:r>
      <w:r>
        <w:rPr>
          <w:color w:val="000000" w:themeColor="text1"/>
        </w:rPr>
        <w:t>”” pieņemšanai</w:t>
      </w:r>
      <w:r w:rsidRPr="00130C33">
        <w:rPr>
          <w:color w:val="000000" w:themeColor="text1"/>
        </w:rPr>
        <w:t xml:space="preserve"> </w:t>
      </w:r>
      <w:r w:rsidRPr="003E2E63">
        <w:rPr>
          <w:color w:val="000000" w:themeColor="text1"/>
        </w:rPr>
        <w:t>atsevišķos lēmumos, kas tika izsniegti saskaņā ar MK noteikumiem Nr.221, lēmumu realizācijas termiņi vispār netika noteikti. Līdz ar minēto grozījumu spēkā stāšanos MK noteikumu N</w:t>
      </w:r>
      <w:r>
        <w:rPr>
          <w:color w:val="000000" w:themeColor="text1"/>
        </w:rPr>
        <w:t>r.</w:t>
      </w:r>
      <w:r w:rsidRPr="003E2E63">
        <w:rPr>
          <w:color w:val="000000" w:themeColor="text1"/>
        </w:rPr>
        <w:t>221 72. un 73.</w:t>
      </w:r>
      <w:r>
        <w:rPr>
          <w:color w:val="000000" w:themeColor="text1"/>
        </w:rPr>
        <w:t> </w:t>
      </w:r>
      <w:r w:rsidRPr="003E2E63">
        <w:rPr>
          <w:color w:val="000000" w:themeColor="text1"/>
        </w:rPr>
        <w:t>punkts nosaka termiņus elektroenerģijas ražošanas uzsākšanai</w:t>
      </w:r>
      <w:r>
        <w:rPr>
          <w:color w:val="000000" w:themeColor="text1"/>
        </w:rPr>
        <w:t>,</w:t>
      </w:r>
      <w:r w:rsidRPr="003E2E63">
        <w:rPr>
          <w:color w:val="000000" w:themeColor="text1"/>
        </w:rPr>
        <w:t xml:space="preserve"> sākot no 24 mēnešiem līdz 60 mēnešiem</w:t>
      </w:r>
      <w:r>
        <w:rPr>
          <w:color w:val="000000" w:themeColor="text1"/>
        </w:rPr>
        <w:t>,</w:t>
      </w:r>
      <w:r w:rsidRPr="003E2E63">
        <w:rPr>
          <w:color w:val="000000" w:themeColor="text1"/>
        </w:rPr>
        <w:t xml:space="preserve"> atkarībā no plānotās uzstādāmās jaudas, ja </w:t>
      </w:r>
      <w:r>
        <w:rPr>
          <w:color w:val="000000" w:themeColor="text1"/>
        </w:rPr>
        <w:t xml:space="preserve">Ekonomikas </w:t>
      </w:r>
      <w:r w:rsidRPr="003E2E63">
        <w:rPr>
          <w:color w:val="000000" w:themeColor="text1"/>
        </w:rPr>
        <w:t>ministrijas izsniegtajā lēmumā par tiesību piešķiršanu pārdot koģenerācijā saražoto elektroenerģiju obligātā iepirkuma ietvaros nav norādīts termiņš elektroenerģijas ražošanas uzsākšanai un komersants nav uzsācis elektroenerģijas ražošanu koģenerācijā, par termiņa atskaites punktu piemērojot 2012.</w:t>
      </w:r>
      <w:r>
        <w:rPr>
          <w:color w:val="000000" w:themeColor="text1"/>
        </w:rPr>
        <w:t> </w:t>
      </w:r>
      <w:r w:rsidRPr="003E2E63">
        <w:rPr>
          <w:color w:val="000000" w:themeColor="text1"/>
        </w:rPr>
        <w:t>gada 10.</w:t>
      </w:r>
      <w:r>
        <w:rPr>
          <w:color w:val="000000" w:themeColor="text1"/>
        </w:rPr>
        <w:t> </w:t>
      </w:r>
      <w:r w:rsidRPr="003E2E63">
        <w:rPr>
          <w:color w:val="000000" w:themeColor="text1"/>
        </w:rPr>
        <w:t>septembri. Minētie termiņi attiecināmi arī uz lēmumiem, kuri izsniegti par elektroenerģijas obligātā iepirkuma tiesību piešķiršanu pēc jaudas palielināšanas un kuros nav noteikti termiņi, līdz kuram jāuzsāk elektroenerģijas ražošana koģenerācijā pēc jaudas palielināšanas.</w:t>
      </w:r>
    </w:p>
    <w:p w:rsidR="006F1B63" w:rsidRPr="003E2E63" w:rsidRDefault="006F1B63" w:rsidP="006F1B63">
      <w:pPr>
        <w:spacing w:after="0" w:line="240" w:lineRule="auto"/>
        <w:jc w:val="both"/>
        <w:rPr>
          <w:color w:val="000000" w:themeColor="text1"/>
        </w:rPr>
      </w:pPr>
      <w:r w:rsidRPr="003E2E63">
        <w:rPr>
          <w:color w:val="000000" w:themeColor="text1"/>
        </w:rPr>
        <w:t>Atsevišķos gadījumos elektroenerģijas ražotāji ir griezušies Ekonomikas ministrijā ar lūgumu pagarināt kādu no minētajiem lēmumiem. Ņemot vērā, ka minētie lēmumi kvalificējas kā administratīvi akti, pagarinājums ir apstiprināts vai atteikts</w:t>
      </w:r>
      <w:r>
        <w:rPr>
          <w:color w:val="000000" w:themeColor="text1"/>
        </w:rPr>
        <w:t>,</w:t>
      </w:r>
      <w:r w:rsidRPr="003E2E63">
        <w:rPr>
          <w:color w:val="000000" w:themeColor="text1"/>
        </w:rPr>
        <w:t xml:space="preserve"> vadoties </w:t>
      </w:r>
      <w:r>
        <w:rPr>
          <w:color w:val="000000" w:themeColor="text1"/>
        </w:rPr>
        <w:t>pēc</w:t>
      </w:r>
      <w:r w:rsidRPr="003E2E63">
        <w:rPr>
          <w:color w:val="000000" w:themeColor="text1"/>
        </w:rPr>
        <w:t xml:space="preserve"> Administratīvā procesa likumā 4.</w:t>
      </w:r>
      <w:r>
        <w:rPr>
          <w:color w:val="000000" w:themeColor="text1"/>
        </w:rPr>
        <w:t> </w:t>
      </w:r>
      <w:r w:rsidRPr="003E2E63">
        <w:rPr>
          <w:color w:val="000000" w:themeColor="text1"/>
        </w:rPr>
        <w:t xml:space="preserve">pantā minētiem administratīvā procesa principiem. </w:t>
      </w:r>
    </w:p>
    <w:p w:rsidR="006F1B63" w:rsidRPr="003E2E63" w:rsidRDefault="006F1B63" w:rsidP="006F1B63">
      <w:pPr>
        <w:spacing w:after="0" w:line="240" w:lineRule="auto"/>
        <w:jc w:val="both"/>
        <w:rPr>
          <w:color w:val="000000" w:themeColor="text1"/>
        </w:rPr>
      </w:pPr>
      <w:r w:rsidRPr="003E2E63">
        <w:rPr>
          <w:color w:val="000000" w:themeColor="text1"/>
        </w:rPr>
        <w:t>Līdz šim Ekonomikas ministrijas prakse ir bijusi tāda, ka lēmumus var pagarināt divas reizes, katru pa trīs mēnešiem, ja ir pamatots iemesls. Pirmo reizi pagarinājums tiek piešķirts, ja elektrostacijas projekta realizācija ir tā noslēguma stadijā un komersants ir norādījis uz objektīviem apstākļiem, kādēļ projektu nav iespējams realizēt noteiktajā termiņā. Otro reizi Ekonomikas ministrijas izveidota komisija veic objekta inspekciju dabā</w:t>
      </w:r>
      <w:r>
        <w:rPr>
          <w:color w:val="000000" w:themeColor="text1"/>
        </w:rPr>
        <w:t>,</w:t>
      </w:r>
      <w:r w:rsidRPr="003E2E63">
        <w:rPr>
          <w:color w:val="000000" w:themeColor="text1"/>
        </w:rPr>
        <w:t xml:space="preserve"> un pagarinājums tiek piešķirts tikai tad, ja objekta apskates rezultātā komisija secina, ka elektrostacijas projekta realizāciju ir iespējams pabeigt 3 mēnešu </w:t>
      </w:r>
      <w:proofErr w:type="spellStart"/>
      <w:r w:rsidRPr="003E2E63">
        <w:rPr>
          <w:color w:val="000000" w:themeColor="text1"/>
        </w:rPr>
        <w:t>laikā</w:t>
      </w:r>
      <w:proofErr w:type="spellEnd"/>
      <w:r w:rsidRPr="003E2E63">
        <w:rPr>
          <w:color w:val="000000" w:themeColor="text1"/>
        </w:rPr>
        <w:t xml:space="preserve">. </w:t>
      </w:r>
    </w:p>
    <w:p w:rsidR="006F1B63" w:rsidRPr="003E2E63" w:rsidRDefault="00E84425" w:rsidP="006F1B63">
      <w:pPr>
        <w:spacing w:after="0" w:line="240" w:lineRule="auto"/>
        <w:jc w:val="both"/>
        <w:rPr>
          <w:color w:val="000000" w:themeColor="text1"/>
        </w:rPr>
      </w:pPr>
      <w:r>
        <w:rPr>
          <w:color w:val="000000" w:themeColor="text1"/>
        </w:rPr>
        <w:t>Pašlaik tiek izstrādāti grozījumi</w:t>
      </w:r>
      <w:r w:rsidR="006F1B63" w:rsidRPr="003E2E63">
        <w:rPr>
          <w:color w:val="000000" w:themeColor="text1"/>
        </w:rPr>
        <w:t xml:space="preserve"> MK noteikumos Nr</w:t>
      </w:r>
      <w:r w:rsidR="006F1B63">
        <w:rPr>
          <w:color w:val="000000" w:themeColor="text1"/>
        </w:rPr>
        <w:t>.</w:t>
      </w:r>
      <w:r w:rsidR="006F1B63" w:rsidRPr="003E2E63">
        <w:rPr>
          <w:color w:val="000000" w:themeColor="text1"/>
        </w:rPr>
        <w:t>221 un MK noteikumos Nr</w:t>
      </w:r>
      <w:r w:rsidR="006F1B63">
        <w:rPr>
          <w:color w:val="000000" w:themeColor="text1"/>
        </w:rPr>
        <w:t>.</w:t>
      </w:r>
      <w:r w:rsidR="006F1B63" w:rsidRPr="003E2E63">
        <w:rPr>
          <w:color w:val="000000" w:themeColor="text1"/>
        </w:rPr>
        <w:t>262</w:t>
      </w:r>
      <w:r>
        <w:rPr>
          <w:color w:val="000000" w:themeColor="text1"/>
        </w:rPr>
        <w:t>, lai paredzētu lēmumu pagarināšanas procedūru</w:t>
      </w:r>
      <w:r w:rsidR="006F1B63" w:rsidRPr="003E2E63">
        <w:rPr>
          <w:color w:val="000000" w:themeColor="text1"/>
        </w:rPr>
        <w:t>. Analizējot pagarinājumu iemeslus</w:t>
      </w:r>
      <w:r w:rsidR="006F1B63">
        <w:rPr>
          <w:color w:val="000000" w:themeColor="text1"/>
        </w:rPr>
        <w:t>,</w:t>
      </w:r>
      <w:r w:rsidR="006F1B63" w:rsidRPr="003E2E63">
        <w:rPr>
          <w:color w:val="000000" w:themeColor="text1"/>
        </w:rPr>
        <w:t xml:space="preserve"> nākas secināt, ka komersanti paļāvās uz iespēju, ka lēmumi tiks pagarināti un laicīgi nerūpējās par </w:t>
      </w:r>
      <w:r w:rsidR="006F1B63">
        <w:rPr>
          <w:color w:val="000000" w:themeColor="text1"/>
        </w:rPr>
        <w:t>elektroenerģijas ražošanas</w:t>
      </w:r>
      <w:r w:rsidR="006F1B63" w:rsidRPr="003E2E63">
        <w:rPr>
          <w:color w:val="000000" w:themeColor="text1"/>
        </w:rPr>
        <w:t xml:space="preserve"> uzsākšanu termiņā. Līdz ar to nepiecie</w:t>
      </w:r>
      <w:r w:rsidR="006F1B63">
        <w:rPr>
          <w:color w:val="000000" w:themeColor="text1"/>
        </w:rPr>
        <w:t>šami grozījumi MK noteikumu Nr.</w:t>
      </w:r>
      <w:r w:rsidR="006F1B63" w:rsidRPr="003E2E63">
        <w:rPr>
          <w:color w:val="000000" w:themeColor="text1"/>
        </w:rPr>
        <w:t>262 11.</w:t>
      </w:r>
      <w:r>
        <w:rPr>
          <w:color w:val="000000" w:themeColor="text1"/>
        </w:rPr>
        <w:t> </w:t>
      </w:r>
      <w:r w:rsidR="006F1B63" w:rsidRPr="003E2E63">
        <w:rPr>
          <w:color w:val="000000" w:themeColor="text1"/>
        </w:rPr>
        <w:t>un 36.</w:t>
      </w:r>
      <w:r w:rsidR="006F1B63">
        <w:rPr>
          <w:color w:val="000000" w:themeColor="text1"/>
        </w:rPr>
        <w:t> </w:t>
      </w:r>
      <w:r w:rsidR="006F1B63" w:rsidRPr="003E2E63">
        <w:rPr>
          <w:color w:val="000000" w:themeColor="text1"/>
        </w:rPr>
        <w:t>punktā un MK not</w:t>
      </w:r>
      <w:r w:rsidR="006F1B63">
        <w:rPr>
          <w:color w:val="000000" w:themeColor="text1"/>
        </w:rPr>
        <w:t>eikumu Nr.</w:t>
      </w:r>
      <w:r w:rsidR="006F1B63" w:rsidRPr="003E2E63">
        <w:rPr>
          <w:color w:val="000000" w:themeColor="text1"/>
        </w:rPr>
        <w:t>221 20.</w:t>
      </w:r>
      <w:r w:rsidR="006F1B63">
        <w:rPr>
          <w:color w:val="000000" w:themeColor="text1"/>
        </w:rPr>
        <w:t> p</w:t>
      </w:r>
      <w:r w:rsidR="006F1B63" w:rsidRPr="003E2E63">
        <w:rPr>
          <w:color w:val="000000" w:themeColor="text1"/>
        </w:rPr>
        <w:t>unktā</w:t>
      </w:r>
      <w:r w:rsidR="006F1B63">
        <w:rPr>
          <w:color w:val="000000" w:themeColor="text1"/>
        </w:rPr>
        <w:t>,</w:t>
      </w:r>
      <w:r w:rsidR="006F1B63" w:rsidRPr="003E2E63">
        <w:rPr>
          <w:color w:val="000000" w:themeColor="text1"/>
        </w:rPr>
        <w:t xml:space="preserve"> paredzot, ka tur minēto lēmumu termiņš nav pagarināms. </w:t>
      </w:r>
    </w:p>
    <w:p w:rsidR="007529DE" w:rsidRPr="003E2E63" w:rsidRDefault="007529DE" w:rsidP="006F1B63">
      <w:pPr>
        <w:pStyle w:val="Heading2"/>
        <w:numPr>
          <w:ilvl w:val="1"/>
          <w:numId w:val="13"/>
        </w:numPr>
        <w:rPr>
          <w:color w:val="000000" w:themeColor="text1"/>
        </w:rPr>
      </w:pPr>
      <w:bookmarkStart w:id="47" w:name="_Toc352179329"/>
      <w:r w:rsidRPr="003E2E63">
        <w:rPr>
          <w:color w:val="000000" w:themeColor="text1"/>
        </w:rPr>
        <w:lastRenderedPageBreak/>
        <w:t>Atsevišķa OIK fonda izveide</w:t>
      </w:r>
      <w:bookmarkEnd w:id="34"/>
      <w:bookmarkEnd w:id="47"/>
    </w:p>
    <w:p w:rsidR="00AD6E29" w:rsidRDefault="00AD6E29" w:rsidP="00AD6E29">
      <w:pPr>
        <w:spacing w:after="0" w:line="240" w:lineRule="auto"/>
        <w:jc w:val="both"/>
      </w:pPr>
      <w:bookmarkStart w:id="48" w:name="_Toc351283072"/>
      <w:bookmarkStart w:id="49" w:name="_Toc350865211"/>
      <w:r>
        <w:t>Lai mazinātu atjaunojamās enerģijas un augsti efektīvas koģenerācijas  atbalsta shēmas maksājumu ietekmi uz lietotāju maksājumiem, radītu iespēju piesaistīt budžeta līdzekļus un padarītu atbalsta sistēmu pārredzamāku, nepieciešams izveidot atsevišķu OIK fondu, kura turētājs varētu būt pārvades sistēmas operators vai neatkarīga aģentūra. OIK fonda turētāja pienākums būtu kompensēt obligātā iepirkuma tiesību saņēmušajiem komersantiem</w:t>
      </w:r>
      <w:r w:rsidR="00107125">
        <w:t>,</w:t>
      </w:r>
      <w:r>
        <w:t xml:space="preserve"> </w:t>
      </w:r>
      <w:r w:rsidR="00107125">
        <w:t xml:space="preserve">izņemot tām elektrostacijām, kas saņem jaudas maksājumus, </w:t>
      </w:r>
      <w:r>
        <w:t>starpību starp elektroenerģijas iepirkuma cenu un vidējo tirgus cenu norēķinu periodā</w:t>
      </w:r>
      <w:r w:rsidR="00107125">
        <w:t>.</w:t>
      </w:r>
    </w:p>
    <w:p w:rsidR="00AD6E29" w:rsidRPr="00F74BAA" w:rsidRDefault="00AD6E29" w:rsidP="00AD6E29">
      <w:pPr>
        <w:spacing w:after="0" w:line="240" w:lineRule="auto"/>
        <w:jc w:val="both"/>
      </w:pPr>
      <w:r w:rsidRPr="00F74BAA">
        <w:t xml:space="preserve">OIK </w:t>
      </w:r>
      <w:r w:rsidRPr="00F74BAA">
        <w:rPr>
          <w:color w:val="000000" w:themeColor="text1"/>
        </w:rPr>
        <w:t xml:space="preserve">fonda administrēšanai ārpus AS „Latvenergo”, nepieciešami grozījumi Elektroenerģijas tirgus likumā, </w:t>
      </w:r>
      <w:r w:rsidR="00F74BAA" w:rsidRPr="00F74BAA">
        <w:rPr>
          <w:color w:val="000000" w:themeColor="text1"/>
        </w:rPr>
        <w:t>33. panta otrās daļas 2.</w:t>
      </w:r>
      <w:r w:rsidR="000C2600">
        <w:rPr>
          <w:color w:val="000000" w:themeColor="text1"/>
        </w:rPr>
        <w:t xml:space="preserve"> </w:t>
      </w:r>
      <w:r w:rsidR="00F74BAA" w:rsidRPr="00F74BAA">
        <w:rPr>
          <w:color w:val="000000" w:themeColor="text1"/>
        </w:rPr>
        <w:t>un 3. punktu.</w:t>
      </w:r>
    </w:p>
    <w:p w:rsidR="00AD6E29" w:rsidRDefault="00AD6E29" w:rsidP="00AD6E29">
      <w:pPr>
        <w:spacing w:after="0" w:line="240" w:lineRule="auto"/>
        <w:jc w:val="both"/>
      </w:pPr>
      <w:r w:rsidRPr="00F74BAA">
        <w:t>Ņemot vērā to</w:t>
      </w:r>
      <w:r w:rsidR="00A36B1D">
        <w:t>,</w:t>
      </w:r>
      <w:r w:rsidRPr="00F74BAA">
        <w:t xml:space="preserve"> ka </w:t>
      </w:r>
      <w:r w:rsidR="002425A7">
        <w:t>p</w:t>
      </w:r>
      <w:r w:rsidRPr="00F74BAA">
        <w:t xml:space="preserve">ārvades </w:t>
      </w:r>
      <w:r w:rsidR="002425A7">
        <w:t xml:space="preserve">sistēmas </w:t>
      </w:r>
      <w:r w:rsidRPr="00F74BAA">
        <w:t xml:space="preserve">operators nevar nodarboties ar elektroenerģijas iepirkšanu un tālāku tirdzniecību un tas nebūtu arī lietderīgi, </w:t>
      </w:r>
      <w:r w:rsidR="00A36B1D">
        <w:t xml:space="preserve">lai </w:t>
      </w:r>
      <w:r w:rsidRPr="00F74BAA">
        <w:t xml:space="preserve">OIK fondu administrētu </w:t>
      </w:r>
      <w:r w:rsidR="00A36B1D">
        <w:t>neatkarīga</w:t>
      </w:r>
      <w:r w:rsidR="00A36B1D" w:rsidRPr="00F74BAA">
        <w:t xml:space="preserve"> </w:t>
      </w:r>
      <w:r w:rsidRPr="00F74BAA">
        <w:t xml:space="preserve">aģentūra, nepieciešams noteikt, ka obligātā iepirkuma tiesību saņēmēji saražoto elektroenerģiju pārdod tirgū un, atšķirībā no pašreiz spēkā esošā regulējuma, saņem kompensāciju par starpību starp norēķina perioda vidējo tirgus cenu un obligātā iepirkuma cenu. </w:t>
      </w:r>
      <w:r w:rsidR="002425A7">
        <w:t xml:space="preserve"> Elektroenerģijas tirgotāji no lietotājiem saņemtos OIK maksājumus ieskaita OIK fondā. </w:t>
      </w:r>
      <w:r w:rsidRPr="00F74BAA">
        <w:t xml:space="preserve">Šī mehānisma ieviešanai nepieciešami grozījumi Elektroenerģijas tirgus likumā </w:t>
      </w:r>
      <w:r w:rsidR="00F74BAA" w:rsidRPr="00F74BAA">
        <w:t>28., 29., 29.</w:t>
      </w:r>
      <w:r w:rsidR="00F74BAA" w:rsidRPr="00F74BAA">
        <w:rPr>
          <w:vertAlign w:val="superscript"/>
        </w:rPr>
        <w:t>1</w:t>
      </w:r>
      <w:r w:rsidR="00F74BAA" w:rsidRPr="00F74BAA">
        <w:t xml:space="preserve"> un 30. pantā</w:t>
      </w:r>
      <w:r w:rsidRPr="00F74BAA">
        <w:t>.</w:t>
      </w:r>
      <w:r>
        <w:t xml:space="preserve">  </w:t>
      </w:r>
    </w:p>
    <w:p w:rsidR="00AD6E29" w:rsidRDefault="00AD6E29" w:rsidP="00AD6E29">
      <w:pPr>
        <w:spacing w:after="0" w:line="240" w:lineRule="auto"/>
        <w:jc w:val="both"/>
      </w:pPr>
      <w:r>
        <w:t xml:space="preserve">Lai īstermiņā </w:t>
      </w:r>
      <w:r w:rsidR="002425A7">
        <w:t xml:space="preserve">nodrošinātos pret </w:t>
      </w:r>
      <w:r>
        <w:t>lielāku OIK pieauguma risku, OIK fonda darbībai ir nepieciešams piesaistīt arī citus finanšu avotus, piemēram AS „Latvenergo” dividenžu ieskaitījumus no valsts budžeta. Pašlaik tie valsts pamatbudžeta ieņēmumos ir noteikti ar kārtējā gada budžeta likumu. AS „Latvenergo”, saskaņā ar likuma „Par valsts budžetu 2010.</w:t>
      </w:r>
      <w:r w:rsidR="00F74BAA">
        <w:t> </w:t>
      </w:r>
      <w:r>
        <w:t>gadam” 48.</w:t>
      </w:r>
      <w:r w:rsidR="00F74BAA">
        <w:t> </w:t>
      </w:r>
      <w:r>
        <w:t>pantu dividendēs maksājamā daļa no 2009. gada peļņas tika noteikta 100% apmērā. Attiecīgi 2011.</w:t>
      </w:r>
      <w:r w:rsidR="001E6AFA">
        <w:t> </w:t>
      </w:r>
      <w:r>
        <w:t>gadā saskaņā ar likuma „Par valsts budžetu 2011. gadam” 47.</w:t>
      </w:r>
      <w:r w:rsidR="001E6AFA">
        <w:t> </w:t>
      </w:r>
      <w:r>
        <w:t>pantu AS „Latvenergo” ieskaita valsts pamatbudžeta ieņēmumos maksājumus par valsts kapitāla izmantošanu (ieņēmumus no dividendēm) 95% apmērā no AS rīcībā palikušās tīrās peļņas, bet ne vairāk kā 35 000 000 latu. Likumā „Par valsts bud</w:t>
      </w:r>
      <w:r w:rsidR="00F74BAA">
        <w:t xml:space="preserve">žetu 2012. gadam” noteikts, ka </w:t>
      </w:r>
      <w:r>
        <w:t>AS “Latvenergo” ieskaita valsts pamatbudžeta ieņēmumos maksājumus par valsts kapitāla izmantošanu (ieņēmumus no dividendēm) 90% apmērā no valsts akciju sabiedrības rīcībā palikušās tīrās peļņas, bet ne vairāk kā 39 900 000 latu. Saskaņā ar likuma „Par valsts budžetu 2013.</w:t>
      </w:r>
      <w:r w:rsidR="001E6AFA">
        <w:t> </w:t>
      </w:r>
      <w:r>
        <w:t>gadam” 35.</w:t>
      </w:r>
      <w:r w:rsidR="001E6AFA">
        <w:t> </w:t>
      </w:r>
      <w:r>
        <w:t>pantu valsts akciju sabiedrība „Latvenergo” ieskaita valsts pamatbudžeta ieņēmumos maksājumus par valsts kapitāla izmantošanu (ieņēmumus no dividendēm) 90 procentu apmērā no valsts akciju sabiedrības rīcībā palikušās tīrās peļņas, bet ne vairāk kā 36 000 000 LVL.</w:t>
      </w:r>
    </w:p>
    <w:p w:rsidR="00AD6E29" w:rsidRDefault="00AD6E29" w:rsidP="00AD6E29">
      <w:pPr>
        <w:spacing w:after="0" w:line="240" w:lineRule="auto"/>
        <w:jc w:val="both"/>
      </w:pPr>
      <w:r>
        <w:t xml:space="preserve">Novirzot konkrētu summu no AS „Latvenergo” peļņas OIK fondā, </w:t>
      </w:r>
      <w:r w:rsidR="002425A7">
        <w:t>tiktu</w:t>
      </w:r>
      <w:r>
        <w:t xml:space="preserve"> </w:t>
      </w:r>
      <w:r w:rsidR="002425A7">
        <w:t xml:space="preserve">samazinātas </w:t>
      </w:r>
      <w:r>
        <w:t xml:space="preserve">OIK izmaksas visiem lietotājiem proporcionāli patēriņam, </w:t>
      </w:r>
      <w:r w:rsidR="002425A7">
        <w:t xml:space="preserve">tā izvairoties no </w:t>
      </w:r>
      <w:r>
        <w:t>nesaderīb</w:t>
      </w:r>
      <w:r w:rsidR="002425A7">
        <w:t>as</w:t>
      </w:r>
      <w:r>
        <w:t xml:space="preserve"> ar ES iekšējā tirgus nosacījumiem par specifiska atbalsta ierobežojumiem (skatīt Eiropas Komisijas 2011.</w:t>
      </w:r>
      <w:r w:rsidR="001E6AFA">
        <w:t> </w:t>
      </w:r>
      <w:r>
        <w:t>gada 8.</w:t>
      </w:r>
      <w:r w:rsidR="001E6AFA">
        <w:t> </w:t>
      </w:r>
      <w:r>
        <w:t xml:space="preserve">martā izdoto </w:t>
      </w:r>
      <w:r>
        <w:lastRenderedPageBreak/>
        <w:t xml:space="preserve">lēmumu Austrijas lietā No C 24/2009, kurā atbrīvojums </w:t>
      </w:r>
      <w:proofErr w:type="spellStart"/>
      <w:r>
        <w:t>energointensīvajiem</w:t>
      </w:r>
      <w:proofErr w:type="spellEnd"/>
      <w:r>
        <w:t xml:space="preserve"> uzņēmumiem no dalības atjaunojamās enerģijas obligātā iepirkuma shēmā atzīts par nesaderīgu ar Eiropas Savienības kopējo tirgu).</w:t>
      </w:r>
    </w:p>
    <w:p w:rsidR="00AD6E29" w:rsidRDefault="00AD6E29" w:rsidP="00AD6E29">
      <w:pPr>
        <w:spacing w:after="0" w:line="240" w:lineRule="auto"/>
        <w:jc w:val="both"/>
      </w:pPr>
      <w:r>
        <w:t xml:space="preserve">Apskatot </w:t>
      </w:r>
      <w:r w:rsidR="00954808">
        <w:t>OIK</w:t>
      </w:r>
      <w:r>
        <w:t xml:space="preserve"> administrēšanas pieredzi citās Eiropas Savienības valstīs, var norādīt, ka, piemēram</w:t>
      </w:r>
      <w:r w:rsidR="002425A7">
        <w:t>,</w:t>
      </w:r>
      <w:r>
        <w:t>:</w:t>
      </w:r>
    </w:p>
    <w:p w:rsidR="00AD6E29" w:rsidRDefault="00AD6E29" w:rsidP="00AD6E29">
      <w:pPr>
        <w:spacing w:after="0" w:line="240" w:lineRule="auto"/>
        <w:jc w:val="both"/>
      </w:pPr>
      <w:r>
        <w:t>1) Dānijā ir izveidots Dānijas Klimata un enerģijas ministrijai (</w:t>
      </w:r>
      <w:proofErr w:type="spellStart"/>
      <w:r>
        <w:rPr>
          <w:i/>
          <w:iCs/>
        </w:rPr>
        <w:t>Danish</w:t>
      </w:r>
      <w:proofErr w:type="spellEnd"/>
      <w:r>
        <w:rPr>
          <w:i/>
          <w:iCs/>
        </w:rPr>
        <w:t xml:space="preserve"> Climate and Energy Ministry</w:t>
      </w:r>
      <w:r>
        <w:t xml:space="preserve">) piederošs bezpeļņas uzņēmums </w:t>
      </w:r>
      <w:r>
        <w:rPr>
          <w:i/>
          <w:iCs/>
        </w:rPr>
        <w:t>Energinet.dk</w:t>
      </w:r>
      <w:r>
        <w:t xml:space="preserve">, kura viena no kompetencēm ir administrēt </w:t>
      </w:r>
      <w:r>
        <w:rPr>
          <w:i/>
          <w:iCs/>
        </w:rPr>
        <w:t>feed-in premium</w:t>
      </w:r>
      <w:r>
        <w:t xml:space="preserve"> tarifa maksājumus. Aprakstot maksājumu sistēmu, var norādīt, ka elektroenerģijas patērētāji  atbilstoši viņu elektroenerģijas patēriņam samaksā tīkla operatoriem rēķinu par patērēto elektroenerģiju, kas sevī iekļauj obligāto maksājuma komponenti (</w:t>
      </w:r>
      <w:r>
        <w:rPr>
          <w:i/>
          <w:iCs/>
        </w:rPr>
        <w:t>Public Service Obligation</w:t>
      </w:r>
      <w:r>
        <w:t>). Obligātā maksājuma komponentes apmēru Energinet.dk pārskata 4 reizes gadā. Tīkla operatori pārskaita Energinet.dk no patērētājiem saņemto obligāto maksājuma komponentes daļu. Energinet.dk pārskaita piemaksas bonusu iekārtu operatoriem.</w:t>
      </w:r>
    </w:p>
    <w:p w:rsidR="00AD6E29" w:rsidRDefault="00AD6E29" w:rsidP="00AD6E29">
      <w:pPr>
        <w:spacing w:after="0" w:line="240" w:lineRule="auto"/>
        <w:jc w:val="both"/>
        <w:rPr>
          <w:snapToGrid w:val="0"/>
          <w:lang w:eastAsia="en-US"/>
        </w:rPr>
      </w:pPr>
      <w:r>
        <w:rPr>
          <w:snapToGrid w:val="0"/>
          <w:lang w:eastAsia="en-US"/>
        </w:rPr>
        <w:t>2) Somijā feed-in tarifa mehānismu administrē Somijas nodarbinātības un ekonomikas ministrijai (</w:t>
      </w:r>
      <w:r>
        <w:rPr>
          <w:i/>
          <w:iCs/>
        </w:rPr>
        <w:t xml:space="preserve">the Ministry of </w:t>
      </w:r>
      <w:proofErr w:type="spellStart"/>
      <w:r>
        <w:rPr>
          <w:i/>
          <w:iCs/>
        </w:rPr>
        <w:t>Employment</w:t>
      </w:r>
      <w:proofErr w:type="spellEnd"/>
      <w:r>
        <w:rPr>
          <w:i/>
          <w:iCs/>
        </w:rPr>
        <w:t xml:space="preserve"> and the </w:t>
      </w:r>
      <w:proofErr w:type="spellStart"/>
      <w:r>
        <w:rPr>
          <w:i/>
          <w:iCs/>
        </w:rPr>
        <w:t>Economy</w:t>
      </w:r>
      <w:proofErr w:type="spellEnd"/>
      <w:r>
        <w:t>) pakārtotā Enerģijas tirgus iestāde (</w:t>
      </w:r>
      <w:r>
        <w:rPr>
          <w:i/>
          <w:iCs/>
        </w:rPr>
        <w:t xml:space="preserve">Energy Market </w:t>
      </w:r>
      <w:proofErr w:type="spellStart"/>
      <w:r>
        <w:rPr>
          <w:i/>
          <w:iCs/>
        </w:rPr>
        <w:t>Authority</w:t>
      </w:r>
      <w:proofErr w:type="spellEnd"/>
      <w:r>
        <w:t>). Saistībā ar Feed-in tarifa mehānismu radušās izmaksas tiek segtas no Somijas valsts budžeta.</w:t>
      </w:r>
    </w:p>
    <w:p w:rsidR="00AD6E29" w:rsidRPr="00E84425" w:rsidRDefault="00AD6E29" w:rsidP="00AD6E29">
      <w:pPr>
        <w:pStyle w:val="ListParagraph"/>
        <w:spacing w:after="0" w:line="240" w:lineRule="auto"/>
        <w:ind w:left="0"/>
        <w:jc w:val="both"/>
        <w:rPr>
          <w:szCs w:val="28"/>
        </w:rPr>
      </w:pPr>
      <w:r>
        <w:t xml:space="preserve">Ja OIK fonda administrators paliek AS „Latvenergo” un ir paredzēts, ka administrators turpmāk saņems valsts budžeta dotācijas, tad palielinās risks, ka pret AS „Latvenergo” Eiropas Komisijā  varētu vērsties konkurējošās elektroenerģijas tirdzniecības kompānijas ar apsūdzībām par negodīgu </w:t>
      </w:r>
      <w:r w:rsidRPr="00E84425">
        <w:rPr>
          <w:szCs w:val="28"/>
        </w:rPr>
        <w:t xml:space="preserve">konkurenci un valsts atbalsta saņemšanu, jo publiskas naudas ieskaitīšana konkurējošā tirgū esošai kompānijai varētu </w:t>
      </w:r>
      <w:r w:rsidR="00BE7807" w:rsidRPr="00E84425">
        <w:rPr>
          <w:szCs w:val="28"/>
        </w:rPr>
        <w:t xml:space="preserve">radīt </w:t>
      </w:r>
      <w:r w:rsidRPr="00E84425">
        <w:rPr>
          <w:szCs w:val="28"/>
        </w:rPr>
        <w:t>bažas, ka šie līdzekļi tiek izmantoti konkurētspējas uzlabošanai Baltijas elektroenerģijas tirgū.</w:t>
      </w:r>
    </w:p>
    <w:p w:rsidR="00E84425" w:rsidRPr="00E84425" w:rsidRDefault="00E84425" w:rsidP="00E84425">
      <w:pPr>
        <w:spacing w:after="0" w:line="240" w:lineRule="auto"/>
        <w:jc w:val="both"/>
        <w:rPr>
          <w:color w:val="000000" w:themeColor="text1"/>
          <w:szCs w:val="28"/>
        </w:rPr>
      </w:pPr>
      <w:r w:rsidRPr="00E84425">
        <w:rPr>
          <w:color w:val="000000" w:themeColor="text1"/>
          <w:szCs w:val="28"/>
        </w:rPr>
        <w:t>Pēc vienošanās par OIK fonda izveidi būs nepieciešami grozījumu izstrāde MK noteikumos Nr.221, MK noteikumos Nr.262, Elektroenerģijas tirgus likumā un Likumā par budžetu 2013.gadam.</w:t>
      </w:r>
    </w:p>
    <w:p w:rsidR="00E84425" w:rsidRDefault="00E84425" w:rsidP="00AD6E29">
      <w:pPr>
        <w:pStyle w:val="ListParagraph"/>
        <w:spacing w:after="0" w:line="240" w:lineRule="auto"/>
        <w:ind w:left="0"/>
        <w:jc w:val="both"/>
      </w:pPr>
    </w:p>
    <w:p w:rsidR="00276F64" w:rsidRPr="003E2E63" w:rsidRDefault="00AD6E29" w:rsidP="006F1B63">
      <w:pPr>
        <w:pStyle w:val="Heading2"/>
        <w:numPr>
          <w:ilvl w:val="1"/>
          <w:numId w:val="13"/>
        </w:numPr>
        <w:rPr>
          <w:color w:val="000000" w:themeColor="text1"/>
        </w:rPr>
      </w:pPr>
      <w:r w:rsidRPr="003E2E63">
        <w:rPr>
          <w:color w:val="000000" w:themeColor="text1"/>
        </w:rPr>
        <w:t xml:space="preserve"> </w:t>
      </w:r>
      <w:bookmarkStart w:id="50" w:name="_Toc352179330"/>
      <w:r w:rsidR="00276F64" w:rsidRPr="003E2E63">
        <w:rPr>
          <w:color w:val="000000" w:themeColor="text1"/>
        </w:rPr>
        <w:t>Esošo nodokļu izvērtēšana</w:t>
      </w:r>
      <w:bookmarkEnd w:id="48"/>
      <w:bookmarkEnd w:id="50"/>
      <w:r w:rsidR="00276F64" w:rsidRPr="003E2E63">
        <w:rPr>
          <w:color w:val="000000" w:themeColor="text1"/>
        </w:rPr>
        <w:t xml:space="preserve"> </w:t>
      </w:r>
      <w:bookmarkEnd w:id="49"/>
    </w:p>
    <w:p w:rsidR="00276F64" w:rsidRPr="003E2E63" w:rsidRDefault="00276F64" w:rsidP="00276F64">
      <w:pPr>
        <w:spacing w:after="0" w:line="240" w:lineRule="auto"/>
        <w:jc w:val="both"/>
        <w:rPr>
          <w:color w:val="000000" w:themeColor="text1"/>
          <w:szCs w:val="28"/>
        </w:rPr>
      </w:pPr>
      <w:r w:rsidRPr="003E2E63">
        <w:rPr>
          <w:color w:val="000000" w:themeColor="text1"/>
          <w:szCs w:val="28"/>
        </w:rPr>
        <w:t>Pašlaik enerģijas cenu ietekmē vairāki nodokļi:</w:t>
      </w:r>
    </w:p>
    <w:p w:rsidR="00276F64" w:rsidRPr="003E2E63" w:rsidRDefault="00276F64" w:rsidP="006F1B63">
      <w:pPr>
        <w:pStyle w:val="Heading3"/>
        <w:numPr>
          <w:ilvl w:val="2"/>
          <w:numId w:val="13"/>
        </w:numPr>
        <w:rPr>
          <w:color w:val="000000" w:themeColor="text1"/>
        </w:rPr>
      </w:pPr>
      <w:bookmarkStart w:id="51" w:name="_Toc350865212"/>
      <w:bookmarkStart w:id="52" w:name="_Toc351283073"/>
      <w:bookmarkStart w:id="53" w:name="_Toc352179331"/>
      <w:r w:rsidRPr="003E2E63">
        <w:rPr>
          <w:color w:val="000000" w:themeColor="text1"/>
        </w:rPr>
        <w:t>Elektroenerģijas nodoklis</w:t>
      </w:r>
      <w:bookmarkEnd w:id="51"/>
      <w:bookmarkEnd w:id="52"/>
      <w:bookmarkEnd w:id="53"/>
      <w:r w:rsidRPr="003E2E63">
        <w:rPr>
          <w:color w:val="000000" w:themeColor="text1"/>
        </w:rPr>
        <w:t xml:space="preserve"> </w:t>
      </w:r>
    </w:p>
    <w:p w:rsidR="003D7A18" w:rsidRDefault="00276F64" w:rsidP="003D7A18">
      <w:pPr>
        <w:pStyle w:val="NormalWeb"/>
        <w:spacing w:before="0" w:beforeAutospacing="0" w:after="0" w:afterAutospacing="0"/>
        <w:jc w:val="both"/>
        <w:rPr>
          <w:color w:val="000000" w:themeColor="text1"/>
          <w:sz w:val="28"/>
          <w:szCs w:val="28"/>
        </w:rPr>
      </w:pPr>
      <w:r w:rsidRPr="003E2E63">
        <w:rPr>
          <w:color w:val="000000" w:themeColor="text1"/>
          <w:sz w:val="28"/>
          <w:szCs w:val="28"/>
        </w:rPr>
        <w:t xml:space="preserve">Eiropas Savienībā dalībvalstis uzliek nodokļus energoproduktiem un elektroenerģijai saskaņā ar Padomes </w:t>
      </w:r>
      <w:r w:rsidR="0076417A" w:rsidRPr="003E2E63">
        <w:rPr>
          <w:color w:val="000000" w:themeColor="text1"/>
          <w:sz w:val="28"/>
          <w:szCs w:val="28"/>
        </w:rPr>
        <w:t>2003.gada 27.oktobra</w:t>
      </w:r>
      <w:r w:rsidRPr="003E2E63">
        <w:rPr>
          <w:color w:val="000000" w:themeColor="text1"/>
          <w:sz w:val="28"/>
          <w:szCs w:val="28"/>
        </w:rPr>
        <w:t xml:space="preserve"> Direktīvu 2003/96/EK, kas pārkārto Kopienas noteikumus par nodokļu uzlikšanu energoproduktiem un elektroenerģijai (turpmāk – Direktīva 2003/96/EK). Savukārt, kārtību, kādā elektroenerģiju apliek ar elektroenerģijas nodokli Latvijas Republikā, nosaka Elektroenerģijas nodokļa likums. Saskaņā ar šī likuma 5. pantu nodokļa likme elektroenerģijai ir 0,71 </w:t>
      </w:r>
      <w:r w:rsidR="00954808">
        <w:rPr>
          <w:color w:val="000000" w:themeColor="text1"/>
          <w:sz w:val="28"/>
          <w:szCs w:val="28"/>
        </w:rPr>
        <w:t>LVL</w:t>
      </w:r>
      <w:r w:rsidR="00954808" w:rsidRPr="003E2E63">
        <w:rPr>
          <w:color w:val="000000" w:themeColor="text1"/>
          <w:sz w:val="28"/>
          <w:szCs w:val="28"/>
        </w:rPr>
        <w:t xml:space="preserve"> </w:t>
      </w:r>
      <w:r w:rsidRPr="003E2E63">
        <w:rPr>
          <w:color w:val="000000" w:themeColor="text1"/>
          <w:sz w:val="28"/>
          <w:szCs w:val="28"/>
        </w:rPr>
        <w:t xml:space="preserve">par megavatstundu. </w:t>
      </w:r>
      <w:r w:rsidRPr="003E2E63">
        <w:rPr>
          <w:color w:val="000000" w:themeColor="text1"/>
          <w:sz w:val="28"/>
          <w:szCs w:val="28"/>
        </w:rPr>
        <w:lastRenderedPageBreak/>
        <w:t>Nodoklis elektroenerģijai Latvijā ir ieviests atbilstoši Eiropas Komisijas direktīvu prasībām. Elektroenerģijas nodokļa maksātāji ir juridiskās personas, kuras saskaņā ar Elektroenerģijas tirgus likumu var nodarboties ar elektroenerģijas tirdzniecību.</w:t>
      </w:r>
    </w:p>
    <w:p w:rsidR="00276F64" w:rsidRPr="003E2E63" w:rsidRDefault="00276F64" w:rsidP="003D7A18">
      <w:pPr>
        <w:pStyle w:val="NormalWeb"/>
        <w:spacing w:before="0" w:beforeAutospacing="0" w:after="0" w:afterAutospacing="0"/>
        <w:jc w:val="both"/>
        <w:rPr>
          <w:color w:val="000000" w:themeColor="text1"/>
          <w:sz w:val="28"/>
          <w:szCs w:val="28"/>
        </w:rPr>
      </w:pPr>
      <w:r w:rsidRPr="003E2E63">
        <w:rPr>
          <w:color w:val="000000" w:themeColor="text1"/>
          <w:sz w:val="28"/>
          <w:szCs w:val="28"/>
        </w:rPr>
        <w:t xml:space="preserve">No nodokļa ir atbrīvota elektroenerģija, kura iegūta no atjaunojamajiem energoresursiem (biomasas, saules, vēja enerģijas, hidroelektrostacijās) un koģenerācijas elektrostacijās, kas atbilst normatīvajos aktos par elektroenerģijas ražošanu koģenerācijas procesā noteiktajiem efektivitātes kritērijiem. Tāpat no nodokļa ir atbrīvota elektroenerģija, kuru izmanto mājsaimniecību lietotāji (iedzīvotāji), kā arī elektroenerģija, kas tiek izmantota preču pārvadājumiem un sabiedriskajiem pasažieru pārvadājumiem. Savukārt elektroenerģijai, kuru piegādā komersantiem ielu apgaismošanas pakalpojumu sniegšanai, piemēro nodokļa atvieglojumu un nodokli </w:t>
      </w:r>
      <w:r w:rsidR="005D170B" w:rsidRPr="003E2E63">
        <w:rPr>
          <w:color w:val="000000" w:themeColor="text1"/>
          <w:sz w:val="28"/>
          <w:szCs w:val="28"/>
        </w:rPr>
        <w:t>piemēro</w:t>
      </w:r>
      <w:r w:rsidRPr="003E2E63">
        <w:rPr>
          <w:color w:val="000000" w:themeColor="text1"/>
          <w:sz w:val="28"/>
          <w:szCs w:val="28"/>
        </w:rPr>
        <w:t xml:space="preserve"> likm</w:t>
      </w:r>
      <w:r w:rsidR="005D170B" w:rsidRPr="003E2E63">
        <w:rPr>
          <w:color w:val="000000" w:themeColor="text1"/>
          <w:sz w:val="28"/>
          <w:szCs w:val="28"/>
        </w:rPr>
        <w:t>i</w:t>
      </w:r>
      <w:r w:rsidRPr="003E2E63">
        <w:rPr>
          <w:color w:val="000000" w:themeColor="text1"/>
          <w:sz w:val="28"/>
          <w:szCs w:val="28"/>
        </w:rPr>
        <w:t xml:space="preserve"> - 0 latu par megavatstundu.</w:t>
      </w:r>
      <w:r w:rsidR="00F55DF0" w:rsidRPr="003E2E63">
        <w:rPr>
          <w:color w:val="000000" w:themeColor="text1"/>
          <w:sz w:val="28"/>
          <w:szCs w:val="28"/>
        </w:rPr>
        <w:t xml:space="preserve"> </w:t>
      </w:r>
    </w:p>
    <w:p w:rsidR="00AD6E29" w:rsidRDefault="00AD6E29" w:rsidP="00024CB7">
      <w:pPr>
        <w:pStyle w:val="NormalWeb"/>
        <w:spacing w:before="0" w:beforeAutospacing="0" w:after="0" w:afterAutospacing="0"/>
        <w:ind w:firstLine="0"/>
        <w:jc w:val="right"/>
        <w:rPr>
          <w:color w:val="000000" w:themeColor="text1"/>
          <w:sz w:val="28"/>
          <w:szCs w:val="28"/>
        </w:rPr>
      </w:pPr>
    </w:p>
    <w:p w:rsidR="00024CB7" w:rsidRPr="003E2E63" w:rsidRDefault="0095341A" w:rsidP="00024CB7">
      <w:pPr>
        <w:pStyle w:val="NormalWeb"/>
        <w:spacing w:before="0" w:beforeAutospacing="0" w:after="0" w:afterAutospacing="0"/>
        <w:ind w:firstLine="0"/>
        <w:jc w:val="right"/>
        <w:rPr>
          <w:color w:val="000000" w:themeColor="text1"/>
          <w:sz w:val="28"/>
          <w:szCs w:val="28"/>
        </w:rPr>
      </w:pPr>
      <w:r w:rsidRPr="003E2E63">
        <w:rPr>
          <w:color w:val="000000" w:themeColor="text1"/>
          <w:sz w:val="28"/>
          <w:szCs w:val="28"/>
        </w:rPr>
        <w:t>3</w:t>
      </w:r>
      <w:r w:rsidR="00024CB7" w:rsidRPr="003E2E63">
        <w:rPr>
          <w:color w:val="000000" w:themeColor="text1"/>
          <w:sz w:val="28"/>
          <w:szCs w:val="28"/>
        </w:rPr>
        <w:t>.</w:t>
      </w:r>
      <w:r w:rsidR="00C23271">
        <w:rPr>
          <w:color w:val="000000" w:themeColor="text1"/>
          <w:sz w:val="28"/>
          <w:szCs w:val="28"/>
        </w:rPr>
        <w:t> </w:t>
      </w:r>
      <w:r w:rsidR="00024CB7" w:rsidRPr="003E2E63">
        <w:rPr>
          <w:color w:val="000000" w:themeColor="text1"/>
          <w:sz w:val="28"/>
          <w:szCs w:val="28"/>
        </w:rPr>
        <w:t>tabula</w:t>
      </w:r>
    </w:p>
    <w:p w:rsidR="00276F64" w:rsidRPr="003E2E63" w:rsidRDefault="00276F64" w:rsidP="0095341A">
      <w:pPr>
        <w:pStyle w:val="NormalWeb"/>
        <w:spacing w:before="0" w:beforeAutospacing="0" w:after="0" w:afterAutospacing="0"/>
        <w:ind w:firstLine="0"/>
        <w:jc w:val="right"/>
        <w:rPr>
          <w:color w:val="000000" w:themeColor="text1"/>
          <w:sz w:val="28"/>
          <w:szCs w:val="28"/>
        </w:rPr>
      </w:pPr>
      <w:r w:rsidRPr="003E2E63">
        <w:rPr>
          <w:color w:val="000000" w:themeColor="text1"/>
          <w:sz w:val="28"/>
          <w:szCs w:val="28"/>
        </w:rPr>
        <w:t>Elektroenerģijas nodokļa ieņēmumi (</w:t>
      </w:r>
      <w:proofErr w:type="spellStart"/>
      <w:r w:rsidRPr="003E2E63">
        <w:rPr>
          <w:color w:val="000000" w:themeColor="text1"/>
          <w:sz w:val="28"/>
          <w:szCs w:val="28"/>
        </w:rPr>
        <w:t>tūkst</w:t>
      </w:r>
      <w:proofErr w:type="spellEnd"/>
      <w:r w:rsidRPr="003E2E63">
        <w:rPr>
          <w:color w:val="000000" w:themeColor="text1"/>
          <w:sz w:val="28"/>
          <w:szCs w:val="28"/>
        </w:rPr>
        <w:t>. LVL)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1701"/>
        <w:gridCol w:w="1843"/>
      </w:tblGrid>
      <w:tr w:rsidR="003E2E63" w:rsidRPr="003E2E63" w:rsidTr="00FA1F81">
        <w:tc>
          <w:tcPr>
            <w:tcW w:w="3652" w:type="dxa"/>
            <w:shd w:val="clear" w:color="auto" w:fill="auto"/>
          </w:tcPr>
          <w:p w:rsidR="00276F64" w:rsidRPr="003E2E63" w:rsidRDefault="00276F64" w:rsidP="00FA1F81">
            <w:pPr>
              <w:pStyle w:val="NormalWeb"/>
              <w:ind w:firstLine="0"/>
              <w:jc w:val="both"/>
              <w:rPr>
                <w:color w:val="000000" w:themeColor="text1"/>
                <w:sz w:val="28"/>
                <w:szCs w:val="28"/>
              </w:rPr>
            </w:pPr>
          </w:p>
        </w:tc>
        <w:tc>
          <w:tcPr>
            <w:tcW w:w="2126" w:type="dxa"/>
            <w:shd w:val="clear" w:color="auto" w:fill="auto"/>
          </w:tcPr>
          <w:p w:rsidR="00276F64" w:rsidRPr="003E2E63" w:rsidRDefault="00276F64" w:rsidP="00FA1F81">
            <w:pPr>
              <w:pStyle w:val="NormalWeb"/>
              <w:ind w:firstLine="0"/>
              <w:jc w:val="both"/>
              <w:rPr>
                <w:b/>
                <w:color w:val="000000" w:themeColor="text1"/>
                <w:sz w:val="28"/>
                <w:szCs w:val="28"/>
              </w:rPr>
            </w:pPr>
            <w:r w:rsidRPr="003E2E63">
              <w:rPr>
                <w:b/>
                <w:color w:val="000000" w:themeColor="text1"/>
                <w:sz w:val="28"/>
                <w:szCs w:val="28"/>
              </w:rPr>
              <w:t>2010</w:t>
            </w:r>
          </w:p>
        </w:tc>
        <w:tc>
          <w:tcPr>
            <w:tcW w:w="1701" w:type="dxa"/>
            <w:shd w:val="clear" w:color="auto" w:fill="auto"/>
          </w:tcPr>
          <w:p w:rsidR="00276F64" w:rsidRPr="003E2E63" w:rsidRDefault="00276F64" w:rsidP="00FA1F81">
            <w:pPr>
              <w:pStyle w:val="NormalWeb"/>
              <w:ind w:firstLine="0"/>
              <w:jc w:val="both"/>
              <w:rPr>
                <w:b/>
                <w:color w:val="000000" w:themeColor="text1"/>
                <w:sz w:val="28"/>
                <w:szCs w:val="28"/>
              </w:rPr>
            </w:pPr>
            <w:r w:rsidRPr="003E2E63">
              <w:rPr>
                <w:b/>
                <w:color w:val="000000" w:themeColor="text1"/>
                <w:sz w:val="28"/>
                <w:szCs w:val="28"/>
              </w:rPr>
              <w:t>2011</w:t>
            </w:r>
          </w:p>
        </w:tc>
        <w:tc>
          <w:tcPr>
            <w:tcW w:w="1843" w:type="dxa"/>
            <w:shd w:val="clear" w:color="auto" w:fill="auto"/>
          </w:tcPr>
          <w:p w:rsidR="00276F64" w:rsidRPr="003E2E63" w:rsidRDefault="00276F64" w:rsidP="00FA1F81">
            <w:pPr>
              <w:pStyle w:val="NormalWeb"/>
              <w:ind w:firstLine="0"/>
              <w:jc w:val="both"/>
              <w:rPr>
                <w:b/>
                <w:color w:val="000000" w:themeColor="text1"/>
                <w:sz w:val="28"/>
                <w:szCs w:val="28"/>
              </w:rPr>
            </w:pPr>
            <w:r w:rsidRPr="003E2E63">
              <w:rPr>
                <w:b/>
                <w:color w:val="000000" w:themeColor="text1"/>
                <w:sz w:val="28"/>
                <w:szCs w:val="28"/>
              </w:rPr>
              <w:t>2012</w:t>
            </w:r>
          </w:p>
        </w:tc>
      </w:tr>
      <w:tr w:rsidR="003E2E63" w:rsidRPr="003E2E63" w:rsidTr="00FA1F81">
        <w:tc>
          <w:tcPr>
            <w:tcW w:w="3652" w:type="dxa"/>
            <w:shd w:val="clear" w:color="auto" w:fill="auto"/>
          </w:tcPr>
          <w:p w:rsidR="00276F64" w:rsidRPr="003E2E63" w:rsidRDefault="00276F64" w:rsidP="00FA1F81">
            <w:pPr>
              <w:pStyle w:val="NormalWeb"/>
              <w:ind w:firstLine="0"/>
              <w:jc w:val="both"/>
              <w:rPr>
                <w:color w:val="000000" w:themeColor="text1"/>
                <w:sz w:val="28"/>
                <w:szCs w:val="28"/>
              </w:rPr>
            </w:pPr>
            <w:r w:rsidRPr="003E2E63">
              <w:rPr>
                <w:color w:val="000000" w:themeColor="text1"/>
                <w:sz w:val="28"/>
                <w:szCs w:val="28"/>
              </w:rPr>
              <w:t xml:space="preserve">Elektroenerģijas nodoklis </w:t>
            </w:r>
          </w:p>
        </w:tc>
        <w:tc>
          <w:tcPr>
            <w:tcW w:w="2126" w:type="dxa"/>
            <w:shd w:val="clear" w:color="auto" w:fill="auto"/>
          </w:tcPr>
          <w:p w:rsidR="00276F64" w:rsidRPr="003E2E63" w:rsidRDefault="00276F64" w:rsidP="00FA1F81">
            <w:pPr>
              <w:pStyle w:val="NormalWeb"/>
              <w:ind w:firstLine="0"/>
              <w:jc w:val="both"/>
              <w:rPr>
                <w:color w:val="000000" w:themeColor="text1"/>
                <w:sz w:val="28"/>
                <w:szCs w:val="28"/>
              </w:rPr>
            </w:pPr>
            <w:r w:rsidRPr="003E2E63">
              <w:rPr>
                <w:color w:val="000000" w:themeColor="text1"/>
                <w:sz w:val="28"/>
                <w:szCs w:val="28"/>
              </w:rPr>
              <w:t>667,2</w:t>
            </w:r>
          </w:p>
        </w:tc>
        <w:tc>
          <w:tcPr>
            <w:tcW w:w="1701" w:type="dxa"/>
            <w:shd w:val="clear" w:color="auto" w:fill="auto"/>
          </w:tcPr>
          <w:p w:rsidR="00276F64" w:rsidRPr="003E2E63" w:rsidRDefault="00276F64" w:rsidP="00FA1F81">
            <w:pPr>
              <w:pStyle w:val="NormalWeb"/>
              <w:ind w:firstLine="0"/>
              <w:jc w:val="both"/>
              <w:rPr>
                <w:color w:val="000000" w:themeColor="text1"/>
                <w:sz w:val="28"/>
                <w:szCs w:val="28"/>
              </w:rPr>
            </w:pPr>
            <w:r w:rsidRPr="003E2E63">
              <w:rPr>
                <w:color w:val="000000" w:themeColor="text1"/>
                <w:sz w:val="28"/>
                <w:szCs w:val="28"/>
              </w:rPr>
              <w:t>869,8</w:t>
            </w:r>
          </w:p>
        </w:tc>
        <w:tc>
          <w:tcPr>
            <w:tcW w:w="1843" w:type="dxa"/>
            <w:shd w:val="clear" w:color="auto" w:fill="auto"/>
          </w:tcPr>
          <w:p w:rsidR="00276F64" w:rsidRPr="003E2E63" w:rsidRDefault="00276F64" w:rsidP="00FA1F81">
            <w:pPr>
              <w:pStyle w:val="NormalWeb"/>
              <w:ind w:firstLine="0"/>
              <w:jc w:val="both"/>
              <w:rPr>
                <w:color w:val="000000" w:themeColor="text1"/>
                <w:sz w:val="28"/>
                <w:szCs w:val="28"/>
              </w:rPr>
            </w:pPr>
            <w:r w:rsidRPr="003E2E63">
              <w:rPr>
                <w:color w:val="000000" w:themeColor="text1"/>
                <w:sz w:val="28"/>
                <w:szCs w:val="28"/>
              </w:rPr>
              <w:t>914,7</w:t>
            </w:r>
          </w:p>
        </w:tc>
      </w:tr>
    </w:tbl>
    <w:p w:rsidR="00276F64" w:rsidRPr="003E2E63" w:rsidRDefault="00276F64" w:rsidP="0095341A">
      <w:pPr>
        <w:spacing w:after="0" w:line="240" w:lineRule="auto"/>
        <w:ind w:firstLine="0"/>
        <w:jc w:val="both"/>
        <w:rPr>
          <w:i/>
          <w:color w:val="000000" w:themeColor="text1"/>
          <w:sz w:val="20"/>
          <w:szCs w:val="20"/>
        </w:rPr>
      </w:pPr>
      <w:r w:rsidRPr="003E2E63">
        <w:rPr>
          <w:i/>
          <w:color w:val="000000" w:themeColor="text1"/>
          <w:sz w:val="20"/>
          <w:szCs w:val="20"/>
        </w:rPr>
        <w:t>Avots: Finanšu ministrija</w:t>
      </w:r>
    </w:p>
    <w:p w:rsidR="00F55DF0" w:rsidRDefault="00F55DF0" w:rsidP="00F55DF0">
      <w:pPr>
        <w:pStyle w:val="NormalWeb"/>
        <w:jc w:val="both"/>
        <w:rPr>
          <w:color w:val="000000" w:themeColor="text1"/>
          <w:sz w:val="28"/>
          <w:szCs w:val="28"/>
        </w:rPr>
      </w:pPr>
      <w:r w:rsidRPr="003E2E63">
        <w:rPr>
          <w:color w:val="000000" w:themeColor="text1"/>
          <w:sz w:val="28"/>
          <w:szCs w:val="28"/>
        </w:rPr>
        <w:t xml:space="preserve">Ņemot vērā </w:t>
      </w:r>
      <w:r w:rsidR="00C47B95" w:rsidRPr="003E2E63">
        <w:rPr>
          <w:color w:val="000000" w:themeColor="text1"/>
          <w:sz w:val="28"/>
          <w:szCs w:val="28"/>
        </w:rPr>
        <w:t>Direktīva</w:t>
      </w:r>
      <w:r w:rsidR="00954808">
        <w:rPr>
          <w:color w:val="000000" w:themeColor="text1"/>
          <w:sz w:val="28"/>
          <w:szCs w:val="28"/>
        </w:rPr>
        <w:t>s</w:t>
      </w:r>
      <w:r w:rsidR="00C47B95" w:rsidRPr="003E2E63">
        <w:rPr>
          <w:color w:val="000000" w:themeColor="text1"/>
          <w:sz w:val="28"/>
          <w:szCs w:val="28"/>
        </w:rPr>
        <w:t xml:space="preserve"> 2003/96/EK</w:t>
      </w:r>
      <w:r w:rsidR="008022AE" w:rsidRPr="003E2E63">
        <w:rPr>
          <w:color w:val="000000" w:themeColor="text1"/>
          <w:sz w:val="28"/>
          <w:szCs w:val="28"/>
        </w:rPr>
        <w:t xml:space="preserve"> </w:t>
      </w:r>
      <w:r w:rsidRPr="003E2E63">
        <w:rPr>
          <w:color w:val="000000" w:themeColor="text1"/>
          <w:sz w:val="28"/>
          <w:szCs w:val="28"/>
        </w:rPr>
        <w:t>nosacījumus</w:t>
      </w:r>
      <w:r w:rsidR="00790DBE">
        <w:rPr>
          <w:color w:val="000000" w:themeColor="text1"/>
          <w:sz w:val="28"/>
          <w:szCs w:val="28"/>
        </w:rPr>
        <w:t>,</w:t>
      </w:r>
      <w:r w:rsidR="00954808" w:rsidRPr="00954808">
        <w:rPr>
          <w:color w:val="000000" w:themeColor="text1"/>
          <w:sz w:val="28"/>
          <w:szCs w:val="28"/>
        </w:rPr>
        <w:t xml:space="preserve"> </w:t>
      </w:r>
      <w:r w:rsidR="00790DBE">
        <w:rPr>
          <w:color w:val="000000" w:themeColor="text1"/>
          <w:sz w:val="28"/>
          <w:szCs w:val="28"/>
        </w:rPr>
        <w:t>D</w:t>
      </w:r>
      <w:r w:rsidR="00954808">
        <w:rPr>
          <w:color w:val="000000" w:themeColor="text1"/>
          <w:sz w:val="28"/>
          <w:szCs w:val="28"/>
        </w:rPr>
        <w:t xml:space="preserve">arba grupas ietvaros </w:t>
      </w:r>
      <w:r w:rsidRPr="003E2E63">
        <w:rPr>
          <w:color w:val="000000" w:themeColor="text1"/>
          <w:sz w:val="28"/>
          <w:szCs w:val="28"/>
        </w:rPr>
        <w:t xml:space="preserve"> </w:t>
      </w:r>
      <w:r w:rsidR="00780DE4" w:rsidRPr="003E2E63">
        <w:rPr>
          <w:color w:val="000000" w:themeColor="text1"/>
          <w:sz w:val="28"/>
          <w:szCs w:val="28"/>
        </w:rPr>
        <w:t xml:space="preserve">izmaiņas elektroenerģijas nodokļa piemērošanā netiek rosinātas.  </w:t>
      </w:r>
    </w:p>
    <w:p w:rsidR="00276F64" w:rsidRPr="003E2E63" w:rsidRDefault="00276F64" w:rsidP="006F1B63">
      <w:pPr>
        <w:pStyle w:val="Heading3"/>
        <w:numPr>
          <w:ilvl w:val="2"/>
          <w:numId w:val="13"/>
        </w:numPr>
        <w:rPr>
          <w:color w:val="000000" w:themeColor="text1"/>
        </w:rPr>
      </w:pPr>
      <w:bookmarkStart w:id="54" w:name="_Toc350865213"/>
      <w:bookmarkStart w:id="55" w:name="_Toc351283074"/>
      <w:bookmarkStart w:id="56" w:name="_Toc352179332"/>
      <w:r w:rsidRPr="003E2E63">
        <w:rPr>
          <w:color w:val="000000" w:themeColor="text1"/>
        </w:rPr>
        <w:t>Akcīzes nodoklis dabasgāzei</w:t>
      </w:r>
      <w:bookmarkEnd w:id="54"/>
      <w:bookmarkEnd w:id="55"/>
      <w:bookmarkEnd w:id="56"/>
      <w:r w:rsidRPr="003E2E63">
        <w:rPr>
          <w:color w:val="000000" w:themeColor="text1"/>
        </w:rPr>
        <w:t xml:space="preserve"> </w:t>
      </w:r>
    </w:p>
    <w:p w:rsidR="003D7A18" w:rsidRDefault="00276F64" w:rsidP="003D7A18">
      <w:pPr>
        <w:pStyle w:val="NormalWeb"/>
        <w:spacing w:before="0" w:beforeAutospacing="0" w:after="0" w:afterAutospacing="0"/>
        <w:jc w:val="both"/>
        <w:rPr>
          <w:color w:val="000000" w:themeColor="text1"/>
          <w:sz w:val="28"/>
          <w:szCs w:val="28"/>
        </w:rPr>
      </w:pPr>
      <w:r w:rsidRPr="003E2E63">
        <w:rPr>
          <w:color w:val="000000" w:themeColor="text1"/>
          <w:sz w:val="28"/>
          <w:szCs w:val="28"/>
        </w:rPr>
        <w:t xml:space="preserve">Arī akcīzes nodokļa piemērošanu dabasgāzei ES regulē Direktīva 2003/96/EK. Saskaņā ar Direktīvu 2003/96/EK no 2010. gada 1. janvāra dabas gāze, ja to izmanto kurināmajam un elektroenerģijai, ir jāpiemēro minimālais nodoklis 0,15 EUR (~ </w:t>
      </w:r>
      <w:r w:rsidR="00FF0336" w:rsidRPr="003E2E63">
        <w:rPr>
          <w:color w:val="000000" w:themeColor="text1"/>
          <w:sz w:val="28"/>
          <w:szCs w:val="28"/>
        </w:rPr>
        <w:t>3</w:t>
      </w:r>
      <w:r w:rsidRPr="003E2E63">
        <w:rPr>
          <w:color w:val="000000" w:themeColor="text1"/>
          <w:sz w:val="28"/>
          <w:szCs w:val="28"/>
        </w:rPr>
        <w:t>,</w:t>
      </w:r>
      <w:r w:rsidR="00FF0336" w:rsidRPr="003E2E63">
        <w:rPr>
          <w:color w:val="000000" w:themeColor="text1"/>
          <w:sz w:val="28"/>
          <w:szCs w:val="28"/>
        </w:rPr>
        <w:t>9</w:t>
      </w:r>
      <w:r w:rsidRPr="003E2E63">
        <w:rPr>
          <w:color w:val="000000" w:themeColor="text1"/>
          <w:sz w:val="28"/>
          <w:szCs w:val="28"/>
        </w:rPr>
        <w:t xml:space="preserve"> LVL par 1000 m</w:t>
      </w:r>
      <w:r w:rsidRPr="003E2E63">
        <w:rPr>
          <w:color w:val="000000" w:themeColor="text1"/>
          <w:sz w:val="28"/>
          <w:vertAlign w:val="superscript"/>
        </w:rPr>
        <w:t>3</w:t>
      </w:r>
      <w:r w:rsidRPr="003E2E63">
        <w:rPr>
          <w:color w:val="000000" w:themeColor="text1"/>
          <w:sz w:val="28"/>
          <w:szCs w:val="28"/>
        </w:rPr>
        <w:t xml:space="preserve">) par </w:t>
      </w:r>
      <w:proofErr w:type="spellStart"/>
      <w:r w:rsidRPr="003E2E63">
        <w:rPr>
          <w:color w:val="000000" w:themeColor="text1"/>
          <w:sz w:val="28"/>
          <w:szCs w:val="28"/>
        </w:rPr>
        <w:t>gigadžoulu</w:t>
      </w:r>
      <w:proofErr w:type="spellEnd"/>
      <w:r w:rsidRPr="003E2E63">
        <w:rPr>
          <w:color w:val="000000" w:themeColor="text1"/>
          <w:sz w:val="28"/>
          <w:szCs w:val="28"/>
        </w:rPr>
        <w:t xml:space="preserve"> bruto siltumietilpības izmantošanai uzņēmuma vajadzībām un 0,3 EUR par </w:t>
      </w:r>
      <w:proofErr w:type="spellStart"/>
      <w:r w:rsidRPr="003E2E63">
        <w:rPr>
          <w:color w:val="000000" w:themeColor="text1"/>
          <w:sz w:val="28"/>
          <w:szCs w:val="28"/>
        </w:rPr>
        <w:t>gigadžoulu</w:t>
      </w:r>
      <w:proofErr w:type="spellEnd"/>
      <w:r w:rsidRPr="003E2E63">
        <w:rPr>
          <w:color w:val="000000" w:themeColor="text1"/>
          <w:sz w:val="28"/>
          <w:szCs w:val="28"/>
        </w:rPr>
        <w:t xml:space="preserve"> bruto siltumietilpības (~ 7,8 LVL par 1000m</w:t>
      </w:r>
      <w:r w:rsidRPr="003E2E63">
        <w:rPr>
          <w:color w:val="000000" w:themeColor="text1"/>
          <w:sz w:val="28"/>
          <w:vertAlign w:val="superscript"/>
        </w:rPr>
        <w:t>3</w:t>
      </w:r>
      <w:r w:rsidRPr="003E2E63">
        <w:rPr>
          <w:color w:val="000000" w:themeColor="text1"/>
          <w:sz w:val="28"/>
          <w:szCs w:val="28"/>
        </w:rPr>
        <w:t xml:space="preserve">) izmantošanai ārpus uzņēmuma vajadzībām. </w:t>
      </w:r>
    </w:p>
    <w:p w:rsidR="00276F64" w:rsidRDefault="00276F64" w:rsidP="003D7A18">
      <w:pPr>
        <w:pStyle w:val="NormalWeb"/>
        <w:spacing w:before="0" w:beforeAutospacing="0" w:after="0" w:afterAutospacing="0"/>
        <w:jc w:val="both"/>
        <w:rPr>
          <w:color w:val="000000" w:themeColor="text1"/>
          <w:sz w:val="28"/>
          <w:szCs w:val="28"/>
        </w:rPr>
      </w:pPr>
      <w:r w:rsidRPr="003E2E63">
        <w:rPr>
          <w:color w:val="000000" w:themeColor="text1"/>
          <w:sz w:val="28"/>
          <w:szCs w:val="28"/>
        </w:rPr>
        <w:t>No 2010.</w:t>
      </w:r>
      <w:r w:rsidR="003D7A18">
        <w:rPr>
          <w:color w:val="000000" w:themeColor="text1"/>
          <w:sz w:val="28"/>
          <w:szCs w:val="28"/>
        </w:rPr>
        <w:t> </w:t>
      </w:r>
      <w:r w:rsidRPr="003E2E63">
        <w:rPr>
          <w:color w:val="000000" w:themeColor="text1"/>
          <w:sz w:val="28"/>
          <w:szCs w:val="28"/>
        </w:rPr>
        <w:t>gada 1.</w:t>
      </w:r>
      <w:r w:rsidR="003D7A18">
        <w:rPr>
          <w:color w:val="000000" w:themeColor="text1"/>
          <w:sz w:val="28"/>
          <w:szCs w:val="28"/>
        </w:rPr>
        <w:t> </w:t>
      </w:r>
      <w:r w:rsidRPr="003E2E63">
        <w:rPr>
          <w:color w:val="000000" w:themeColor="text1"/>
          <w:sz w:val="28"/>
          <w:szCs w:val="28"/>
        </w:rPr>
        <w:t>jūlija līdz 31.</w:t>
      </w:r>
      <w:r w:rsidR="001E6AFA">
        <w:rPr>
          <w:color w:val="000000" w:themeColor="text1"/>
          <w:sz w:val="28"/>
          <w:szCs w:val="28"/>
        </w:rPr>
        <w:t> </w:t>
      </w:r>
      <w:r w:rsidRPr="003E2E63">
        <w:rPr>
          <w:color w:val="000000" w:themeColor="text1"/>
          <w:sz w:val="28"/>
          <w:szCs w:val="28"/>
        </w:rPr>
        <w:t>augustam dabasgāze</w:t>
      </w:r>
      <w:r w:rsidR="00FF0336" w:rsidRPr="003E2E63">
        <w:rPr>
          <w:color w:val="000000" w:themeColor="text1"/>
          <w:sz w:val="28"/>
          <w:szCs w:val="28"/>
        </w:rPr>
        <w:t>i, kas tika izmantots kā kurināmais,</w:t>
      </w:r>
      <w:r w:rsidRPr="003E2E63">
        <w:rPr>
          <w:color w:val="000000" w:themeColor="text1"/>
          <w:sz w:val="28"/>
          <w:szCs w:val="28"/>
        </w:rPr>
        <w:t xml:space="preserve"> tika </w:t>
      </w:r>
      <w:r w:rsidR="00FF0336" w:rsidRPr="003E2E63">
        <w:rPr>
          <w:color w:val="000000" w:themeColor="text1"/>
          <w:sz w:val="28"/>
          <w:szCs w:val="28"/>
        </w:rPr>
        <w:t xml:space="preserve">piemērots </w:t>
      </w:r>
      <w:r w:rsidRPr="003E2E63">
        <w:rPr>
          <w:color w:val="000000" w:themeColor="text1"/>
          <w:sz w:val="28"/>
          <w:szCs w:val="28"/>
        </w:rPr>
        <w:t>ar akcīzes nodokli</w:t>
      </w:r>
      <w:r w:rsidR="00FF0336" w:rsidRPr="003E2E63">
        <w:rPr>
          <w:color w:val="000000" w:themeColor="text1"/>
          <w:sz w:val="28"/>
          <w:szCs w:val="28"/>
        </w:rPr>
        <w:t>s -</w:t>
      </w:r>
      <w:r w:rsidRPr="003E2E63">
        <w:rPr>
          <w:color w:val="000000" w:themeColor="text1"/>
          <w:sz w:val="28"/>
          <w:szCs w:val="28"/>
        </w:rPr>
        <w:t xml:space="preserve"> 15,6 LVL par 1000 m</w:t>
      </w:r>
      <w:r w:rsidRPr="003E2E63">
        <w:rPr>
          <w:color w:val="000000" w:themeColor="text1"/>
          <w:sz w:val="28"/>
          <w:vertAlign w:val="superscript"/>
        </w:rPr>
        <w:t>3</w:t>
      </w:r>
      <w:r w:rsidRPr="003E2E63">
        <w:rPr>
          <w:color w:val="000000" w:themeColor="text1"/>
          <w:sz w:val="28"/>
          <w:szCs w:val="28"/>
        </w:rPr>
        <w:t xml:space="preserve">. Savukārt, no </w:t>
      </w:r>
      <w:r w:rsidR="00FF0336" w:rsidRPr="003E2E63">
        <w:rPr>
          <w:color w:val="000000" w:themeColor="text1"/>
          <w:sz w:val="28"/>
          <w:szCs w:val="28"/>
        </w:rPr>
        <w:t>2010.</w:t>
      </w:r>
      <w:r w:rsidR="003D7A18">
        <w:rPr>
          <w:color w:val="000000" w:themeColor="text1"/>
          <w:sz w:val="28"/>
          <w:szCs w:val="28"/>
        </w:rPr>
        <w:t> </w:t>
      </w:r>
      <w:r w:rsidR="00FF0336" w:rsidRPr="003E2E63">
        <w:rPr>
          <w:color w:val="000000" w:themeColor="text1"/>
          <w:sz w:val="28"/>
          <w:szCs w:val="28"/>
        </w:rPr>
        <w:t xml:space="preserve">gada </w:t>
      </w:r>
      <w:r w:rsidRPr="003E2E63">
        <w:rPr>
          <w:color w:val="000000" w:themeColor="text1"/>
          <w:sz w:val="28"/>
          <w:szCs w:val="28"/>
        </w:rPr>
        <w:t>1.</w:t>
      </w:r>
      <w:r w:rsidR="003D7A18">
        <w:rPr>
          <w:color w:val="000000" w:themeColor="text1"/>
          <w:sz w:val="28"/>
          <w:szCs w:val="28"/>
        </w:rPr>
        <w:t> </w:t>
      </w:r>
      <w:r w:rsidRPr="003E2E63">
        <w:rPr>
          <w:color w:val="000000" w:themeColor="text1"/>
          <w:sz w:val="28"/>
          <w:szCs w:val="28"/>
        </w:rPr>
        <w:t>septembra līdz 2011.</w:t>
      </w:r>
      <w:r w:rsidR="003D7A18">
        <w:rPr>
          <w:color w:val="000000" w:themeColor="text1"/>
          <w:sz w:val="28"/>
          <w:szCs w:val="28"/>
        </w:rPr>
        <w:t> </w:t>
      </w:r>
      <w:r w:rsidRPr="003E2E63">
        <w:rPr>
          <w:color w:val="000000" w:themeColor="text1"/>
          <w:sz w:val="28"/>
          <w:szCs w:val="28"/>
        </w:rPr>
        <w:t>gada 30.</w:t>
      </w:r>
      <w:r w:rsidR="00D5530F">
        <w:rPr>
          <w:color w:val="000000" w:themeColor="text1"/>
          <w:sz w:val="28"/>
          <w:szCs w:val="28"/>
        </w:rPr>
        <w:t> </w:t>
      </w:r>
      <w:r w:rsidRPr="003E2E63">
        <w:rPr>
          <w:color w:val="000000" w:themeColor="text1"/>
          <w:sz w:val="28"/>
          <w:szCs w:val="28"/>
        </w:rPr>
        <w:t>jūnijam akcīzes nodok</w:t>
      </w:r>
      <w:r w:rsidR="00FF0336" w:rsidRPr="003E2E63">
        <w:rPr>
          <w:color w:val="000000" w:themeColor="text1"/>
          <w:sz w:val="28"/>
          <w:szCs w:val="28"/>
        </w:rPr>
        <w:t>ļa piemērošana</w:t>
      </w:r>
      <w:r w:rsidRPr="003E2E63">
        <w:rPr>
          <w:color w:val="000000" w:themeColor="text1"/>
          <w:sz w:val="28"/>
          <w:szCs w:val="28"/>
        </w:rPr>
        <w:t xml:space="preserve"> dabasgāzei tika atcelt</w:t>
      </w:r>
      <w:r w:rsidR="00FF0336" w:rsidRPr="003E2E63">
        <w:rPr>
          <w:color w:val="000000" w:themeColor="text1"/>
          <w:sz w:val="28"/>
          <w:szCs w:val="28"/>
        </w:rPr>
        <w:t>a</w:t>
      </w:r>
      <w:r w:rsidRPr="003E2E63">
        <w:rPr>
          <w:color w:val="000000" w:themeColor="text1"/>
          <w:sz w:val="28"/>
          <w:szCs w:val="28"/>
        </w:rPr>
        <w:t xml:space="preserve"> pilnībā. Ar 2011.</w:t>
      </w:r>
      <w:r w:rsidR="003D7A18">
        <w:rPr>
          <w:color w:val="000000" w:themeColor="text1"/>
          <w:sz w:val="28"/>
          <w:szCs w:val="28"/>
        </w:rPr>
        <w:t> </w:t>
      </w:r>
      <w:r w:rsidRPr="003E2E63">
        <w:rPr>
          <w:color w:val="000000" w:themeColor="text1"/>
          <w:sz w:val="28"/>
          <w:szCs w:val="28"/>
        </w:rPr>
        <w:t>gada 1.</w:t>
      </w:r>
      <w:r w:rsidR="003D7A18">
        <w:rPr>
          <w:color w:val="000000" w:themeColor="text1"/>
          <w:sz w:val="28"/>
          <w:szCs w:val="28"/>
        </w:rPr>
        <w:t> </w:t>
      </w:r>
      <w:r w:rsidRPr="003E2E63">
        <w:rPr>
          <w:color w:val="000000" w:themeColor="text1"/>
          <w:sz w:val="28"/>
          <w:szCs w:val="28"/>
        </w:rPr>
        <w:t>jūliju atsāka piemērot akcīzes nodokli dabasgāzei, ko izmanto kā kurināmo – 12 LVL un kā degvielu 70 LVL par 1000m</w:t>
      </w:r>
      <w:r w:rsidRPr="003E2E63">
        <w:rPr>
          <w:color w:val="000000" w:themeColor="text1"/>
          <w:sz w:val="28"/>
          <w:vertAlign w:val="superscript"/>
        </w:rPr>
        <w:t>3</w:t>
      </w:r>
      <w:r w:rsidRPr="003E2E63">
        <w:rPr>
          <w:color w:val="000000" w:themeColor="text1"/>
          <w:sz w:val="28"/>
          <w:szCs w:val="28"/>
        </w:rPr>
        <w:t xml:space="preserve">. </w:t>
      </w:r>
      <w:r w:rsidR="00FF0336" w:rsidRPr="003E2E63">
        <w:rPr>
          <w:color w:val="000000" w:themeColor="text1"/>
          <w:sz w:val="28"/>
          <w:szCs w:val="28"/>
        </w:rPr>
        <w:t>Saskaņā ar likuma „Par akcīzes nodokli” pārejas noteikumu 62.</w:t>
      </w:r>
      <w:r w:rsidR="003D7A18">
        <w:rPr>
          <w:color w:val="000000" w:themeColor="text1"/>
          <w:sz w:val="28"/>
          <w:szCs w:val="28"/>
        </w:rPr>
        <w:t> </w:t>
      </w:r>
      <w:r w:rsidR="00FF0336" w:rsidRPr="003E2E63">
        <w:rPr>
          <w:color w:val="000000" w:themeColor="text1"/>
          <w:sz w:val="28"/>
          <w:szCs w:val="28"/>
        </w:rPr>
        <w:t xml:space="preserve">punktu </w:t>
      </w:r>
      <w:r w:rsidR="00CB568E" w:rsidRPr="003E2E63">
        <w:rPr>
          <w:color w:val="000000" w:themeColor="text1"/>
          <w:sz w:val="28"/>
          <w:szCs w:val="28"/>
        </w:rPr>
        <w:t xml:space="preserve">arī </w:t>
      </w:r>
      <w:r w:rsidR="00FF0336" w:rsidRPr="003E2E63">
        <w:rPr>
          <w:color w:val="000000" w:themeColor="text1"/>
          <w:sz w:val="28"/>
          <w:szCs w:val="28"/>
        </w:rPr>
        <w:t>d</w:t>
      </w:r>
      <w:r w:rsidRPr="003E2E63">
        <w:rPr>
          <w:color w:val="000000" w:themeColor="text1"/>
          <w:sz w:val="28"/>
          <w:szCs w:val="28"/>
        </w:rPr>
        <w:t>abasgāz</w:t>
      </w:r>
      <w:r w:rsidR="00CB568E" w:rsidRPr="003E2E63">
        <w:rPr>
          <w:color w:val="000000" w:themeColor="text1"/>
          <w:sz w:val="28"/>
          <w:szCs w:val="28"/>
        </w:rPr>
        <w:t>e</w:t>
      </w:r>
      <w:r w:rsidRPr="003E2E63">
        <w:rPr>
          <w:color w:val="000000" w:themeColor="text1"/>
          <w:sz w:val="28"/>
          <w:szCs w:val="28"/>
        </w:rPr>
        <w:t xml:space="preserve">i, kuru izmanto siltumnīcās un rūpnieciskās ražošanas tehnoloģisko iekārtu darbināšanai un tehnoloģiski nepieciešamā klimata nodrošināšanai rūpnieciskās ražošanas telpās, tiek paredzēts </w:t>
      </w:r>
      <w:r w:rsidR="00CB568E" w:rsidRPr="003E2E63">
        <w:rPr>
          <w:color w:val="000000" w:themeColor="text1"/>
          <w:sz w:val="28"/>
          <w:szCs w:val="28"/>
        </w:rPr>
        <w:t>uzsākt piemērot</w:t>
      </w:r>
      <w:r w:rsidRPr="003E2E63">
        <w:rPr>
          <w:color w:val="000000" w:themeColor="text1"/>
          <w:sz w:val="28"/>
          <w:szCs w:val="28"/>
        </w:rPr>
        <w:t xml:space="preserve"> akcīzes nodokli no 2014. gada 1. janvāra. Ņemot vērā, ka rūpniecības uzņēmumos dabasgāzi izmanto kurināmajam un elektroenerģijai, kas tiek izmantota uzņēmuma vajadzībām, tad pastāv iespēja </w:t>
      </w:r>
      <w:r w:rsidRPr="003E2E63">
        <w:rPr>
          <w:color w:val="000000" w:themeColor="text1"/>
          <w:sz w:val="28"/>
          <w:szCs w:val="28"/>
        </w:rPr>
        <w:lastRenderedPageBreak/>
        <w:t xml:space="preserve">šajā gadījumā dabasgāzei piemērot minimālo nodokli 0,15 EUR (~ </w:t>
      </w:r>
      <w:r w:rsidR="00CB568E" w:rsidRPr="003E2E63">
        <w:rPr>
          <w:color w:val="000000" w:themeColor="text1"/>
          <w:sz w:val="28"/>
          <w:szCs w:val="28"/>
        </w:rPr>
        <w:t>3,9</w:t>
      </w:r>
      <w:r w:rsidRPr="003E2E63">
        <w:rPr>
          <w:color w:val="000000" w:themeColor="text1"/>
          <w:sz w:val="28"/>
          <w:szCs w:val="28"/>
        </w:rPr>
        <w:t xml:space="preserve"> LVL par 1000 m</w:t>
      </w:r>
      <w:r w:rsidRPr="003E2E63">
        <w:rPr>
          <w:color w:val="000000" w:themeColor="text1"/>
          <w:sz w:val="28"/>
          <w:vertAlign w:val="superscript"/>
        </w:rPr>
        <w:t>3</w:t>
      </w:r>
      <w:r w:rsidRPr="003E2E63">
        <w:rPr>
          <w:color w:val="000000" w:themeColor="text1"/>
          <w:sz w:val="28"/>
          <w:szCs w:val="28"/>
        </w:rPr>
        <w:t xml:space="preserve">) par </w:t>
      </w:r>
      <w:proofErr w:type="spellStart"/>
      <w:r w:rsidRPr="003E2E63">
        <w:rPr>
          <w:color w:val="000000" w:themeColor="text1"/>
          <w:sz w:val="28"/>
          <w:szCs w:val="28"/>
        </w:rPr>
        <w:t>gigadžoulu</w:t>
      </w:r>
      <w:proofErr w:type="spellEnd"/>
      <w:r w:rsidRPr="003E2E63">
        <w:rPr>
          <w:color w:val="000000" w:themeColor="text1"/>
          <w:sz w:val="28"/>
          <w:szCs w:val="28"/>
        </w:rPr>
        <w:t xml:space="preserve"> bruto siltumietilpības. </w:t>
      </w:r>
    </w:p>
    <w:p w:rsidR="00A56421" w:rsidRDefault="00A56421" w:rsidP="00DC7A73">
      <w:pPr>
        <w:spacing w:after="0" w:line="240" w:lineRule="auto"/>
        <w:jc w:val="both"/>
      </w:pPr>
      <w:r>
        <w:rPr>
          <w:color w:val="000000" w:themeColor="text1"/>
          <w:szCs w:val="28"/>
        </w:rPr>
        <w:t xml:space="preserve">Savukārt, apskatot </w:t>
      </w:r>
      <w:r w:rsidR="00DC7A73">
        <w:rPr>
          <w:color w:val="000000" w:themeColor="text1"/>
          <w:szCs w:val="28"/>
        </w:rPr>
        <w:t xml:space="preserve">Baltijas </w:t>
      </w:r>
      <w:r>
        <w:rPr>
          <w:color w:val="000000" w:themeColor="text1"/>
          <w:szCs w:val="28"/>
        </w:rPr>
        <w:t>valstu praksi, Igaunijā a</w:t>
      </w:r>
      <w:r>
        <w:t>r akcīzes nodokli apliek dabasgāzi, ko izmanto kā kurināmo siltumenerģijas ražošanā</w:t>
      </w:r>
      <w:r w:rsidR="00791D1A">
        <w:t>. Bet</w:t>
      </w:r>
      <w:r>
        <w:t xml:space="preserve"> Lietuvā ar akcīzes nodokli apliek dabasgāzi, ko izmanto kā degvielu.</w:t>
      </w:r>
    </w:p>
    <w:p w:rsidR="00276F64" w:rsidRPr="003E2E63" w:rsidRDefault="00276F64" w:rsidP="00A56421">
      <w:pPr>
        <w:pStyle w:val="NormalWeb"/>
        <w:spacing w:before="0" w:beforeAutospacing="0" w:after="0" w:afterAutospacing="0"/>
        <w:jc w:val="both"/>
        <w:rPr>
          <w:rFonts w:eastAsia="Arial Unicode MS"/>
          <w:color w:val="000000" w:themeColor="text1"/>
          <w:sz w:val="28"/>
          <w:szCs w:val="28"/>
        </w:rPr>
      </w:pPr>
      <w:r w:rsidRPr="003E2E63">
        <w:rPr>
          <w:rFonts w:eastAsia="Arial Unicode MS"/>
          <w:color w:val="000000" w:themeColor="text1"/>
          <w:sz w:val="28"/>
          <w:szCs w:val="28"/>
        </w:rPr>
        <w:t>Vienlaikus Direktīvas 2003/96/EK 17.</w:t>
      </w:r>
      <w:r w:rsidR="003D7A18">
        <w:rPr>
          <w:rFonts w:eastAsia="Arial Unicode MS"/>
          <w:color w:val="000000" w:themeColor="text1"/>
          <w:sz w:val="28"/>
          <w:szCs w:val="28"/>
        </w:rPr>
        <w:t> </w:t>
      </w:r>
      <w:r w:rsidRPr="003E2E63">
        <w:rPr>
          <w:rFonts w:eastAsia="Arial Unicode MS"/>
          <w:color w:val="000000" w:themeColor="text1"/>
          <w:sz w:val="28"/>
          <w:szCs w:val="28"/>
        </w:rPr>
        <w:t>pants paredz</w:t>
      </w:r>
      <w:r w:rsidR="005D170B" w:rsidRPr="003E2E63">
        <w:rPr>
          <w:rFonts w:eastAsia="Arial Unicode MS"/>
          <w:color w:val="000000" w:themeColor="text1"/>
          <w:sz w:val="28"/>
          <w:szCs w:val="28"/>
        </w:rPr>
        <w:t>,</w:t>
      </w:r>
      <w:r w:rsidRPr="003E2E63">
        <w:rPr>
          <w:rFonts w:eastAsia="Arial Unicode MS"/>
          <w:color w:val="000000" w:themeColor="text1"/>
          <w:sz w:val="28"/>
          <w:szCs w:val="28"/>
        </w:rPr>
        <w:t xml:space="preserve"> ka</w:t>
      </w:r>
      <w:r w:rsidR="00A56421">
        <w:rPr>
          <w:rFonts w:eastAsia="Arial Unicode MS"/>
          <w:color w:val="000000" w:themeColor="text1"/>
          <w:sz w:val="28"/>
          <w:szCs w:val="28"/>
        </w:rPr>
        <w:t xml:space="preserve"> </w:t>
      </w:r>
      <w:r w:rsidRPr="003E2E63">
        <w:rPr>
          <w:rFonts w:eastAsia="Arial Unicode MS"/>
          <w:color w:val="000000" w:themeColor="text1"/>
          <w:sz w:val="28"/>
          <w:szCs w:val="28"/>
        </w:rPr>
        <w:t xml:space="preserve">dalībvalstis var piemērot nodokļu samazināšanu energoproduktu patēriņam, ko izmanto apkurei un elektroenerģijai par labu energoietilpīgam uzņēmumam. “Energoietilpīgs uzņēmums” saskaņā ar Direktīvu </w:t>
      </w:r>
      <w:r w:rsidRPr="003E2E63">
        <w:rPr>
          <w:color w:val="000000" w:themeColor="text1"/>
          <w:sz w:val="28"/>
          <w:szCs w:val="28"/>
        </w:rPr>
        <w:t>2003/96/EK</w:t>
      </w:r>
      <w:r w:rsidRPr="003E2E63">
        <w:rPr>
          <w:rFonts w:eastAsia="Arial Unicode MS"/>
          <w:color w:val="000000" w:themeColor="text1"/>
          <w:sz w:val="28"/>
          <w:szCs w:val="28"/>
        </w:rPr>
        <w:t xml:space="preserve"> ir uzņēmums, kurā energoproduktu un elektroenerģijas iepirkumi sasniedz vismaz 3,0 % no produkcijas vērtības, vai valsts enerģētikas nodoklis, kas jāmaksā, sasniedz vismaz 0,5 % no pievienotās vērtības. Šajā definīcijā dalībvalstis var piemērot ierobežojošus jēdzienus, ieskaitot pārdošanas vērtības, procesa un nozares definīcijas.</w:t>
      </w:r>
    </w:p>
    <w:p w:rsidR="00276F64" w:rsidRPr="003E2E63" w:rsidRDefault="0095341A" w:rsidP="00276F64">
      <w:pPr>
        <w:pStyle w:val="Caption"/>
        <w:spacing w:after="0" w:line="240" w:lineRule="auto"/>
        <w:jc w:val="right"/>
        <w:rPr>
          <w:b w:val="0"/>
          <w:color w:val="000000" w:themeColor="text1"/>
          <w:sz w:val="28"/>
          <w:szCs w:val="28"/>
        </w:rPr>
      </w:pPr>
      <w:r w:rsidRPr="003E2E63">
        <w:rPr>
          <w:b w:val="0"/>
          <w:color w:val="000000" w:themeColor="text1"/>
          <w:sz w:val="28"/>
          <w:szCs w:val="28"/>
        </w:rPr>
        <w:t>4</w:t>
      </w:r>
      <w:r w:rsidR="00276F64" w:rsidRPr="003E2E63">
        <w:rPr>
          <w:b w:val="0"/>
          <w:color w:val="000000" w:themeColor="text1"/>
          <w:sz w:val="28"/>
          <w:szCs w:val="28"/>
        </w:rPr>
        <w:t>. tabula</w:t>
      </w:r>
    </w:p>
    <w:p w:rsidR="00276F64" w:rsidRPr="003E2E63" w:rsidRDefault="00276F64" w:rsidP="00834996">
      <w:pPr>
        <w:spacing w:after="0" w:line="240" w:lineRule="auto"/>
        <w:jc w:val="right"/>
        <w:rPr>
          <w:color w:val="000000" w:themeColor="text1"/>
          <w:szCs w:val="28"/>
        </w:rPr>
      </w:pPr>
      <w:r w:rsidRPr="003E2E63">
        <w:rPr>
          <w:color w:val="000000" w:themeColor="text1"/>
          <w:szCs w:val="28"/>
        </w:rPr>
        <w:t xml:space="preserve">Akcīzes nodokļa </w:t>
      </w:r>
      <w:r w:rsidR="000C6848" w:rsidRPr="003E2E63">
        <w:rPr>
          <w:color w:val="000000" w:themeColor="text1"/>
          <w:szCs w:val="28"/>
        </w:rPr>
        <w:t xml:space="preserve">ieņēmumi par </w:t>
      </w:r>
      <w:r w:rsidRPr="003E2E63">
        <w:rPr>
          <w:color w:val="000000" w:themeColor="text1"/>
          <w:szCs w:val="28"/>
        </w:rPr>
        <w:t>dabasgāzi (</w:t>
      </w:r>
      <w:proofErr w:type="spellStart"/>
      <w:r w:rsidRPr="003E2E63">
        <w:rPr>
          <w:color w:val="000000" w:themeColor="text1"/>
          <w:szCs w:val="28"/>
        </w:rPr>
        <w:t>tūkst</w:t>
      </w:r>
      <w:proofErr w:type="spellEnd"/>
      <w:r w:rsidRPr="003E2E63">
        <w:rPr>
          <w:color w:val="000000" w:themeColor="text1"/>
          <w:szCs w:val="28"/>
        </w:rPr>
        <w:t>. L</w:t>
      </w:r>
      <w:r w:rsidR="00C51170" w:rsidRPr="003E2E63">
        <w:rPr>
          <w:color w:val="000000" w:themeColor="text1"/>
          <w:szCs w:val="28"/>
        </w:rPr>
        <w:t>VL</w:t>
      </w:r>
      <w:r w:rsidRPr="003E2E63">
        <w:rPr>
          <w:color w:val="000000" w:themeColor="text1"/>
          <w:szCs w:val="28"/>
        </w:rPr>
        <w:t xml:space="preserve">) </w:t>
      </w:r>
    </w:p>
    <w:tbl>
      <w:tblPr>
        <w:tblW w:w="9072" w:type="dxa"/>
        <w:tblInd w:w="108" w:type="dxa"/>
        <w:tblLayout w:type="fixed"/>
        <w:tblCellMar>
          <w:left w:w="0" w:type="dxa"/>
          <w:right w:w="0" w:type="dxa"/>
        </w:tblCellMar>
        <w:tblLook w:val="04A0" w:firstRow="1" w:lastRow="0" w:firstColumn="1" w:lastColumn="0" w:noHBand="0" w:noVBand="1"/>
      </w:tblPr>
      <w:tblGrid>
        <w:gridCol w:w="3261"/>
        <w:gridCol w:w="2551"/>
        <w:gridCol w:w="1966"/>
        <w:gridCol w:w="1294"/>
      </w:tblGrid>
      <w:tr w:rsidR="003E2E63" w:rsidRPr="003E2E63" w:rsidTr="00AD6E29">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6F64" w:rsidRPr="003E2E63" w:rsidRDefault="00276F64" w:rsidP="00FA1F81">
            <w:pPr>
              <w:spacing w:after="0" w:line="240" w:lineRule="auto"/>
              <w:ind w:firstLine="0"/>
              <w:jc w:val="center"/>
              <w:rPr>
                <w:rFonts w:eastAsia="Calibri"/>
                <w:b/>
                <w:color w:val="000000" w:themeColor="text1"/>
                <w:lang w:eastAsia="en-US"/>
              </w:rPr>
            </w:pP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jc w:val="center"/>
              <w:rPr>
                <w:rFonts w:eastAsia="Calibri"/>
                <w:b/>
                <w:color w:val="000000" w:themeColor="text1"/>
                <w:lang w:eastAsia="en-US"/>
              </w:rPr>
            </w:pPr>
            <w:r w:rsidRPr="003E2E63">
              <w:rPr>
                <w:b/>
                <w:color w:val="000000" w:themeColor="text1"/>
              </w:rPr>
              <w:t>2010</w:t>
            </w:r>
          </w:p>
        </w:tc>
        <w:tc>
          <w:tcPr>
            <w:tcW w:w="1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b/>
                <w:color w:val="000000" w:themeColor="text1"/>
              </w:rPr>
            </w:pPr>
            <w:r w:rsidRPr="003E2E63">
              <w:rPr>
                <w:b/>
                <w:color w:val="000000" w:themeColor="text1"/>
              </w:rPr>
              <w:t>2011</w:t>
            </w:r>
          </w:p>
        </w:tc>
        <w:tc>
          <w:tcPr>
            <w:tcW w:w="1294" w:type="dxa"/>
            <w:tcBorders>
              <w:top w:val="single" w:sz="8" w:space="0" w:color="auto"/>
              <w:left w:val="nil"/>
              <w:bottom w:val="single" w:sz="8" w:space="0" w:color="auto"/>
              <w:right w:val="single" w:sz="8" w:space="0" w:color="auto"/>
            </w:tcBorders>
          </w:tcPr>
          <w:p w:rsidR="00276F64" w:rsidRPr="003E2E63" w:rsidRDefault="00276F64" w:rsidP="00FA1F81">
            <w:pPr>
              <w:spacing w:after="0" w:line="240" w:lineRule="auto"/>
              <w:ind w:firstLine="0"/>
              <w:rPr>
                <w:b/>
                <w:color w:val="000000" w:themeColor="text1"/>
              </w:rPr>
            </w:pPr>
            <w:r w:rsidRPr="003E2E63">
              <w:rPr>
                <w:b/>
                <w:color w:val="000000" w:themeColor="text1"/>
              </w:rPr>
              <w:t>2012</w:t>
            </w:r>
          </w:p>
        </w:tc>
      </w:tr>
      <w:tr w:rsidR="003E2E63" w:rsidRPr="003E2E63" w:rsidTr="00AD6E2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F64" w:rsidRPr="003E2E63" w:rsidRDefault="000C6848" w:rsidP="00834996">
            <w:pPr>
              <w:spacing w:after="0" w:line="240" w:lineRule="auto"/>
              <w:ind w:firstLine="0"/>
              <w:jc w:val="center"/>
              <w:rPr>
                <w:rFonts w:eastAsia="Calibri"/>
                <w:b/>
                <w:color w:val="000000" w:themeColor="text1"/>
                <w:lang w:eastAsia="en-US"/>
              </w:rPr>
            </w:pPr>
            <w:r w:rsidRPr="003E2E63">
              <w:rPr>
                <w:b/>
                <w:color w:val="000000" w:themeColor="text1"/>
              </w:rPr>
              <w:t>Dabasgāzes p</w:t>
            </w:r>
            <w:r w:rsidR="00276F64" w:rsidRPr="003E2E63">
              <w:rPr>
                <w:b/>
                <w:color w:val="000000" w:themeColor="text1"/>
              </w:rPr>
              <w:t xml:space="preserve">atēriņš, </w:t>
            </w:r>
            <w:proofErr w:type="spellStart"/>
            <w:r w:rsidR="00834996" w:rsidRPr="003E2E63">
              <w:rPr>
                <w:b/>
                <w:color w:val="000000" w:themeColor="text1"/>
              </w:rPr>
              <w:t>milj</w:t>
            </w:r>
            <w:proofErr w:type="spellEnd"/>
            <w:r w:rsidR="00276F64" w:rsidRPr="003E2E63">
              <w:rPr>
                <w:b/>
                <w:color w:val="000000" w:themeColor="text1"/>
              </w:rPr>
              <w:t>. m</w:t>
            </w:r>
            <w:r w:rsidR="00276F64" w:rsidRPr="003E2E63">
              <w:rPr>
                <w:b/>
                <w:color w:val="000000" w:themeColor="text1"/>
                <w:vertAlign w:val="superscript"/>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1E6AFA" w:rsidRDefault="00834996" w:rsidP="00834996">
            <w:pPr>
              <w:spacing w:after="0" w:line="240" w:lineRule="auto"/>
              <w:ind w:firstLine="0"/>
              <w:jc w:val="center"/>
              <w:rPr>
                <w:rFonts w:eastAsia="Calibri"/>
                <w:color w:val="000000" w:themeColor="text1"/>
                <w:sz w:val="24"/>
                <w:szCs w:val="24"/>
                <w:lang w:eastAsia="en-US"/>
              </w:rPr>
            </w:pPr>
            <w:r w:rsidRPr="001E6AFA">
              <w:rPr>
                <w:rFonts w:eastAsia="Calibri"/>
                <w:color w:val="000000" w:themeColor="text1"/>
                <w:sz w:val="24"/>
                <w:szCs w:val="24"/>
                <w:lang w:eastAsia="en-US"/>
              </w:rPr>
              <w:t xml:space="preserve">1 821 </w:t>
            </w:r>
          </w:p>
        </w:tc>
        <w:tc>
          <w:tcPr>
            <w:tcW w:w="1966"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1E6AFA" w:rsidRDefault="00276F64" w:rsidP="00834996">
            <w:pPr>
              <w:spacing w:after="0" w:line="240" w:lineRule="auto"/>
              <w:ind w:firstLine="0"/>
              <w:rPr>
                <w:color w:val="000000" w:themeColor="text1"/>
                <w:sz w:val="24"/>
                <w:szCs w:val="24"/>
              </w:rPr>
            </w:pPr>
            <w:r w:rsidRPr="001E6AFA">
              <w:rPr>
                <w:color w:val="000000" w:themeColor="text1"/>
                <w:sz w:val="24"/>
                <w:szCs w:val="24"/>
              </w:rPr>
              <w:t xml:space="preserve">1 604 </w:t>
            </w:r>
          </w:p>
        </w:tc>
        <w:tc>
          <w:tcPr>
            <w:tcW w:w="1294" w:type="dxa"/>
            <w:tcBorders>
              <w:top w:val="nil"/>
              <w:left w:val="nil"/>
              <w:bottom w:val="single" w:sz="8" w:space="0" w:color="auto"/>
              <w:right w:val="single" w:sz="8" w:space="0" w:color="auto"/>
            </w:tcBorders>
          </w:tcPr>
          <w:p w:rsidR="00276F64" w:rsidRPr="001E6AFA" w:rsidRDefault="00276F64" w:rsidP="00834996">
            <w:pPr>
              <w:spacing w:after="0" w:line="240" w:lineRule="auto"/>
              <w:ind w:firstLine="0"/>
              <w:rPr>
                <w:color w:val="000000" w:themeColor="text1"/>
                <w:sz w:val="24"/>
                <w:szCs w:val="24"/>
              </w:rPr>
            </w:pPr>
            <w:r w:rsidRPr="001E6AFA">
              <w:rPr>
                <w:color w:val="000000" w:themeColor="text1"/>
                <w:sz w:val="24"/>
                <w:szCs w:val="24"/>
              </w:rPr>
              <w:t xml:space="preserve">1 508 </w:t>
            </w:r>
          </w:p>
        </w:tc>
      </w:tr>
      <w:tr w:rsidR="003E2E63" w:rsidRPr="003E2E63" w:rsidTr="00AD6E2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F64" w:rsidRPr="003E2E63" w:rsidRDefault="00276F64" w:rsidP="001E6AFA">
            <w:pPr>
              <w:spacing w:after="0" w:line="240" w:lineRule="auto"/>
              <w:ind w:firstLine="0"/>
              <w:jc w:val="center"/>
              <w:rPr>
                <w:rFonts w:eastAsia="Calibri"/>
                <w:b/>
                <w:color w:val="000000" w:themeColor="text1"/>
                <w:lang w:eastAsia="en-US"/>
              </w:rPr>
            </w:pPr>
            <w:r w:rsidRPr="003E2E63">
              <w:rPr>
                <w:b/>
                <w:color w:val="000000" w:themeColor="text1"/>
              </w:rPr>
              <w:t>Akcīzes nodoklis, L</w:t>
            </w:r>
            <w:r w:rsidR="001E6AFA">
              <w:rPr>
                <w:b/>
                <w:color w:val="000000" w:themeColor="text1"/>
              </w:rPr>
              <w:t>VL</w:t>
            </w:r>
            <w:r w:rsidRPr="003E2E63">
              <w:rPr>
                <w:b/>
                <w:color w:val="000000" w:themeColor="text1"/>
              </w:rPr>
              <w:t>/tūkst.m</w:t>
            </w:r>
            <w:r w:rsidRPr="003E2E63">
              <w:rPr>
                <w:b/>
                <w:color w:val="000000" w:themeColor="text1"/>
                <w:vertAlign w:val="superscript"/>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1E6AFA" w:rsidRDefault="00276F64" w:rsidP="00FA1F81">
            <w:pPr>
              <w:spacing w:after="0" w:line="240" w:lineRule="auto"/>
              <w:ind w:firstLine="0"/>
              <w:jc w:val="center"/>
              <w:rPr>
                <w:color w:val="000000" w:themeColor="text1"/>
                <w:sz w:val="24"/>
                <w:szCs w:val="24"/>
              </w:rPr>
            </w:pPr>
            <w:r w:rsidRPr="001E6AFA">
              <w:rPr>
                <w:color w:val="000000" w:themeColor="text1"/>
                <w:sz w:val="24"/>
                <w:szCs w:val="24"/>
              </w:rPr>
              <w:t>01.07.2010. – 31.08.2010.</w:t>
            </w:r>
          </w:p>
          <w:p w:rsidR="00276F64" w:rsidRPr="001E6AFA" w:rsidRDefault="00276F64" w:rsidP="00FA1F81">
            <w:pPr>
              <w:spacing w:after="0" w:line="240" w:lineRule="auto"/>
              <w:ind w:firstLine="0"/>
              <w:jc w:val="center"/>
              <w:rPr>
                <w:rFonts w:eastAsia="Calibri"/>
                <w:b/>
                <w:color w:val="000000" w:themeColor="text1"/>
                <w:sz w:val="24"/>
                <w:szCs w:val="24"/>
                <w:lang w:eastAsia="en-US"/>
              </w:rPr>
            </w:pPr>
            <w:r w:rsidRPr="001E6AFA">
              <w:rPr>
                <w:b/>
                <w:color w:val="000000" w:themeColor="text1"/>
                <w:sz w:val="24"/>
                <w:szCs w:val="24"/>
              </w:rPr>
              <w:t>15,60  LVL</w:t>
            </w:r>
          </w:p>
        </w:tc>
        <w:tc>
          <w:tcPr>
            <w:tcW w:w="1966"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1E6AFA" w:rsidRDefault="00276F64" w:rsidP="00FA1F81">
            <w:pPr>
              <w:spacing w:after="0" w:line="240" w:lineRule="auto"/>
              <w:ind w:firstLine="0"/>
              <w:jc w:val="center"/>
              <w:rPr>
                <w:color w:val="000000" w:themeColor="text1"/>
                <w:sz w:val="24"/>
                <w:szCs w:val="24"/>
              </w:rPr>
            </w:pPr>
            <w:r w:rsidRPr="001E6AFA">
              <w:rPr>
                <w:color w:val="000000" w:themeColor="text1"/>
                <w:sz w:val="24"/>
                <w:szCs w:val="24"/>
              </w:rPr>
              <w:t>01.07.2011. – 31.12.2011.</w:t>
            </w:r>
          </w:p>
          <w:p w:rsidR="00276F64" w:rsidRPr="001E6AFA" w:rsidRDefault="00276F64" w:rsidP="00FA1F81">
            <w:pPr>
              <w:spacing w:after="0" w:line="240" w:lineRule="auto"/>
              <w:ind w:firstLine="0"/>
              <w:jc w:val="center"/>
              <w:rPr>
                <w:rFonts w:eastAsia="Calibri"/>
                <w:b/>
                <w:color w:val="000000" w:themeColor="text1"/>
                <w:sz w:val="24"/>
                <w:szCs w:val="24"/>
                <w:lang w:eastAsia="en-US"/>
              </w:rPr>
            </w:pPr>
            <w:r w:rsidRPr="001E6AFA">
              <w:rPr>
                <w:b/>
                <w:color w:val="000000" w:themeColor="text1"/>
                <w:sz w:val="24"/>
                <w:szCs w:val="24"/>
              </w:rPr>
              <w:t>12,00 LVL</w:t>
            </w:r>
          </w:p>
        </w:tc>
        <w:tc>
          <w:tcPr>
            <w:tcW w:w="1294" w:type="dxa"/>
            <w:tcBorders>
              <w:top w:val="nil"/>
              <w:left w:val="nil"/>
              <w:bottom w:val="single" w:sz="8" w:space="0" w:color="auto"/>
              <w:right w:val="single" w:sz="8" w:space="0" w:color="auto"/>
            </w:tcBorders>
          </w:tcPr>
          <w:p w:rsidR="00276F64" w:rsidRPr="001E6AFA" w:rsidRDefault="00276F64" w:rsidP="00FA1F81">
            <w:pPr>
              <w:spacing w:after="0" w:line="240" w:lineRule="auto"/>
              <w:ind w:firstLine="0"/>
              <w:jc w:val="center"/>
              <w:rPr>
                <w:b/>
                <w:color w:val="000000" w:themeColor="text1"/>
                <w:sz w:val="24"/>
                <w:szCs w:val="24"/>
              </w:rPr>
            </w:pPr>
            <w:r w:rsidRPr="001E6AFA">
              <w:rPr>
                <w:b/>
                <w:color w:val="000000" w:themeColor="text1"/>
                <w:sz w:val="24"/>
                <w:szCs w:val="24"/>
              </w:rPr>
              <w:t>12,00 LVL</w:t>
            </w:r>
          </w:p>
        </w:tc>
      </w:tr>
      <w:tr w:rsidR="003E2E63" w:rsidRPr="003E2E63" w:rsidTr="00AD6E29">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6F64" w:rsidRPr="003E2E63" w:rsidRDefault="00922B83" w:rsidP="00D5530F">
            <w:pPr>
              <w:spacing w:after="0" w:line="240" w:lineRule="auto"/>
              <w:ind w:firstLine="0"/>
              <w:jc w:val="center"/>
              <w:rPr>
                <w:rFonts w:eastAsia="Calibri"/>
                <w:b/>
                <w:color w:val="000000" w:themeColor="text1"/>
                <w:lang w:eastAsia="en-US"/>
              </w:rPr>
            </w:pPr>
            <w:r w:rsidRPr="003E2E63">
              <w:rPr>
                <w:rFonts w:eastAsia="Calibri"/>
                <w:b/>
                <w:color w:val="000000" w:themeColor="text1"/>
                <w:lang w:eastAsia="en-US"/>
              </w:rPr>
              <w:t xml:space="preserve">Akcīzes nodokļa ieņēmumi </w:t>
            </w:r>
            <w:r w:rsidR="000C6848" w:rsidRPr="003E2E63">
              <w:rPr>
                <w:rFonts w:eastAsia="Calibri"/>
                <w:b/>
                <w:color w:val="000000" w:themeColor="text1"/>
                <w:lang w:eastAsia="en-US"/>
              </w:rPr>
              <w:t xml:space="preserve">par dabasgāzi, </w:t>
            </w:r>
            <w:proofErr w:type="spellStart"/>
            <w:r w:rsidRPr="003E2E63">
              <w:rPr>
                <w:rFonts w:eastAsia="Calibri"/>
                <w:b/>
                <w:color w:val="000000" w:themeColor="text1"/>
                <w:lang w:eastAsia="en-US"/>
              </w:rPr>
              <w:t>tūkst</w:t>
            </w:r>
            <w:proofErr w:type="spellEnd"/>
            <w:r w:rsidRPr="003E2E63">
              <w:rPr>
                <w:rFonts w:eastAsia="Calibri"/>
                <w:b/>
                <w:color w:val="000000" w:themeColor="text1"/>
                <w:lang w:eastAsia="en-US"/>
              </w:rPr>
              <w:t>. L</w:t>
            </w:r>
            <w:r w:rsidR="001E6AFA">
              <w:rPr>
                <w:rFonts w:eastAsia="Calibri"/>
                <w:b/>
                <w:color w:val="000000" w:themeColor="text1"/>
                <w:lang w:eastAsia="en-US"/>
              </w:rPr>
              <w:t>VL</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1E6AFA" w:rsidRDefault="00276F64" w:rsidP="00FA1F81">
            <w:pPr>
              <w:spacing w:after="0" w:line="240" w:lineRule="auto"/>
              <w:ind w:firstLine="0"/>
              <w:jc w:val="center"/>
              <w:rPr>
                <w:rFonts w:eastAsia="Calibri"/>
                <w:b/>
                <w:color w:val="000000" w:themeColor="text1"/>
                <w:sz w:val="24"/>
                <w:szCs w:val="24"/>
                <w:lang w:eastAsia="en-US"/>
              </w:rPr>
            </w:pPr>
            <w:r w:rsidRPr="001E6AFA">
              <w:rPr>
                <w:b/>
                <w:color w:val="000000" w:themeColor="text1"/>
                <w:sz w:val="24"/>
                <w:szCs w:val="24"/>
              </w:rPr>
              <w:t>632,4</w:t>
            </w:r>
          </w:p>
        </w:tc>
        <w:tc>
          <w:tcPr>
            <w:tcW w:w="1966"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1E6AFA" w:rsidRDefault="00276F64" w:rsidP="00FA1F81">
            <w:pPr>
              <w:spacing w:after="0" w:line="240" w:lineRule="auto"/>
              <w:ind w:firstLine="0"/>
              <w:jc w:val="center"/>
              <w:rPr>
                <w:rFonts w:eastAsia="Calibri"/>
                <w:b/>
                <w:color w:val="000000" w:themeColor="text1"/>
                <w:sz w:val="24"/>
                <w:szCs w:val="24"/>
                <w:lang w:eastAsia="en-US"/>
              </w:rPr>
            </w:pPr>
            <w:r w:rsidRPr="001E6AFA">
              <w:rPr>
                <w:b/>
                <w:color w:val="000000" w:themeColor="text1"/>
                <w:sz w:val="24"/>
                <w:szCs w:val="24"/>
              </w:rPr>
              <w:t xml:space="preserve">4 884,0 </w:t>
            </w:r>
          </w:p>
        </w:tc>
        <w:tc>
          <w:tcPr>
            <w:tcW w:w="1294" w:type="dxa"/>
            <w:tcBorders>
              <w:top w:val="nil"/>
              <w:left w:val="nil"/>
              <w:bottom w:val="single" w:sz="8" w:space="0" w:color="auto"/>
              <w:right w:val="single" w:sz="8" w:space="0" w:color="auto"/>
            </w:tcBorders>
          </w:tcPr>
          <w:p w:rsidR="00276F64" w:rsidRPr="001E6AFA" w:rsidRDefault="00276F64" w:rsidP="00FA1F81">
            <w:pPr>
              <w:spacing w:after="0" w:line="240" w:lineRule="auto"/>
              <w:ind w:firstLine="0"/>
              <w:jc w:val="center"/>
              <w:rPr>
                <w:b/>
                <w:color w:val="000000" w:themeColor="text1"/>
                <w:sz w:val="24"/>
                <w:szCs w:val="24"/>
              </w:rPr>
            </w:pPr>
            <w:r w:rsidRPr="001E6AFA">
              <w:rPr>
                <w:b/>
                <w:color w:val="000000" w:themeColor="text1"/>
                <w:sz w:val="24"/>
                <w:szCs w:val="24"/>
              </w:rPr>
              <w:t>14 024,3</w:t>
            </w:r>
          </w:p>
        </w:tc>
      </w:tr>
    </w:tbl>
    <w:p w:rsidR="00276F64" w:rsidRPr="003E2E63" w:rsidRDefault="00276F64" w:rsidP="00C51170">
      <w:pPr>
        <w:spacing w:after="0" w:line="240" w:lineRule="auto"/>
        <w:ind w:firstLine="0"/>
        <w:jc w:val="both"/>
        <w:rPr>
          <w:i/>
          <w:color w:val="000000" w:themeColor="text1"/>
          <w:sz w:val="20"/>
          <w:szCs w:val="20"/>
        </w:rPr>
      </w:pPr>
      <w:r w:rsidRPr="003E2E63">
        <w:rPr>
          <w:i/>
          <w:color w:val="000000" w:themeColor="text1"/>
          <w:sz w:val="20"/>
          <w:szCs w:val="20"/>
        </w:rPr>
        <w:t xml:space="preserve">Avots: Finanšu ministrija </w:t>
      </w:r>
    </w:p>
    <w:p w:rsidR="00276F64" w:rsidRPr="003E2E63" w:rsidRDefault="00276F64" w:rsidP="00276F64">
      <w:pPr>
        <w:spacing w:after="0" w:line="240" w:lineRule="auto"/>
        <w:jc w:val="both"/>
        <w:rPr>
          <w:color w:val="000000" w:themeColor="text1"/>
          <w:sz w:val="20"/>
          <w:szCs w:val="20"/>
        </w:rPr>
      </w:pPr>
    </w:p>
    <w:p w:rsidR="00276F64" w:rsidRPr="003E2E63" w:rsidRDefault="00276F64" w:rsidP="00276F64">
      <w:pPr>
        <w:spacing w:after="0" w:line="240" w:lineRule="auto"/>
        <w:rPr>
          <w:color w:val="000000" w:themeColor="text1"/>
        </w:rPr>
      </w:pPr>
      <w:r w:rsidRPr="003E2E63">
        <w:rPr>
          <w:color w:val="000000" w:themeColor="text1"/>
        </w:rPr>
        <w:t>Finanšu ministrija sadarbībā ar Ekonomikas ministriju ir veikusi ietekmes analīzi uz 2014.</w:t>
      </w:r>
      <w:r w:rsidR="00D5530F">
        <w:rPr>
          <w:color w:val="000000" w:themeColor="text1"/>
        </w:rPr>
        <w:t> </w:t>
      </w:r>
      <w:r w:rsidRPr="003E2E63">
        <w:rPr>
          <w:color w:val="000000" w:themeColor="text1"/>
        </w:rPr>
        <w:t>gada budžeta ieņēmumiem, paredzot dažādus scenārijus, proti:</w:t>
      </w:r>
    </w:p>
    <w:p w:rsidR="00276F64" w:rsidRPr="003E2E63" w:rsidRDefault="00276F64" w:rsidP="00276F64">
      <w:pPr>
        <w:spacing w:after="0" w:line="240" w:lineRule="auto"/>
        <w:jc w:val="both"/>
        <w:rPr>
          <w:color w:val="000000" w:themeColor="text1"/>
        </w:rPr>
      </w:pPr>
      <w:r w:rsidRPr="003E2E63">
        <w:rPr>
          <w:color w:val="000000" w:themeColor="text1"/>
        </w:rPr>
        <w:t xml:space="preserve">1) </w:t>
      </w:r>
      <w:r w:rsidRPr="003E2E63">
        <w:rPr>
          <w:color w:val="000000" w:themeColor="text1"/>
          <w:u w:val="single"/>
        </w:rPr>
        <w:t>ja visiem dabasgāzes patērētājiem sākot no 2014.</w:t>
      </w:r>
      <w:r w:rsidR="003D7A18">
        <w:rPr>
          <w:color w:val="000000" w:themeColor="text1"/>
          <w:u w:val="single"/>
        </w:rPr>
        <w:t> </w:t>
      </w:r>
      <w:r w:rsidRPr="003E2E63">
        <w:rPr>
          <w:color w:val="000000" w:themeColor="text1"/>
          <w:u w:val="single"/>
        </w:rPr>
        <w:t>gada 1.</w:t>
      </w:r>
      <w:r w:rsidR="003D7A18">
        <w:rPr>
          <w:color w:val="000000" w:themeColor="text1"/>
          <w:u w:val="single"/>
        </w:rPr>
        <w:t> </w:t>
      </w:r>
      <w:r w:rsidRPr="003E2E63">
        <w:rPr>
          <w:color w:val="000000" w:themeColor="text1"/>
          <w:u w:val="single"/>
        </w:rPr>
        <w:t xml:space="preserve">janvāra (arī rūpniecības un lauksaimniecības nozarei) piemēro akcīzes nodokļa </w:t>
      </w:r>
      <w:r w:rsidRPr="003E2E63">
        <w:rPr>
          <w:bCs/>
          <w:color w:val="000000" w:themeColor="text1"/>
          <w:u w:val="single"/>
        </w:rPr>
        <w:t>8 LVL likmi</w:t>
      </w:r>
      <w:r w:rsidRPr="003E2E63">
        <w:rPr>
          <w:color w:val="000000" w:themeColor="text1"/>
          <w:u w:val="single"/>
        </w:rPr>
        <w:t xml:space="preserve"> un dabasgāzei, ko izmanto koģenerācijā elektroenerģijas saražošanai nepiemēro</w:t>
      </w:r>
      <w:r w:rsidRPr="003E2E63">
        <w:rPr>
          <w:b/>
          <w:color w:val="000000" w:themeColor="text1"/>
          <w:u w:val="single"/>
        </w:rPr>
        <w:t xml:space="preserve"> </w:t>
      </w:r>
      <w:r w:rsidRPr="003E2E63">
        <w:rPr>
          <w:color w:val="000000" w:themeColor="text1"/>
          <w:u w:val="single"/>
        </w:rPr>
        <w:t xml:space="preserve">akcīzes nodokļa atbrīvojumu, </w:t>
      </w:r>
      <w:r w:rsidRPr="003E2E63">
        <w:rPr>
          <w:color w:val="000000" w:themeColor="text1"/>
        </w:rPr>
        <w:t>tad 2014.</w:t>
      </w:r>
      <w:r w:rsidR="003D7A18">
        <w:rPr>
          <w:color w:val="000000" w:themeColor="text1"/>
        </w:rPr>
        <w:t> </w:t>
      </w:r>
      <w:r w:rsidRPr="003E2E63">
        <w:rPr>
          <w:color w:val="000000" w:themeColor="text1"/>
        </w:rPr>
        <w:t>gada budžeta ieņēmumiem veidotos ieņēmumu samazinājums 5,5 </w:t>
      </w:r>
      <w:proofErr w:type="spellStart"/>
      <w:r w:rsidRPr="003E2E63">
        <w:rPr>
          <w:color w:val="000000" w:themeColor="text1"/>
        </w:rPr>
        <w:t>milj</w:t>
      </w:r>
      <w:proofErr w:type="spellEnd"/>
      <w:r w:rsidRPr="003E2E63">
        <w:rPr>
          <w:color w:val="000000" w:themeColor="text1"/>
        </w:rPr>
        <w:t xml:space="preserve">. </w:t>
      </w:r>
      <w:r w:rsidR="00C51170" w:rsidRPr="003E2E63">
        <w:rPr>
          <w:color w:val="000000" w:themeColor="text1"/>
        </w:rPr>
        <w:t>LVL</w:t>
      </w:r>
      <w:r w:rsidRPr="003E2E63">
        <w:rPr>
          <w:color w:val="000000" w:themeColor="text1"/>
        </w:rPr>
        <w:t xml:space="preserve"> apmērā dabasgāzes akcīzes nodokļa pozīcijā un 1,2 </w:t>
      </w:r>
      <w:proofErr w:type="spellStart"/>
      <w:r w:rsidRPr="003E2E63">
        <w:rPr>
          <w:color w:val="000000" w:themeColor="text1"/>
        </w:rPr>
        <w:t>milj</w:t>
      </w:r>
      <w:proofErr w:type="spellEnd"/>
      <w:r w:rsidRPr="003E2E63">
        <w:rPr>
          <w:color w:val="000000" w:themeColor="text1"/>
        </w:rPr>
        <w:t xml:space="preserve">. </w:t>
      </w:r>
      <w:r w:rsidR="00C51170" w:rsidRPr="003E2E63">
        <w:rPr>
          <w:color w:val="000000" w:themeColor="text1"/>
        </w:rPr>
        <w:t>LVL</w:t>
      </w:r>
      <w:r w:rsidR="003D7A18">
        <w:rPr>
          <w:color w:val="000000" w:themeColor="text1"/>
        </w:rPr>
        <w:t> </w:t>
      </w:r>
      <w:r w:rsidR="00AD6E29">
        <w:rPr>
          <w:color w:val="000000" w:themeColor="text1"/>
        </w:rPr>
        <w:t>PVN</w:t>
      </w:r>
      <w:r w:rsidRPr="003E2E63">
        <w:rPr>
          <w:color w:val="000000" w:themeColor="text1"/>
        </w:rPr>
        <w:t xml:space="preserve"> pozīcijā, </w:t>
      </w:r>
      <w:r w:rsidRPr="003E2E63">
        <w:rPr>
          <w:bCs/>
          <w:color w:val="000000" w:themeColor="text1"/>
        </w:rPr>
        <w:t xml:space="preserve">kopā </w:t>
      </w:r>
      <w:r w:rsidRPr="003E2E63">
        <w:rPr>
          <w:color w:val="000000" w:themeColor="text1"/>
        </w:rPr>
        <w:t>2014.</w:t>
      </w:r>
      <w:r w:rsidR="003D7A18">
        <w:rPr>
          <w:color w:val="000000" w:themeColor="text1"/>
        </w:rPr>
        <w:t> </w:t>
      </w:r>
      <w:r w:rsidRPr="003E2E63">
        <w:rPr>
          <w:color w:val="000000" w:themeColor="text1"/>
        </w:rPr>
        <w:t xml:space="preserve">gada budžeta ieņēmumos veidojot </w:t>
      </w:r>
      <w:r w:rsidRPr="003E2E63">
        <w:rPr>
          <w:i/>
          <w:color w:val="000000" w:themeColor="text1"/>
          <w:u w:val="single"/>
        </w:rPr>
        <w:t>samazinājumu</w:t>
      </w:r>
      <w:r w:rsidRPr="003E2E63">
        <w:rPr>
          <w:bCs/>
          <w:i/>
          <w:color w:val="000000" w:themeColor="text1"/>
          <w:u w:val="single"/>
        </w:rPr>
        <w:t>: 6,6 </w:t>
      </w:r>
      <w:proofErr w:type="spellStart"/>
      <w:r w:rsidRPr="003E2E63">
        <w:rPr>
          <w:bCs/>
          <w:i/>
          <w:color w:val="000000" w:themeColor="text1"/>
          <w:u w:val="single"/>
        </w:rPr>
        <w:t>milj</w:t>
      </w:r>
      <w:proofErr w:type="spellEnd"/>
      <w:r w:rsidRPr="003E2E63">
        <w:rPr>
          <w:bCs/>
          <w:i/>
          <w:color w:val="000000" w:themeColor="text1"/>
          <w:u w:val="single"/>
        </w:rPr>
        <w:t xml:space="preserve">. </w:t>
      </w:r>
      <w:r w:rsidR="00C51170" w:rsidRPr="003E2E63">
        <w:rPr>
          <w:bCs/>
          <w:i/>
          <w:color w:val="000000" w:themeColor="text1"/>
          <w:u w:val="single"/>
        </w:rPr>
        <w:t>LVL</w:t>
      </w:r>
      <w:r w:rsidRPr="003E2E63">
        <w:rPr>
          <w:bCs/>
          <w:i/>
          <w:color w:val="000000" w:themeColor="text1"/>
          <w:u w:val="single"/>
        </w:rPr>
        <w:t xml:space="preserve"> apmērā.</w:t>
      </w:r>
    </w:p>
    <w:p w:rsidR="00276F64" w:rsidRPr="003E2E63" w:rsidRDefault="00276F64" w:rsidP="00276F64">
      <w:pPr>
        <w:spacing w:after="0" w:line="240" w:lineRule="auto"/>
        <w:jc w:val="both"/>
        <w:rPr>
          <w:i/>
          <w:color w:val="000000" w:themeColor="text1"/>
          <w:u w:val="single"/>
        </w:rPr>
      </w:pPr>
      <w:r w:rsidRPr="003E2E63">
        <w:rPr>
          <w:color w:val="000000" w:themeColor="text1"/>
        </w:rPr>
        <w:t xml:space="preserve">2) </w:t>
      </w:r>
      <w:r w:rsidRPr="003E2E63">
        <w:rPr>
          <w:color w:val="000000" w:themeColor="text1"/>
          <w:u w:val="single"/>
        </w:rPr>
        <w:t xml:space="preserve">ja visiem dabasgāzes patērētājiem sākot no 2014. gada 1. janvāra (arī rūpniecības un lauksaimniecības nozarei) piemēro </w:t>
      </w:r>
      <w:r w:rsidR="00E91A45" w:rsidRPr="003E2E63">
        <w:rPr>
          <w:color w:val="000000" w:themeColor="text1"/>
          <w:u w:val="single"/>
        </w:rPr>
        <w:t>akcīzes nodokļa</w:t>
      </w:r>
      <w:r w:rsidRPr="003E2E63">
        <w:rPr>
          <w:color w:val="000000" w:themeColor="text1"/>
          <w:u w:val="single"/>
        </w:rPr>
        <w:t xml:space="preserve"> </w:t>
      </w:r>
      <w:r w:rsidRPr="003E2E63">
        <w:rPr>
          <w:bCs/>
          <w:color w:val="000000" w:themeColor="text1"/>
          <w:u w:val="single"/>
        </w:rPr>
        <w:t>8 LVL likmi</w:t>
      </w:r>
      <w:r w:rsidRPr="003E2E63">
        <w:rPr>
          <w:color w:val="000000" w:themeColor="text1"/>
          <w:u w:val="single"/>
        </w:rPr>
        <w:t xml:space="preserve"> un dabasgāzei, ko izmanto koģenerācijā</w:t>
      </w:r>
      <w:r w:rsidR="00D5530F">
        <w:rPr>
          <w:color w:val="000000" w:themeColor="text1"/>
          <w:u w:val="single"/>
        </w:rPr>
        <w:t>,</w:t>
      </w:r>
      <w:r w:rsidRPr="003E2E63">
        <w:rPr>
          <w:color w:val="000000" w:themeColor="text1"/>
          <w:u w:val="single"/>
        </w:rPr>
        <w:t xml:space="preserve"> elektroenerģijas saražošanai piemēro akcīzes nodokļa atbrīvojumu,</w:t>
      </w:r>
      <w:r w:rsidRPr="003E2E63">
        <w:rPr>
          <w:color w:val="000000" w:themeColor="text1"/>
        </w:rPr>
        <w:t xml:space="preserve"> tad 2014. gada budžeta ieņēmumiem veidotos ieņēmumu samazinājums 7,7 </w:t>
      </w:r>
      <w:proofErr w:type="spellStart"/>
      <w:r w:rsidRPr="003E2E63">
        <w:rPr>
          <w:color w:val="000000" w:themeColor="text1"/>
        </w:rPr>
        <w:t>milj</w:t>
      </w:r>
      <w:proofErr w:type="spellEnd"/>
      <w:r w:rsidRPr="003E2E63">
        <w:rPr>
          <w:color w:val="000000" w:themeColor="text1"/>
        </w:rPr>
        <w:t xml:space="preserve">. </w:t>
      </w:r>
      <w:r w:rsidR="00C51170" w:rsidRPr="003E2E63">
        <w:rPr>
          <w:color w:val="000000" w:themeColor="text1"/>
        </w:rPr>
        <w:t xml:space="preserve">LVL </w:t>
      </w:r>
      <w:r w:rsidRPr="003E2E63">
        <w:rPr>
          <w:color w:val="000000" w:themeColor="text1"/>
        </w:rPr>
        <w:t xml:space="preserve">apmērā dabasgāzes akcīzes nodokļa pozīcijā un 1,6 </w:t>
      </w:r>
      <w:proofErr w:type="spellStart"/>
      <w:r w:rsidRPr="003E2E63">
        <w:rPr>
          <w:color w:val="000000" w:themeColor="text1"/>
        </w:rPr>
        <w:t>milj</w:t>
      </w:r>
      <w:proofErr w:type="spellEnd"/>
      <w:r w:rsidRPr="003E2E63">
        <w:rPr>
          <w:color w:val="000000" w:themeColor="text1"/>
        </w:rPr>
        <w:t xml:space="preserve">. </w:t>
      </w:r>
      <w:r w:rsidR="00C51170" w:rsidRPr="003E2E63">
        <w:rPr>
          <w:color w:val="000000" w:themeColor="text1"/>
        </w:rPr>
        <w:t xml:space="preserve">LVL </w:t>
      </w:r>
      <w:r w:rsidR="00AD6E29">
        <w:rPr>
          <w:color w:val="000000" w:themeColor="text1"/>
        </w:rPr>
        <w:t>PVN</w:t>
      </w:r>
      <w:r w:rsidRPr="003E2E63">
        <w:rPr>
          <w:color w:val="000000" w:themeColor="text1"/>
        </w:rPr>
        <w:t xml:space="preserve"> pozīcijā, </w:t>
      </w:r>
      <w:r w:rsidRPr="003E2E63">
        <w:rPr>
          <w:bCs/>
          <w:color w:val="000000" w:themeColor="text1"/>
        </w:rPr>
        <w:t xml:space="preserve">kopā </w:t>
      </w:r>
      <w:r w:rsidRPr="003E2E63">
        <w:rPr>
          <w:color w:val="000000" w:themeColor="text1"/>
        </w:rPr>
        <w:t xml:space="preserve">2014. gada budžeta ieņēmumos veidojot </w:t>
      </w:r>
      <w:r w:rsidRPr="003E2E63">
        <w:rPr>
          <w:i/>
          <w:color w:val="000000" w:themeColor="text1"/>
          <w:u w:val="single"/>
        </w:rPr>
        <w:t>samazinājumu</w:t>
      </w:r>
      <w:r w:rsidRPr="003E2E63">
        <w:rPr>
          <w:bCs/>
          <w:i/>
          <w:color w:val="000000" w:themeColor="text1"/>
          <w:u w:val="single"/>
        </w:rPr>
        <w:t xml:space="preserve">: </w:t>
      </w:r>
      <w:r w:rsidRPr="003E2E63">
        <w:rPr>
          <w:i/>
          <w:color w:val="000000" w:themeColor="text1"/>
          <w:u w:val="single"/>
        </w:rPr>
        <w:t xml:space="preserve"> </w:t>
      </w:r>
      <w:r w:rsidRPr="003E2E63">
        <w:rPr>
          <w:bCs/>
          <w:i/>
          <w:color w:val="000000" w:themeColor="text1"/>
          <w:u w:val="single"/>
        </w:rPr>
        <w:t xml:space="preserve">9,3 </w:t>
      </w:r>
      <w:proofErr w:type="spellStart"/>
      <w:r w:rsidRPr="003E2E63">
        <w:rPr>
          <w:bCs/>
          <w:i/>
          <w:color w:val="000000" w:themeColor="text1"/>
          <w:u w:val="single"/>
        </w:rPr>
        <w:t>milj</w:t>
      </w:r>
      <w:proofErr w:type="spellEnd"/>
      <w:r w:rsidRPr="003E2E63">
        <w:rPr>
          <w:bCs/>
          <w:i/>
          <w:color w:val="000000" w:themeColor="text1"/>
          <w:u w:val="single"/>
        </w:rPr>
        <w:t xml:space="preserve">. </w:t>
      </w:r>
      <w:r w:rsidR="00C51170" w:rsidRPr="003E2E63">
        <w:rPr>
          <w:bCs/>
          <w:i/>
          <w:color w:val="000000" w:themeColor="text1"/>
          <w:u w:val="single"/>
        </w:rPr>
        <w:t>LVL</w:t>
      </w:r>
      <w:r w:rsidRPr="003E2E63">
        <w:rPr>
          <w:bCs/>
          <w:i/>
          <w:color w:val="000000" w:themeColor="text1"/>
          <w:u w:val="single"/>
        </w:rPr>
        <w:t xml:space="preserve"> apmērā.</w:t>
      </w:r>
    </w:p>
    <w:p w:rsidR="00276F64" w:rsidRPr="00630B23" w:rsidRDefault="00276F64" w:rsidP="00276F64">
      <w:pPr>
        <w:spacing w:after="0" w:line="240" w:lineRule="auto"/>
        <w:jc w:val="both"/>
        <w:rPr>
          <w:bCs/>
          <w:color w:val="000000" w:themeColor="text1"/>
        </w:rPr>
      </w:pPr>
      <w:r w:rsidRPr="003E2E63">
        <w:rPr>
          <w:color w:val="000000" w:themeColor="text1"/>
        </w:rPr>
        <w:t xml:space="preserve">3) </w:t>
      </w:r>
      <w:r w:rsidRPr="003E2E63">
        <w:rPr>
          <w:color w:val="000000" w:themeColor="text1"/>
          <w:u w:val="single"/>
        </w:rPr>
        <w:t>ja visiem dabasgāzes patērētājiem sākot no 2014.</w:t>
      </w:r>
      <w:r w:rsidR="003D7A18">
        <w:rPr>
          <w:color w:val="000000" w:themeColor="text1"/>
          <w:u w:val="single"/>
        </w:rPr>
        <w:t> </w:t>
      </w:r>
      <w:r w:rsidRPr="003E2E63">
        <w:rPr>
          <w:color w:val="000000" w:themeColor="text1"/>
          <w:u w:val="single"/>
        </w:rPr>
        <w:t>gada 1.</w:t>
      </w:r>
      <w:r w:rsidR="003D7A18">
        <w:rPr>
          <w:color w:val="000000" w:themeColor="text1"/>
          <w:u w:val="single"/>
        </w:rPr>
        <w:t> </w:t>
      </w:r>
      <w:r w:rsidRPr="003E2E63">
        <w:rPr>
          <w:color w:val="000000" w:themeColor="text1"/>
          <w:u w:val="single"/>
        </w:rPr>
        <w:t xml:space="preserve">janvāra (arī rūpniecības un lauksaimniecības nozarei) piemēro </w:t>
      </w:r>
      <w:r w:rsidR="00E91A45" w:rsidRPr="003E2E63">
        <w:rPr>
          <w:color w:val="000000" w:themeColor="text1"/>
          <w:u w:val="single"/>
        </w:rPr>
        <w:t>akcīzes nodokļa</w:t>
      </w:r>
      <w:r w:rsidRPr="003E2E63">
        <w:rPr>
          <w:color w:val="000000" w:themeColor="text1"/>
          <w:u w:val="single"/>
        </w:rPr>
        <w:t xml:space="preserve"> </w:t>
      </w:r>
      <w:r w:rsidRPr="003E2E63">
        <w:rPr>
          <w:bCs/>
          <w:color w:val="000000" w:themeColor="text1"/>
          <w:u w:val="single"/>
        </w:rPr>
        <w:t xml:space="preserve">12 LVL </w:t>
      </w:r>
      <w:r w:rsidRPr="003E2E63">
        <w:rPr>
          <w:bCs/>
          <w:color w:val="000000" w:themeColor="text1"/>
          <w:u w:val="single"/>
        </w:rPr>
        <w:lastRenderedPageBreak/>
        <w:t>likmi</w:t>
      </w:r>
      <w:r w:rsidRPr="003E2E63">
        <w:rPr>
          <w:color w:val="000000" w:themeColor="text1"/>
          <w:u w:val="single"/>
        </w:rPr>
        <w:t xml:space="preserve"> un dabasgāzei, ko izmanto koģenerācijā</w:t>
      </w:r>
      <w:r w:rsidR="00D5530F">
        <w:rPr>
          <w:color w:val="000000" w:themeColor="text1"/>
          <w:u w:val="single"/>
        </w:rPr>
        <w:t>,</w:t>
      </w:r>
      <w:r w:rsidRPr="003E2E63">
        <w:rPr>
          <w:color w:val="000000" w:themeColor="text1"/>
          <w:u w:val="single"/>
        </w:rPr>
        <w:t xml:space="preserve"> elektroenerģijas saražošanai piemēro akcīzes nodokļa atbrīvojumu,</w:t>
      </w:r>
      <w:r w:rsidRPr="003E2E63">
        <w:rPr>
          <w:color w:val="000000" w:themeColor="text1"/>
        </w:rPr>
        <w:t xml:space="preserve"> tad 2014.</w:t>
      </w:r>
      <w:r w:rsidR="003D7A18">
        <w:rPr>
          <w:color w:val="000000" w:themeColor="text1"/>
        </w:rPr>
        <w:t> </w:t>
      </w:r>
      <w:r w:rsidRPr="003E2E63">
        <w:rPr>
          <w:color w:val="000000" w:themeColor="text1"/>
        </w:rPr>
        <w:t xml:space="preserve">gada budžeta ieņēmumiem veidotos ieņēmumu samazinājums 3,3 </w:t>
      </w:r>
      <w:proofErr w:type="spellStart"/>
      <w:r w:rsidRPr="003E2E63">
        <w:rPr>
          <w:color w:val="000000" w:themeColor="text1"/>
        </w:rPr>
        <w:t>milj</w:t>
      </w:r>
      <w:proofErr w:type="spellEnd"/>
      <w:r w:rsidRPr="003E2E63">
        <w:rPr>
          <w:color w:val="000000" w:themeColor="text1"/>
        </w:rPr>
        <w:t xml:space="preserve">. </w:t>
      </w:r>
      <w:r w:rsidR="00C51170" w:rsidRPr="003E2E63">
        <w:rPr>
          <w:color w:val="000000" w:themeColor="text1"/>
        </w:rPr>
        <w:t xml:space="preserve">LVL </w:t>
      </w:r>
      <w:r w:rsidRPr="003E2E63">
        <w:rPr>
          <w:color w:val="000000" w:themeColor="text1"/>
        </w:rPr>
        <w:t xml:space="preserve">apmērā dabasgāzes akcīzes nodokļa pozīcijā un 0,7 </w:t>
      </w:r>
      <w:proofErr w:type="spellStart"/>
      <w:r w:rsidRPr="003E2E63">
        <w:rPr>
          <w:color w:val="000000" w:themeColor="text1"/>
        </w:rPr>
        <w:t>milj</w:t>
      </w:r>
      <w:proofErr w:type="spellEnd"/>
      <w:r w:rsidRPr="003E2E63">
        <w:rPr>
          <w:color w:val="000000" w:themeColor="text1"/>
        </w:rPr>
        <w:t xml:space="preserve">. </w:t>
      </w:r>
      <w:r w:rsidR="00C51170" w:rsidRPr="003E2E63">
        <w:rPr>
          <w:color w:val="000000" w:themeColor="text1"/>
        </w:rPr>
        <w:t>LVL</w:t>
      </w:r>
      <w:r w:rsidRPr="003E2E63">
        <w:rPr>
          <w:color w:val="000000" w:themeColor="text1"/>
        </w:rPr>
        <w:t xml:space="preserve"> </w:t>
      </w:r>
      <w:r w:rsidR="00AD6E29">
        <w:rPr>
          <w:color w:val="000000" w:themeColor="text1"/>
        </w:rPr>
        <w:t>PVN</w:t>
      </w:r>
      <w:r w:rsidRPr="003E2E63">
        <w:rPr>
          <w:color w:val="000000" w:themeColor="text1"/>
        </w:rPr>
        <w:t xml:space="preserve"> pozīcijā, </w:t>
      </w:r>
      <w:r w:rsidRPr="003E2E63">
        <w:rPr>
          <w:bCs/>
          <w:color w:val="000000" w:themeColor="text1"/>
        </w:rPr>
        <w:t xml:space="preserve">kopā </w:t>
      </w:r>
      <w:r w:rsidRPr="003E2E63">
        <w:rPr>
          <w:color w:val="000000" w:themeColor="text1"/>
        </w:rPr>
        <w:t xml:space="preserve">2014. gada budžeta ieņēmumos veidojot </w:t>
      </w:r>
      <w:r w:rsidRPr="003E2E63">
        <w:rPr>
          <w:i/>
          <w:color w:val="000000" w:themeColor="text1"/>
          <w:u w:val="single"/>
        </w:rPr>
        <w:t>samazinājumu</w:t>
      </w:r>
      <w:r w:rsidRPr="003E2E63">
        <w:rPr>
          <w:bCs/>
          <w:i/>
          <w:color w:val="000000" w:themeColor="text1"/>
          <w:u w:val="single"/>
        </w:rPr>
        <w:t>:</w:t>
      </w:r>
      <w:r w:rsidRPr="003E2E63">
        <w:rPr>
          <w:i/>
          <w:color w:val="000000" w:themeColor="text1"/>
          <w:u w:val="single"/>
        </w:rPr>
        <w:t xml:space="preserve">, </w:t>
      </w:r>
      <w:r w:rsidRPr="003E2E63">
        <w:rPr>
          <w:bCs/>
          <w:i/>
          <w:color w:val="000000" w:themeColor="text1"/>
          <w:u w:val="single"/>
        </w:rPr>
        <w:t xml:space="preserve">4,0 </w:t>
      </w:r>
      <w:proofErr w:type="spellStart"/>
      <w:r w:rsidRPr="003E2E63">
        <w:rPr>
          <w:bCs/>
          <w:i/>
          <w:color w:val="000000" w:themeColor="text1"/>
          <w:u w:val="single"/>
        </w:rPr>
        <w:t>milj</w:t>
      </w:r>
      <w:proofErr w:type="spellEnd"/>
      <w:r w:rsidRPr="003E2E63">
        <w:rPr>
          <w:bCs/>
          <w:i/>
          <w:color w:val="000000" w:themeColor="text1"/>
          <w:u w:val="single"/>
        </w:rPr>
        <w:t xml:space="preserve">. </w:t>
      </w:r>
      <w:r w:rsidR="00C51170" w:rsidRPr="003E2E63">
        <w:rPr>
          <w:bCs/>
          <w:i/>
          <w:color w:val="000000" w:themeColor="text1"/>
          <w:u w:val="single"/>
        </w:rPr>
        <w:t>LVL</w:t>
      </w:r>
      <w:r w:rsidRPr="003E2E63">
        <w:rPr>
          <w:bCs/>
          <w:i/>
          <w:color w:val="000000" w:themeColor="text1"/>
          <w:u w:val="single"/>
        </w:rPr>
        <w:t xml:space="preserve"> apmērā.</w:t>
      </w:r>
      <w:r w:rsidR="00630B23" w:rsidRPr="00630B23">
        <w:t xml:space="preserve"> </w:t>
      </w:r>
      <w:r w:rsidR="00630B23">
        <w:t>Piemēram, p</w:t>
      </w:r>
      <w:r w:rsidR="00630B23" w:rsidRPr="00630B23">
        <w:rPr>
          <w:bCs/>
          <w:color w:val="000000" w:themeColor="text1"/>
        </w:rPr>
        <w:t>ašlaik AS „Latvenergo” darbinot TEC-1 un TEC-2 koģenerācijas režīmā par patērēto dabasgāzi samaksā vidēji 2 miljonos LVL. Samazinot akcīzes nodokli dabas gāzei par visu šo summu tiks samazināts OIK</w:t>
      </w:r>
      <w:r w:rsidR="00630B23">
        <w:rPr>
          <w:bCs/>
          <w:color w:val="000000" w:themeColor="text1"/>
        </w:rPr>
        <w:t xml:space="preserve"> par 2 miljoniem LVL. </w:t>
      </w:r>
      <w:r w:rsidR="00630B23" w:rsidRPr="00630B23">
        <w:rPr>
          <w:bCs/>
          <w:color w:val="000000" w:themeColor="text1"/>
        </w:rPr>
        <w:t xml:space="preserve">  </w:t>
      </w:r>
    </w:p>
    <w:p w:rsidR="00380A4B" w:rsidRPr="00380A4B" w:rsidRDefault="00380A4B" w:rsidP="00380A4B">
      <w:pPr>
        <w:spacing w:after="0" w:line="240" w:lineRule="auto"/>
        <w:jc w:val="both"/>
      </w:pPr>
      <w:r w:rsidRPr="00380A4B">
        <w:t>Latvijā no 2009.</w:t>
      </w:r>
      <w:r w:rsidR="00D5530F">
        <w:t> </w:t>
      </w:r>
      <w:r w:rsidRPr="00380A4B">
        <w:t>gada jūlija ar akcīzes nodokli netika aplikta dabasgāze, ko izmanto elektroenerģijas ražošanai, bet 2011.</w:t>
      </w:r>
      <w:r w:rsidR="00D5530F">
        <w:t> </w:t>
      </w:r>
      <w:r w:rsidRPr="00380A4B">
        <w:t xml:space="preserve">gadā apliekamā bāze tika paplašināta. </w:t>
      </w:r>
      <w:r w:rsidR="00741B3F">
        <w:t xml:space="preserve">Ja </w:t>
      </w:r>
      <w:r w:rsidRPr="00380A4B">
        <w:t xml:space="preserve">ar akcīzes nodokli </w:t>
      </w:r>
      <w:r w:rsidR="00741B3F">
        <w:t xml:space="preserve">neapliktu </w:t>
      </w:r>
      <w:r w:rsidRPr="00380A4B">
        <w:t>patērēto dabasgāzi, ko izmanto elektroenerģijas ražošanai, tiešā veidā samazinā</w:t>
      </w:r>
      <w:r w:rsidR="00741B3F">
        <w:t xml:space="preserve">tos </w:t>
      </w:r>
      <w:r w:rsidRPr="00380A4B">
        <w:t xml:space="preserve">obligātā iepirkuma izmaksas koģenerācijas stacijām ar elektrisko jaudu virs 4MW (aprēķina saskaņā ar </w:t>
      </w:r>
      <w:r w:rsidRPr="00380A4B">
        <w:rPr>
          <w:color w:val="000000"/>
          <w:szCs w:val="28"/>
        </w:rPr>
        <w:t>Sabiedrisk</w:t>
      </w:r>
      <w:r w:rsidRPr="008B7F2D">
        <w:rPr>
          <w:szCs w:val="28"/>
        </w:rPr>
        <w:t xml:space="preserve">o pakalpojumu regulēšanas komisijas </w:t>
      </w:r>
      <w:r w:rsidRPr="008B7F2D">
        <w:rPr>
          <w:color w:val="000000"/>
          <w:szCs w:val="28"/>
        </w:rPr>
        <w:t>2010.</w:t>
      </w:r>
      <w:r w:rsidR="00D5530F">
        <w:rPr>
          <w:color w:val="000000"/>
          <w:szCs w:val="28"/>
        </w:rPr>
        <w:t> </w:t>
      </w:r>
      <w:r w:rsidRPr="008B7F2D">
        <w:rPr>
          <w:color w:val="000000"/>
          <w:szCs w:val="28"/>
        </w:rPr>
        <w:t>gada 11.</w:t>
      </w:r>
      <w:r w:rsidR="00D5530F">
        <w:rPr>
          <w:color w:val="000000"/>
          <w:szCs w:val="28"/>
        </w:rPr>
        <w:t> </w:t>
      </w:r>
      <w:r w:rsidRPr="008B7F2D">
        <w:rPr>
          <w:color w:val="000000"/>
          <w:szCs w:val="28"/>
        </w:rPr>
        <w:t>jūnija lēmumu Nr.1/10 apstiprināto „Koģenerācijas tarifu aprēķināšanas metodiku</w:t>
      </w:r>
      <w:r w:rsidR="00C23271">
        <w:rPr>
          <w:color w:val="000000"/>
          <w:szCs w:val="28"/>
        </w:rPr>
        <w:t>”</w:t>
      </w:r>
      <w:r w:rsidRPr="00380A4B">
        <w:t>), kā arī samazinā</w:t>
      </w:r>
      <w:r w:rsidR="00741B3F">
        <w:t xml:space="preserve">tos </w:t>
      </w:r>
      <w:r w:rsidRPr="00380A4B">
        <w:t>vidējās vienas kWh ražošanas izmaksas, uzlabojot šo koģenerācijas staciju spēju konkurēt ar importēto elektroenerģiju un attiecīgi paaugstinot iekārtu noslodzi</w:t>
      </w:r>
      <w:r w:rsidR="008B7F2D">
        <w:t xml:space="preserve"> un spēj</w:t>
      </w:r>
      <w:r w:rsidR="00741B3F">
        <w:t>u</w:t>
      </w:r>
      <w:r w:rsidR="008B7F2D">
        <w:t xml:space="preserve"> konkurēt ar importētu elektrību, samazinot vienības izmaksas.</w:t>
      </w:r>
    </w:p>
    <w:p w:rsidR="00340DC7" w:rsidRDefault="00380A4B" w:rsidP="00380A4B">
      <w:pPr>
        <w:spacing w:after="0" w:line="240" w:lineRule="auto"/>
        <w:jc w:val="both"/>
      </w:pPr>
      <w:r w:rsidRPr="00380A4B">
        <w:t>Turklāt</w:t>
      </w:r>
      <w:r w:rsidR="00D5530F">
        <w:t>,</w:t>
      </w:r>
      <w:r w:rsidRPr="00380A4B">
        <w:t xml:space="preserve"> šāds atbrīvojums kombinācijā ar akcīzes nodokļa likmes samazināšanu siltumenerģijas ražošanai patērētajai gāzei vismaz daļēji kompensē</w:t>
      </w:r>
      <w:r w:rsidR="00741B3F">
        <w:t xml:space="preserve">tu </w:t>
      </w:r>
      <w:r w:rsidRPr="00380A4B">
        <w:t>siltumenerģijas tarifu pieaugumu pēc atbalsta intensitātes samazināšanas elektroenerģijas ražošanai koģenerācijā.</w:t>
      </w:r>
      <w:r w:rsidR="00340DC7">
        <w:t xml:space="preserve"> </w:t>
      </w:r>
    </w:p>
    <w:p w:rsidR="00340DC7" w:rsidRDefault="00340DC7" w:rsidP="0040238E">
      <w:pPr>
        <w:spacing w:after="0" w:line="240" w:lineRule="auto"/>
        <w:jc w:val="both"/>
      </w:pPr>
      <w:r>
        <w:rPr>
          <w:color w:val="000000" w:themeColor="text1"/>
        </w:rPr>
        <w:t xml:space="preserve">Sabiedrisko pakalpojumu regulēšanas komisija rosināja </w:t>
      </w:r>
      <w:r w:rsidRPr="00340DC7">
        <w:t>akcīzes nodokli dabasgāzei neno</w:t>
      </w:r>
      <w:r>
        <w:t xml:space="preserve">teikt </w:t>
      </w:r>
      <w:r w:rsidRPr="00340DC7">
        <w:t>lielākā apmērā, kā to paredz ES direktīva, un tādējādi samazināt gan nodokļa likmi, gan apliekamo bāzi.</w:t>
      </w:r>
    </w:p>
    <w:p w:rsidR="009F7C28" w:rsidRDefault="009F7C28" w:rsidP="0040238E">
      <w:pPr>
        <w:spacing w:after="0" w:line="240" w:lineRule="auto"/>
        <w:jc w:val="both"/>
        <w:rPr>
          <w:szCs w:val="28"/>
        </w:rPr>
      </w:pPr>
      <w:r w:rsidRPr="009F7C28">
        <w:rPr>
          <w:szCs w:val="28"/>
        </w:rPr>
        <w:t>Finanšu ministrija norādīja, ka ierobežotās 2014. gada valsts budžeta fiskālās telpas dēļ apskatītos akcīzes nodokļa samazinājuma scenārijus varētu izskatīt tikai tajā gadījumā, ja tiek piedāvāti kādi citi kompensējošie pasākumi budžeta ieņēmumu daļā.</w:t>
      </w:r>
    </w:p>
    <w:p w:rsidR="00340DC7" w:rsidRPr="003E2E63" w:rsidRDefault="00340DC7" w:rsidP="0040238E">
      <w:pPr>
        <w:spacing w:after="0" w:line="240" w:lineRule="auto"/>
        <w:jc w:val="both"/>
        <w:rPr>
          <w:color w:val="000000" w:themeColor="text1"/>
        </w:rPr>
      </w:pPr>
      <w:r>
        <w:rPr>
          <w:szCs w:val="28"/>
        </w:rPr>
        <w:t>Ņemot vērā salīdzinoši nelielo ietekmi uz kopējo OIK apjoma samazināšanu</w:t>
      </w:r>
      <w:r w:rsidR="00630B23">
        <w:rPr>
          <w:szCs w:val="28"/>
        </w:rPr>
        <w:t xml:space="preserve"> un potenciāli pieaugošo dabasgāzes patēriņu, kas attiecīgi kavēs AER plašāku izmantošanu enerģijas ražošanā</w:t>
      </w:r>
      <w:r w:rsidR="008E4F4A">
        <w:rPr>
          <w:szCs w:val="28"/>
        </w:rPr>
        <w:t>,</w:t>
      </w:r>
      <w:r w:rsidR="00630B23">
        <w:rPr>
          <w:szCs w:val="28"/>
        </w:rPr>
        <w:t xml:space="preserve"> Ekonomikas ministrija akcīzes nodokļa izmaiņas neuzskata par efektīvāko risinājumu.    </w:t>
      </w:r>
      <w:r>
        <w:rPr>
          <w:szCs w:val="28"/>
        </w:rPr>
        <w:t xml:space="preserve"> </w:t>
      </w:r>
    </w:p>
    <w:p w:rsidR="00276F64" w:rsidRPr="003E2E63" w:rsidRDefault="00276F64" w:rsidP="006F1B63">
      <w:pPr>
        <w:pStyle w:val="Heading3"/>
        <w:numPr>
          <w:ilvl w:val="2"/>
          <w:numId w:val="13"/>
        </w:numPr>
        <w:rPr>
          <w:color w:val="000000" w:themeColor="text1"/>
        </w:rPr>
      </w:pPr>
      <w:bookmarkStart w:id="57" w:name="_Toc350865214"/>
      <w:bookmarkStart w:id="58" w:name="_Toc351283075"/>
      <w:bookmarkStart w:id="59" w:name="_Toc352179333"/>
      <w:r w:rsidRPr="003E2E63">
        <w:rPr>
          <w:color w:val="000000" w:themeColor="text1"/>
        </w:rPr>
        <w:t>Pievienotās vērtības nodoklis</w:t>
      </w:r>
      <w:bookmarkEnd w:id="57"/>
      <w:bookmarkEnd w:id="58"/>
      <w:bookmarkEnd w:id="59"/>
      <w:r w:rsidRPr="003E2E63">
        <w:rPr>
          <w:color w:val="000000" w:themeColor="text1"/>
        </w:rPr>
        <w:t xml:space="preserve"> </w:t>
      </w:r>
    </w:p>
    <w:p w:rsidR="00276F64" w:rsidRPr="003E2E63" w:rsidRDefault="00276F64" w:rsidP="00276F64">
      <w:pPr>
        <w:spacing w:after="0" w:line="240" w:lineRule="auto"/>
        <w:jc w:val="both"/>
        <w:rPr>
          <w:color w:val="000000" w:themeColor="text1"/>
          <w:szCs w:val="28"/>
        </w:rPr>
      </w:pPr>
      <w:r w:rsidRPr="003E2E63">
        <w:rPr>
          <w:color w:val="000000" w:themeColor="text1"/>
          <w:szCs w:val="28"/>
        </w:rPr>
        <w:t xml:space="preserve">Gan elektroenerģijas, gan siltumenerģijas kopējā piegādes cena tiek aplikta ar </w:t>
      </w:r>
      <w:r w:rsidR="00AD6E29">
        <w:rPr>
          <w:color w:val="000000" w:themeColor="text1"/>
          <w:szCs w:val="28"/>
        </w:rPr>
        <w:t>PVN</w:t>
      </w:r>
      <w:r w:rsidRPr="003E2E63">
        <w:rPr>
          <w:color w:val="000000" w:themeColor="text1"/>
          <w:szCs w:val="28"/>
        </w:rPr>
        <w:t xml:space="preserve">. Saskaņā ar Pievienotās vērtības nodokļa likuma </w:t>
      </w:r>
      <w:r w:rsidR="007567BE" w:rsidRPr="003E2E63">
        <w:rPr>
          <w:color w:val="000000" w:themeColor="text1"/>
          <w:szCs w:val="28"/>
        </w:rPr>
        <w:t>35</w:t>
      </w:r>
      <w:r w:rsidR="00A0113C" w:rsidRPr="003E2E63">
        <w:rPr>
          <w:color w:val="000000" w:themeColor="text1"/>
          <w:szCs w:val="28"/>
        </w:rPr>
        <w:t>.</w:t>
      </w:r>
      <w:r w:rsidR="003D7A18">
        <w:rPr>
          <w:color w:val="000000" w:themeColor="text1"/>
          <w:szCs w:val="28"/>
        </w:rPr>
        <w:t> </w:t>
      </w:r>
      <w:r w:rsidRPr="003E2E63">
        <w:rPr>
          <w:color w:val="000000" w:themeColor="text1"/>
          <w:szCs w:val="28"/>
        </w:rPr>
        <w:t xml:space="preserve">panta </w:t>
      </w:r>
      <w:r w:rsidR="007567BE" w:rsidRPr="003E2E63">
        <w:rPr>
          <w:color w:val="000000" w:themeColor="text1"/>
          <w:szCs w:val="28"/>
        </w:rPr>
        <w:t>pirmo</w:t>
      </w:r>
      <w:r w:rsidRPr="003E2E63">
        <w:rPr>
          <w:color w:val="000000" w:themeColor="text1"/>
          <w:szCs w:val="28"/>
        </w:rPr>
        <w:t> daļu preču piegādes vērtībā ietilpst arī vis</w:t>
      </w:r>
      <w:r w:rsidR="007567BE" w:rsidRPr="003E2E63">
        <w:rPr>
          <w:color w:val="000000" w:themeColor="text1"/>
          <w:szCs w:val="28"/>
        </w:rPr>
        <w:t xml:space="preserve">as izmaksas </w:t>
      </w:r>
      <w:r w:rsidRPr="003E2E63">
        <w:rPr>
          <w:color w:val="000000" w:themeColor="text1"/>
          <w:szCs w:val="28"/>
        </w:rPr>
        <w:t xml:space="preserve">(tai skaitā par starpniecību, apdrošināšanu, iepakošanu, transportēšanu), kā arī </w:t>
      </w:r>
      <w:r w:rsidR="007567BE" w:rsidRPr="003E2E63">
        <w:rPr>
          <w:color w:val="000000" w:themeColor="text1"/>
          <w:szCs w:val="28"/>
        </w:rPr>
        <w:t xml:space="preserve">visi saskaņā ar normatīvajiem aktiem maksājamie nodokļi (tai skaitā </w:t>
      </w:r>
      <w:r w:rsidRPr="003E2E63">
        <w:rPr>
          <w:color w:val="000000" w:themeColor="text1"/>
          <w:szCs w:val="28"/>
        </w:rPr>
        <w:t>muitas nodoklis, dabas resursu nodoklis, akcīzes nodoklis un citi nodokļi</w:t>
      </w:r>
      <w:r w:rsidR="007567BE" w:rsidRPr="003E2E63">
        <w:rPr>
          <w:color w:val="000000" w:themeColor="text1"/>
          <w:szCs w:val="28"/>
        </w:rPr>
        <w:t>),</w:t>
      </w:r>
      <w:r w:rsidRPr="003E2E63">
        <w:rPr>
          <w:color w:val="000000" w:themeColor="text1"/>
          <w:szCs w:val="28"/>
        </w:rPr>
        <w:t xml:space="preserve"> nodevas</w:t>
      </w:r>
      <w:r w:rsidR="007567BE" w:rsidRPr="003E2E63">
        <w:rPr>
          <w:color w:val="000000" w:themeColor="text1"/>
          <w:szCs w:val="28"/>
        </w:rPr>
        <w:t xml:space="preserve"> un citi obligātie maksājumi</w:t>
      </w:r>
      <w:r w:rsidRPr="003E2E63">
        <w:rPr>
          <w:color w:val="000000" w:themeColor="text1"/>
          <w:szCs w:val="28"/>
        </w:rPr>
        <w:t xml:space="preserve">, izņemot </w:t>
      </w:r>
      <w:r w:rsidR="00AD6E29">
        <w:rPr>
          <w:color w:val="000000" w:themeColor="text1"/>
          <w:szCs w:val="28"/>
        </w:rPr>
        <w:t>PVN</w:t>
      </w:r>
      <w:r w:rsidRPr="003E2E63">
        <w:rPr>
          <w:color w:val="000000" w:themeColor="text1"/>
          <w:szCs w:val="28"/>
        </w:rPr>
        <w:t xml:space="preserve">. </w:t>
      </w:r>
    </w:p>
    <w:p w:rsidR="00276F64" w:rsidRPr="003E2E63" w:rsidRDefault="00276F64" w:rsidP="00276F64">
      <w:pPr>
        <w:spacing w:after="0" w:line="240" w:lineRule="auto"/>
        <w:jc w:val="both"/>
        <w:rPr>
          <w:color w:val="000000" w:themeColor="text1"/>
          <w:szCs w:val="28"/>
        </w:rPr>
      </w:pPr>
      <w:r w:rsidRPr="003E2E63">
        <w:rPr>
          <w:color w:val="000000" w:themeColor="text1"/>
          <w:szCs w:val="28"/>
        </w:rPr>
        <w:lastRenderedPageBreak/>
        <w:t>Tātad</w:t>
      </w:r>
      <w:r w:rsidR="00BE7807">
        <w:rPr>
          <w:color w:val="000000" w:themeColor="text1"/>
          <w:szCs w:val="28"/>
        </w:rPr>
        <w:t>,</w:t>
      </w:r>
      <w:r w:rsidRPr="003E2E63">
        <w:rPr>
          <w:color w:val="000000" w:themeColor="text1"/>
          <w:szCs w:val="28"/>
        </w:rPr>
        <w:t xml:space="preserve"> attiecīgi pieaugot OIK, proporcionāli palielināsies arī </w:t>
      </w:r>
      <w:r w:rsidR="00CA7328" w:rsidRPr="003E2E63">
        <w:rPr>
          <w:color w:val="000000" w:themeColor="text1"/>
          <w:szCs w:val="28"/>
        </w:rPr>
        <w:t xml:space="preserve">aprēķināmā </w:t>
      </w:r>
      <w:r w:rsidR="00AD6E29">
        <w:rPr>
          <w:color w:val="000000" w:themeColor="text1"/>
          <w:szCs w:val="28"/>
        </w:rPr>
        <w:t>PVN</w:t>
      </w:r>
      <w:r w:rsidR="00CA7328" w:rsidRPr="003E2E63">
        <w:rPr>
          <w:color w:val="000000" w:themeColor="text1"/>
          <w:szCs w:val="28"/>
        </w:rPr>
        <w:t xml:space="preserve"> summa</w:t>
      </w:r>
      <w:r w:rsidRPr="003E2E63">
        <w:rPr>
          <w:color w:val="000000" w:themeColor="text1"/>
          <w:szCs w:val="28"/>
        </w:rPr>
        <w:t>, kas atstās ietekmi tieši uz iedzīvotāju maksājumiem par elektroenerģiju. Reāli maksājumā summa nepieaugs par OIK, kas sākot ar 2013.</w:t>
      </w:r>
      <w:r w:rsidR="003D7A18">
        <w:rPr>
          <w:color w:val="000000" w:themeColor="text1"/>
          <w:szCs w:val="28"/>
        </w:rPr>
        <w:t> </w:t>
      </w:r>
      <w:r w:rsidRPr="003E2E63">
        <w:rPr>
          <w:color w:val="000000" w:themeColor="text1"/>
          <w:szCs w:val="28"/>
        </w:rPr>
        <w:t>gada 1.</w:t>
      </w:r>
      <w:r w:rsidR="003D7A18">
        <w:rPr>
          <w:color w:val="000000" w:themeColor="text1"/>
          <w:szCs w:val="28"/>
        </w:rPr>
        <w:t> </w:t>
      </w:r>
      <w:r w:rsidRPr="003E2E63">
        <w:rPr>
          <w:color w:val="000000" w:themeColor="text1"/>
          <w:szCs w:val="28"/>
        </w:rPr>
        <w:t xml:space="preserve">aprīli ir 1,89 </w:t>
      </w:r>
      <w:proofErr w:type="spellStart"/>
      <w:r w:rsidRPr="003E2E63">
        <w:rPr>
          <w:color w:val="000000" w:themeColor="text1"/>
          <w:szCs w:val="28"/>
        </w:rPr>
        <w:t>sant</w:t>
      </w:r>
      <w:proofErr w:type="spellEnd"/>
      <w:r w:rsidR="003D7A18">
        <w:rPr>
          <w:color w:val="000000" w:themeColor="text1"/>
          <w:szCs w:val="28"/>
        </w:rPr>
        <w:t>.</w:t>
      </w:r>
      <w:r w:rsidRPr="003E2E63">
        <w:rPr>
          <w:color w:val="000000" w:themeColor="text1"/>
          <w:szCs w:val="28"/>
        </w:rPr>
        <w:t xml:space="preserve">/kWh, </w:t>
      </w:r>
      <w:r w:rsidR="00BE7807">
        <w:rPr>
          <w:color w:val="000000" w:themeColor="text1"/>
          <w:szCs w:val="28"/>
        </w:rPr>
        <w:t>bet</w:t>
      </w:r>
      <w:r w:rsidR="00CA7328" w:rsidRPr="003E2E63">
        <w:rPr>
          <w:color w:val="000000" w:themeColor="text1"/>
          <w:szCs w:val="28"/>
        </w:rPr>
        <w:t>,</w:t>
      </w:r>
      <w:r w:rsidRPr="003E2E63">
        <w:rPr>
          <w:color w:val="000000" w:themeColor="text1"/>
          <w:szCs w:val="28"/>
        </w:rPr>
        <w:t xml:space="preserve"> ieskaitot PVN</w:t>
      </w:r>
      <w:r w:rsidR="00CA7328" w:rsidRPr="003E2E63">
        <w:rPr>
          <w:color w:val="000000" w:themeColor="text1"/>
          <w:szCs w:val="28"/>
        </w:rPr>
        <w:t>,</w:t>
      </w:r>
      <w:r w:rsidRPr="003E2E63">
        <w:rPr>
          <w:color w:val="000000" w:themeColor="text1"/>
          <w:szCs w:val="28"/>
        </w:rPr>
        <w:t xml:space="preserve"> šis maksājums būs 2,29 </w:t>
      </w:r>
      <w:proofErr w:type="spellStart"/>
      <w:r w:rsidRPr="003E2E63">
        <w:rPr>
          <w:color w:val="000000" w:themeColor="text1"/>
          <w:szCs w:val="28"/>
        </w:rPr>
        <w:t>sant</w:t>
      </w:r>
      <w:proofErr w:type="spellEnd"/>
      <w:r w:rsidR="003D7A18">
        <w:rPr>
          <w:color w:val="000000" w:themeColor="text1"/>
          <w:szCs w:val="28"/>
        </w:rPr>
        <w:t>.</w:t>
      </w:r>
      <w:r w:rsidRPr="003E2E63">
        <w:rPr>
          <w:color w:val="000000" w:themeColor="text1"/>
          <w:szCs w:val="28"/>
        </w:rPr>
        <w:t xml:space="preserve">/kWh.    </w:t>
      </w:r>
    </w:p>
    <w:p w:rsidR="00276F64" w:rsidRPr="003E2E63" w:rsidRDefault="00C51170" w:rsidP="00276F64">
      <w:pPr>
        <w:pStyle w:val="Caption"/>
        <w:spacing w:after="0" w:line="240" w:lineRule="auto"/>
        <w:ind w:left="720"/>
        <w:jc w:val="right"/>
        <w:rPr>
          <w:b w:val="0"/>
          <w:color w:val="000000" w:themeColor="text1"/>
          <w:sz w:val="28"/>
          <w:szCs w:val="28"/>
        </w:rPr>
      </w:pPr>
      <w:r w:rsidRPr="003E2E63">
        <w:rPr>
          <w:b w:val="0"/>
          <w:color w:val="000000" w:themeColor="text1"/>
          <w:sz w:val="28"/>
          <w:szCs w:val="28"/>
        </w:rPr>
        <w:t>5</w:t>
      </w:r>
      <w:r w:rsidR="00276F64" w:rsidRPr="003E2E63">
        <w:rPr>
          <w:b w:val="0"/>
          <w:color w:val="000000" w:themeColor="text1"/>
          <w:sz w:val="28"/>
          <w:szCs w:val="28"/>
        </w:rPr>
        <w:t>. tabula</w:t>
      </w:r>
    </w:p>
    <w:p w:rsidR="00276F64" w:rsidRPr="003E2E63" w:rsidRDefault="00276F64" w:rsidP="00DA2A75">
      <w:pPr>
        <w:spacing w:after="0" w:line="240" w:lineRule="auto"/>
        <w:jc w:val="center"/>
        <w:rPr>
          <w:color w:val="000000" w:themeColor="text1"/>
          <w:szCs w:val="28"/>
        </w:rPr>
      </w:pPr>
      <w:r w:rsidRPr="003E2E63">
        <w:rPr>
          <w:color w:val="000000" w:themeColor="text1"/>
          <w:szCs w:val="28"/>
        </w:rPr>
        <w:t>Provizoriskā ietekme uz valsts budžetu, ja OIK tiek noteikta kā ar PVN neapliekamu objektu</w:t>
      </w:r>
    </w:p>
    <w:tbl>
      <w:tblPr>
        <w:tblpPr w:leftFromText="180" w:rightFromText="180" w:vertAnchor="text" w:horzAnchor="margin" w:tblpY="39"/>
        <w:tblW w:w="9180" w:type="dxa"/>
        <w:tblLayout w:type="fixed"/>
        <w:tblCellMar>
          <w:left w:w="0" w:type="dxa"/>
          <w:right w:w="0" w:type="dxa"/>
        </w:tblCellMar>
        <w:tblLook w:val="04A0" w:firstRow="1" w:lastRow="0" w:firstColumn="1" w:lastColumn="0" w:noHBand="0" w:noVBand="1"/>
      </w:tblPr>
      <w:tblGrid>
        <w:gridCol w:w="850"/>
        <w:gridCol w:w="959"/>
        <w:gridCol w:w="993"/>
        <w:gridCol w:w="1134"/>
        <w:gridCol w:w="1275"/>
        <w:gridCol w:w="1418"/>
        <w:gridCol w:w="1417"/>
        <w:gridCol w:w="1134"/>
      </w:tblGrid>
      <w:tr w:rsidR="003E2E63" w:rsidRPr="003E2E63" w:rsidTr="00C23271">
        <w:trPr>
          <w:trHeight w:val="126"/>
        </w:trPr>
        <w:tc>
          <w:tcPr>
            <w:tcW w:w="8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color w:val="000000" w:themeColor="text1"/>
                <w:sz w:val="20"/>
                <w:szCs w:val="20"/>
              </w:rPr>
            </w:pPr>
          </w:p>
        </w:tc>
        <w:tc>
          <w:tcPr>
            <w:tcW w:w="9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6F64" w:rsidRPr="003E2E63" w:rsidRDefault="00276F64" w:rsidP="00FA1F81">
            <w:pPr>
              <w:spacing w:after="0" w:line="240" w:lineRule="auto"/>
              <w:ind w:firstLine="0"/>
              <w:jc w:val="center"/>
              <w:rPr>
                <w:rFonts w:eastAsia="Calibri"/>
                <w:b/>
                <w:color w:val="000000" w:themeColor="text1"/>
                <w:sz w:val="20"/>
                <w:szCs w:val="20"/>
                <w:lang w:eastAsia="en-US"/>
              </w:rPr>
            </w:pPr>
            <w:r w:rsidRPr="003E2E63">
              <w:rPr>
                <w:b/>
                <w:color w:val="000000" w:themeColor="text1"/>
                <w:sz w:val="20"/>
                <w:szCs w:val="20"/>
              </w:rPr>
              <w:t>Patēriņš, GWh</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6F64" w:rsidRPr="003E2E63" w:rsidRDefault="00276F64" w:rsidP="00C23271">
            <w:pPr>
              <w:spacing w:after="0" w:line="240" w:lineRule="auto"/>
              <w:ind w:firstLine="0"/>
              <w:jc w:val="center"/>
              <w:rPr>
                <w:rFonts w:eastAsia="Calibri"/>
                <w:b/>
                <w:color w:val="000000" w:themeColor="text1"/>
                <w:sz w:val="20"/>
                <w:szCs w:val="20"/>
                <w:lang w:eastAsia="en-US"/>
              </w:rPr>
            </w:pPr>
            <w:r w:rsidRPr="003E2E63">
              <w:rPr>
                <w:b/>
                <w:color w:val="000000" w:themeColor="text1"/>
                <w:sz w:val="20"/>
                <w:szCs w:val="20"/>
              </w:rPr>
              <w:t xml:space="preserve">Tarifs   bez PVN, </w:t>
            </w:r>
            <w:r w:rsidR="00C23271" w:rsidRPr="003E2E63">
              <w:rPr>
                <w:b/>
                <w:color w:val="000000" w:themeColor="text1"/>
                <w:sz w:val="20"/>
                <w:szCs w:val="20"/>
              </w:rPr>
              <w:t>L</w:t>
            </w:r>
            <w:r w:rsidR="00C23271">
              <w:rPr>
                <w:b/>
                <w:color w:val="000000" w:themeColor="text1"/>
                <w:sz w:val="20"/>
                <w:szCs w:val="20"/>
              </w:rPr>
              <w:t>VL</w:t>
            </w:r>
            <w:r w:rsidRPr="003E2E63">
              <w:rPr>
                <w:b/>
                <w:color w:val="000000" w:themeColor="text1"/>
                <w:sz w:val="20"/>
                <w:szCs w:val="20"/>
              </w:rPr>
              <w:t>/kWh</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6F64" w:rsidRPr="003E2E63" w:rsidRDefault="00276F64" w:rsidP="00C23271">
            <w:pPr>
              <w:spacing w:after="0" w:line="240" w:lineRule="auto"/>
              <w:ind w:firstLine="0"/>
              <w:jc w:val="center"/>
              <w:rPr>
                <w:rFonts w:eastAsia="Calibri"/>
                <w:b/>
                <w:color w:val="000000" w:themeColor="text1"/>
                <w:sz w:val="20"/>
                <w:szCs w:val="20"/>
                <w:lang w:eastAsia="en-US"/>
              </w:rPr>
            </w:pPr>
            <w:r w:rsidRPr="003E2E63">
              <w:rPr>
                <w:b/>
                <w:color w:val="000000" w:themeColor="text1"/>
                <w:sz w:val="20"/>
                <w:szCs w:val="20"/>
              </w:rPr>
              <w:t xml:space="preserve">Tarifs   ar PVN, </w:t>
            </w:r>
            <w:r w:rsidR="00C23271" w:rsidRPr="003E2E63">
              <w:rPr>
                <w:b/>
                <w:color w:val="000000" w:themeColor="text1"/>
                <w:sz w:val="20"/>
                <w:szCs w:val="20"/>
              </w:rPr>
              <w:t>L</w:t>
            </w:r>
            <w:r w:rsidR="00C23271">
              <w:rPr>
                <w:b/>
                <w:color w:val="000000" w:themeColor="text1"/>
                <w:sz w:val="20"/>
                <w:szCs w:val="20"/>
              </w:rPr>
              <w:t>VL</w:t>
            </w:r>
            <w:r w:rsidRPr="003E2E63">
              <w:rPr>
                <w:b/>
                <w:color w:val="000000" w:themeColor="text1"/>
                <w:sz w:val="20"/>
                <w:szCs w:val="20"/>
              </w:rPr>
              <w:t>/kWh</w:t>
            </w:r>
          </w:p>
        </w:tc>
        <w:tc>
          <w:tcPr>
            <w:tcW w:w="12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6F64" w:rsidRPr="003E2E63" w:rsidRDefault="00276F64" w:rsidP="00C23271">
            <w:pPr>
              <w:spacing w:after="0" w:line="240" w:lineRule="auto"/>
              <w:ind w:firstLine="0"/>
              <w:jc w:val="center"/>
              <w:rPr>
                <w:rFonts w:eastAsia="Calibri"/>
                <w:b/>
                <w:color w:val="000000" w:themeColor="text1"/>
                <w:sz w:val="20"/>
                <w:szCs w:val="20"/>
                <w:lang w:eastAsia="en-US"/>
              </w:rPr>
            </w:pPr>
            <w:r w:rsidRPr="003E2E63">
              <w:rPr>
                <w:b/>
                <w:color w:val="000000" w:themeColor="text1"/>
                <w:sz w:val="20"/>
                <w:szCs w:val="20"/>
              </w:rPr>
              <w:t xml:space="preserve">Samaksātais PVN, </w:t>
            </w:r>
            <w:r w:rsidR="00C23271" w:rsidRPr="003E2E63">
              <w:rPr>
                <w:b/>
                <w:color w:val="000000" w:themeColor="text1"/>
                <w:sz w:val="20"/>
                <w:szCs w:val="20"/>
              </w:rPr>
              <w:t>L</w:t>
            </w:r>
            <w:r w:rsidR="00C23271">
              <w:rPr>
                <w:b/>
                <w:color w:val="000000" w:themeColor="text1"/>
                <w:sz w:val="20"/>
                <w:szCs w:val="20"/>
              </w:rPr>
              <w:t>VL</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jc w:val="center"/>
              <w:rPr>
                <w:rFonts w:eastAsia="Calibri"/>
                <w:b/>
                <w:color w:val="000000" w:themeColor="text1"/>
                <w:sz w:val="20"/>
                <w:szCs w:val="20"/>
                <w:lang w:eastAsia="en-US"/>
              </w:rPr>
            </w:pPr>
            <w:r w:rsidRPr="003E2E63">
              <w:rPr>
                <w:b/>
                <w:color w:val="000000" w:themeColor="text1"/>
                <w:sz w:val="20"/>
                <w:szCs w:val="20"/>
              </w:rPr>
              <w:t>Tarifa sadalījums</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6F64" w:rsidRPr="003E2E63" w:rsidRDefault="00276F64" w:rsidP="00C23271">
            <w:pPr>
              <w:spacing w:after="0" w:line="240" w:lineRule="auto"/>
              <w:ind w:firstLine="0"/>
              <w:jc w:val="center"/>
              <w:rPr>
                <w:rFonts w:eastAsia="Calibri"/>
                <w:b/>
                <w:color w:val="000000" w:themeColor="text1"/>
                <w:sz w:val="20"/>
                <w:szCs w:val="20"/>
                <w:lang w:eastAsia="en-US"/>
              </w:rPr>
            </w:pPr>
            <w:r w:rsidRPr="003E2E63">
              <w:rPr>
                <w:b/>
                <w:color w:val="000000" w:themeColor="text1"/>
                <w:sz w:val="20"/>
                <w:szCs w:val="20"/>
              </w:rPr>
              <w:t xml:space="preserve">PVN ieņēmumu samazinājums, </w:t>
            </w:r>
            <w:r w:rsidR="00C23271" w:rsidRPr="003E2E63">
              <w:rPr>
                <w:b/>
                <w:color w:val="000000" w:themeColor="text1"/>
                <w:sz w:val="20"/>
                <w:szCs w:val="20"/>
              </w:rPr>
              <w:t>L</w:t>
            </w:r>
            <w:r w:rsidR="00C23271">
              <w:rPr>
                <w:b/>
                <w:color w:val="000000" w:themeColor="text1"/>
                <w:sz w:val="20"/>
                <w:szCs w:val="20"/>
              </w:rPr>
              <w:t>VL</w:t>
            </w:r>
          </w:p>
        </w:tc>
      </w:tr>
      <w:tr w:rsidR="003E2E63" w:rsidRPr="003E2E63" w:rsidTr="00C23271">
        <w:trPr>
          <w:trHeight w:val="109"/>
        </w:trPr>
        <w:tc>
          <w:tcPr>
            <w:tcW w:w="850" w:type="dxa"/>
            <w:vMerge/>
            <w:tcBorders>
              <w:top w:val="single" w:sz="8" w:space="0" w:color="auto"/>
              <w:left w:val="single" w:sz="8" w:space="0" w:color="auto"/>
              <w:bottom w:val="single" w:sz="8" w:space="0" w:color="auto"/>
              <w:right w:val="single" w:sz="8" w:space="0" w:color="auto"/>
            </w:tcBorders>
            <w:vAlign w:val="center"/>
            <w:hideMark/>
          </w:tcPr>
          <w:p w:rsidR="00276F64" w:rsidRPr="003E2E63" w:rsidRDefault="00276F64" w:rsidP="00FA1F81">
            <w:pPr>
              <w:spacing w:after="0" w:line="240" w:lineRule="auto"/>
              <w:ind w:firstLine="0"/>
              <w:rPr>
                <w:color w:val="000000" w:themeColor="text1"/>
                <w:sz w:val="20"/>
                <w:szCs w:val="20"/>
              </w:rPr>
            </w:pPr>
          </w:p>
        </w:tc>
        <w:tc>
          <w:tcPr>
            <w:tcW w:w="959" w:type="dxa"/>
            <w:vMerge/>
            <w:tcBorders>
              <w:top w:val="single" w:sz="8" w:space="0" w:color="auto"/>
              <w:left w:val="nil"/>
              <w:bottom w:val="single" w:sz="8" w:space="0" w:color="auto"/>
              <w:right w:val="single" w:sz="8" w:space="0" w:color="auto"/>
            </w:tcBorders>
            <w:vAlign w:val="center"/>
            <w:hideMark/>
          </w:tcPr>
          <w:p w:rsidR="00276F64" w:rsidRPr="003E2E63" w:rsidRDefault="00276F64" w:rsidP="00FA1F81">
            <w:pPr>
              <w:spacing w:after="0" w:line="240" w:lineRule="auto"/>
              <w:ind w:firstLine="0"/>
              <w:rPr>
                <w:rFonts w:eastAsia="Calibri"/>
                <w:color w:val="000000" w:themeColor="text1"/>
                <w:sz w:val="20"/>
                <w:szCs w:val="20"/>
                <w:lang w:eastAsia="en-US"/>
              </w:rPr>
            </w:pPr>
          </w:p>
        </w:tc>
        <w:tc>
          <w:tcPr>
            <w:tcW w:w="993" w:type="dxa"/>
            <w:vMerge/>
            <w:tcBorders>
              <w:top w:val="single" w:sz="8" w:space="0" w:color="auto"/>
              <w:left w:val="nil"/>
              <w:bottom w:val="single" w:sz="8" w:space="0" w:color="auto"/>
              <w:right w:val="single" w:sz="8" w:space="0" w:color="auto"/>
            </w:tcBorders>
            <w:vAlign w:val="center"/>
            <w:hideMark/>
          </w:tcPr>
          <w:p w:rsidR="00276F64" w:rsidRPr="003E2E63" w:rsidRDefault="00276F64" w:rsidP="00FA1F81">
            <w:pPr>
              <w:spacing w:after="0" w:line="240" w:lineRule="auto"/>
              <w:ind w:firstLine="0"/>
              <w:rPr>
                <w:rFonts w:eastAsia="Calibri"/>
                <w:color w:val="000000" w:themeColor="text1"/>
                <w:sz w:val="20"/>
                <w:szCs w:val="20"/>
                <w:lang w:eastAsia="en-US"/>
              </w:rPr>
            </w:pPr>
          </w:p>
        </w:tc>
        <w:tc>
          <w:tcPr>
            <w:tcW w:w="1134" w:type="dxa"/>
            <w:vMerge/>
            <w:tcBorders>
              <w:top w:val="single" w:sz="8" w:space="0" w:color="auto"/>
              <w:left w:val="nil"/>
              <w:bottom w:val="single" w:sz="8" w:space="0" w:color="auto"/>
              <w:right w:val="single" w:sz="8" w:space="0" w:color="auto"/>
            </w:tcBorders>
            <w:vAlign w:val="center"/>
            <w:hideMark/>
          </w:tcPr>
          <w:p w:rsidR="00276F64" w:rsidRPr="003E2E63" w:rsidRDefault="00276F64" w:rsidP="00FA1F81">
            <w:pPr>
              <w:spacing w:after="0" w:line="240" w:lineRule="auto"/>
              <w:ind w:firstLine="0"/>
              <w:rPr>
                <w:rFonts w:eastAsia="Calibri"/>
                <w:color w:val="000000" w:themeColor="text1"/>
                <w:sz w:val="20"/>
                <w:szCs w:val="20"/>
                <w:lang w:eastAsia="en-US"/>
              </w:rPr>
            </w:pPr>
          </w:p>
        </w:tc>
        <w:tc>
          <w:tcPr>
            <w:tcW w:w="1275" w:type="dxa"/>
            <w:vMerge/>
            <w:tcBorders>
              <w:top w:val="single" w:sz="8" w:space="0" w:color="auto"/>
              <w:left w:val="nil"/>
              <w:bottom w:val="single" w:sz="8" w:space="0" w:color="auto"/>
              <w:right w:val="single" w:sz="8" w:space="0" w:color="auto"/>
            </w:tcBorders>
            <w:vAlign w:val="center"/>
            <w:hideMark/>
          </w:tcPr>
          <w:p w:rsidR="00276F64" w:rsidRPr="003E2E63" w:rsidRDefault="00276F64" w:rsidP="00FA1F81">
            <w:pPr>
              <w:spacing w:after="0" w:line="240" w:lineRule="auto"/>
              <w:ind w:firstLine="0"/>
              <w:rPr>
                <w:rFonts w:eastAsia="Calibri"/>
                <w:color w:val="000000" w:themeColor="text1"/>
                <w:sz w:val="20"/>
                <w:szCs w:val="20"/>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C23271">
            <w:pPr>
              <w:spacing w:after="0" w:line="240" w:lineRule="auto"/>
              <w:ind w:firstLine="0"/>
              <w:jc w:val="center"/>
              <w:rPr>
                <w:rFonts w:eastAsia="Calibri"/>
                <w:b/>
                <w:color w:val="000000" w:themeColor="text1"/>
                <w:sz w:val="20"/>
                <w:szCs w:val="20"/>
                <w:lang w:eastAsia="en-US"/>
              </w:rPr>
            </w:pPr>
            <w:r w:rsidRPr="003E2E63">
              <w:rPr>
                <w:b/>
                <w:color w:val="000000" w:themeColor="text1"/>
                <w:sz w:val="20"/>
                <w:szCs w:val="20"/>
              </w:rPr>
              <w:t xml:space="preserve">Ar PVN apliekamā daļa, </w:t>
            </w:r>
            <w:r w:rsidR="00C23271" w:rsidRPr="003E2E63">
              <w:rPr>
                <w:b/>
                <w:color w:val="000000" w:themeColor="text1"/>
                <w:sz w:val="20"/>
                <w:szCs w:val="20"/>
              </w:rPr>
              <w:t>L</w:t>
            </w:r>
            <w:r w:rsidR="00C23271">
              <w:rPr>
                <w:b/>
                <w:color w:val="000000" w:themeColor="text1"/>
                <w:sz w:val="20"/>
                <w:szCs w:val="20"/>
              </w:rPr>
              <w:t>VL</w:t>
            </w:r>
            <w:r w:rsidRPr="003E2E63">
              <w:rPr>
                <w:b/>
                <w:color w:val="000000" w:themeColor="text1"/>
                <w:sz w:val="20"/>
                <w:szCs w:val="20"/>
              </w:rPr>
              <w:t>/kWh</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C23271">
            <w:pPr>
              <w:spacing w:after="0" w:line="240" w:lineRule="auto"/>
              <w:ind w:firstLine="0"/>
              <w:jc w:val="center"/>
              <w:rPr>
                <w:rFonts w:eastAsia="Calibri"/>
                <w:b/>
                <w:color w:val="000000" w:themeColor="text1"/>
                <w:sz w:val="20"/>
                <w:szCs w:val="20"/>
                <w:lang w:eastAsia="en-US"/>
              </w:rPr>
            </w:pPr>
            <w:r w:rsidRPr="003E2E63">
              <w:rPr>
                <w:b/>
                <w:color w:val="000000" w:themeColor="text1"/>
                <w:sz w:val="20"/>
                <w:szCs w:val="20"/>
              </w:rPr>
              <w:t xml:space="preserve">Ar PVN neapliekamā daļa, </w:t>
            </w:r>
            <w:r w:rsidR="00C23271" w:rsidRPr="003E2E63">
              <w:rPr>
                <w:b/>
                <w:color w:val="000000" w:themeColor="text1"/>
                <w:sz w:val="20"/>
                <w:szCs w:val="20"/>
              </w:rPr>
              <w:t>L</w:t>
            </w:r>
            <w:r w:rsidR="00C23271">
              <w:rPr>
                <w:b/>
                <w:color w:val="000000" w:themeColor="text1"/>
                <w:sz w:val="20"/>
                <w:szCs w:val="20"/>
              </w:rPr>
              <w:t>VL</w:t>
            </w:r>
            <w:r w:rsidRPr="003E2E63">
              <w:rPr>
                <w:b/>
                <w:color w:val="000000" w:themeColor="text1"/>
                <w:sz w:val="20"/>
                <w:szCs w:val="20"/>
              </w:rPr>
              <w:t>/kWh</w:t>
            </w:r>
          </w:p>
        </w:tc>
        <w:tc>
          <w:tcPr>
            <w:tcW w:w="1134" w:type="dxa"/>
            <w:vMerge/>
            <w:tcBorders>
              <w:top w:val="single" w:sz="8" w:space="0" w:color="auto"/>
              <w:left w:val="nil"/>
              <w:bottom w:val="single" w:sz="8" w:space="0" w:color="auto"/>
              <w:right w:val="single" w:sz="8" w:space="0" w:color="auto"/>
            </w:tcBorders>
            <w:vAlign w:val="center"/>
            <w:hideMark/>
          </w:tcPr>
          <w:p w:rsidR="00276F64" w:rsidRPr="003E2E63" w:rsidRDefault="00276F64" w:rsidP="00FA1F81">
            <w:pPr>
              <w:spacing w:after="0" w:line="240" w:lineRule="auto"/>
              <w:ind w:firstLine="0"/>
              <w:rPr>
                <w:rFonts w:eastAsia="Calibri"/>
                <w:color w:val="000000" w:themeColor="text1"/>
                <w:sz w:val="20"/>
                <w:szCs w:val="20"/>
                <w:lang w:eastAsia="en-US"/>
              </w:rPr>
            </w:pPr>
          </w:p>
        </w:tc>
      </w:tr>
      <w:tr w:rsidR="003E2E63" w:rsidRPr="003E2E63" w:rsidTr="00C23271">
        <w:trPr>
          <w:trHeight w:val="240"/>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b/>
                <w:color w:val="000000" w:themeColor="text1"/>
                <w:sz w:val="20"/>
                <w:szCs w:val="20"/>
                <w:lang w:eastAsia="en-US"/>
              </w:rPr>
            </w:pPr>
            <w:r w:rsidRPr="003E2E63">
              <w:rPr>
                <w:b/>
                <w:color w:val="000000" w:themeColor="text1"/>
                <w:sz w:val="20"/>
                <w:szCs w:val="20"/>
              </w:rPr>
              <w:t>Starta tarifs</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color w:val="000000" w:themeColor="text1"/>
                <w:sz w:val="20"/>
                <w:szCs w:val="20"/>
                <w:lang w:eastAsia="en-US"/>
              </w:rPr>
            </w:pPr>
            <w:r w:rsidRPr="003E2E63">
              <w:rPr>
                <w:color w:val="000000" w:themeColor="text1"/>
                <w:sz w:val="20"/>
                <w:szCs w:val="20"/>
              </w:rPr>
              <w:t>851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color w:val="000000" w:themeColor="text1"/>
                <w:sz w:val="20"/>
                <w:szCs w:val="20"/>
                <w:lang w:eastAsia="en-US"/>
              </w:rPr>
            </w:pPr>
            <w:r w:rsidRPr="003E2E63">
              <w:rPr>
                <w:color w:val="000000" w:themeColor="text1"/>
                <w:sz w:val="20"/>
                <w:szCs w:val="20"/>
              </w:rPr>
              <w:t>0.0676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color w:val="000000" w:themeColor="text1"/>
                <w:sz w:val="20"/>
                <w:szCs w:val="20"/>
                <w:lang w:eastAsia="en-US"/>
              </w:rPr>
            </w:pPr>
            <w:r w:rsidRPr="003E2E63">
              <w:rPr>
                <w:color w:val="000000" w:themeColor="text1"/>
                <w:sz w:val="20"/>
                <w:szCs w:val="20"/>
              </w:rPr>
              <w:t>0.0818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color w:val="000000" w:themeColor="text1"/>
                <w:sz w:val="20"/>
                <w:szCs w:val="20"/>
                <w:lang w:eastAsia="en-US"/>
              </w:rPr>
            </w:pPr>
            <w:r w:rsidRPr="003E2E63">
              <w:rPr>
                <w:color w:val="000000" w:themeColor="text1"/>
                <w:sz w:val="20"/>
                <w:szCs w:val="20"/>
              </w:rPr>
              <w:t>12 081 387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color w:val="000000" w:themeColor="text1"/>
                <w:sz w:val="20"/>
                <w:szCs w:val="20"/>
                <w:lang w:eastAsia="en-US"/>
              </w:rPr>
            </w:pPr>
            <w:r w:rsidRPr="003E2E63">
              <w:rPr>
                <w:color w:val="000000" w:themeColor="text1"/>
                <w:sz w:val="20"/>
                <w:szCs w:val="20"/>
              </w:rPr>
              <w:t>0.0487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color w:val="000000" w:themeColor="text1"/>
                <w:sz w:val="20"/>
                <w:szCs w:val="20"/>
                <w:lang w:eastAsia="en-US"/>
              </w:rPr>
            </w:pPr>
            <w:r w:rsidRPr="003E2E63">
              <w:rPr>
                <w:color w:val="000000" w:themeColor="text1"/>
                <w:sz w:val="20"/>
                <w:szCs w:val="20"/>
              </w:rPr>
              <w:t>0.0189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b/>
                <w:color w:val="000000" w:themeColor="text1"/>
                <w:sz w:val="20"/>
                <w:szCs w:val="20"/>
                <w:lang w:eastAsia="en-US"/>
              </w:rPr>
            </w:pPr>
            <w:r w:rsidRPr="003E2E63">
              <w:rPr>
                <w:b/>
                <w:color w:val="000000" w:themeColor="text1"/>
                <w:sz w:val="20"/>
                <w:szCs w:val="20"/>
              </w:rPr>
              <w:t>3 378 210</w:t>
            </w:r>
          </w:p>
        </w:tc>
      </w:tr>
      <w:tr w:rsidR="003E2E63" w:rsidRPr="003E2E63" w:rsidTr="00C23271">
        <w:trPr>
          <w:trHeight w:val="253"/>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b/>
                <w:color w:val="000000" w:themeColor="text1"/>
                <w:sz w:val="20"/>
                <w:szCs w:val="20"/>
                <w:lang w:eastAsia="en-US"/>
              </w:rPr>
            </w:pPr>
            <w:r w:rsidRPr="003E2E63">
              <w:rPr>
                <w:b/>
                <w:color w:val="000000" w:themeColor="text1"/>
                <w:sz w:val="20"/>
                <w:szCs w:val="20"/>
              </w:rPr>
              <w:t>Pamata tarifs</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color w:val="000000" w:themeColor="text1"/>
                <w:sz w:val="20"/>
                <w:szCs w:val="20"/>
                <w:lang w:eastAsia="en-US"/>
              </w:rPr>
            </w:pPr>
            <w:r w:rsidRPr="003E2E63">
              <w:rPr>
                <w:color w:val="000000" w:themeColor="text1"/>
                <w:sz w:val="20"/>
                <w:szCs w:val="20"/>
              </w:rPr>
              <w:t>921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color w:val="000000" w:themeColor="text1"/>
                <w:sz w:val="20"/>
                <w:szCs w:val="20"/>
                <w:lang w:eastAsia="en-US"/>
              </w:rPr>
            </w:pPr>
            <w:r w:rsidRPr="003E2E63">
              <w:rPr>
                <w:color w:val="000000" w:themeColor="text1"/>
                <w:sz w:val="20"/>
                <w:szCs w:val="20"/>
              </w:rPr>
              <w:t>0.088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color w:val="000000" w:themeColor="text1"/>
                <w:sz w:val="20"/>
                <w:szCs w:val="20"/>
                <w:lang w:eastAsia="en-US"/>
              </w:rPr>
            </w:pPr>
            <w:r w:rsidRPr="003E2E63">
              <w:rPr>
                <w:color w:val="000000" w:themeColor="text1"/>
                <w:sz w:val="20"/>
                <w:szCs w:val="20"/>
              </w:rPr>
              <w:t>0.1065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color w:val="000000" w:themeColor="text1"/>
                <w:sz w:val="20"/>
                <w:szCs w:val="20"/>
                <w:lang w:eastAsia="en-US"/>
              </w:rPr>
            </w:pPr>
            <w:r w:rsidRPr="003E2E63">
              <w:rPr>
                <w:color w:val="000000" w:themeColor="text1"/>
                <w:sz w:val="20"/>
                <w:szCs w:val="20"/>
              </w:rPr>
              <w:t>17 023 277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color w:val="000000" w:themeColor="text1"/>
                <w:sz w:val="20"/>
                <w:szCs w:val="20"/>
                <w:lang w:eastAsia="en-US"/>
              </w:rPr>
            </w:pPr>
            <w:r w:rsidRPr="003E2E63">
              <w:rPr>
                <w:color w:val="000000" w:themeColor="text1"/>
                <w:sz w:val="20"/>
                <w:szCs w:val="20"/>
              </w:rPr>
              <w:t>0.0691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color w:val="000000" w:themeColor="text1"/>
                <w:sz w:val="20"/>
                <w:szCs w:val="20"/>
                <w:lang w:eastAsia="en-US"/>
              </w:rPr>
            </w:pPr>
            <w:r w:rsidRPr="003E2E63">
              <w:rPr>
                <w:color w:val="000000" w:themeColor="text1"/>
                <w:sz w:val="20"/>
                <w:szCs w:val="20"/>
              </w:rPr>
              <w:t>0.0189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76F64" w:rsidRPr="003E2E63" w:rsidRDefault="00276F64" w:rsidP="00FA1F81">
            <w:pPr>
              <w:spacing w:after="0" w:line="240" w:lineRule="auto"/>
              <w:ind w:firstLine="0"/>
              <w:rPr>
                <w:rFonts w:eastAsia="Calibri"/>
                <w:b/>
                <w:color w:val="000000" w:themeColor="text1"/>
                <w:sz w:val="20"/>
                <w:szCs w:val="20"/>
                <w:lang w:eastAsia="en-US"/>
              </w:rPr>
            </w:pPr>
            <w:r w:rsidRPr="003E2E63">
              <w:rPr>
                <w:b/>
                <w:color w:val="000000" w:themeColor="text1"/>
                <w:sz w:val="20"/>
                <w:szCs w:val="20"/>
              </w:rPr>
              <w:t>3 658 646</w:t>
            </w:r>
          </w:p>
        </w:tc>
      </w:tr>
    </w:tbl>
    <w:p w:rsidR="00276F64" w:rsidRPr="003E2E63" w:rsidRDefault="00276F64" w:rsidP="0095341A">
      <w:pPr>
        <w:spacing w:after="0" w:line="240" w:lineRule="auto"/>
        <w:ind w:firstLine="0"/>
        <w:rPr>
          <w:color w:val="000000" w:themeColor="text1"/>
          <w:sz w:val="20"/>
          <w:szCs w:val="20"/>
        </w:rPr>
      </w:pPr>
      <w:r w:rsidRPr="003E2E63">
        <w:rPr>
          <w:color w:val="000000" w:themeColor="text1"/>
          <w:sz w:val="20"/>
          <w:szCs w:val="20"/>
        </w:rPr>
        <w:t xml:space="preserve">OIK no 2013. gada 1. aprīļa -  </w:t>
      </w:r>
      <w:r w:rsidRPr="003E2E63">
        <w:rPr>
          <w:b/>
          <w:color w:val="000000" w:themeColor="text1"/>
          <w:sz w:val="20"/>
          <w:szCs w:val="20"/>
        </w:rPr>
        <w:t>0.0189 Ls/kWh</w:t>
      </w:r>
      <w:r w:rsidRPr="003E2E63">
        <w:rPr>
          <w:color w:val="000000" w:themeColor="text1"/>
          <w:sz w:val="20"/>
          <w:szCs w:val="20"/>
        </w:rPr>
        <w:t>.</w:t>
      </w:r>
    </w:p>
    <w:p w:rsidR="00276F64" w:rsidRPr="003E2E63" w:rsidRDefault="00276F64" w:rsidP="0095341A">
      <w:pPr>
        <w:spacing w:after="0" w:line="240" w:lineRule="auto"/>
        <w:ind w:firstLine="0"/>
        <w:rPr>
          <w:color w:val="000000" w:themeColor="text1"/>
          <w:sz w:val="20"/>
          <w:szCs w:val="20"/>
        </w:rPr>
      </w:pPr>
      <w:r w:rsidRPr="003E2E63">
        <w:rPr>
          <w:color w:val="000000" w:themeColor="text1"/>
          <w:sz w:val="20"/>
          <w:szCs w:val="20"/>
        </w:rPr>
        <w:t>Mājsaimniecību patēriņš 2011.gadā 1772 GWh</w:t>
      </w:r>
    </w:p>
    <w:p w:rsidR="00276F64" w:rsidRPr="003E2E63" w:rsidRDefault="00276F64" w:rsidP="0095341A">
      <w:pPr>
        <w:spacing w:after="0" w:line="240" w:lineRule="auto"/>
        <w:ind w:firstLine="0"/>
        <w:jc w:val="both"/>
        <w:rPr>
          <w:i/>
          <w:color w:val="000000" w:themeColor="text1"/>
          <w:sz w:val="20"/>
          <w:szCs w:val="20"/>
        </w:rPr>
      </w:pPr>
      <w:r w:rsidRPr="003E2E63">
        <w:rPr>
          <w:i/>
          <w:color w:val="000000" w:themeColor="text1"/>
          <w:sz w:val="20"/>
          <w:szCs w:val="20"/>
        </w:rPr>
        <w:t>Avots: Ekonomikas ministrija</w:t>
      </w:r>
    </w:p>
    <w:p w:rsidR="00276F64" w:rsidRPr="009F7C28" w:rsidRDefault="00F06CA2" w:rsidP="00F06CA2">
      <w:pPr>
        <w:pStyle w:val="NormalWeb"/>
        <w:jc w:val="both"/>
        <w:rPr>
          <w:color w:val="000000" w:themeColor="text1"/>
          <w:sz w:val="28"/>
          <w:szCs w:val="28"/>
        </w:rPr>
      </w:pPr>
      <w:r>
        <w:rPr>
          <w:color w:val="000000" w:themeColor="text1"/>
          <w:sz w:val="28"/>
          <w:szCs w:val="28"/>
        </w:rPr>
        <w:t xml:space="preserve">Darba grupas ietvaros grozījumi pievienotās vērtības nodoklim netiek rosināti. </w:t>
      </w:r>
    </w:p>
    <w:p w:rsidR="004C78DA" w:rsidRPr="003E2E63" w:rsidRDefault="004C78DA" w:rsidP="006F1B63">
      <w:pPr>
        <w:pStyle w:val="Heading2"/>
        <w:numPr>
          <w:ilvl w:val="1"/>
          <w:numId w:val="13"/>
        </w:numPr>
        <w:rPr>
          <w:color w:val="000000" w:themeColor="text1"/>
        </w:rPr>
      </w:pPr>
      <w:bookmarkStart w:id="60" w:name="_Toc351283076"/>
      <w:bookmarkStart w:id="61" w:name="_Toc352179334"/>
      <w:bookmarkStart w:id="62" w:name="_Toc349826051"/>
      <w:bookmarkStart w:id="63" w:name="_Toc349826115"/>
      <w:bookmarkEnd w:id="35"/>
      <w:bookmarkEnd w:id="36"/>
      <w:bookmarkEnd w:id="37"/>
      <w:r w:rsidRPr="003E2E63">
        <w:rPr>
          <w:color w:val="000000" w:themeColor="text1"/>
        </w:rPr>
        <w:t>Enerģētiskās nabadzības mazināšana</w:t>
      </w:r>
      <w:bookmarkEnd w:id="60"/>
      <w:bookmarkEnd w:id="61"/>
      <w:r w:rsidRPr="003E2E63">
        <w:rPr>
          <w:color w:val="000000" w:themeColor="text1"/>
        </w:rPr>
        <w:t xml:space="preserve"> </w:t>
      </w:r>
    </w:p>
    <w:bookmarkEnd w:id="62"/>
    <w:bookmarkEnd w:id="63"/>
    <w:p w:rsidR="006B7338" w:rsidRPr="006B7338" w:rsidRDefault="006B7338" w:rsidP="006B7338">
      <w:pPr>
        <w:spacing w:after="0" w:line="240" w:lineRule="auto"/>
        <w:jc w:val="both"/>
        <w:rPr>
          <w:szCs w:val="28"/>
        </w:rPr>
      </w:pPr>
      <w:r>
        <w:rPr>
          <w:szCs w:val="28"/>
        </w:rPr>
        <w:t>Komisijas paziņojumā</w:t>
      </w:r>
      <w:r w:rsidRPr="00213832">
        <w:rPr>
          <w:szCs w:val="28"/>
        </w:rPr>
        <w:t xml:space="preserve"> Eiropas Parlamentam, Padomei, Eiropas Ekonomikas un sociālo lietu komitejai un Reģionu komitejai „Kā panākt, lai iekšējais enerģijas tirgus patiešām funkcionētu”</w:t>
      </w:r>
      <w:r>
        <w:rPr>
          <w:szCs w:val="28"/>
        </w:rPr>
        <w:t>, noteikts, ka d</w:t>
      </w:r>
      <w:r w:rsidRPr="007E21C4">
        <w:rPr>
          <w:szCs w:val="28"/>
        </w:rPr>
        <w:t xml:space="preserve">alībvalstīm, risinot patērētāju </w:t>
      </w:r>
      <w:proofErr w:type="spellStart"/>
      <w:r w:rsidRPr="007E21C4">
        <w:rPr>
          <w:szCs w:val="28"/>
        </w:rPr>
        <w:t>mazaizsargātību</w:t>
      </w:r>
      <w:proofErr w:type="spellEnd"/>
      <w:r w:rsidRPr="007E21C4">
        <w:rPr>
          <w:szCs w:val="28"/>
        </w:rPr>
        <w:t xml:space="preserve"> un enerģētisko nabadzību, vajadzētu likt uzsvaru uz energoefekt</w:t>
      </w:r>
      <w:r>
        <w:rPr>
          <w:szCs w:val="28"/>
        </w:rPr>
        <w:t xml:space="preserve">ivitātes paaugstināšanas nozīmi, jo </w:t>
      </w:r>
      <w:r w:rsidRPr="006B7338">
        <w:rPr>
          <w:szCs w:val="28"/>
        </w:rPr>
        <w:t xml:space="preserve">subsīdijas vai regulēšana, kas samazina enerģijas cenas kopumā, nerosina </w:t>
      </w:r>
      <w:proofErr w:type="spellStart"/>
      <w:r w:rsidRPr="006B7338">
        <w:rPr>
          <w:szCs w:val="28"/>
        </w:rPr>
        <w:t>energoefektīvus</w:t>
      </w:r>
      <w:proofErr w:type="spellEnd"/>
      <w:r w:rsidRPr="006B7338">
        <w:rPr>
          <w:szCs w:val="28"/>
        </w:rPr>
        <w:t xml:space="preserve"> paradumus, neorientējas konkrēti uz tiem, kam vajadzīga aizsardzība, un var kropļot konkurenci</w:t>
      </w:r>
      <w:r w:rsidR="00BE7807">
        <w:rPr>
          <w:szCs w:val="28"/>
        </w:rPr>
        <w:t>.</w:t>
      </w:r>
      <w:r w:rsidR="00BE7807" w:rsidRPr="006B7338">
        <w:rPr>
          <w:szCs w:val="28"/>
        </w:rPr>
        <w:t xml:space="preserve"> </w:t>
      </w:r>
      <w:r w:rsidRPr="006B7338">
        <w:rPr>
          <w:szCs w:val="28"/>
        </w:rPr>
        <w:t>Tā kā palīdzība mazaizsargātiem patērētājiem ar finansiāliem pasākumiem var būt daļa no sociālās politikas, bet izmaksu ziņā efektīva palīdzība ir atbalsts energoefektivitātes paaugstināšanai, nepieciešams papildus finansējums energoefektivitātes paaugstināšanas, tajā skaitā ēku siltināšanas programmai.</w:t>
      </w:r>
      <w:r w:rsidR="004E406C">
        <w:rPr>
          <w:szCs w:val="28"/>
        </w:rPr>
        <w:t xml:space="preserve"> Papildus būtu nepieciešams nodefinēt, kas Latvijā ir enerģētiskā nabadzība.  </w:t>
      </w:r>
    </w:p>
    <w:p w:rsidR="001F1B09" w:rsidRDefault="001F1B09" w:rsidP="001F1B09">
      <w:pPr>
        <w:spacing w:after="0" w:line="240" w:lineRule="auto"/>
        <w:jc w:val="both"/>
        <w:rPr>
          <w:szCs w:val="28"/>
        </w:rPr>
      </w:pPr>
      <w:r>
        <w:rPr>
          <w:szCs w:val="28"/>
        </w:rPr>
        <w:t>Latvijas m</w:t>
      </w:r>
      <w:r w:rsidRPr="00B06938">
        <w:rPr>
          <w:szCs w:val="28"/>
        </w:rPr>
        <w:t>ājsaimniecību izdevum</w:t>
      </w:r>
      <w:r w:rsidR="00B90AF2">
        <w:rPr>
          <w:szCs w:val="28"/>
        </w:rPr>
        <w:t xml:space="preserve">u par mājokli īpatsvars </w:t>
      </w:r>
      <w:r w:rsidR="00B90AF2" w:rsidRPr="00B90AF2">
        <w:rPr>
          <w:szCs w:val="28"/>
        </w:rPr>
        <w:t>kopējos izdevumos</w:t>
      </w:r>
      <w:r w:rsidR="00451DB1">
        <w:rPr>
          <w:szCs w:val="28"/>
        </w:rPr>
        <w:t xml:space="preserve">, tajā skaitā par elektrību un siltumu, </w:t>
      </w:r>
      <w:r w:rsidR="00B90AF2">
        <w:rPr>
          <w:szCs w:val="28"/>
        </w:rPr>
        <w:t>l</w:t>
      </w:r>
      <w:r w:rsidRPr="00B06938">
        <w:rPr>
          <w:szCs w:val="28"/>
        </w:rPr>
        <w:t>aika periodā no 2008.</w:t>
      </w:r>
      <w:r w:rsidR="00C23271">
        <w:rPr>
          <w:szCs w:val="28"/>
        </w:rPr>
        <w:t> </w:t>
      </w:r>
      <w:r w:rsidRPr="00B06938">
        <w:rPr>
          <w:szCs w:val="28"/>
        </w:rPr>
        <w:t>gada līdz 2011.</w:t>
      </w:r>
      <w:r w:rsidR="00C23271">
        <w:rPr>
          <w:szCs w:val="28"/>
        </w:rPr>
        <w:t> </w:t>
      </w:r>
      <w:r w:rsidRPr="00B06938">
        <w:rPr>
          <w:szCs w:val="28"/>
        </w:rPr>
        <w:t>gadam</w:t>
      </w:r>
      <w:r w:rsidR="00B90AF2">
        <w:rPr>
          <w:szCs w:val="28"/>
        </w:rPr>
        <w:t xml:space="preserve">, ir pieaudzis. </w:t>
      </w:r>
      <w:r w:rsidRPr="00703BA1">
        <w:rPr>
          <w:szCs w:val="28"/>
        </w:rPr>
        <w:t xml:space="preserve">Mājsaimniecību izdevumi par mājokli </w:t>
      </w:r>
      <w:r w:rsidRPr="003E31B6">
        <w:rPr>
          <w:szCs w:val="28"/>
        </w:rPr>
        <w:t>20</w:t>
      </w:r>
      <w:r>
        <w:rPr>
          <w:szCs w:val="28"/>
        </w:rPr>
        <w:t>08</w:t>
      </w:r>
      <w:r w:rsidRPr="003E31B6">
        <w:rPr>
          <w:szCs w:val="28"/>
        </w:rPr>
        <w:t>.</w:t>
      </w:r>
      <w:r w:rsidR="00C23271">
        <w:rPr>
          <w:szCs w:val="28"/>
        </w:rPr>
        <w:t> </w:t>
      </w:r>
      <w:r w:rsidRPr="003E31B6">
        <w:rPr>
          <w:szCs w:val="28"/>
        </w:rPr>
        <w:t xml:space="preserve">gadā veidoja vidēji </w:t>
      </w:r>
      <w:r>
        <w:rPr>
          <w:szCs w:val="28"/>
        </w:rPr>
        <w:t>27,61</w:t>
      </w:r>
      <w:r w:rsidRPr="003E31B6">
        <w:rPr>
          <w:szCs w:val="28"/>
        </w:rPr>
        <w:t xml:space="preserve"> latu mēnesī uz vienu mājsaimniecības locekli jeb </w:t>
      </w:r>
      <w:r>
        <w:rPr>
          <w:szCs w:val="28"/>
        </w:rPr>
        <w:t>11,9</w:t>
      </w:r>
      <w:r w:rsidRPr="003E31B6">
        <w:rPr>
          <w:szCs w:val="28"/>
        </w:rPr>
        <w:t xml:space="preserve"> % no kopējiem izdevumiem mājsaimniecībai</w:t>
      </w:r>
      <w:r>
        <w:rPr>
          <w:szCs w:val="28"/>
        </w:rPr>
        <w:t xml:space="preserve">, bet </w:t>
      </w:r>
      <w:r w:rsidRPr="00703BA1">
        <w:rPr>
          <w:szCs w:val="28"/>
        </w:rPr>
        <w:t xml:space="preserve">2011.gadā </w:t>
      </w:r>
      <w:r>
        <w:rPr>
          <w:szCs w:val="28"/>
        </w:rPr>
        <w:t xml:space="preserve">- </w:t>
      </w:r>
      <w:r w:rsidRPr="00703BA1">
        <w:rPr>
          <w:szCs w:val="28"/>
        </w:rPr>
        <w:t>vidēji 31 latu mēnesī uz vienu mājsaimniecības locekli</w:t>
      </w:r>
      <w:r>
        <w:rPr>
          <w:szCs w:val="28"/>
        </w:rPr>
        <w:t xml:space="preserve"> </w:t>
      </w:r>
      <w:r w:rsidRPr="00703BA1">
        <w:rPr>
          <w:szCs w:val="28"/>
        </w:rPr>
        <w:t>jeb 16,6 % no kopējiem izdevumiem mājsaimniecībai.</w:t>
      </w:r>
      <w:r w:rsidRPr="009A760C">
        <w:rPr>
          <w:sz w:val="24"/>
          <w:szCs w:val="24"/>
        </w:rPr>
        <w:t xml:space="preserve"> </w:t>
      </w:r>
      <w:r w:rsidRPr="00B06938">
        <w:rPr>
          <w:szCs w:val="28"/>
        </w:rPr>
        <w:t>Ar to arī izskaidrojama mājsaimniecību nespēja norēķināties par siltumenerģiju</w:t>
      </w:r>
      <w:r>
        <w:rPr>
          <w:szCs w:val="28"/>
        </w:rPr>
        <w:t xml:space="preserve">, elektroenerģiju </w:t>
      </w:r>
      <w:r w:rsidRPr="00B06938">
        <w:rPr>
          <w:szCs w:val="28"/>
        </w:rPr>
        <w:t xml:space="preserve">un citiem ar mājokli saistītiem izdevumiem. </w:t>
      </w:r>
    </w:p>
    <w:p w:rsidR="001F1B09" w:rsidRDefault="001F1B09" w:rsidP="00BE7807">
      <w:pPr>
        <w:spacing w:after="0" w:line="240" w:lineRule="auto"/>
        <w:jc w:val="both"/>
        <w:rPr>
          <w:szCs w:val="28"/>
        </w:rPr>
      </w:pPr>
      <w:r>
        <w:rPr>
          <w:szCs w:val="28"/>
        </w:rPr>
        <w:lastRenderedPageBreak/>
        <w:t>Ņemot vērā 1.</w:t>
      </w:r>
      <w:r w:rsidR="00C23271">
        <w:rPr>
          <w:szCs w:val="28"/>
        </w:rPr>
        <w:t> </w:t>
      </w:r>
      <w:proofErr w:type="spellStart"/>
      <w:r>
        <w:rPr>
          <w:szCs w:val="28"/>
        </w:rPr>
        <w:t>kvintiles</w:t>
      </w:r>
      <w:proofErr w:type="spellEnd"/>
      <w:r>
        <w:rPr>
          <w:rStyle w:val="FootnoteReference"/>
          <w:szCs w:val="28"/>
        </w:rPr>
        <w:footnoteReference w:id="5"/>
      </w:r>
      <w:r>
        <w:rPr>
          <w:szCs w:val="28"/>
        </w:rPr>
        <w:t xml:space="preserve"> vidējo ienākumu robežu uz vienu mājsaimniecības locekli – 2011.</w:t>
      </w:r>
      <w:r w:rsidR="00C23271">
        <w:rPr>
          <w:szCs w:val="28"/>
        </w:rPr>
        <w:t> </w:t>
      </w:r>
      <w:r>
        <w:rPr>
          <w:szCs w:val="28"/>
        </w:rPr>
        <w:t xml:space="preserve">gadā 73 lati (ienākumi no 0 līdz 112,50 latiem), mājokļa izdevumu īpatsvars sastāda gandrīz trešo daļu no šīs </w:t>
      </w:r>
      <w:proofErr w:type="spellStart"/>
      <w:r>
        <w:rPr>
          <w:szCs w:val="28"/>
        </w:rPr>
        <w:t>kvintiles</w:t>
      </w:r>
      <w:proofErr w:type="spellEnd"/>
      <w:r>
        <w:rPr>
          <w:szCs w:val="28"/>
        </w:rPr>
        <w:t xml:space="preserve"> ienākumiem, savukārt otrajai (ienākumi no 112,51 līdz 163,73 latiem) un trešajai </w:t>
      </w:r>
      <w:proofErr w:type="spellStart"/>
      <w:r>
        <w:rPr>
          <w:szCs w:val="28"/>
        </w:rPr>
        <w:t>kvintilei</w:t>
      </w:r>
      <w:proofErr w:type="spellEnd"/>
      <w:r>
        <w:rPr>
          <w:szCs w:val="28"/>
        </w:rPr>
        <w:t xml:space="preserve"> (ienākumi no 163,74 līdz 204,38 latiem) – piekto daļu no ienākumiem (</w:t>
      </w:r>
      <w:proofErr w:type="spellStart"/>
      <w:r w:rsidRPr="00DA2A75">
        <w:rPr>
          <w:i/>
          <w:szCs w:val="28"/>
        </w:rPr>
        <w:t>skat</w:t>
      </w:r>
      <w:proofErr w:type="spellEnd"/>
      <w:r w:rsidRPr="00DA2A75">
        <w:rPr>
          <w:i/>
          <w:szCs w:val="28"/>
        </w:rPr>
        <w:t xml:space="preserve">. </w:t>
      </w:r>
      <w:r w:rsidR="00C23271" w:rsidRPr="00DA2A75">
        <w:rPr>
          <w:i/>
          <w:szCs w:val="28"/>
        </w:rPr>
        <w:t>2</w:t>
      </w:r>
      <w:r w:rsidRPr="00DA2A75">
        <w:rPr>
          <w:i/>
          <w:szCs w:val="28"/>
        </w:rPr>
        <w:t>.</w:t>
      </w:r>
      <w:r w:rsidR="00C23271" w:rsidRPr="00DA2A75">
        <w:rPr>
          <w:i/>
          <w:szCs w:val="28"/>
        </w:rPr>
        <w:t> </w:t>
      </w:r>
      <w:r w:rsidRPr="00DA2A75">
        <w:rPr>
          <w:i/>
          <w:szCs w:val="28"/>
        </w:rPr>
        <w:t>attēlu</w:t>
      </w:r>
      <w:r>
        <w:rPr>
          <w:szCs w:val="28"/>
        </w:rPr>
        <w:t>). Attiecīgi 3.</w:t>
      </w:r>
      <w:r w:rsidR="00C23271">
        <w:rPr>
          <w:szCs w:val="28"/>
        </w:rPr>
        <w:t> </w:t>
      </w:r>
      <w:proofErr w:type="spellStart"/>
      <w:r>
        <w:rPr>
          <w:szCs w:val="28"/>
        </w:rPr>
        <w:t>kvintiles</w:t>
      </w:r>
      <w:proofErr w:type="spellEnd"/>
      <w:r>
        <w:rPr>
          <w:szCs w:val="28"/>
        </w:rPr>
        <w:t xml:space="preserve"> mājsaimniecībām izdevumu īpatsvars par mājokli ir ļoti augsts. Tikai par 0,4 procentpunktiem šo izdevumu īpatsvars ir mazāks vistrūcīgākajā - pirmajā </w:t>
      </w:r>
      <w:proofErr w:type="spellStart"/>
      <w:r>
        <w:rPr>
          <w:szCs w:val="28"/>
        </w:rPr>
        <w:t>kvintilē</w:t>
      </w:r>
      <w:proofErr w:type="spellEnd"/>
      <w:r>
        <w:rPr>
          <w:szCs w:val="28"/>
        </w:rPr>
        <w:t>.</w:t>
      </w:r>
    </w:p>
    <w:p w:rsidR="001F1B09" w:rsidRDefault="001F1B09" w:rsidP="00C23271">
      <w:pPr>
        <w:spacing w:after="0"/>
        <w:ind w:firstLine="0"/>
        <w:jc w:val="center"/>
        <w:rPr>
          <w:sz w:val="24"/>
          <w:szCs w:val="24"/>
        </w:rPr>
      </w:pPr>
      <w:r>
        <w:rPr>
          <w:noProof/>
        </w:rPr>
        <w:drawing>
          <wp:inline distT="0" distB="0" distL="0" distR="0" wp14:anchorId="30DFA6B3" wp14:editId="0F0AED02">
            <wp:extent cx="5427023" cy="2232561"/>
            <wp:effectExtent l="0" t="0" r="21590" b="1587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F1B09" w:rsidRDefault="00C23271" w:rsidP="001F1B09">
      <w:pPr>
        <w:spacing w:after="0" w:line="240" w:lineRule="auto"/>
        <w:ind w:firstLine="0"/>
        <w:jc w:val="both"/>
        <w:rPr>
          <w:sz w:val="20"/>
          <w:szCs w:val="24"/>
        </w:rPr>
      </w:pPr>
      <w:r>
        <w:rPr>
          <w:sz w:val="20"/>
          <w:szCs w:val="24"/>
        </w:rPr>
        <w:t>2</w:t>
      </w:r>
      <w:r w:rsidR="001F1B09">
        <w:rPr>
          <w:sz w:val="20"/>
          <w:szCs w:val="24"/>
        </w:rPr>
        <w:t>.</w:t>
      </w:r>
      <w:r>
        <w:rPr>
          <w:sz w:val="20"/>
          <w:szCs w:val="24"/>
        </w:rPr>
        <w:t> </w:t>
      </w:r>
      <w:r w:rsidR="001F1B09">
        <w:rPr>
          <w:sz w:val="20"/>
          <w:szCs w:val="24"/>
        </w:rPr>
        <w:t xml:space="preserve">attēls. </w:t>
      </w:r>
      <w:r w:rsidR="001F1B09">
        <w:rPr>
          <w:b/>
          <w:sz w:val="20"/>
          <w:szCs w:val="24"/>
        </w:rPr>
        <w:t xml:space="preserve">Mājsaimniecības izdevumi mājoklim, ūdenim, elektroenerģijai, gāzei, </w:t>
      </w:r>
      <w:proofErr w:type="spellStart"/>
      <w:r w:rsidR="001F1B09">
        <w:rPr>
          <w:b/>
          <w:sz w:val="20"/>
          <w:szCs w:val="24"/>
        </w:rPr>
        <w:t>u.c</w:t>
      </w:r>
      <w:proofErr w:type="spellEnd"/>
      <w:r w:rsidR="001F1B09">
        <w:rPr>
          <w:b/>
          <w:sz w:val="20"/>
          <w:szCs w:val="24"/>
        </w:rPr>
        <w:t xml:space="preserve">. kurināmajam </w:t>
      </w:r>
      <w:proofErr w:type="spellStart"/>
      <w:r w:rsidR="001F1B09">
        <w:rPr>
          <w:b/>
          <w:sz w:val="20"/>
          <w:szCs w:val="24"/>
        </w:rPr>
        <w:t>kvintiļu</w:t>
      </w:r>
      <w:proofErr w:type="spellEnd"/>
      <w:r w:rsidR="001F1B09">
        <w:rPr>
          <w:b/>
          <w:sz w:val="20"/>
          <w:szCs w:val="24"/>
        </w:rPr>
        <w:t xml:space="preserve"> grupās vidēji uz vienu mājsaimniecības locekli mēnesī.</w:t>
      </w:r>
    </w:p>
    <w:p w:rsidR="001F1B09" w:rsidRPr="00C23271" w:rsidRDefault="001F1B09" w:rsidP="001F1B09">
      <w:pPr>
        <w:spacing w:after="0" w:line="240" w:lineRule="auto"/>
        <w:ind w:firstLine="0"/>
        <w:rPr>
          <w:i/>
          <w:sz w:val="20"/>
          <w:szCs w:val="24"/>
        </w:rPr>
      </w:pPr>
      <w:r w:rsidRPr="00C23271">
        <w:rPr>
          <w:i/>
          <w:sz w:val="20"/>
          <w:szCs w:val="24"/>
        </w:rPr>
        <w:t>Avots: Centrālā statistikas pārvalde</w:t>
      </w:r>
    </w:p>
    <w:p w:rsidR="001F1B09" w:rsidRDefault="001F1B09" w:rsidP="001F1B09">
      <w:pPr>
        <w:spacing w:after="0"/>
        <w:rPr>
          <w:b/>
          <w:sz w:val="24"/>
          <w:szCs w:val="24"/>
        </w:rPr>
      </w:pPr>
    </w:p>
    <w:p w:rsidR="001F1B09" w:rsidRPr="00B476C0" w:rsidRDefault="001F1B09" w:rsidP="00DA2A75">
      <w:pPr>
        <w:spacing w:line="240" w:lineRule="auto"/>
        <w:jc w:val="both"/>
        <w:rPr>
          <w:szCs w:val="28"/>
        </w:rPr>
      </w:pPr>
      <w:r w:rsidRPr="00B476C0">
        <w:rPr>
          <w:szCs w:val="28"/>
        </w:rPr>
        <w:t xml:space="preserve">Vērtējot iedzīvotāju </w:t>
      </w:r>
      <w:r w:rsidR="00B90AF2">
        <w:rPr>
          <w:szCs w:val="28"/>
        </w:rPr>
        <w:t>ie</w:t>
      </w:r>
      <w:r w:rsidRPr="00B476C0">
        <w:rPr>
          <w:szCs w:val="28"/>
        </w:rPr>
        <w:t>spēj</w:t>
      </w:r>
      <w:r w:rsidR="00B90AF2">
        <w:rPr>
          <w:szCs w:val="28"/>
        </w:rPr>
        <w:t xml:space="preserve">as </w:t>
      </w:r>
      <w:r w:rsidRPr="00B476C0">
        <w:rPr>
          <w:szCs w:val="28"/>
        </w:rPr>
        <w:t xml:space="preserve">norēķināties par mājokli pēc ienākumiem, jāuzsver, ka tā nav tikai trūcīgo iedzīvotāju problēma. Kā redzams </w:t>
      </w:r>
      <w:r w:rsidR="00C23271">
        <w:rPr>
          <w:szCs w:val="28"/>
        </w:rPr>
        <w:t>3</w:t>
      </w:r>
      <w:r w:rsidRPr="00B476C0">
        <w:rPr>
          <w:szCs w:val="28"/>
        </w:rPr>
        <w:t>.</w:t>
      </w:r>
      <w:r w:rsidR="00C23271">
        <w:rPr>
          <w:szCs w:val="28"/>
        </w:rPr>
        <w:t> </w:t>
      </w:r>
      <w:r w:rsidRPr="00B476C0">
        <w:rPr>
          <w:szCs w:val="28"/>
        </w:rPr>
        <w:t>attēlā, gandrīz pusei 1.</w:t>
      </w:r>
      <w:r w:rsidR="00C23271">
        <w:rPr>
          <w:szCs w:val="28"/>
        </w:rPr>
        <w:t> </w:t>
      </w:r>
      <w:proofErr w:type="spellStart"/>
      <w:r w:rsidRPr="00B476C0">
        <w:rPr>
          <w:szCs w:val="28"/>
        </w:rPr>
        <w:t>kvintilē</w:t>
      </w:r>
      <w:proofErr w:type="spellEnd"/>
      <w:r w:rsidRPr="00B476C0">
        <w:rPr>
          <w:szCs w:val="28"/>
        </w:rPr>
        <w:t xml:space="preserve"> dzīvojošajiem (nabadzīgākā iedzīvotāju daļa) trūkst līdzekļu, lai norēķinātos par mājokli. Salīdzinoši lielai daļai – gandrīz trešdaļai 2.</w:t>
      </w:r>
      <w:r w:rsidR="00C23271">
        <w:rPr>
          <w:szCs w:val="28"/>
        </w:rPr>
        <w:t> </w:t>
      </w:r>
      <w:proofErr w:type="spellStart"/>
      <w:r w:rsidRPr="00B476C0">
        <w:rPr>
          <w:szCs w:val="28"/>
        </w:rPr>
        <w:t>kvintilē</w:t>
      </w:r>
      <w:proofErr w:type="spellEnd"/>
      <w:r w:rsidRPr="00B476C0">
        <w:rPr>
          <w:szCs w:val="28"/>
        </w:rPr>
        <w:t xml:space="preserve"> esošajām mājsaimniecībām ir grūtības samaksāt par komunālajiem, īres vai kredīta maksājumiem. Jāatzīmē, ka 1. un 2. </w:t>
      </w:r>
      <w:proofErr w:type="spellStart"/>
      <w:r w:rsidRPr="00B476C0">
        <w:rPr>
          <w:szCs w:val="28"/>
        </w:rPr>
        <w:t>kvintilē</w:t>
      </w:r>
      <w:proofErr w:type="spellEnd"/>
      <w:r w:rsidRPr="00B476C0">
        <w:rPr>
          <w:szCs w:val="28"/>
        </w:rPr>
        <w:t xml:space="preserve"> mājsaimniecību īpatsvars, kurām trūkst finanšu līdzekļu, kopš 2008.gadā ir pieaudzis vairāk kā 2 reizes. </w:t>
      </w:r>
    </w:p>
    <w:p w:rsidR="001F1B09" w:rsidRDefault="001F1B09" w:rsidP="001F1B09">
      <w:pPr>
        <w:ind w:firstLine="0"/>
        <w:jc w:val="center"/>
        <w:rPr>
          <w:sz w:val="24"/>
          <w:szCs w:val="24"/>
        </w:rPr>
      </w:pPr>
      <w:r>
        <w:rPr>
          <w:noProof/>
        </w:rPr>
        <w:lastRenderedPageBreak/>
        <w:drawing>
          <wp:inline distT="0" distB="0" distL="0" distR="0" wp14:anchorId="25DF76C0" wp14:editId="08DB6252">
            <wp:extent cx="5510150" cy="2185059"/>
            <wp:effectExtent l="0" t="0" r="14605" b="247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F1B09" w:rsidRPr="005C2181" w:rsidRDefault="00C23271" w:rsidP="001F1B09">
      <w:pPr>
        <w:spacing w:after="0" w:line="240" w:lineRule="auto"/>
        <w:ind w:firstLine="0"/>
        <w:jc w:val="both"/>
        <w:rPr>
          <w:b/>
          <w:sz w:val="20"/>
          <w:szCs w:val="24"/>
        </w:rPr>
      </w:pPr>
      <w:r>
        <w:rPr>
          <w:b/>
          <w:sz w:val="20"/>
          <w:szCs w:val="24"/>
        </w:rPr>
        <w:t>3</w:t>
      </w:r>
      <w:r w:rsidR="001F1B09" w:rsidRPr="005C2181">
        <w:rPr>
          <w:b/>
          <w:sz w:val="20"/>
          <w:szCs w:val="24"/>
        </w:rPr>
        <w:t>.</w:t>
      </w:r>
      <w:r>
        <w:rPr>
          <w:b/>
          <w:sz w:val="20"/>
          <w:szCs w:val="24"/>
        </w:rPr>
        <w:t> </w:t>
      </w:r>
      <w:r w:rsidR="001F1B09" w:rsidRPr="005C2181">
        <w:rPr>
          <w:b/>
          <w:sz w:val="20"/>
          <w:szCs w:val="24"/>
        </w:rPr>
        <w:t xml:space="preserve">attēls. Mājsaimniecību īpatsvars </w:t>
      </w:r>
      <w:proofErr w:type="spellStart"/>
      <w:r w:rsidR="001F1B09" w:rsidRPr="005C2181">
        <w:rPr>
          <w:b/>
          <w:sz w:val="20"/>
          <w:szCs w:val="24"/>
        </w:rPr>
        <w:t>kvintiļu</w:t>
      </w:r>
      <w:proofErr w:type="spellEnd"/>
      <w:r w:rsidR="001F1B09" w:rsidRPr="005C2181">
        <w:rPr>
          <w:b/>
          <w:sz w:val="20"/>
          <w:szCs w:val="24"/>
        </w:rPr>
        <w:t xml:space="preserve"> grupās, kuras naudas trūkuma dēļ nevarēja atļauties segt komunālo pakalpojumu rēķinus, īri vai atmaksāt kredītu.</w:t>
      </w:r>
    </w:p>
    <w:p w:rsidR="001F1B09" w:rsidRPr="00C23271" w:rsidRDefault="001F1B09" w:rsidP="001F1B09">
      <w:pPr>
        <w:spacing w:after="0" w:line="240" w:lineRule="auto"/>
        <w:ind w:firstLine="0"/>
        <w:rPr>
          <w:i/>
          <w:sz w:val="20"/>
          <w:szCs w:val="24"/>
        </w:rPr>
      </w:pPr>
      <w:r w:rsidRPr="00C23271">
        <w:rPr>
          <w:i/>
          <w:sz w:val="20"/>
          <w:szCs w:val="24"/>
        </w:rPr>
        <w:t>Avots: Centrālā statistikas pārvalde</w:t>
      </w:r>
    </w:p>
    <w:p w:rsidR="001F1B09" w:rsidRDefault="001F1B09" w:rsidP="001F1B09">
      <w:pPr>
        <w:spacing w:after="0" w:line="240" w:lineRule="auto"/>
        <w:jc w:val="both"/>
        <w:rPr>
          <w:szCs w:val="28"/>
        </w:rPr>
      </w:pPr>
    </w:p>
    <w:p w:rsidR="00D416B9" w:rsidRDefault="00D416B9" w:rsidP="001F1B09">
      <w:pPr>
        <w:spacing w:after="0" w:line="240" w:lineRule="auto"/>
        <w:jc w:val="both"/>
        <w:rPr>
          <w:szCs w:val="28"/>
        </w:rPr>
      </w:pPr>
      <w:r>
        <w:rPr>
          <w:rFonts w:eastAsia="Calibri"/>
          <w:color w:val="000000" w:themeColor="text1"/>
          <w:szCs w:val="28"/>
          <w:lang w:eastAsia="en-US"/>
        </w:rPr>
        <w:t xml:space="preserve">Ņemot vērā, ka </w:t>
      </w:r>
      <w:r w:rsidR="00C23271">
        <w:rPr>
          <w:rFonts w:eastAsia="Calibri"/>
          <w:color w:val="000000" w:themeColor="text1"/>
          <w:szCs w:val="28"/>
          <w:lang w:eastAsia="en-US"/>
        </w:rPr>
        <w:t>OIK</w:t>
      </w:r>
      <w:r w:rsidR="001F1B09">
        <w:rPr>
          <w:rFonts w:eastAsia="Calibri"/>
          <w:color w:val="000000" w:themeColor="text1"/>
          <w:szCs w:val="28"/>
          <w:lang w:eastAsia="en-US"/>
        </w:rPr>
        <w:t xml:space="preserve"> pieaugums</w:t>
      </w:r>
      <w:r w:rsidR="001F1B09" w:rsidRPr="003E2E63">
        <w:rPr>
          <w:rFonts w:eastAsia="Calibri"/>
          <w:color w:val="000000" w:themeColor="text1"/>
          <w:szCs w:val="28"/>
          <w:lang w:eastAsia="en-US"/>
        </w:rPr>
        <w:t xml:space="preserve"> varētu atstāt zināmu iespaidu uz mājsaimniecību </w:t>
      </w:r>
      <w:r>
        <w:rPr>
          <w:rFonts w:eastAsia="Calibri"/>
          <w:color w:val="000000" w:themeColor="text1"/>
          <w:szCs w:val="28"/>
          <w:lang w:eastAsia="en-US"/>
        </w:rPr>
        <w:t xml:space="preserve">izdevumiem </w:t>
      </w:r>
      <w:r w:rsidR="001F1B09" w:rsidRPr="003E2E63">
        <w:rPr>
          <w:rFonts w:eastAsia="Calibri"/>
          <w:color w:val="000000" w:themeColor="text1"/>
          <w:szCs w:val="28"/>
          <w:lang w:eastAsia="en-US"/>
        </w:rPr>
        <w:t>par elektroenerģiju</w:t>
      </w:r>
      <w:r>
        <w:rPr>
          <w:rFonts w:eastAsia="Calibri"/>
          <w:color w:val="000000" w:themeColor="text1"/>
          <w:szCs w:val="28"/>
          <w:lang w:eastAsia="en-US"/>
        </w:rPr>
        <w:t xml:space="preserve">, tad ir svarīgi </w:t>
      </w:r>
      <w:r w:rsidR="001F1B09" w:rsidRPr="003E2E63">
        <w:rPr>
          <w:rFonts w:eastAsia="Calibri"/>
          <w:b/>
          <w:color w:val="000000" w:themeColor="text1"/>
          <w:szCs w:val="28"/>
          <w:lang w:eastAsia="en-US"/>
        </w:rPr>
        <w:t>identificēt</w:t>
      </w:r>
      <w:r w:rsidR="001F1B09" w:rsidRPr="003E2E63">
        <w:rPr>
          <w:rFonts w:eastAsia="Calibri"/>
          <w:color w:val="000000" w:themeColor="text1"/>
          <w:szCs w:val="28"/>
          <w:lang w:eastAsia="en-US"/>
        </w:rPr>
        <w:t xml:space="preserve"> </w:t>
      </w:r>
      <w:r w:rsidR="001F1B09" w:rsidRPr="003E2E63">
        <w:rPr>
          <w:rFonts w:eastAsia="Calibri"/>
          <w:b/>
          <w:color w:val="000000" w:themeColor="text1"/>
          <w:szCs w:val="28"/>
          <w:lang w:eastAsia="en-US"/>
        </w:rPr>
        <w:t>sociāli mazaizsargātās iedzīvotāju grupas, kurām var būt grūtības norēķināties par patērēto enerģiju</w:t>
      </w:r>
      <w:r>
        <w:rPr>
          <w:rFonts w:eastAsia="Calibri"/>
          <w:b/>
          <w:color w:val="000000" w:themeColor="text1"/>
          <w:szCs w:val="28"/>
          <w:lang w:eastAsia="en-US"/>
        </w:rPr>
        <w:t>.</w:t>
      </w:r>
      <w:r w:rsidRPr="003E2E63">
        <w:rPr>
          <w:rFonts w:eastAsia="Calibri"/>
          <w:color w:val="000000" w:themeColor="text1"/>
          <w:szCs w:val="28"/>
          <w:lang w:eastAsia="en-US"/>
        </w:rPr>
        <w:t xml:space="preserve"> Līdz ar to</w:t>
      </w:r>
      <w:r>
        <w:rPr>
          <w:rFonts w:eastAsia="Calibri"/>
          <w:color w:val="000000" w:themeColor="text1"/>
          <w:szCs w:val="28"/>
          <w:lang w:eastAsia="en-US"/>
        </w:rPr>
        <w:t>,</w:t>
      </w:r>
      <w:r w:rsidRPr="003E2E63">
        <w:rPr>
          <w:rFonts w:eastAsia="Calibri"/>
          <w:color w:val="000000" w:themeColor="text1"/>
          <w:szCs w:val="28"/>
          <w:lang w:eastAsia="en-US"/>
        </w:rPr>
        <w:t xml:space="preserve"> izskatot informatīvo ziņojumu „Par Latvijas elektroenerģijas tirgus pilnīgu atvēršanu”</w:t>
      </w:r>
      <w:r>
        <w:rPr>
          <w:rFonts w:eastAsia="Calibri"/>
          <w:color w:val="000000" w:themeColor="text1"/>
          <w:szCs w:val="28"/>
          <w:lang w:eastAsia="en-US"/>
        </w:rPr>
        <w:t>,</w:t>
      </w:r>
      <w:r w:rsidRPr="003E2E63">
        <w:rPr>
          <w:rFonts w:eastAsia="Calibri"/>
          <w:color w:val="000000" w:themeColor="text1"/>
          <w:szCs w:val="28"/>
          <w:lang w:eastAsia="en-US"/>
        </w:rPr>
        <w:t xml:space="preserve"> ar Ministru kabineta 2012.</w:t>
      </w:r>
      <w:r>
        <w:rPr>
          <w:rFonts w:eastAsia="Calibri"/>
          <w:color w:val="000000" w:themeColor="text1"/>
          <w:szCs w:val="28"/>
          <w:lang w:eastAsia="en-US"/>
        </w:rPr>
        <w:t> </w:t>
      </w:r>
      <w:r w:rsidRPr="003E2E63">
        <w:rPr>
          <w:rFonts w:eastAsia="Calibri"/>
          <w:color w:val="000000" w:themeColor="text1"/>
          <w:szCs w:val="28"/>
          <w:lang w:eastAsia="en-US"/>
        </w:rPr>
        <w:t>gada 20.</w:t>
      </w:r>
      <w:r>
        <w:rPr>
          <w:rFonts w:eastAsia="Calibri"/>
          <w:color w:val="000000" w:themeColor="text1"/>
          <w:szCs w:val="28"/>
          <w:lang w:eastAsia="en-US"/>
        </w:rPr>
        <w:t> </w:t>
      </w:r>
      <w:r w:rsidRPr="003E2E63">
        <w:rPr>
          <w:rFonts w:eastAsia="Calibri"/>
          <w:color w:val="000000" w:themeColor="text1"/>
          <w:szCs w:val="28"/>
          <w:lang w:eastAsia="en-US"/>
        </w:rPr>
        <w:t>novembra sēdes protokollēmuma Nr.65 34. §, 4.</w:t>
      </w:r>
      <w:r>
        <w:rPr>
          <w:rFonts w:eastAsia="Calibri"/>
          <w:color w:val="000000" w:themeColor="text1"/>
          <w:szCs w:val="28"/>
          <w:lang w:eastAsia="en-US"/>
        </w:rPr>
        <w:t> </w:t>
      </w:r>
      <w:r w:rsidRPr="003E2E63">
        <w:rPr>
          <w:rFonts w:eastAsia="Calibri"/>
          <w:color w:val="000000" w:themeColor="text1"/>
          <w:szCs w:val="28"/>
          <w:lang w:eastAsia="en-US"/>
        </w:rPr>
        <w:t>punktu Labklājības ministrijai noteikts uzdevums, izstrādā</w:t>
      </w:r>
      <w:r>
        <w:rPr>
          <w:rFonts w:eastAsia="Calibri"/>
          <w:color w:val="000000" w:themeColor="text1"/>
          <w:szCs w:val="28"/>
          <w:lang w:eastAsia="en-US"/>
        </w:rPr>
        <w:t xml:space="preserve">t </w:t>
      </w:r>
      <w:r w:rsidRPr="003E2E63">
        <w:rPr>
          <w:rFonts w:eastAsia="Calibri"/>
          <w:color w:val="000000" w:themeColor="text1"/>
          <w:szCs w:val="28"/>
          <w:lang w:eastAsia="en-US"/>
        </w:rPr>
        <w:t xml:space="preserve">priekšlikumus sociālās drošības sistēmas pilnveidošanai, kas jāiesniedz Valsts </w:t>
      </w:r>
      <w:r w:rsidR="00130481" w:rsidRPr="003E2E63">
        <w:rPr>
          <w:rFonts w:eastAsia="Calibri"/>
          <w:color w:val="000000" w:themeColor="text1"/>
          <w:szCs w:val="28"/>
          <w:lang w:eastAsia="en-US"/>
        </w:rPr>
        <w:t>kancelej</w:t>
      </w:r>
      <w:r w:rsidR="00130481">
        <w:rPr>
          <w:rFonts w:eastAsia="Calibri"/>
          <w:color w:val="000000" w:themeColor="text1"/>
          <w:szCs w:val="28"/>
          <w:lang w:eastAsia="en-US"/>
        </w:rPr>
        <w:t>ā</w:t>
      </w:r>
      <w:r w:rsidR="00130481" w:rsidRPr="003E2E63">
        <w:rPr>
          <w:rFonts w:eastAsia="Calibri"/>
          <w:color w:val="000000" w:themeColor="text1"/>
          <w:szCs w:val="28"/>
          <w:lang w:eastAsia="en-US"/>
        </w:rPr>
        <w:t xml:space="preserve"> </w:t>
      </w:r>
      <w:r w:rsidRPr="003E2E63">
        <w:rPr>
          <w:rFonts w:eastAsia="Calibri"/>
          <w:color w:val="000000" w:themeColor="text1"/>
          <w:szCs w:val="28"/>
          <w:lang w:eastAsia="en-US"/>
        </w:rPr>
        <w:t>līdz 2013. gada 1. </w:t>
      </w:r>
      <w:r>
        <w:rPr>
          <w:rFonts w:eastAsia="Calibri"/>
          <w:color w:val="000000" w:themeColor="text1"/>
          <w:szCs w:val="28"/>
          <w:lang w:eastAsia="en-US"/>
        </w:rPr>
        <w:t>a</w:t>
      </w:r>
      <w:r w:rsidRPr="003E2E63">
        <w:rPr>
          <w:rFonts w:eastAsia="Calibri"/>
          <w:color w:val="000000" w:themeColor="text1"/>
          <w:szCs w:val="28"/>
          <w:lang w:eastAsia="en-US"/>
        </w:rPr>
        <w:t>ugustam</w:t>
      </w:r>
      <w:r>
        <w:rPr>
          <w:rFonts w:eastAsia="Calibri"/>
          <w:color w:val="000000" w:themeColor="text1"/>
          <w:szCs w:val="28"/>
          <w:lang w:eastAsia="en-US"/>
        </w:rPr>
        <w:t xml:space="preserve">. </w:t>
      </w:r>
    </w:p>
    <w:p w:rsidR="001F1B09" w:rsidRDefault="001F1B09" w:rsidP="001F1B09">
      <w:pPr>
        <w:spacing w:after="0" w:line="240" w:lineRule="auto"/>
        <w:jc w:val="both"/>
        <w:rPr>
          <w:szCs w:val="28"/>
        </w:rPr>
      </w:pPr>
      <w:r>
        <w:rPr>
          <w:szCs w:val="28"/>
        </w:rPr>
        <w:t xml:space="preserve">Iepriekšējās nodaļās minētie </w:t>
      </w:r>
      <w:r w:rsidRPr="006E067F">
        <w:rPr>
          <w:szCs w:val="28"/>
        </w:rPr>
        <w:t xml:space="preserve">elektroenerģijas kopējās cenas pieauguma </w:t>
      </w:r>
      <w:r>
        <w:rPr>
          <w:szCs w:val="28"/>
        </w:rPr>
        <w:t xml:space="preserve"> samazinājuma risinājumi ir vērsti uz enerģētiskās nabadzības samazināšanu. Viens no enerģētiskās nabadzības tiešiem mazināšanas risinājumiem ir atbalsts iedzīvotājiem pabalstu veidā, izmantojot sociālās palīdzības sistēmu</w:t>
      </w:r>
      <w:r w:rsidR="00D416B9">
        <w:rPr>
          <w:szCs w:val="28"/>
        </w:rPr>
        <w:t xml:space="preserve">. </w:t>
      </w:r>
    </w:p>
    <w:p w:rsidR="001F1B09" w:rsidRPr="006152E2" w:rsidRDefault="001F1B09" w:rsidP="001F1B09">
      <w:pPr>
        <w:spacing w:after="0" w:line="240" w:lineRule="auto"/>
        <w:jc w:val="both"/>
        <w:rPr>
          <w:color w:val="000000" w:themeColor="text1"/>
          <w:szCs w:val="28"/>
        </w:rPr>
      </w:pPr>
      <w:r w:rsidRPr="006152E2">
        <w:rPr>
          <w:color w:val="000000" w:themeColor="text1"/>
          <w:szCs w:val="28"/>
        </w:rPr>
        <w:t xml:space="preserve">Atbilstoši likuma „Par palīdzību dzīvokļa jautājumu risināšanā” 25. pantam pašvaldībai ir tiesības maksāt </w:t>
      </w:r>
      <w:r w:rsidRPr="006152E2">
        <w:rPr>
          <w:b/>
          <w:color w:val="000000" w:themeColor="text1"/>
          <w:szCs w:val="28"/>
        </w:rPr>
        <w:t>dzīvokļa pabalstu</w:t>
      </w:r>
      <w:r w:rsidRPr="006152E2">
        <w:rPr>
          <w:color w:val="000000" w:themeColor="text1"/>
          <w:szCs w:val="28"/>
        </w:rPr>
        <w:t xml:space="preserve">, kas ir paredzēts dzīvojamās telpas īres maksas un maksas par pakalpojumiem, kas saistīti ar dzīvojamās telpas lietošanu, segšanai. </w:t>
      </w:r>
    </w:p>
    <w:p w:rsidR="001F1B09" w:rsidRPr="006152E2" w:rsidRDefault="001F1B09" w:rsidP="00A272A7">
      <w:pPr>
        <w:autoSpaceDE w:val="0"/>
        <w:autoSpaceDN w:val="0"/>
        <w:adjustRightInd w:val="0"/>
        <w:spacing w:after="0" w:line="240" w:lineRule="auto"/>
        <w:jc w:val="both"/>
        <w:rPr>
          <w:color w:val="000000"/>
          <w:szCs w:val="28"/>
        </w:rPr>
      </w:pPr>
      <w:r w:rsidRPr="006152E2">
        <w:rPr>
          <w:szCs w:val="28"/>
        </w:rPr>
        <w:t>Lai nodrošinātu sabalansētu resursu pieejamību visām pašvaldībām, izstrādājot 2013.</w:t>
      </w:r>
      <w:r w:rsidR="00C23271">
        <w:rPr>
          <w:szCs w:val="28"/>
        </w:rPr>
        <w:t> </w:t>
      </w:r>
      <w:r w:rsidRPr="006152E2">
        <w:rPr>
          <w:szCs w:val="28"/>
        </w:rPr>
        <w:t xml:space="preserve">gada budžeta projektu, tika meklēts jauns risinājums, kā nodrošināt finanšu resursus tām pašvaldībām, kam finansējums ir visierobežotākais. </w:t>
      </w:r>
      <w:r w:rsidRPr="006152E2">
        <w:rPr>
          <w:color w:val="000000"/>
          <w:szCs w:val="28"/>
        </w:rPr>
        <w:t>Ņemot vērā minēto, 2013.</w:t>
      </w:r>
      <w:r w:rsidR="00C23271">
        <w:rPr>
          <w:color w:val="000000"/>
          <w:szCs w:val="28"/>
        </w:rPr>
        <w:t> </w:t>
      </w:r>
      <w:r w:rsidRPr="006152E2">
        <w:rPr>
          <w:color w:val="000000"/>
          <w:szCs w:val="28"/>
        </w:rPr>
        <w:t>gadā papildu tiek piešķirts valsts budžeta finansējums 89 novadu pašvaldībām, kurām ir visierobežotākie finanšu resursi, tā pakāpeniski mazinot reģionālo nevienlīdzību finanšu resursu pieejamības ziņā. Tāpat 2013.</w:t>
      </w:r>
      <w:r w:rsidR="00C23271">
        <w:rPr>
          <w:color w:val="000000"/>
          <w:szCs w:val="28"/>
        </w:rPr>
        <w:t> </w:t>
      </w:r>
      <w:r w:rsidRPr="006152E2">
        <w:rPr>
          <w:color w:val="000000"/>
          <w:szCs w:val="28"/>
        </w:rPr>
        <w:t>gadā tiek piešķirts valsts budžeta finansējums 4 republikas pilsētu pašvaldībām - Daugavpils, Rēzeknes, Jēkabpils un Liepājas pašvaldībām, jo tām ir zemākie vērtētie ieņēmumi uz vienu iedzīvotāju pēc pašvaldību finanšu izlīdzināšanas.</w:t>
      </w:r>
    </w:p>
    <w:p w:rsidR="001F1B09" w:rsidRDefault="001F1B09" w:rsidP="00A272A7">
      <w:pPr>
        <w:spacing w:after="0" w:line="240" w:lineRule="auto"/>
        <w:jc w:val="both"/>
        <w:rPr>
          <w:szCs w:val="28"/>
        </w:rPr>
      </w:pPr>
      <w:r w:rsidRPr="006152E2">
        <w:rPr>
          <w:szCs w:val="28"/>
        </w:rPr>
        <w:t xml:space="preserve">Atbilstoši Sociālo pakalpojumu un sociālās palīdzības </w:t>
      </w:r>
      <w:r w:rsidR="00130481" w:rsidRPr="006152E2">
        <w:rPr>
          <w:szCs w:val="28"/>
        </w:rPr>
        <w:t>likum</w:t>
      </w:r>
      <w:r w:rsidR="00130481">
        <w:rPr>
          <w:szCs w:val="28"/>
        </w:rPr>
        <w:t>a 32. pantā un 35. panta pirmajā un piektajā daļā</w:t>
      </w:r>
      <w:r w:rsidR="00130481" w:rsidRPr="006152E2">
        <w:rPr>
          <w:szCs w:val="28"/>
        </w:rPr>
        <w:t xml:space="preserve"> </w:t>
      </w:r>
      <w:r w:rsidRPr="006152E2">
        <w:rPr>
          <w:szCs w:val="28"/>
        </w:rPr>
        <w:t xml:space="preserve">noteiktajam pašvaldībām no sava pamatbudžeta jāizmaksā dzīvokļa pabalsts par trūcīgām un/vai </w:t>
      </w:r>
      <w:r w:rsidRPr="006152E2">
        <w:rPr>
          <w:szCs w:val="28"/>
        </w:rPr>
        <w:lastRenderedPageBreak/>
        <w:t xml:space="preserve">maznodrošinātām atzītām mājsaimniecībām. Kā redzams </w:t>
      </w:r>
      <w:r w:rsidR="00D8709A">
        <w:rPr>
          <w:szCs w:val="28"/>
        </w:rPr>
        <w:t>4</w:t>
      </w:r>
      <w:r w:rsidRPr="00A65F90">
        <w:rPr>
          <w:szCs w:val="28"/>
        </w:rPr>
        <w:t>.</w:t>
      </w:r>
      <w:r w:rsidR="00D8709A">
        <w:rPr>
          <w:szCs w:val="28"/>
        </w:rPr>
        <w:t> </w:t>
      </w:r>
      <w:r w:rsidRPr="00A65F90">
        <w:rPr>
          <w:szCs w:val="28"/>
        </w:rPr>
        <w:t>attēlā, pašvaldības atbalstu pamatā novirza 1.</w:t>
      </w:r>
      <w:r w:rsidR="00D8709A">
        <w:rPr>
          <w:szCs w:val="28"/>
        </w:rPr>
        <w:t> </w:t>
      </w:r>
      <w:proofErr w:type="spellStart"/>
      <w:r w:rsidRPr="00A65F90">
        <w:rPr>
          <w:szCs w:val="28"/>
        </w:rPr>
        <w:t>kvintiles</w:t>
      </w:r>
      <w:proofErr w:type="spellEnd"/>
      <w:r w:rsidRPr="00A65F90">
        <w:rPr>
          <w:szCs w:val="28"/>
        </w:rPr>
        <w:t xml:space="preserve"> mājsaimniecībām, turklāt šajā attēlā ietverti visi pašvaldību</w:t>
      </w:r>
      <w:r w:rsidRPr="00B476C0">
        <w:rPr>
          <w:szCs w:val="28"/>
        </w:rPr>
        <w:t xml:space="preserve"> sociālie transferti, ne tikai palīdzība mājoklim. </w:t>
      </w:r>
    </w:p>
    <w:p w:rsidR="001F1B09" w:rsidRDefault="001F1B09" w:rsidP="00D8709A">
      <w:pPr>
        <w:spacing w:after="0"/>
        <w:ind w:firstLine="0"/>
        <w:jc w:val="center"/>
        <w:rPr>
          <w:b/>
          <w:sz w:val="24"/>
          <w:szCs w:val="24"/>
        </w:rPr>
      </w:pPr>
      <w:r>
        <w:rPr>
          <w:noProof/>
        </w:rPr>
        <w:drawing>
          <wp:inline distT="0" distB="0" distL="0" distR="0" wp14:anchorId="733D6517" wp14:editId="155C200A">
            <wp:extent cx="4795284" cy="2190307"/>
            <wp:effectExtent l="0" t="0" r="24765" b="196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F1B09" w:rsidRPr="005C2181" w:rsidRDefault="00D8709A" w:rsidP="001F1B09">
      <w:pPr>
        <w:spacing w:after="0" w:line="240" w:lineRule="auto"/>
        <w:ind w:firstLine="0"/>
        <w:rPr>
          <w:b/>
          <w:sz w:val="20"/>
          <w:szCs w:val="24"/>
        </w:rPr>
      </w:pPr>
      <w:r>
        <w:rPr>
          <w:b/>
          <w:sz w:val="20"/>
          <w:szCs w:val="24"/>
        </w:rPr>
        <w:t>4</w:t>
      </w:r>
      <w:r w:rsidR="001F1B09" w:rsidRPr="005C2181">
        <w:rPr>
          <w:b/>
          <w:sz w:val="20"/>
          <w:szCs w:val="24"/>
        </w:rPr>
        <w:t>.</w:t>
      </w:r>
      <w:r>
        <w:rPr>
          <w:b/>
          <w:sz w:val="20"/>
          <w:szCs w:val="24"/>
        </w:rPr>
        <w:t> </w:t>
      </w:r>
      <w:r w:rsidR="001F1B09" w:rsidRPr="005C2181">
        <w:rPr>
          <w:b/>
          <w:sz w:val="20"/>
          <w:szCs w:val="24"/>
        </w:rPr>
        <w:t>attēls. Mājsaimniecību ienākumi no pašvaldību sociālajiem transfertiem 2011.</w:t>
      </w:r>
      <w:r w:rsidR="00993C7C">
        <w:rPr>
          <w:b/>
          <w:sz w:val="20"/>
          <w:szCs w:val="24"/>
        </w:rPr>
        <w:t xml:space="preserve"> </w:t>
      </w:r>
      <w:r w:rsidR="001F1B09" w:rsidRPr="005C2181">
        <w:rPr>
          <w:b/>
          <w:sz w:val="20"/>
          <w:szCs w:val="24"/>
        </w:rPr>
        <w:t>gadā.</w:t>
      </w:r>
    </w:p>
    <w:p w:rsidR="001F1B09" w:rsidRPr="00DA2A75" w:rsidRDefault="001F1B09" w:rsidP="001F1B09">
      <w:pPr>
        <w:spacing w:after="0" w:line="240" w:lineRule="auto"/>
        <w:ind w:firstLine="0"/>
        <w:rPr>
          <w:i/>
          <w:sz w:val="20"/>
          <w:szCs w:val="24"/>
        </w:rPr>
      </w:pPr>
      <w:r w:rsidRPr="00DA2A75">
        <w:rPr>
          <w:i/>
          <w:sz w:val="20"/>
          <w:szCs w:val="24"/>
        </w:rPr>
        <w:t>Avots: Centrālā statistikas pārvalde</w:t>
      </w:r>
    </w:p>
    <w:p w:rsidR="001F1B09" w:rsidRPr="00B476C0" w:rsidRDefault="001F1B09" w:rsidP="001F1B09">
      <w:pPr>
        <w:spacing w:after="0"/>
        <w:jc w:val="both"/>
        <w:rPr>
          <w:szCs w:val="28"/>
        </w:rPr>
      </w:pPr>
    </w:p>
    <w:p w:rsidR="001F1B09" w:rsidRPr="003E2E63" w:rsidRDefault="001F1B09" w:rsidP="00DA2A75">
      <w:pPr>
        <w:spacing w:after="0" w:line="240" w:lineRule="auto"/>
        <w:jc w:val="both"/>
        <w:rPr>
          <w:color w:val="000000" w:themeColor="text1"/>
        </w:rPr>
      </w:pPr>
      <w:r w:rsidRPr="003E2E63">
        <w:rPr>
          <w:color w:val="000000" w:themeColor="text1"/>
          <w:szCs w:val="28"/>
        </w:rPr>
        <w:t>Atbilstoši Valdības rīcības plānā, Deklarācijas par Valda Dombrovska vadītā Ministru kabineta iecerēto darbību īstenošanai, kas apstiprināts M</w:t>
      </w:r>
      <w:r>
        <w:rPr>
          <w:color w:val="000000" w:themeColor="text1"/>
          <w:szCs w:val="28"/>
        </w:rPr>
        <w:t>inistra kabineta</w:t>
      </w:r>
      <w:r w:rsidRPr="003E2E63">
        <w:rPr>
          <w:color w:val="000000" w:themeColor="text1"/>
          <w:szCs w:val="28"/>
        </w:rPr>
        <w:t xml:space="preserve"> 2012.</w:t>
      </w:r>
      <w:r>
        <w:rPr>
          <w:color w:val="000000" w:themeColor="text1"/>
          <w:szCs w:val="28"/>
        </w:rPr>
        <w:t> </w:t>
      </w:r>
      <w:r w:rsidRPr="003E2E63">
        <w:rPr>
          <w:color w:val="000000" w:themeColor="text1"/>
          <w:szCs w:val="28"/>
        </w:rPr>
        <w:t>gada 16.</w:t>
      </w:r>
      <w:r>
        <w:rPr>
          <w:color w:val="000000" w:themeColor="text1"/>
          <w:szCs w:val="28"/>
        </w:rPr>
        <w:t> </w:t>
      </w:r>
      <w:r w:rsidRPr="003E2E63">
        <w:rPr>
          <w:color w:val="000000" w:themeColor="text1"/>
          <w:szCs w:val="28"/>
        </w:rPr>
        <w:t xml:space="preserve">februārī ar </w:t>
      </w:r>
      <w:r>
        <w:rPr>
          <w:color w:val="000000" w:themeColor="text1"/>
          <w:szCs w:val="28"/>
        </w:rPr>
        <w:t>r</w:t>
      </w:r>
      <w:r w:rsidRPr="003E2E63">
        <w:rPr>
          <w:color w:val="000000" w:themeColor="text1"/>
          <w:szCs w:val="28"/>
        </w:rPr>
        <w:t xml:space="preserve">īkojumu Nr.84, noteiktajam Ekonomikas ministrija sadarbībā ar </w:t>
      </w:r>
      <w:r>
        <w:rPr>
          <w:color w:val="000000" w:themeColor="text1"/>
          <w:szCs w:val="28"/>
        </w:rPr>
        <w:t>Vides aizsardzības un reģionālās attīstības ministriju</w:t>
      </w:r>
      <w:r w:rsidRPr="003E2E63">
        <w:rPr>
          <w:color w:val="000000" w:themeColor="text1"/>
          <w:szCs w:val="28"/>
        </w:rPr>
        <w:t xml:space="preserve"> līdz </w:t>
      </w:r>
      <w:r>
        <w:rPr>
          <w:color w:val="000000" w:themeColor="text1"/>
          <w:szCs w:val="28"/>
        </w:rPr>
        <w:t>2013. gada 15. oktobrim </w:t>
      </w:r>
      <w:r w:rsidRPr="003E2E63">
        <w:rPr>
          <w:color w:val="000000" w:themeColor="text1"/>
          <w:szCs w:val="28"/>
        </w:rPr>
        <w:t xml:space="preserve">paredz izstrādāt vienotus nosacījumus dzīvokļa pabalstu saņemšanai valstī. </w:t>
      </w:r>
      <w:r w:rsidRPr="003E2E63">
        <w:rPr>
          <w:color w:val="000000" w:themeColor="text1"/>
        </w:rPr>
        <w:t>Pamatojoties uz Valdības rīcības plānā (apstiprināts ar M</w:t>
      </w:r>
      <w:r>
        <w:rPr>
          <w:color w:val="000000" w:themeColor="text1"/>
        </w:rPr>
        <w:t>inistru kabineta</w:t>
      </w:r>
      <w:r w:rsidRPr="003E2E63">
        <w:rPr>
          <w:color w:val="000000" w:themeColor="text1"/>
        </w:rPr>
        <w:t xml:space="preserve"> </w:t>
      </w:r>
      <w:r>
        <w:rPr>
          <w:color w:val="000000" w:themeColor="text1"/>
        </w:rPr>
        <w:t xml:space="preserve">2012. gada 16. februāra </w:t>
      </w:r>
      <w:r w:rsidRPr="003E2E63">
        <w:rPr>
          <w:color w:val="000000" w:themeColor="text1"/>
        </w:rPr>
        <w:t>rīkojumu Nr.84 „Par Valdības rīcības plānu Deklarācijas par Valda Dombrovska vadītā Ministru kabineta iecerēto darbību īstenošanai”) noteiktā uzdevuma (17.4.</w:t>
      </w:r>
      <w:r>
        <w:rPr>
          <w:color w:val="000000" w:themeColor="text1"/>
        </w:rPr>
        <w:t> </w:t>
      </w:r>
      <w:r w:rsidRPr="003E2E63">
        <w:rPr>
          <w:color w:val="000000" w:themeColor="text1"/>
        </w:rPr>
        <w:t xml:space="preserve">punktā) – Ekonomikas ministrijai sadarbībā ar Vides aizsardzības un reģionālās attīstības ministriju </w:t>
      </w:r>
      <w:r w:rsidRPr="003E2E63">
        <w:rPr>
          <w:b/>
          <w:color w:val="000000" w:themeColor="text1"/>
        </w:rPr>
        <w:t>līdz 2013.</w:t>
      </w:r>
      <w:r>
        <w:rPr>
          <w:b/>
          <w:color w:val="000000" w:themeColor="text1"/>
        </w:rPr>
        <w:t> </w:t>
      </w:r>
      <w:r w:rsidRPr="003E2E63">
        <w:rPr>
          <w:b/>
          <w:color w:val="000000" w:themeColor="text1"/>
        </w:rPr>
        <w:t>gada 15.</w:t>
      </w:r>
      <w:r>
        <w:rPr>
          <w:b/>
          <w:color w:val="000000" w:themeColor="text1"/>
        </w:rPr>
        <w:t> </w:t>
      </w:r>
      <w:r w:rsidRPr="003E2E63">
        <w:rPr>
          <w:b/>
          <w:color w:val="000000" w:themeColor="text1"/>
        </w:rPr>
        <w:t>oktobrim</w:t>
      </w:r>
      <w:r w:rsidRPr="003E2E63">
        <w:rPr>
          <w:color w:val="000000" w:themeColor="text1"/>
        </w:rPr>
        <w:t xml:space="preserve"> jāizstrādā vienotus nosacījumus dzīvokļa pabalstu saņemšanai valstī.</w:t>
      </w:r>
      <w:r w:rsidR="00D416B9">
        <w:rPr>
          <w:color w:val="000000" w:themeColor="text1"/>
        </w:rPr>
        <w:t xml:space="preserve"> </w:t>
      </w:r>
      <w:r>
        <w:rPr>
          <w:color w:val="000000" w:themeColor="text1"/>
        </w:rPr>
        <w:t xml:space="preserve">Izstrādājot vienotos </w:t>
      </w:r>
      <w:r w:rsidRPr="003E2E63">
        <w:rPr>
          <w:color w:val="000000" w:themeColor="text1"/>
        </w:rPr>
        <w:t>nosacījumus dzīvokļa pabalstu saņemšanai</w:t>
      </w:r>
      <w:r>
        <w:rPr>
          <w:color w:val="000000" w:themeColor="text1"/>
        </w:rPr>
        <w:t xml:space="preserve"> būtu jānodrošina iespēja saņemt </w:t>
      </w:r>
      <w:r w:rsidR="00130481">
        <w:rPr>
          <w:color w:val="000000" w:themeColor="text1"/>
        </w:rPr>
        <w:t xml:space="preserve">sociālās palīdzības </w:t>
      </w:r>
      <w:r>
        <w:rPr>
          <w:color w:val="000000" w:themeColor="text1"/>
        </w:rPr>
        <w:t>pabalstu</w:t>
      </w:r>
      <w:r w:rsidR="00D416B9">
        <w:rPr>
          <w:color w:val="000000" w:themeColor="text1"/>
        </w:rPr>
        <w:t xml:space="preserve"> </w:t>
      </w:r>
      <w:r w:rsidR="00130481">
        <w:rPr>
          <w:color w:val="000000" w:themeColor="text1"/>
        </w:rPr>
        <w:t xml:space="preserve">vismaz </w:t>
      </w:r>
      <w:r>
        <w:rPr>
          <w:color w:val="000000" w:themeColor="text1"/>
        </w:rPr>
        <w:t>elektroenerģijas un siltumenerģijas</w:t>
      </w:r>
      <w:r w:rsidR="00130481">
        <w:rPr>
          <w:color w:val="000000" w:themeColor="text1"/>
        </w:rPr>
        <w:t xml:space="preserve"> izmaksu segšanai</w:t>
      </w:r>
      <w:r>
        <w:rPr>
          <w:color w:val="000000" w:themeColor="text1"/>
        </w:rPr>
        <w:t xml:space="preserve">. </w:t>
      </w:r>
    </w:p>
    <w:p w:rsidR="001F1B09" w:rsidRPr="006152E2" w:rsidRDefault="001F1B09" w:rsidP="00130481">
      <w:pPr>
        <w:spacing w:after="0" w:line="240" w:lineRule="auto"/>
        <w:jc w:val="both"/>
        <w:rPr>
          <w:rFonts w:eastAsia="Calibri"/>
          <w:b/>
          <w:color w:val="000000" w:themeColor="text1"/>
          <w:szCs w:val="28"/>
        </w:rPr>
      </w:pPr>
      <w:r w:rsidRPr="006152E2">
        <w:rPr>
          <w:rFonts w:eastAsia="Calibri"/>
          <w:color w:val="000000" w:themeColor="text1"/>
          <w:szCs w:val="28"/>
        </w:rPr>
        <w:t xml:space="preserve">Lai mazinātu mājokļa atstumtību, tai skaitā iedzīvotāju enerģētisko nabadzību, Labklājības ministrija rosina paredzēt </w:t>
      </w:r>
      <w:r w:rsidRPr="006152E2">
        <w:rPr>
          <w:rFonts w:eastAsia="Calibri"/>
          <w:i/>
          <w:color w:val="000000" w:themeColor="text1"/>
          <w:szCs w:val="28"/>
        </w:rPr>
        <w:t>papildu</w:t>
      </w:r>
      <w:r w:rsidRPr="006152E2">
        <w:rPr>
          <w:rFonts w:eastAsia="Calibri"/>
          <w:color w:val="000000" w:themeColor="text1"/>
          <w:szCs w:val="28"/>
        </w:rPr>
        <w:t xml:space="preserve"> publiskās finanses finansiālās palīdzības sniegšanai </w:t>
      </w:r>
      <w:r w:rsidRPr="006152E2">
        <w:rPr>
          <w:rFonts w:eastAsia="Calibri"/>
          <w:b/>
          <w:color w:val="000000" w:themeColor="text1"/>
          <w:szCs w:val="28"/>
        </w:rPr>
        <w:t>mājsaimniecībām ar zemiem ienākumiem</w:t>
      </w:r>
      <w:r w:rsidR="00130481">
        <w:rPr>
          <w:rFonts w:eastAsia="Calibri"/>
          <w:b/>
          <w:color w:val="000000" w:themeColor="text1"/>
          <w:szCs w:val="28"/>
        </w:rPr>
        <w:t xml:space="preserve"> </w:t>
      </w:r>
      <w:r w:rsidR="00130481">
        <w:rPr>
          <w:rFonts w:eastAsia="Calibri"/>
          <w:color w:val="000000" w:themeColor="text1"/>
          <w:szCs w:val="28"/>
        </w:rPr>
        <w:t xml:space="preserve">(1.līdz 3.ienākumu </w:t>
      </w:r>
      <w:proofErr w:type="spellStart"/>
      <w:r w:rsidR="00130481">
        <w:rPr>
          <w:rFonts w:eastAsia="Calibri"/>
          <w:color w:val="000000" w:themeColor="text1"/>
          <w:szCs w:val="28"/>
        </w:rPr>
        <w:t>kvintile</w:t>
      </w:r>
      <w:proofErr w:type="spellEnd"/>
      <w:r w:rsidR="00130481">
        <w:rPr>
          <w:rFonts w:eastAsia="Calibri"/>
          <w:color w:val="000000" w:themeColor="text1"/>
          <w:szCs w:val="28"/>
        </w:rPr>
        <w:t>)</w:t>
      </w:r>
      <w:r w:rsidR="00130481">
        <w:rPr>
          <w:rStyle w:val="FootnoteReference"/>
          <w:rFonts w:eastAsia="Calibri"/>
          <w:b/>
          <w:color w:val="000000" w:themeColor="text1"/>
          <w:szCs w:val="28"/>
        </w:rPr>
        <w:footnoteReference w:id="6"/>
      </w:r>
      <w:r w:rsidR="00130481">
        <w:rPr>
          <w:rFonts w:eastAsia="Calibri"/>
          <w:sz w:val="24"/>
          <w:szCs w:val="24"/>
        </w:rPr>
        <w:t xml:space="preserve"> </w:t>
      </w:r>
      <w:r w:rsidRPr="001721EB">
        <w:rPr>
          <w:rFonts w:eastAsia="Calibri"/>
          <w:color w:val="000000" w:themeColor="text1"/>
          <w:szCs w:val="28"/>
        </w:rPr>
        <w:t>.</w:t>
      </w:r>
      <w:r w:rsidRPr="006152E2">
        <w:rPr>
          <w:rFonts w:eastAsia="Calibri"/>
          <w:b/>
          <w:color w:val="000000" w:themeColor="text1"/>
          <w:szCs w:val="28"/>
        </w:rPr>
        <w:t xml:space="preserve"> </w:t>
      </w:r>
    </w:p>
    <w:p w:rsidR="001F1B09" w:rsidRDefault="001F1B09" w:rsidP="00130481">
      <w:pPr>
        <w:spacing w:after="0" w:line="240" w:lineRule="auto"/>
        <w:jc w:val="both"/>
        <w:rPr>
          <w:color w:val="000000" w:themeColor="text1"/>
          <w:sz w:val="20"/>
          <w:szCs w:val="20"/>
        </w:rPr>
      </w:pPr>
      <w:r w:rsidRPr="006152E2">
        <w:rPr>
          <w:rFonts w:eastAsia="Calibri"/>
          <w:color w:val="000000" w:themeColor="text1"/>
          <w:szCs w:val="28"/>
        </w:rPr>
        <w:t xml:space="preserve">Tas nozīmē, ka jāparedz publiskās finanses ne tikai par trūcīgām </w:t>
      </w:r>
      <w:r w:rsidR="00130481">
        <w:rPr>
          <w:rFonts w:eastAsia="Calibri"/>
          <w:color w:val="000000" w:themeColor="text1"/>
          <w:szCs w:val="28"/>
        </w:rPr>
        <w:t xml:space="preserve">(ienākumi līdz 90 latiem personai mājsaimniecībā) </w:t>
      </w:r>
      <w:r w:rsidRPr="006152E2">
        <w:rPr>
          <w:rFonts w:eastAsia="Calibri"/>
          <w:color w:val="000000" w:themeColor="text1"/>
          <w:szCs w:val="28"/>
        </w:rPr>
        <w:t xml:space="preserve">atzīto mājsaimniecību  mājokļa izdevumu pilnīgai vai daļējai segšanai, bet arī pārējām pirmajā ienākumu </w:t>
      </w:r>
      <w:proofErr w:type="spellStart"/>
      <w:r w:rsidRPr="006152E2">
        <w:rPr>
          <w:rFonts w:eastAsia="Calibri"/>
          <w:color w:val="000000" w:themeColor="text1"/>
          <w:szCs w:val="28"/>
        </w:rPr>
        <w:t>kvintilē</w:t>
      </w:r>
      <w:proofErr w:type="spellEnd"/>
      <w:r w:rsidRPr="006152E2">
        <w:rPr>
          <w:rFonts w:eastAsia="Calibri"/>
          <w:color w:val="000000" w:themeColor="text1"/>
          <w:szCs w:val="28"/>
        </w:rPr>
        <w:t xml:space="preserve"> ietilpstošajām mājsaimniecībām un papildu daļējas </w:t>
      </w:r>
      <w:r w:rsidRPr="006152E2">
        <w:rPr>
          <w:rFonts w:eastAsia="Calibri"/>
          <w:color w:val="000000" w:themeColor="text1"/>
          <w:szCs w:val="28"/>
        </w:rPr>
        <w:lastRenderedPageBreak/>
        <w:t xml:space="preserve">finansiālas palīdzības sniegšanai mājsaimniecībām otrajā un trešajā ienākumu </w:t>
      </w:r>
      <w:proofErr w:type="spellStart"/>
      <w:r w:rsidRPr="006152E2">
        <w:rPr>
          <w:rFonts w:eastAsia="Calibri"/>
          <w:color w:val="000000" w:themeColor="text1"/>
          <w:szCs w:val="28"/>
        </w:rPr>
        <w:t>kvintilē</w:t>
      </w:r>
      <w:proofErr w:type="spellEnd"/>
      <w:r w:rsidRPr="00A52D96">
        <w:rPr>
          <w:rFonts w:eastAsia="Calibri"/>
          <w:color w:val="000000" w:themeColor="text1"/>
          <w:szCs w:val="28"/>
        </w:rPr>
        <w:t>.</w:t>
      </w:r>
      <w:r w:rsidRPr="00001AF3">
        <w:rPr>
          <w:rFonts w:eastAsia="Calibri"/>
          <w:color w:val="000000" w:themeColor="text1"/>
          <w:szCs w:val="28"/>
        </w:rPr>
        <w:t xml:space="preserve"> </w:t>
      </w:r>
      <w:r w:rsidR="00130481">
        <w:rPr>
          <w:rFonts w:eastAsia="Calibri"/>
          <w:color w:val="000000" w:themeColor="text1"/>
          <w:szCs w:val="28"/>
        </w:rPr>
        <w:t xml:space="preserve">Konkrēti nosacījumi atbalsta sniegšanai mājokļa izdevumu segšanai tiks izstrādāti, sagatavojot </w:t>
      </w:r>
      <w:r w:rsidR="00130481">
        <w:rPr>
          <w:rFonts w:eastAsia="Calibri"/>
          <w:color w:val="000000" w:themeColor="text1"/>
          <w:szCs w:val="28"/>
          <w:lang w:eastAsia="en-US"/>
        </w:rPr>
        <w:t>priekšlikumus sociālās drošības sistēmas pilnveidošanai līdz 2013. gada 1. augustam.</w:t>
      </w:r>
    </w:p>
    <w:p w:rsidR="003D45E1" w:rsidRDefault="003D45E1" w:rsidP="003D45E1">
      <w:pPr>
        <w:spacing w:after="0" w:line="240" w:lineRule="auto"/>
        <w:jc w:val="both"/>
        <w:rPr>
          <w:bCs/>
          <w:szCs w:val="20"/>
        </w:rPr>
      </w:pPr>
    </w:p>
    <w:p w:rsidR="009B671C" w:rsidRDefault="009B671C" w:rsidP="003D45E1">
      <w:pPr>
        <w:spacing w:after="0" w:line="240" w:lineRule="auto"/>
        <w:jc w:val="both"/>
        <w:rPr>
          <w:bCs/>
          <w:szCs w:val="20"/>
        </w:rPr>
      </w:pPr>
    </w:p>
    <w:p w:rsidR="003D45E1" w:rsidRPr="00E814B6" w:rsidRDefault="003D45E1" w:rsidP="003D45E1">
      <w:pPr>
        <w:spacing w:after="0" w:line="240" w:lineRule="auto"/>
        <w:jc w:val="both"/>
        <w:rPr>
          <w:szCs w:val="28"/>
        </w:rPr>
      </w:pPr>
      <w:r w:rsidRPr="00E814B6">
        <w:rPr>
          <w:bCs/>
          <w:szCs w:val="20"/>
        </w:rPr>
        <w:t xml:space="preserve">Iesniedzējs: </w:t>
      </w:r>
    </w:p>
    <w:p w:rsidR="00800AFB" w:rsidRDefault="00800AFB" w:rsidP="00800AFB">
      <w:pPr>
        <w:suppressLineNumbers/>
        <w:spacing w:after="0" w:line="240" w:lineRule="auto"/>
        <w:rPr>
          <w:color w:val="000000"/>
        </w:rPr>
      </w:pPr>
      <w:r>
        <w:rPr>
          <w:color w:val="000000"/>
        </w:rPr>
        <w:t>Ekonomikas ministra pienākumu izpildītājs-</w:t>
      </w:r>
    </w:p>
    <w:p w:rsidR="00800AFB" w:rsidRDefault="00800AFB" w:rsidP="00800AFB">
      <w:pPr>
        <w:suppressLineNumbers/>
        <w:spacing w:after="0" w:line="240" w:lineRule="auto"/>
        <w:rPr>
          <w:color w:val="000000"/>
        </w:rPr>
      </w:pPr>
      <w:r>
        <w:rPr>
          <w:color w:val="000000"/>
        </w:rPr>
        <w:t>Vides aizsardzības un reģionālās attīstības ministrs</w:t>
      </w:r>
      <w:r>
        <w:rPr>
          <w:color w:val="000000"/>
        </w:rPr>
        <w:tab/>
        <w:t xml:space="preserve">         </w:t>
      </w:r>
      <w:proofErr w:type="spellStart"/>
      <w:r>
        <w:rPr>
          <w:color w:val="000000"/>
        </w:rPr>
        <w:t>E.Sprūdžs</w:t>
      </w:r>
      <w:proofErr w:type="spellEnd"/>
    </w:p>
    <w:p w:rsidR="003D45E1" w:rsidRPr="00A96C0C" w:rsidRDefault="003D45E1" w:rsidP="003D45E1">
      <w:pPr>
        <w:pStyle w:val="naisf"/>
        <w:spacing w:before="0" w:after="0"/>
        <w:ind w:firstLine="0"/>
        <w:rPr>
          <w:bCs/>
          <w:sz w:val="28"/>
          <w:szCs w:val="20"/>
        </w:rPr>
      </w:pPr>
    </w:p>
    <w:p w:rsidR="003D45E1" w:rsidRPr="00A96C0C" w:rsidRDefault="003D45E1" w:rsidP="003D45E1">
      <w:pPr>
        <w:pStyle w:val="BodyTextIndent2"/>
        <w:spacing w:after="60" w:line="240" w:lineRule="auto"/>
        <w:ind w:left="0"/>
        <w:rPr>
          <w:rFonts w:ascii="Times New Roman" w:hAnsi="Times New Roman"/>
          <w:sz w:val="28"/>
          <w:szCs w:val="28"/>
        </w:rPr>
      </w:pPr>
      <w:r w:rsidRPr="00A96C0C">
        <w:rPr>
          <w:rFonts w:ascii="Times New Roman" w:hAnsi="Times New Roman"/>
          <w:bCs/>
          <w:sz w:val="28"/>
        </w:rPr>
        <w:t>Vīza:</w:t>
      </w:r>
      <w:r w:rsidRPr="00A96C0C">
        <w:rPr>
          <w:rFonts w:ascii="Times New Roman" w:hAnsi="Times New Roman"/>
          <w:sz w:val="28"/>
          <w:szCs w:val="28"/>
        </w:rPr>
        <w:t xml:space="preserve"> </w:t>
      </w:r>
    </w:p>
    <w:p w:rsidR="003D45E1" w:rsidRPr="00A96C0C" w:rsidRDefault="003D45E1" w:rsidP="003D45E1">
      <w:pPr>
        <w:pStyle w:val="BodyTextIndent2"/>
        <w:spacing w:after="0" w:line="240" w:lineRule="auto"/>
        <w:ind w:left="0"/>
        <w:rPr>
          <w:color w:val="000000"/>
          <w:sz w:val="28"/>
          <w:szCs w:val="28"/>
        </w:rPr>
      </w:pPr>
      <w:r>
        <w:rPr>
          <w:rFonts w:ascii="Times New Roman" w:hAnsi="Times New Roman"/>
          <w:sz w:val="28"/>
          <w:szCs w:val="28"/>
        </w:rPr>
        <w:t>v</w:t>
      </w:r>
      <w:r w:rsidRPr="00A96C0C">
        <w:rPr>
          <w:rFonts w:ascii="Times New Roman" w:hAnsi="Times New Roman"/>
          <w:sz w:val="28"/>
          <w:szCs w:val="28"/>
        </w:rPr>
        <w:t xml:space="preserve">alsts </w:t>
      </w:r>
      <w:r>
        <w:rPr>
          <w:rFonts w:ascii="Times New Roman" w:hAnsi="Times New Roman"/>
          <w:sz w:val="28"/>
          <w:szCs w:val="28"/>
        </w:rPr>
        <w:t>s</w:t>
      </w:r>
      <w:r w:rsidRPr="00A96C0C">
        <w:rPr>
          <w:rFonts w:ascii="Times New Roman" w:hAnsi="Times New Roman"/>
          <w:sz w:val="28"/>
          <w:szCs w:val="28"/>
        </w:rPr>
        <w:t>ekretār</w:t>
      </w:r>
      <w:r>
        <w:rPr>
          <w:rFonts w:ascii="Times New Roman" w:hAnsi="Times New Roman"/>
          <w:sz w:val="28"/>
          <w:szCs w:val="28"/>
        </w:rPr>
        <w: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J.Pūce</w:t>
      </w:r>
    </w:p>
    <w:p w:rsidR="003D45E1" w:rsidRDefault="003D45E1" w:rsidP="0030630B">
      <w:pPr>
        <w:spacing w:line="240" w:lineRule="auto"/>
        <w:jc w:val="both"/>
        <w:rPr>
          <w:color w:val="000000" w:themeColor="text1"/>
          <w:u w:val="single"/>
        </w:rPr>
      </w:pPr>
    </w:p>
    <w:p w:rsidR="003D45E1" w:rsidRDefault="003D45E1" w:rsidP="0030630B">
      <w:pPr>
        <w:spacing w:line="240" w:lineRule="auto"/>
        <w:jc w:val="both"/>
        <w:rPr>
          <w:color w:val="000000" w:themeColor="text1"/>
          <w:u w:val="single"/>
        </w:rPr>
      </w:pPr>
    </w:p>
    <w:p w:rsidR="003D45E1" w:rsidRPr="0007737D" w:rsidRDefault="003D45E1" w:rsidP="003D45E1">
      <w:pPr>
        <w:pStyle w:val="naisf"/>
        <w:spacing w:before="0" w:after="0"/>
        <w:ind w:firstLine="0"/>
        <w:jc w:val="left"/>
        <w:rPr>
          <w:color w:val="000000"/>
          <w:sz w:val="20"/>
          <w:szCs w:val="20"/>
        </w:rPr>
      </w:pPr>
      <w:r>
        <w:rPr>
          <w:color w:val="000000"/>
          <w:sz w:val="20"/>
          <w:szCs w:val="20"/>
        </w:rPr>
        <w:t>2</w:t>
      </w:r>
      <w:r w:rsidR="00B35D8D">
        <w:rPr>
          <w:color w:val="000000"/>
          <w:sz w:val="20"/>
          <w:szCs w:val="20"/>
        </w:rPr>
        <w:t>8</w:t>
      </w:r>
      <w:r w:rsidRPr="0007737D">
        <w:rPr>
          <w:color w:val="000000"/>
          <w:sz w:val="20"/>
          <w:szCs w:val="20"/>
        </w:rPr>
        <w:t xml:space="preserve">.03.2013. </w:t>
      </w:r>
      <w:r w:rsidR="00F56526">
        <w:rPr>
          <w:color w:val="000000"/>
          <w:sz w:val="20"/>
          <w:szCs w:val="20"/>
        </w:rPr>
        <w:t>1</w:t>
      </w:r>
      <w:r w:rsidR="00E84425">
        <w:rPr>
          <w:color w:val="000000"/>
          <w:sz w:val="20"/>
          <w:szCs w:val="20"/>
        </w:rPr>
        <w:t>4</w:t>
      </w:r>
      <w:r w:rsidR="00763C71">
        <w:rPr>
          <w:color w:val="000000"/>
          <w:sz w:val="20"/>
          <w:szCs w:val="20"/>
        </w:rPr>
        <w:t>:</w:t>
      </w:r>
      <w:r w:rsidR="00321F5C">
        <w:rPr>
          <w:color w:val="000000"/>
          <w:sz w:val="20"/>
          <w:szCs w:val="20"/>
        </w:rPr>
        <w:t>2</w:t>
      </w:r>
      <w:r w:rsidR="005062B8">
        <w:rPr>
          <w:color w:val="000000"/>
          <w:sz w:val="20"/>
          <w:szCs w:val="20"/>
        </w:rPr>
        <w:t>7</w:t>
      </w:r>
      <w:bookmarkStart w:id="64" w:name="_GoBack"/>
      <w:bookmarkEnd w:id="64"/>
    </w:p>
    <w:p w:rsidR="003D45E1" w:rsidRPr="0007737D" w:rsidRDefault="00F56526" w:rsidP="003D45E1">
      <w:pPr>
        <w:pStyle w:val="naisf"/>
        <w:spacing w:before="0" w:after="0"/>
        <w:ind w:firstLine="0"/>
        <w:jc w:val="left"/>
        <w:rPr>
          <w:color w:val="000000"/>
          <w:sz w:val="20"/>
          <w:szCs w:val="20"/>
        </w:rPr>
      </w:pPr>
      <w:r>
        <w:rPr>
          <w:color w:val="000000"/>
          <w:sz w:val="20"/>
          <w:szCs w:val="20"/>
        </w:rPr>
        <w:t>82</w:t>
      </w:r>
      <w:r w:rsidR="00763C71">
        <w:rPr>
          <w:color w:val="000000"/>
          <w:sz w:val="20"/>
          <w:szCs w:val="20"/>
        </w:rPr>
        <w:t>90</w:t>
      </w:r>
    </w:p>
    <w:p w:rsidR="003D45E1" w:rsidRPr="0078708F" w:rsidRDefault="003D45E1" w:rsidP="003D45E1">
      <w:pPr>
        <w:pStyle w:val="naisf"/>
        <w:spacing w:before="0" w:after="0"/>
        <w:ind w:firstLine="0"/>
        <w:jc w:val="left"/>
        <w:rPr>
          <w:color w:val="000000" w:themeColor="text1"/>
          <w:sz w:val="20"/>
          <w:szCs w:val="20"/>
        </w:rPr>
      </w:pPr>
      <w:r w:rsidRPr="0078708F">
        <w:rPr>
          <w:color w:val="000000" w:themeColor="text1"/>
          <w:sz w:val="20"/>
          <w:szCs w:val="20"/>
        </w:rPr>
        <w:t>R.Šņuka</w:t>
      </w:r>
    </w:p>
    <w:p w:rsidR="003D45E1" w:rsidRPr="0078708F" w:rsidRDefault="003D45E1" w:rsidP="003D45E1">
      <w:pPr>
        <w:pStyle w:val="naisf"/>
        <w:spacing w:before="0" w:after="0"/>
        <w:ind w:firstLine="0"/>
        <w:jc w:val="left"/>
        <w:rPr>
          <w:color w:val="000000" w:themeColor="text1"/>
          <w:sz w:val="20"/>
          <w:szCs w:val="20"/>
        </w:rPr>
      </w:pPr>
      <w:r w:rsidRPr="0078708F">
        <w:rPr>
          <w:color w:val="000000" w:themeColor="text1"/>
          <w:sz w:val="20"/>
          <w:szCs w:val="20"/>
        </w:rPr>
        <w:t xml:space="preserve">67013234, </w:t>
      </w:r>
      <w:hyperlink r:id="rId32" w:history="1">
        <w:r w:rsidRPr="0078708F">
          <w:rPr>
            <w:rStyle w:val="Hyperlink"/>
            <w:color w:val="000000" w:themeColor="text1"/>
            <w:sz w:val="20"/>
            <w:szCs w:val="20"/>
          </w:rPr>
          <w:t>Rota.Snuka@em.gov.lv</w:t>
        </w:r>
      </w:hyperlink>
      <w:r w:rsidRPr="0078708F">
        <w:rPr>
          <w:color w:val="000000" w:themeColor="text1"/>
          <w:sz w:val="20"/>
          <w:szCs w:val="20"/>
        </w:rPr>
        <w:t xml:space="preserve"> </w:t>
      </w:r>
    </w:p>
    <w:p w:rsidR="003D45E1" w:rsidRPr="0078708F" w:rsidRDefault="003D45E1" w:rsidP="003D45E1">
      <w:pPr>
        <w:pStyle w:val="naisf"/>
        <w:spacing w:before="0" w:after="0"/>
        <w:ind w:firstLine="0"/>
        <w:jc w:val="left"/>
        <w:rPr>
          <w:color w:val="000000" w:themeColor="text1"/>
          <w:sz w:val="20"/>
          <w:szCs w:val="20"/>
        </w:rPr>
      </w:pPr>
      <w:r w:rsidRPr="0078708F">
        <w:rPr>
          <w:color w:val="000000" w:themeColor="text1"/>
          <w:sz w:val="20"/>
          <w:szCs w:val="20"/>
        </w:rPr>
        <w:t>K.Piģēns,</w:t>
      </w:r>
    </w:p>
    <w:p w:rsidR="00FD56B6" w:rsidRPr="00EB36CF" w:rsidRDefault="003D45E1" w:rsidP="003D45E1">
      <w:pPr>
        <w:pStyle w:val="naisf"/>
        <w:spacing w:before="0" w:after="0"/>
        <w:ind w:firstLine="0"/>
        <w:jc w:val="left"/>
        <w:rPr>
          <w:b/>
          <w:i/>
          <w:color w:val="000000"/>
          <w:sz w:val="20"/>
          <w:szCs w:val="20"/>
          <w:u w:val="single"/>
        </w:rPr>
      </w:pPr>
      <w:r w:rsidRPr="0078708F">
        <w:rPr>
          <w:color w:val="000000" w:themeColor="text1"/>
          <w:sz w:val="20"/>
          <w:szCs w:val="20"/>
        </w:rPr>
        <w:t xml:space="preserve">67013133, </w:t>
      </w:r>
      <w:hyperlink r:id="rId33" w:history="1">
        <w:r w:rsidRPr="0078708F">
          <w:rPr>
            <w:rStyle w:val="Hyperlink"/>
            <w:color w:val="000000" w:themeColor="text1"/>
            <w:sz w:val="20"/>
            <w:szCs w:val="20"/>
          </w:rPr>
          <w:t>Karlis.Pigens@em.gov.lv</w:t>
        </w:r>
      </w:hyperlink>
      <w:r w:rsidRPr="0078708F">
        <w:rPr>
          <w:color w:val="000000" w:themeColor="text1"/>
          <w:sz w:val="20"/>
          <w:szCs w:val="20"/>
        </w:rPr>
        <w:t xml:space="preserve"> </w:t>
      </w:r>
      <w:r w:rsidRPr="00270C6C">
        <w:rPr>
          <w:bCs/>
          <w:color w:val="000000"/>
          <w:sz w:val="28"/>
          <w:szCs w:val="28"/>
        </w:rPr>
        <w:tab/>
      </w:r>
    </w:p>
    <w:sectPr w:rsidR="00FD56B6" w:rsidRPr="00EB36CF" w:rsidSect="003D45E1">
      <w:headerReference w:type="default" r:id="rId34"/>
      <w:footerReference w:type="default" r:id="rId35"/>
      <w:footerReference w:type="first" r:id="rId3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2A" w:rsidRDefault="00DA412A" w:rsidP="00217E4E">
      <w:pPr>
        <w:spacing w:after="0" w:line="240" w:lineRule="auto"/>
      </w:pPr>
      <w:r>
        <w:separator/>
      </w:r>
    </w:p>
  </w:endnote>
  <w:endnote w:type="continuationSeparator" w:id="0">
    <w:p w:rsidR="00DA412A" w:rsidRDefault="00DA412A" w:rsidP="00217E4E">
      <w:pPr>
        <w:spacing w:after="0" w:line="240" w:lineRule="auto"/>
      </w:pPr>
      <w:r>
        <w:continuationSeparator/>
      </w:r>
    </w:p>
  </w:endnote>
  <w:endnote w:type="continuationNotice" w:id="1">
    <w:p w:rsidR="00DA412A" w:rsidRDefault="00DA4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64" w:rsidRPr="00B35D8D" w:rsidRDefault="005D2364" w:rsidP="00B35D8D">
    <w:pPr>
      <w:ind w:firstLine="0"/>
    </w:pPr>
    <w:r w:rsidRPr="00800AFB">
      <w:rPr>
        <w:sz w:val="20"/>
        <w:szCs w:val="20"/>
      </w:rPr>
      <w:t xml:space="preserve">EMRīc_pl_280313_OIK; </w:t>
    </w:r>
    <w:r>
      <w:rPr>
        <w:sz w:val="20"/>
        <w:szCs w:val="20"/>
      </w:rPr>
      <w:t>Informatīvais ziņojums „</w:t>
    </w:r>
    <w:r w:rsidRPr="00800AFB">
      <w:rPr>
        <w:sz w:val="20"/>
        <w:szCs w:val="20"/>
      </w:rPr>
      <w:t>Rīcības plāns e</w:t>
    </w:r>
    <w:r w:rsidRPr="00800AFB">
      <w:rPr>
        <w:color w:val="000000"/>
        <w:sz w:val="20"/>
        <w:szCs w:val="20"/>
      </w:rPr>
      <w:t>lektroenerģijas kopējās cenas pieauguma risku ierobežošanai</w:t>
    </w:r>
    <w:r>
      <w:rPr>
        <w:color w:val="000000"/>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64" w:rsidRPr="00800AFB" w:rsidRDefault="005D2364" w:rsidP="00800AFB">
    <w:pPr>
      <w:ind w:firstLine="0"/>
    </w:pPr>
    <w:r w:rsidRPr="00800AFB">
      <w:rPr>
        <w:sz w:val="20"/>
        <w:szCs w:val="20"/>
      </w:rPr>
      <w:t xml:space="preserve">EMRīc_pl_280313_OIK; </w:t>
    </w:r>
    <w:r>
      <w:rPr>
        <w:sz w:val="20"/>
        <w:szCs w:val="20"/>
      </w:rPr>
      <w:t>Informatīvais ziņojums „</w:t>
    </w:r>
    <w:r w:rsidRPr="00800AFB">
      <w:rPr>
        <w:sz w:val="20"/>
        <w:szCs w:val="20"/>
      </w:rPr>
      <w:t>Rīcības plāns e</w:t>
    </w:r>
    <w:r w:rsidRPr="00800AFB">
      <w:rPr>
        <w:color w:val="000000"/>
        <w:sz w:val="20"/>
        <w:szCs w:val="20"/>
      </w:rPr>
      <w:t>lektroenerģijas kopējās cenas pieauguma risku ierobežošanai</w:t>
    </w:r>
    <w:r>
      <w:rPr>
        <w:color w:val="00000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2A" w:rsidRDefault="00DA412A" w:rsidP="00217E4E">
      <w:pPr>
        <w:spacing w:after="0" w:line="240" w:lineRule="auto"/>
      </w:pPr>
      <w:r>
        <w:separator/>
      </w:r>
    </w:p>
  </w:footnote>
  <w:footnote w:type="continuationSeparator" w:id="0">
    <w:p w:rsidR="00DA412A" w:rsidRDefault="00DA412A" w:rsidP="00217E4E">
      <w:pPr>
        <w:spacing w:after="0" w:line="240" w:lineRule="auto"/>
      </w:pPr>
      <w:r>
        <w:continuationSeparator/>
      </w:r>
    </w:p>
  </w:footnote>
  <w:footnote w:type="continuationNotice" w:id="1">
    <w:p w:rsidR="00DA412A" w:rsidRDefault="00DA412A">
      <w:pPr>
        <w:spacing w:after="0" w:line="240" w:lineRule="auto"/>
      </w:pPr>
    </w:p>
  </w:footnote>
  <w:footnote w:id="2">
    <w:p w:rsidR="005D2364" w:rsidRPr="00A56421" w:rsidRDefault="005D2364" w:rsidP="0079642E">
      <w:pPr>
        <w:pStyle w:val="FootnoteText"/>
        <w:ind w:firstLine="0"/>
        <w:rPr>
          <w:rFonts w:ascii="Times New Roman" w:hAnsi="Times New Roman"/>
        </w:rPr>
      </w:pPr>
      <w:r w:rsidRPr="00A56421">
        <w:rPr>
          <w:rStyle w:val="FootnoteReference"/>
          <w:rFonts w:ascii="Times New Roman" w:hAnsi="Times New Roman"/>
        </w:rPr>
        <w:footnoteRef/>
      </w:r>
      <w:r w:rsidRPr="00A56421">
        <w:rPr>
          <w:rFonts w:ascii="Times New Roman" w:hAnsi="Times New Roman"/>
        </w:rPr>
        <w:t xml:space="preserve"> Lietuvas Republikas sabiedrisko pakalpojumu regulatora tīmekļa vietne: </w:t>
      </w:r>
      <w:proofErr w:type="spellStart"/>
      <w:r w:rsidRPr="00A56421">
        <w:rPr>
          <w:rFonts w:ascii="Times New Roman" w:hAnsi="Times New Roman"/>
        </w:rPr>
        <w:t>www.regula.lt</w:t>
      </w:r>
      <w:proofErr w:type="spellEnd"/>
    </w:p>
  </w:footnote>
  <w:footnote w:id="3">
    <w:p w:rsidR="005D2364" w:rsidRDefault="005D2364" w:rsidP="006C7EBF">
      <w:pPr>
        <w:pStyle w:val="FootnoteText"/>
        <w:ind w:firstLine="0"/>
      </w:pPr>
      <w:r w:rsidRPr="00A56421">
        <w:rPr>
          <w:rStyle w:val="FootnoteReference"/>
          <w:rFonts w:ascii="Times New Roman" w:hAnsi="Times New Roman"/>
        </w:rPr>
        <w:footnoteRef/>
      </w:r>
      <w:r w:rsidRPr="00A56421">
        <w:rPr>
          <w:rFonts w:ascii="Times New Roman" w:hAnsi="Times New Roman"/>
        </w:rPr>
        <w:t xml:space="preserve"> Igaunijas pārvades sistēmas operatora tīmekļa vietne: </w:t>
      </w:r>
      <w:proofErr w:type="spellStart"/>
      <w:r w:rsidRPr="00A56421">
        <w:rPr>
          <w:rFonts w:ascii="Times New Roman" w:hAnsi="Times New Roman"/>
        </w:rPr>
        <w:t>www.elering.ee</w:t>
      </w:r>
      <w:proofErr w:type="spellEnd"/>
    </w:p>
  </w:footnote>
  <w:footnote w:id="4">
    <w:p w:rsidR="005D2364" w:rsidRPr="00733C75" w:rsidRDefault="005D2364" w:rsidP="00733C75">
      <w:pPr>
        <w:pStyle w:val="FootnoteText"/>
        <w:ind w:firstLine="0"/>
        <w:rPr>
          <w:rFonts w:ascii="Times New Roman" w:hAnsi="Times New Roman"/>
        </w:rPr>
      </w:pPr>
      <w:r w:rsidRPr="00733C75">
        <w:rPr>
          <w:rStyle w:val="FootnoteReference"/>
          <w:rFonts w:ascii="Times New Roman" w:hAnsi="Times New Roman"/>
        </w:rPr>
        <w:footnoteRef/>
      </w:r>
      <w:r w:rsidRPr="00733C75">
        <w:rPr>
          <w:rFonts w:ascii="Times New Roman" w:hAnsi="Times New Roman"/>
        </w:rPr>
        <w:t xml:space="preserve"> Spēkā līdz 2005.</w:t>
      </w:r>
      <w:r>
        <w:rPr>
          <w:rFonts w:ascii="Times New Roman" w:hAnsi="Times New Roman"/>
        </w:rPr>
        <w:t> </w:t>
      </w:r>
      <w:r w:rsidRPr="00733C75">
        <w:rPr>
          <w:rFonts w:ascii="Times New Roman" w:hAnsi="Times New Roman"/>
        </w:rPr>
        <w:t>gada 15.</w:t>
      </w:r>
      <w:r>
        <w:rPr>
          <w:rFonts w:ascii="Times New Roman" w:hAnsi="Times New Roman"/>
        </w:rPr>
        <w:t> </w:t>
      </w:r>
      <w:r w:rsidRPr="00733C75">
        <w:rPr>
          <w:rFonts w:ascii="Times New Roman" w:hAnsi="Times New Roman"/>
        </w:rPr>
        <w:t xml:space="preserve">aprīlim </w:t>
      </w:r>
    </w:p>
  </w:footnote>
  <w:footnote w:id="5">
    <w:p w:rsidR="005D2364" w:rsidRDefault="005D2364" w:rsidP="001F1B09">
      <w:pPr>
        <w:shd w:val="clear" w:color="auto" w:fill="FFFFFF"/>
        <w:spacing w:line="252" w:lineRule="atLeast"/>
        <w:ind w:firstLine="0"/>
        <w:jc w:val="both"/>
        <w:rPr>
          <w:sz w:val="20"/>
          <w:szCs w:val="20"/>
        </w:rPr>
      </w:pPr>
      <w:r>
        <w:rPr>
          <w:rStyle w:val="FootnoteReference"/>
        </w:rPr>
        <w:footnoteRef/>
      </w:r>
      <w:r>
        <w:t xml:space="preserve"> </w:t>
      </w:r>
      <w:proofErr w:type="spellStart"/>
      <w:r>
        <w:rPr>
          <w:sz w:val="20"/>
          <w:szCs w:val="20"/>
        </w:rPr>
        <w:t>Kvintile</w:t>
      </w:r>
      <w:proofErr w:type="spellEnd"/>
      <w:r>
        <w:rPr>
          <w:sz w:val="20"/>
          <w:szCs w:val="20"/>
        </w:rPr>
        <w:t xml:space="preserve"> (EU-SILC apsekojums) - v</w:t>
      </w:r>
      <w:r>
        <w:rPr>
          <w:sz w:val="20"/>
          <w:szCs w:val="20"/>
          <w:shd w:val="clear" w:color="auto" w:fill="FFFFFF"/>
        </w:rPr>
        <w:t>iena piektā daļa(20%) no apsekoto mājsaimniecību skaita, kuras sagrupētas pieaugošā secībā pēc to rīcībā esošā ienākuma uz vienu mājsaimniecības locekli.</w:t>
      </w:r>
    </w:p>
    <w:p w:rsidR="005D2364" w:rsidRDefault="005D2364" w:rsidP="001F1B09">
      <w:pPr>
        <w:pStyle w:val="FootnoteText"/>
        <w:rPr>
          <w:rFonts w:ascii="Times New Roman" w:hAnsi="Times New Roman"/>
        </w:rPr>
      </w:pPr>
    </w:p>
  </w:footnote>
  <w:footnote w:id="6">
    <w:p w:rsidR="005D2364" w:rsidRDefault="005D2364" w:rsidP="00130481">
      <w:pPr>
        <w:spacing w:after="0"/>
        <w:ind w:firstLine="0"/>
        <w:rPr>
          <w:sz w:val="20"/>
          <w:szCs w:val="20"/>
        </w:rPr>
      </w:pPr>
      <w:r>
        <w:rPr>
          <w:rStyle w:val="FootnoteReference"/>
        </w:rPr>
        <w:footnoteRef/>
      </w:r>
      <w:r>
        <w:t xml:space="preserve"> </w:t>
      </w:r>
      <w:r>
        <w:rPr>
          <w:sz w:val="20"/>
          <w:szCs w:val="20"/>
        </w:rPr>
        <w:t xml:space="preserve">Izziņa: strādājošo vidējā </w:t>
      </w:r>
      <w:r>
        <w:rPr>
          <w:i/>
          <w:sz w:val="20"/>
          <w:szCs w:val="20"/>
        </w:rPr>
        <w:t>neto</w:t>
      </w:r>
      <w:r>
        <w:rPr>
          <w:sz w:val="20"/>
          <w:szCs w:val="20"/>
        </w:rPr>
        <w:t xml:space="preserve"> darba samaksa 2012.gadā  – 343 lati;</w:t>
      </w:r>
    </w:p>
    <w:p w:rsidR="005D2364" w:rsidRDefault="005D2364" w:rsidP="00130481">
      <w:pPr>
        <w:spacing w:after="0"/>
        <w:rPr>
          <w:sz w:val="20"/>
          <w:szCs w:val="20"/>
        </w:rPr>
      </w:pPr>
      <w:r>
        <w:rPr>
          <w:sz w:val="20"/>
          <w:szCs w:val="20"/>
        </w:rPr>
        <w:t>izmaksāto vecuma pensiju vidējais apmērs 2012.gadā – 180,29 lati;</w:t>
      </w:r>
    </w:p>
    <w:p w:rsidR="005D2364" w:rsidRDefault="005D2364" w:rsidP="00130481">
      <w:pPr>
        <w:spacing w:after="0"/>
        <w:rPr>
          <w:sz w:val="20"/>
          <w:szCs w:val="20"/>
        </w:rPr>
      </w:pPr>
      <w:r>
        <w:rPr>
          <w:sz w:val="20"/>
          <w:szCs w:val="20"/>
        </w:rPr>
        <w:t xml:space="preserve">minimālā </w:t>
      </w:r>
      <w:r>
        <w:rPr>
          <w:i/>
          <w:sz w:val="20"/>
          <w:szCs w:val="20"/>
        </w:rPr>
        <w:t>neto</w:t>
      </w:r>
      <w:r>
        <w:rPr>
          <w:sz w:val="20"/>
          <w:szCs w:val="20"/>
        </w:rPr>
        <w:t xml:space="preserve"> darba alga 2012./2013.gadā – 146,08 lati;</w:t>
      </w:r>
    </w:p>
    <w:p w:rsidR="005D2364" w:rsidRDefault="005D2364" w:rsidP="00130481">
      <w:pPr>
        <w:spacing w:after="0"/>
        <w:rPr>
          <w:sz w:val="20"/>
          <w:szCs w:val="20"/>
        </w:rPr>
      </w:pPr>
      <w:r>
        <w:rPr>
          <w:sz w:val="20"/>
          <w:szCs w:val="20"/>
        </w:rPr>
        <w:t>izmaksāto invaliditātes pensiju vidējais apmērs 2012.gadā – 116,96 lati.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64" w:rsidRDefault="005D2364">
    <w:pPr>
      <w:pStyle w:val="Header"/>
      <w:jc w:val="center"/>
    </w:pPr>
    <w:r>
      <w:fldChar w:fldCharType="begin"/>
    </w:r>
    <w:r>
      <w:instrText xml:space="preserve"> PAGE   \* MERGEFORMAT </w:instrText>
    </w:r>
    <w:r>
      <w:fldChar w:fldCharType="separate"/>
    </w:r>
    <w:r w:rsidR="005062B8">
      <w:rPr>
        <w:noProof/>
      </w:rPr>
      <w:t>27</w:t>
    </w:r>
    <w:r>
      <w:rPr>
        <w:noProof/>
      </w:rPr>
      <w:fldChar w:fldCharType="end"/>
    </w:r>
  </w:p>
  <w:p w:rsidR="005D2364" w:rsidRDefault="005D2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2CD"/>
    <w:multiLevelType w:val="hybridMultilevel"/>
    <w:tmpl w:val="7AFA69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0E5494"/>
    <w:multiLevelType w:val="hybridMultilevel"/>
    <w:tmpl w:val="93967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8B2913"/>
    <w:multiLevelType w:val="multilevel"/>
    <w:tmpl w:val="5F20D5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86C1C4A"/>
    <w:multiLevelType w:val="hybridMultilevel"/>
    <w:tmpl w:val="9FB6740E"/>
    <w:lvl w:ilvl="0" w:tplc="04260005">
      <w:start w:val="1"/>
      <w:numFmt w:val="bullet"/>
      <w:lvlText w:val=""/>
      <w:lvlJc w:val="left"/>
      <w:pPr>
        <w:tabs>
          <w:tab w:val="num" w:pos="720"/>
        </w:tabs>
        <w:ind w:left="720" w:hanging="360"/>
      </w:pPr>
      <w:rPr>
        <w:rFonts w:ascii="Wingdings" w:hAnsi="Wingdings" w:hint="default"/>
      </w:rPr>
    </w:lvl>
    <w:lvl w:ilvl="1" w:tplc="9912AC00">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nsid w:val="2692568F"/>
    <w:multiLevelType w:val="multilevel"/>
    <w:tmpl w:val="D45662A8"/>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CD92CB0"/>
    <w:multiLevelType w:val="hybridMultilevel"/>
    <w:tmpl w:val="3E1E84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304514D8"/>
    <w:multiLevelType w:val="hybridMultilevel"/>
    <w:tmpl w:val="F02C8AAC"/>
    <w:lvl w:ilvl="0" w:tplc="078A75A0">
      <w:start w:val="1"/>
      <w:numFmt w:val="decimal"/>
      <w:lvlText w:val="%1)"/>
      <w:lvlJc w:val="left"/>
      <w:pPr>
        <w:ind w:left="1211" w:hanging="360"/>
      </w:p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7">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F863D88"/>
    <w:multiLevelType w:val="multilevel"/>
    <w:tmpl w:val="A7FC06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5D66E38"/>
    <w:multiLevelType w:val="hybridMultilevel"/>
    <w:tmpl w:val="341C800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DB342C1"/>
    <w:multiLevelType w:val="hybridMultilevel"/>
    <w:tmpl w:val="BE3482BC"/>
    <w:lvl w:ilvl="0" w:tplc="DA82601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nsid w:val="7E1A7469"/>
    <w:multiLevelType w:val="multilevel"/>
    <w:tmpl w:val="7F544A6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9"/>
  </w:num>
  <w:num w:numId="3">
    <w:abstractNumId w:val="8"/>
  </w:num>
  <w:num w:numId="4">
    <w:abstractNumId w:val="11"/>
  </w:num>
  <w:num w:numId="5">
    <w:abstractNumId w:val="2"/>
  </w:num>
  <w:num w:numId="6">
    <w:abstractNumId w:val="0"/>
  </w:num>
  <w:num w:numId="7">
    <w:abstractNumId w:val="1"/>
  </w:num>
  <w:num w:numId="8">
    <w:abstractNumId w:val="5"/>
  </w:num>
  <w:num w:numId="9">
    <w:abstractNumId w:val="7"/>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7E4E"/>
    <w:rsid w:val="0000114B"/>
    <w:rsid w:val="000011D9"/>
    <w:rsid w:val="000020FB"/>
    <w:rsid w:val="0000215B"/>
    <w:rsid w:val="00003134"/>
    <w:rsid w:val="00003376"/>
    <w:rsid w:val="000052B9"/>
    <w:rsid w:val="00006D57"/>
    <w:rsid w:val="000078A9"/>
    <w:rsid w:val="00007A49"/>
    <w:rsid w:val="00007EC6"/>
    <w:rsid w:val="000123A3"/>
    <w:rsid w:val="000123C7"/>
    <w:rsid w:val="000131DF"/>
    <w:rsid w:val="00014A60"/>
    <w:rsid w:val="00015057"/>
    <w:rsid w:val="00015E30"/>
    <w:rsid w:val="00016EE2"/>
    <w:rsid w:val="00021021"/>
    <w:rsid w:val="0002103E"/>
    <w:rsid w:val="00021637"/>
    <w:rsid w:val="00021DDB"/>
    <w:rsid w:val="000224BB"/>
    <w:rsid w:val="0002264A"/>
    <w:rsid w:val="00022F2B"/>
    <w:rsid w:val="000234E6"/>
    <w:rsid w:val="000235E5"/>
    <w:rsid w:val="00023854"/>
    <w:rsid w:val="00023F34"/>
    <w:rsid w:val="00024A62"/>
    <w:rsid w:val="00024BC4"/>
    <w:rsid w:val="00024CB7"/>
    <w:rsid w:val="0002526E"/>
    <w:rsid w:val="00025638"/>
    <w:rsid w:val="0002605E"/>
    <w:rsid w:val="000264D1"/>
    <w:rsid w:val="00026B85"/>
    <w:rsid w:val="00026E38"/>
    <w:rsid w:val="00027CB1"/>
    <w:rsid w:val="00030745"/>
    <w:rsid w:val="00030AEE"/>
    <w:rsid w:val="00030EBD"/>
    <w:rsid w:val="00031D83"/>
    <w:rsid w:val="00032A19"/>
    <w:rsid w:val="00032A4E"/>
    <w:rsid w:val="00033B13"/>
    <w:rsid w:val="00033D69"/>
    <w:rsid w:val="000348D8"/>
    <w:rsid w:val="000351BD"/>
    <w:rsid w:val="00035B5E"/>
    <w:rsid w:val="00036FC6"/>
    <w:rsid w:val="0003780D"/>
    <w:rsid w:val="0004110E"/>
    <w:rsid w:val="00043390"/>
    <w:rsid w:val="00043BB7"/>
    <w:rsid w:val="00044660"/>
    <w:rsid w:val="00045390"/>
    <w:rsid w:val="000466BF"/>
    <w:rsid w:val="00046972"/>
    <w:rsid w:val="000472FF"/>
    <w:rsid w:val="00051EE0"/>
    <w:rsid w:val="00051F57"/>
    <w:rsid w:val="000522A0"/>
    <w:rsid w:val="00052AFC"/>
    <w:rsid w:val="00052DF0"/>
    <w:rsid w:val="00054015"/>
    <w:rsid w:val="00054397"/>
    <w:rsid w:val="000545E6"/>
    <w:rsid w:val="0005553F"/>
    <w:rsid w:val="0005592B"/>
    <w:rsid w:val="00057D69"/>
    <w:rsid w:val="00060A76"/>
    <w:rsid w:val="00060C99"/>
    <w:rsid w:val="000611C6"/>
    <w:rsid w:val="00061F36"/>
    <w:rsid w:val="000632D4"/>
    <w:rsid w:val="000637FF"/>
    <w:rsid w:val="00063E86"/>
    <w:rsid w:val="00065161"/>
    <w:rsid w:val="000656B0"/>
    <w:rsid w:val="00065C62"/>
    <w:rsid w:val="00065E53"/>
    <w:rsid w:val="00066FD2"/>
    <w:rsid w:val="00067AE9"/>
    <w:rsid w:val="00067D9E"/>
    <w:rsid w:val="000712A7"/>
    <w:rsid w:val="0007293B"/>
    <w:rsid w:val="00074203"/>
    <w:rsid w:val="00074DE0"/>
    <w:rsid w:val="00075ADC"/>
    <w:rsid w:val="0007737D"/>
    <w:rsid w:val="00077D4D"/>
    <w:rsid w:val="0008055B"/>
    <w:rsid w:val="00081185"/>
    <w:rsid w:val="00082CA4"/>
    <w:rsid w:val="00082D59"/>
    <w:rsid w:val="00082FCC"/>
    <w:rsid w:val="00084E8F"/>
    <w:rsid w:val="00085037"/>
    <w:rsid w:val="000864FF"/>
    <w:rsid w:val="000868FF"/>
    <w:rsid w:val="00086B1A"/>
    <w:rsid w:val="00087BB6"/>
    <w:rsid w:val="00087CBB"/>
    <w:rsid w:val="00087D9C"/>
    <w:rsid w:val="00090DFA"/>
    <w:rsid w:val="00090F12"/>
    <w:rsid w:val="0009135F"/>
    <w:rsid w:val="00092AC4"/>
    <w:rsid w:val="00093874"/>
    <w:rsid w:val="00094254"/>
    <w:rsid w:val="00094C10"/>
    <w:rsid w:val="00094F40"/>
    <w:rsid w:val="00095385"/>
    <w:rsid w:val="000954A0"/>
    <w:rsid w:val="00095504"/>
    <w:rsid w:val="00096991"/>
    <w:rsid w:val="00096BE0"/>
    <w:rsid w:val="000973F5"/>
    <w:rsid w:val="00097566"/>
    <w:rsid w:val="00097A41"/>
    <w:rsid w:val="000A027F"/>
    <w:rsid w:val="000A12D9"/>
    <w:rsid w:val="000A2677"/>
    <w:rsid w:val="000A4A5B"/>
    <w:rsid w:val="000A50E3"/>
    <w:rsid w:val="000A5700"/>
    <w:rsid w:val="000A68DD"/>
    <w:rsid w:val="000A6C2D"/>
    <w:rsid w:val="000A6F7F"/>
    <w:rsid w:val="000A7530"/>
    <w:rsid w:val="000A7F58"/>
    <w:rsid w:val="000B0BC8"/>
    <w:rsid w:val="000B1B83"/>
    <w:rsid w:val="000B2C9A"/>
    <w:rsid w:val="000B3095"/>
    <w:rsid w:val="000B56EF"/>
    <w:rsid w:val="000B5E41"/>
    <w:rsid w:val="000B6601"/>
    <w:rsid w:val="000B697D"/>
    <w:rsid w:val="000B7359"/>
    <w:rsid w:val="000C08E1"/>
    <w:rsid w:val="000C0E14"/>
    <w:rsid w:val="000C1257"/>
    <w:rsid w:val="000C1B3C"/>
    <w:rsid w:val="000C2600"/>
    <w:rsid w:val="000C4698"/>
    <w:rsid w:val="000C4B49"/>
    <w:rsid w:val="000C4D4B"/>
    <w:rsid w:val="000C6848"/>
    <w:rsid w:val="000C6BAE"/>
    <w:rsid w:val="000C6E8D"/>
    <w:rsid w:val="000C779F"/>
    <w:rsid w:val="000C77F2"/>
    <w:rsid w:val="000D0342"/>
    <w:rsid w:val="000D05E7"/>
    <w:rsid w:val="000D0859"/>
    <w:rsid w:val="000D091E"/>
    <w:rsid w:val="000D1435"/>
    <w:rsid w:val="000D1E23"/>
    <w:rsid w:val="000D2567"/>
    <w:rsid w:val="000D26DA"/>
    <w:rsid w:val="000D3725"/>
    <w:rsid w:val="000D428A"/>
    <w:rsid w:val="000D5C07"/>
    <w:rsid w:val="000D5C8C"/>
    <w:rsid w:val="000D6A3D"/>
    <w:rsid w:val="000D7FEC"/>
    <w:rsid w:val="000E05A8"/>
    <w:rsid w:val="000E1681"/>
    <w:rsid w:val="000E5041"/>
    <w:rsid w:val="000E53EE"/>
    <w:rsid w:val="000E5A6A"/>
    <w:rsid w:val="000F01EE"/>
    <w:rsid w:val="000F078C"/>
    <w:rsid w:val="000F184B"/>
    <w:rsid w:val="000F1905"/>
    <w:rsid w:val="000F1D08"/>
    <w:rsid w:val="000F23D5"/>
    <w:rsid w:val="000F2CD0"/>
    <w:rsid w:val="000F325E"/>
    <w:rsid w:val="000F32EB"/>
    <w:rsid w:val="000F39A7"/>
    <w:rsid w:val="000F3BD3"/>
    <w:rsid w:val="000F5B4C"/>
    <w:rsid w:val="000F6106"/>
    <w:rsid w:val="000F66E5"/>
    <w:rsid w:val="00100372"/>
    <w:rsid w:val="00101298"/>
    <w:rsid w:val="0010257E"/>
    <w:rsid w:val="00102633"/>
    <w:rsid w:val="00103087"/>
    <w:rsid w:val="001033F8"/>
    <w:rsid w:val="00103614"/>
    <w:rsid w:val="0010366E"/>
    <w:rsid w:val="001036A0"/>
    <w:rsid w:val="00104E8D"/>
    <w:rsid w:val="00105935"/>
    <w:rsid w:val="001066B4"/>
    <w:rsid w:val="001066CB"/>
    <w:rsid w:val="00106F9E"/>
    <w:rsid w:val="00107125"/>
    <w:rsid w:val="001071BB"/>
    <w:rsid w:val="001072C0"/>
    <w:rsid w:val="001074A4"/>
    <w:rsid w:val="00110869"/>
    <w:rsid w:val="001109FD"/>
    <w:rsid w:val="00111162"/>
    <w:rsid w:val="00111C58"/>
    <w:rsid w:val="001120E7"/>
    <w:rsid w:val="00115010"/>
    <w:rsid w:val="001164FE"/>
    <w:rsid w:val="00116E8A"/>
    <w:rsid w:val="001222DD"/>
    <w:rsid w:val="00122CA1"/>
    <w:rsid w:val="00122FF7"/>
    <w:rsid w:val="0012566F"/>
    <w:rsid w:val="00125A48"/>
    <w:rsid w:val="001265ED"/>
    <w:rsid w:val="00126A8A"/>
    <w:rsid w:val="001272CC"/>
    <w:rsid w:val="0012778D"/>
    <w:rsid w:val="001302A7"/>
    <w:rsid w:val="00130481"/>
    <w:rsid w:val="00130C33"/>
    <w:rsid w:val="001312C8"/>
    <w:rsid w:val="00131B90"/>
    <w:rsid w:val="00131BE0"/>
    <w:rsid w:val="00132151"/>
    <w:rsid w:val="00132934"/>
    <w:rsid w:val="00132E91"/>
    <w:rsid w:val="001338A5"/>
    <w:rsid w:val="0013539D"/>
    <w:rsid w:val="001360EB"/>
    <w:rsid w:val="0014035B"/>
    <w:rsid w:val="00140813"/>
    <w:rsid w:val="00141953"/>
    <w:rsid w:val="001422DE"/>
    <w:rsid w:val="001422F0"/>
    <w:rsid w:val="00142450"/>
    <w:rsid w:val="001436DF"/>
    <w:rsid w:val="001437DB"/>
    <w:rsid w:val="0014399D"/>
    <w:rsid w:val="00144EB8"/>
    <w:rsid w:val="00144FD7"/>
    <w:rsid w:val="001454EE"/>
    <w:rsid w:val="00146AFA"/>
    <w:rsid w:val="00146F5F"/>
    <w:rsid w:val="00150282"/>
    <w:rsid w:val="00152F15"/>
    <w:rsid w:val="00153BF0"/>
    <w:rsid w:val="00154834"/>
    <w:rsid w:val="00154E16"/>
    <w:rsid w:val="00156CDF"/>
    <w:rsid w:val="00157A85"/>
    <w:rsid w:val="00157D0C"/>
    <w:rsid w:val="00161762"/>
    <w:rsid w:val="001620D0"/>
    <w:rsid w:val="001638EA"/>
    <w:rsid w:val="0016396A"/>
    <w:rsid w:val="00164C98"/>
    <w:rsid w:val="00165286"/>
    <w:rsid w:val="00165747"/>
    <w:rsid w:val="001663D0"/>
    <w:rsid w:val="00166809"/>
    <w:rsid w:val="00166862"/>
    <w:rsid w:val="00171CDD"/>
    <w:rsid w:val="00172031"/>
    <w:rsid w:val="001721EB"/>
    <w:rsid w:val="00172904"/>
    <w:rsid w:val="00172AFC"/>
    <w:rsid w:val="00172CFF"/>
    <w:rsid w:val="00173716"/>
    <w:rsid w:val="00174584"/>
    <w:rsid w:val="0017602C"/>
    <w:rsid w:val="00177720"/>
    <w:rsid w:val="0017778F"/>
    <w:rsid w:val="001816D1"/>
    <w:rsid w:val="0018231B"/>
    <w:rsid w:val="00182631"/>
    <w:rsid w:val="001828C9"/>
    <w:rsid w:val="00183F3A"/>
    <w:rsid w:val="001843E6"/>
    <w:rsid w:val="00184881"/>
    <w:rsid w:val="00186BF0"/>
    <w:rsid w:val="0018713A"/>
    <w:rsid w:val="00187ECE"/>
    <w:rsid w:val="00187F9C"/>
    <w:rsid w:val="00190709"/>
    <w:rsid w:val="00190AAE"/>
    <w:rsid w:val="00191A6A"/>
    <w:rsid w:val="001929C4"/>
    <w:rsid w:val="00192CFE"/>
    <w:rsid w:val="00193ACB"/>
    <w:rsid w:val="00193F9C"/>
    <w:rsid w:val="00194158"/>
    <w:rsid w:val="0019607D"/>
    <w:rsid w:val="001963DC"/>
    <w:rsid w:val="001966B3"/>
    <w:rsid w:val="001975D2"/>
    <w:rsid w:val="00197A83"/>
    <w:rsid w:val="001A0E5D"/>
    <w:rsid w:val="001A0EB5"/>
    <w:rsid w:val="001A2E33"/>
    <w:rsid w:val="001A31F7"/>
    <w:rsid w:val="001A3261"/>
    <w:rsid w:val="001A3385"/>
    <w:rsid w:val="001A33DC"/>
    <w:rsid w:val="001A3851"/>
    <w:rsid w:val="001A3969"/>
    <w:rsid w:val="001A49B3"/>
    <w:rsid w:val="001A525D"/>
    <w:rsid w:val="001A70D6"/>
    <w:rsid w:val="001A764E"/>
    <w:rsid w:val="001A7CA8"/>
    <w:rsid w:val="001A7E80"/>
    <w:rsid w:val="001B064F"/>
    <w:rsid w:val="001B0945"/>
    <w:rsid w:val="001B0FA7"/>
    <w:rsid w:val="001B1420"/>
    <w:rsid w:val="001B17C0"/>
    <w:rsid w:val="001B1AA7"/>
    <w:rsid w:val="001B1F4D"/>
    <w:rsid w:val="001B292E"/>
    <w:rsid w:val="001B2C8D"/>
    <w:rsid w:val="001B4DC1"/>
    <w:rsid w:val="001B5833"/>
    <w:rsid w:val="001B59D5"/>
    <w:rsid w:val="001B66ED"/>
    <w:rsid w:val="001B6865"/>
    <w:rsid w:val="001B7590"/>
    <w:rsid w:val="001B75DB"/>
    <w:rsid w:val="001B7B53"/>
    <w:rsid w:val="001C0297"/>
    <w:rsid w:val="001C0B6E"/>
    <w:rsid w:val="001C0D1C"/>
    <w:rsid w:val="001C0E7D"/>
    <w:rsid w:val="001C0F52"/>
    <w:rsid w:val="001C2277"/>
    <w:rsid w:val="001C3912"/>
    <w:rsid w:val="001C4413"/>
    <w:rsid w:val="001C4C31"/>
    <w:rsid w:val="001C4F72"/>
    <w:rsid w:val="001C5E99"/>
    <w:rsid w:val="001C61BB"/>
    <w:rsid w:val="001C6684"/>
    <w:rsid w:val="001C78C0"/>
    <w:rsid w:val="001D05B3"/>
    <w:rsid w:val="001D0B0C"/>
    <w:rsid w:val="001D143F"/>
    <w:rsid w:val="001D1772"/>
    <w:rsid w:val="001D1FCD"/>
    <w:rsid w:val="001D5349"/>
    <w:rsid w:val="001D5858"/>
    <w:rsid w:val="001D5971"/>
    <w:rsid w:val="001D62F9"/>
    <w:rsid w:val="001E0E6A"/>
    <w:rsid w:val="001E161E"/>
    <w:rsid w:val="001E1C10"/>
    <w:rsid w:val="001E1F54"/>
    <w:rsid w:val="001E34DA"/>
    <w:rsid w:val="001E3B03"/>
    <w:rsid w:val="001E4014"/>
    <w:rsid w:val="001E4517"/>
    <w:rsid w:val="001E4924"/>
    <w:rsid w:val="001E4992"/>
    <w:rsid w:val="001E4C9F"/>
    <w:rsid w:val="001E6AFA"/>
    <w:rsid w:val="001E6C0F"/>
    <w:rsid w:val="001E79A9"/>
    <w:rsid w:val="001F0838"/>
    <w:rsid w:val="001F19F6"/>
    <w:rsid w:val="001F1B09"/>
    <w:rsid w:val="001F3F51"/>
    <w:rsid w:val="001F421C"/>
    <w:rsid w:val="001F48F9"/>
    <w:rsid w:val="001F60AF"/>
    <w:rsid w:val="001F62BA"/>
    <w:rsid w:val="001F6423"/>
    <w:rsid w:val="001F651E"/>
    <w:rsid w:val="001F6F45"/>
    <w:rsid w:val="001F7143"/>
    <w:rsid w:val="001F751D"/>
    <w:rsid w:val="001F7A0D"/>
    <w:rsid w:val="001F7C77"/>
    <w:rsid w:val="002000F7"/>
    <w:rsid w:val="002020EC"/>
    <w:rsid w:val="00203325"/>
    <w:rsid w:val="0020391C"/>
    <w:rsid w:val="00203FAC"/>
    <w:rsid w:val="002046A3"/>
    <w:rsid w:val="00204DC3"/>
    <w:rsid w:val="0020514E"/>
    <w:rsid w:val="002059B3"/>
    <w:rsid w:val="0020785D"/>
    <w:rsid w:val="002079F9"/>
    <w:rsid w:val="00207B04"/>
    <w:rsid w:val="00207CA4"/>
    <w:rsid w:val="0021355B"/>
    <w:rsid w:val="00213B0A"/>
    <w:rsid w:val="00213E08"/>
    <w:rsid w:val="00214674"/>
    <w:rsid w:val="00214B66"/>
    <w:rsid w:val="00215370"/>
    <w:rsid w:val="002163CD"/>
    <w:rsid w:val="0021644A"/>
    <w:rsid w:val="00217E4E"/>
    <w:rsid w:val="002202DE"/>
    <w:rsid w:val="0022114F"/>
    <w:rsid w:val="00222A57"/>
    <w:rsid w:val="00222F75"/>
    <w:rsid w:val="002237EC"/>
    <w:rsid w:val="00223B80"/>
    <w:rsid w:val="00223EB0"/>
    <w:rsid w:val="00223F0B"/>
    <w:rsid w:val="002268A7"/>
    <w:rsid w:val="00227453"/>
    <w:rsid w:val="00230215"/>
    <w:rsid w:val="0023196A"/>
    <w:rsid w:val="00231CBF"/>
    <w:rsid w:val="0023239D"/>
    <w:rsid w:val="00232AE0"/>
    <w:rsid w:val="00233585"/>
    <w:rsid w:val="002355D6"/>
    <w:rsid w:val="002409F8"/>
    <w:rsid w:val="002425A7"/>
    <w:rsid w:val="002431B3"/>
    <w:rsid w:val="00244471"/>
    <w:rsid w:val="002448CD"/>
    <w:rsid w:val="00244E94"/>
    <w:rsid w:val="0024527A"/>
    <w:rsid w:val="00245362"/>
    <w:rsid w:val="002453C4"/>
    <w:rsid w:val="002478F2"/>
    <w:rsid w:val="002479CA"/>
    <w:rsid w:val="002500B5"/>
    <w:rsid w:val="0025015F"/>
    <w:rsid w:val="002506F2"/>
    <w:rsid w:val="00250C78"/>
    <w:rsid w:val="00251E6D"/>
    <w:rsid w:val="002521EA"/>
    <w:rsid w:val="002525A6"/>
    <w:rsid w:val="002526AB"/>
    <w:rsid w:val="002527FA"/>
    <w:rsid w:val="002528E4"/>
    <w:rsid w:val="00252E6C"/>
    <w:rsid w:val="00253C4F"/>
    <w:rsid w:val="00253FEC"/>
    <w:rsid w:val="00256AD8"/>
    <w:rsid w:val="00257B2B"/>
    <w:rsid w:val="0026099F"/>
    <w:rsid w:val="00261DBA"/>
    <w:rsid w:val="00261E78"/>
    <w:rsid w:val="0026350E"/>
    <w:rsid w:val="002671D6"/>
    <w:rsid w:val="00267404"/>
    <w:rsid w:val="0026748A"/>
    <w:rsid w:val="002677EB"/>
    <w:rsid w:val="00270C6C"/>
    <w:rsid w:val="0027145A"/>
    <w:rsid w:val="002718A6"/>
    <w:rsid w:val="00271CC2"/>
    <w:rsid w:val="00271F3C"/>
    <w:rsid w:val="0027255A"/>
    <w:rsid w:val="00273394"/>
    <w:rsid w:val="00273EC5"/>
    <w:rsid w:val="0027403B"/>
    <w:rsid w:val="00274E6F"/>
    <w:rsid w:val="00274E73"/>
    <w:rsid w:val="00275F0E"/>
    <w:rsid w:val="00276BA8"/>
    <w:rsid w:val="00276F64"/>
    <w:rsid w:val="00277554"/>
    <w:rsid w:val="00277A17"/>
    <w:rsid w:val="00277F7B"/>
    <w:rsid w:val="0028012B"/>
    <w:rsid w:val="0028144B"/>
    <w:rsid w:val="0028211B"/>
    <w:rsid w:val="00282FE2"/>
    <w:rsid w:val="002831B4"/>
    <w:rsid w:val="002842F0"/>
    <w:rsid w:val="002844DF"/>
    <w:rsid w:val="00284579"/>
    <w:rsid w:val="00284D78"/>
    <w:rsid w:val="00285FD5"/>
    <w:rsid w:val="00286BB5"/>
    <w:rsid w:val="00287229"/>
    <w:rsid w:val="00296686"/>
    <w:rsid w:val="00296767"/>
    <w:rsid w:val="00297B03"/>
    <w:rsid w:val="002A0C94"/>
    <w:rsid w:val="002A2B8A"/>
    <w:rsid w:val="002A44D5"/>
    <w:rsid w:val="002A4BE6"/>
    <w:rsid w:val="002A59AD"/>
    <w:rsid w:val="002A63E7"/>
    <w:rsid w:val="002A654B"/>
    <w:rsid w:val="002A6AFC"/>
    <w:rsid w:val="002A751E"/>
    <w:rsid w:val="002A780D"/>
    <w:rsid w:val="002B2567"/>
    <w:rsid w:val="002B279D"/>
    <w:rsid w:val="002B39C2"/>
    <w:rsid w:val="002B446F"/>
    <w:rsid w:val="002B468E"/>
    <w:rsid w:val="002B489C"/>
    <w:rsid w:val="002B4EF3"/>
    <w:rsid w:val="002B5099"/>
    <w:rsid w:val="002B5274"/>
    <w:rsid w:val="002B5C3D"/>
    <w:rsid w:val="002B5D34"/>
    <w:rsid w:val="002B647D"/>
    <w:rsid w:val="002B753C"/>
    <w:rsid w:val="002B75D7"/>
    <w:rsid w:val="002B7785"/>
    <w:rsid w:val="002C006A"/>
    <w:rsid w:val="002C0B0C"/>
    <w:rsid w:val="002C20A4"/>
    <w:rsid w:val="002C21EA"/>
    <w:rsid w:val="002C2775"/>
    <w:rsid w:val="002C302A"/>
    <w:rsid w:val="002C37FE"/>
    <w:rsid w:val="002C5664"/>
    <w:rsid w:val="002D043C"/>
    <w:rsid w:val="002D320B"/>
    <w:rsid w:val="002D5336"/>
    <w:rsid w:val="002D53B7"/>
    <w:rsid w:val="002D6BEB"/>
    <w:rsid w:val="002D6CEF"/>
    <w:rsid w:val="002D6D15"/>
    <w:rsid w:val="002D7603"/>
    <w:rsid w:val="002E0F5A"/>
    <w:rsid w:val="002E34E9"/>
    <w:rsid w:val="002E3D89"/>
    <w:rsid w:val="002E4DE1"/>
    <w:rsid w:val="002E656C"/>
    <w:rsid w:val="002E739F"/>
    <w:rsid w:val="002E7B2A"/>
    <w:rsid w:val="002F10FF"/>
    <w:rsid w:val="002F1AF2"/>
    <w:rsid w:val="002F1C5B"/>
    <w:rsid w:val="002F235B"/>
    <w:rsid w:val="002F23CB"/>
    <w:rsid w:val="002F51CC"/>
    <w:rsid w:val="002F5D27"/>
    <w:rsid w:val="002F63C1"/>
    <w:rsid w:val="002F663C"/>
    <w:rsid w:val="002F6A52"/>
    <w:rsid w:val="002F6A57"/>
    <w:rsid w:val="002F6EA1"/>
    <w:rsid w:val="002F7532"/>
    <w:rsid w:val="0030054F"/>
    <w:rsid w:val="003013EA"/>
    <w:rsid w:val="00301E2C"/>
    <w:rsid w:val="00302B5B"/>
    <w:rsid w:val="0030383B"/>
    <w:rsid w:val="003054EC"/>
    <w:rsid w:val="00305B2D"/>
    <w:rsid w:val="00305C8B"/>
    <w:rsid w:val="0030619F"/>
    <w:rsid w:val="0030630B"/>
    <w:rsid w:val="00306552"/>
    <w:rsid w:val="00306A7E"/>
    <w:rsid w:val="003072F2"/>
    <w:rsid w:val="00312634"/>
    <w:rsid w:val="00312FB2"/>
    <w:rsid w:val="00313932"/>
    <w:rsid w:val="00313C53"/>
    <w:rsid w:val="00313EE9"/>
    <w:rsid w:val="00315881"/>
    <w:rsid w:val="00315E7B"/>
    <w:rsid w:val="00316C44"/>
    <w:rsid w:val="00316EA3"/>
    <w:rsid w:val="00320365"/>
    <w:rsid w:val="00320753"/>
    <w:rsid w:val="00321709"/>
    <w:rsid w:val="00321BF8"/>
    <w:rsid w:val="00321D52"/>
    <w:rsid w:val="00321F5C"/>
    <w:rsid w:val="00322817"/>
    <w:rsid w:val="00323B79"/>
    <w:rsid w:val="003247B6"/>
    <w:rsid w:val="00324A67"/>
    <w:rsid w:val="00324C23"/>
    <w:rsid w:val="0032643E"/>
    <w:rsid w:val="003264FC"/>
    <w:rsid w:val="003271C9"/>
    <w:rsid w:val="00330228"/>
    <w:rsid w:val="00330F79"/>
    <w:rsid w:val="003313ED"/>
    <w:rsid w:val="00331D9D"/>
    <w:rsid w:val="00331E74"/>
    <w:rsid w:val="00331FA2"/>
    <w:rsid w:val="00332827"/>
    <w:rsid w:val="00332D4D"/>
    <w:rsid w:val="003333D7"/>
    <w:rsid w:val="00334C5B"/>
    <w:rsid w:val="0033536F"/>
    <w:rsid w:val="00335849"/>
    <w:rsid w:val="003359B0"/>
    <w:rsid w:val="00335A6C"/>
    <w:rsid w:val="00335D80"/>
    <w:rsid w:val="00336059"/>
    <w:rsid w:val="0033648F"/>
    <w:rsid w:val="00337190"/>
    <w:rsid w:val="00337F21"/>
    <w:rsid w:val="0034076E"/>
    <w:rsid w:val="00340C8B"/>
    <w:rsid w:val="00340DC7"/>
    <w:rsid w:val="00340F55"/>
    <w:rsid w:val="0034116E"/>
    <w:rsid w:val="00341C01"/>
    <w:rsid w:val="00342388"/>
    <w:rsid w:val="0034264A"/>
    <w:rsid w:val="00342AAC"/>
    <w:rsid w:val="0034425C"/>
    <w:rsid w:val="0034496E"/>
    <w:rsid w:val="0034540A"/>
    <w:rsid w:val="00345547"/>
    <w:rsid w:val="00345FAE"/>
    <w:rsid w:val="00347FCC"/>
    <w:rsid w:val="003505DA"/>
    <w:rsid w:val="00350A0E"/>
    <w:rsid w:val="003515BA"/>
    <w:rsid w:val="003519F7"/>
    <w:rsid w:val="003529BA"/>
    <w:rsid w:val="00352E92"/>
    <w:rsid w:val="003558D8"/>
    <w:rsid w:val="00355A9E"/>
    <w:rsid w:val="00356795"/>
    <w:rsid w:val="003607AF"/>
    <w:rsid w:val="0036082B"/>
    <w:rsid w:val="00360CCE"/>
    <w:rsid w:val="0036174D"/>
    <w:rsid w:val="00361BC4"/>
    <w:rsid w:val="00361F50"/>
    <w:rsid w:val="0036220B"/>
    <w:rsid w:val="00362BBD"/>
    <w:rsid w:val="00363CCD"/>
    <w:rsid w:val="003640FF"/>
    <w:rsid w:val="003645B4"/>
    <w:rsid w:val="00364C41"/>
    <w:rsid w:val="00364E7F"/>
    <w:rsid w:val="00366AB1"/>
    <w:rsid w:val="00367ADD"/>
    <w:rsid w:val="003709FD"/>
    <w:rsid w:val="00371BB7"/>
    <w:rsid w:val="00371E3B"/>
    <w:rsid w:val="003729BF"/>
    <w:rsid w:val="00373513"/>
    <w:rsid w:val="003749D7"/>
    <w:rsid w:val="00374D8E"/>
    <w:rsid w:val="00374F8C"/>
    <w:rsid w:val="003755DE"/>
    <w:rsid w:val="00376612"/>
    <w:rsid w:val="003768F0"/>
    <w:rsid w:val="00376D06"/>
    <w:rsid w:val="00377A1D"/>
    <w:rsid w:val="00377ED0"/>
    <w:rsid w:val="00380120"/>
    <w:rsid w:val="00380A4B"/>
    <w:rsid w:val="003817B3"/>
    <w:rsid w:val="0038278F"/>
    <w:rsid w:val="00384432"/>
    <w:rsid w:val="00384F2E"/>
    <w:rsid w:val="003876AC"/>
    <w:rsid w:val="003876BC"/>
    <w:rsid w:val="0039437D"/>
    <w:rsid w:val="00394767"/>
    <w:rsid w:val="00396CBD"/>
    <w:rsid w:val="003970FC"/>
    <w:rsid w:val="00397685"/>
    <w:rsid w:val="00397B74"/>
    <w:rsid w:val="00397B88"/>
    <w:rsid w:val="00397E7E"/>
    <w:rsid w:val="003A00FE"/>
    <w:rsid w:val="003A0F3D"/>
    <w:rsid w:val="003A1418"/>
    <w:rsid w:val="003A292C"/>
    <w:rsid w:val="003A74F7"/>
    <w:rsid w:val="003A782B"/>
    <w:rsid w:val="003A7AE4"/>
    <w:rsid w:val="003A7FD2"/>
    <w:rsid w:val="003B129D"/>
    <w:rsid w:val="003B2B13"/>
    <w:rsid w:val="003B3500"/>
    <w:rsid w:val="003B364D"/>
    <w:rsid w:val="003B367C"/>
    <w:rsid w:val="003B47CA"/>
    <w:rsid w:val="003B48FC"/>
    <w:rsid w:val="003B4C16"/>
    <w:rsid w:val="003B4F43"/>
    <w:rsid w:val="003B5819"/>
    <w:rsid w:val="003C12C4"/>
    <w:rsid w:val="003C27A2"/>
    <w:rsid w:val="003C32DC"/>
    <w:rsid w:val="003C3B17"/>
    <w:rsid w:val="003C4763"/>
    <w:rsid w:val="003C5CFC"/>
    <w:rsid w:val="003C6136"/>
    <w:rsid w:val="003C70DE"/>
    <w:rsid w:val="003C726D"/>
    <w:rsid w:val="003C761C"/>
    <w:rsid w:val="003C7A61"/>
    <w:rsid w:val="003D0172"/>
    <w:rsid w:val="003D0B55"/>
    <w:rsid w:val="003D0CCE"/>
    <w:rsid w:val="003D2744"/>
    <w:rsid w:val="003D2A01"/>
    <w:rsid w:val="003D3A27"/>
    <w:rsid w:val="003D3B43"/>
    <w:rsid w:val="003D3D56"/>
    <w:rsid w:val="003D45E1"/>
    <w:rsid w:val="003D4BEA"/>
    <w:rsid w:val="003D57EA"/>
    <w:rsid w:val="003D6663"/>
    <w:rsid w:val="003D69E5"/>
    <w:rsid w:val="003D7A18"/>
    <w:rsid w:val="003D7DCB"/>
    <w:rsid w:val="003E00A5"/>
    <w:rsid w:val="003E0699"/>
    <w:rsid w:val="003E2030"/>
    <w:rsid w:val="003E263E"/>
    <w:rsid w:val="003E2791"/>
    <w:rsid w:val="003E2E63"/>
    <w:rsid w:val="003E41EB"/>
    <w:rsid w:val="003E4244"/>
    <w:rsid w:val="003E5109"/>
    <w:rsid w:val="003E67E6"/>
    <w:rsid w:val="003E695A"/>
    <w:rsid w:val="003F0540"/>
    <w:rsid w:val="003F0AD0"/>
    <w:rsid w:val="003F1169"/>
    <w:rsid w:val="003F15B8"/>
    <w:rsid w:val="003F2E8A"/>
    <w:rsid w:val="003F35F1"/>
    <w:rsid w:val="003F3998"/>
    <w:rsid w:val="003F5228"/>
    <w:rsid w:val="003F6809"/>
    <w:rsid w:val="003F6A15"/>
    <w:rsid w:val="003F7D7A"/>
    <w:rsid w:val="0040016D"/>
    <w:rsid w:val="0040238E"/>
    <w:rsid w:val="0040390F"/>
    <w:rsid w:val="00404270"/>
    <w:rsid w:val="004045F4"/>
    <w:rsid w:val="0040484B"/>
    <w:rsid w:val="004054A7"/>
    <w:rsid w:val="0040634D"/>
    <w:rsid w:val="00406D42"/>
    <w:rsid w:val="0040712A"/>
    <w:rsid w:val="00407BDD"/>
    <w:rsid w:val="004126B7"/>
    <w:rsid w:val="0041271C"/>
    <w:rsid w:val="0041273A"/>
    <w:rsid w:val="004147E8"/>
    <w:rsid w:val="00414993"/>
    <w:rsid w:val="004149E0"/>
    <w:rsid w:val="004150CB"/>
    <w:rsid w:val="004155C3"/>
    <w:rsid w:val="00416337"/>
    <w:rsid w:val="0041640F"/>
    <w:rsid w:val="0041651B"/>
    <w:rsid w:val="004166B0"/>
    <w:rsid w:val="004169E2"/>
    <w:rsid w:val="00416AA7"/>
    <w:rsid w:val="00416C8A"/>
    <w:rsid w:val="0041707D"/>
    <w:rsid w:val="00417442"/>
    <w:rsid w:val="0042009E"/>
    <w:rsid w:val="00420793"/>
    <w:rsid w:val="00420AB3"/>
    <w:rsid w:val="00421662"/>
    <w:rsid w:val="00421C17"/>
    <w:rsid w:val="00421D8A"/>
    <w:rsid w:val="00422E62"/>
    <w:rsid w:val="0042362C"/>
    <w:rsid w:val="004245E8"/>
    <w:rsid w:val="004247AF"/>
    <w:rsid w:val="0042498E"/>
    <w:rsid w:val="00425009"/>
    <w:rsid w:val="0042576F"/>
    <w:rsid w:val="00425B5A"/>
    <w:rsid w:val="00427ADC"/>
    <w:rsid w:val="00431A33"/>
    <w:rsid w:val="00431B09"/>
    <w:rsid w:val="00431F9D"/>
    <w:rsid w:val="00432839"/>
    <w:rsid w:val="004336C6"/>
    <w:rsid w:val="00433AF9"/>
    <w:rsid w:val="004343BD"/>
    <w:rsid w:val="00434711"/>
    <w:rsid w:val="004354C1"/>
    <w:rsid w:val="00435583"/>
    <w:rsid w:val="004357A8"/>
    <w:rsid w:val="00435B64"/>
    <w:rsid w:val="00436091"/>
    <w:rsid w:val="0043659D"/>
    <w:rsid w:val="00436B94"/>
    <w:rsid w:val="00436DF3"/>
    <w:rsid w:val="00437CD1"/>
    <w:rsid w:val="00440269"/>
    <w:rsid w:val="00440AB8"/>
    <w:rsid w:val="00440B35"/>
    <w:rsid w:val="00440C36"/>
    <w:rsid w:val="00441055"/>
    <w:rsid w:val="00442AE0"/>
    <w:rsid w:val="00442E4C"/>
    <w:rsid w:val="004432F0"/>
    <w:rsid w:val="004435A8"/>
    <w:rsid w:val="00444D85"/>
    <w:rsid w:val="00445588"/>
    <w:rsid w:val="00445F4C"/>
    <w:rsid w:val="0044739E"/>
    <w:rsid w:val="00450BF0"/>
    <w:rsid w:val="004512C6"/>
    <w:rsid w:val="0045183C"/>
    <w:rsid w:val="004518AF"/>
    <w:rsid w:val="00451DB1"/>
    <w:rsid w:val="00452EFA"/>
    <w:rsid w:val="00453411"/>
    <w:rsid w:val="00457AE5"/>
    <w:rsid w:val="004612FF"/>
    <w:rsid w:val="0046174E"/>
    <w:rsid w:val="00462623"/>
    <w:rsid w:val="0046274B"/>
    <w:rsid w:val="00462B6B"/>
    <w:rsid w:val="00464574"/>
    <w:rsid w:val="0046457A"/>
    <w:rsid w:val="00464A90"/>
    <w:rsid w:val="00464B53"/>
    <w:rsid w:val="004657FF"/>
    <w:rsid w:val="00465BB3"/>
    <w:rsid w:val="00466CCD"/>
    <w:rsid w:val="00467042"/>
    <w:rsid w:val="0046704D"/>
    <w:rsid w:val="00470075"/>
    <w:rsid w:val="00470301"/>
    <w:rsid w:val="004721AA"/>
    <w:rsid w:val="00472D0C"/>
    <w:rsid w:val="00473575"/>
    <w:rsid w:val="00474275"/>
    <w:rsid w:val="0047482F"/>
    <w:rsid w:val="00474C01"/>
    <w:rsid w:val="00474C1F"/>
    <w:rsid w:val="0047569B"/>
    <w:rsid w:val="00476551"/>
    <w:rsid w:val="004766DC"/>
    <w:rsid w:val="0047721C"/>
    <w:rsid w:val="00477B76"/>
    <w:rsid w:val="004801C8"/>
    <w:rsid w:val="00480578"/>
    <w:rsid w:val="004808A8"/>
    <w:rsid w:val="00480A0F"/>
    <w:rsid w:val="004812B0"/>
    <w:rsid w:val="004827B7"/>
    <w:rsid w:val="00483347"/>
    <w:rsid w:val="004855FA"/>
    <w:rsid w:val="00485BFE"/>
    <w:rsid w:val="00486F47"/>
    <w:rsid w:val="00486FF1"/>
    <w:rsid w:val="004875E9"/>
    <w:rsid w:val="00487F3C"/>
    <w:rsid w:val="00490EDB"/>
    <w:rsid w:val="004918D4"/>
    <w:rsid w:val="00491A6E"/>
    <w:rsid w:val="00491BBE"/>
    <w:rsid w:val="0049238E"/>
    <w:rsid w:val="0049334E"/>
    <w:rsid w:val="00495718"/>
    <w:rsid w:val="004963C0"/>
    <w:rsid w:val="0049642B"/>
    <w:rsid w:val="004A039C"/>
    <w:rsid w:val="004A087C"/>
    <w:rsid w:val="004A1394"/>
    <w:rsid w:val="004A1A72"/>
    <w:rsid w:val="004A3FDF"/>
    <w:rsid w:val="004A5E5D"/>
    <w:rsid w:val="004A6CE2"/>
    <w:rsid w:val="004A715D"/>
    <w:rsid w:val="004A7A07"/>
    <w:rsid w:val="004B0520"/>
    <w:rsid w:val="004B18FF"/>
    <w:rsid w:val="004B284C"/>
    <w:rsid w:val="004B287B"/>
    <w:rsid w:val="004B2EF9"/>
    <w:rsid w:val="004B4804"/>
    <w:rsid w:val="004B49EC"/>
    <w:rsid w:val="004B51A4"/>
    <w:rsid w:val="004B566A"/>
    <w:rsid w:val="004B5783"/>
    <w:rsid w:val="004B5858"/>
    <w:rsid w:val="004B6C4B"/>
    <w:rsid w:val="004B6F17"/>
    <w:rsid w:val="004B74C0"/>
    <w:rsid w:val="004B74F7"/>
    <w:rsid w:val="004B764B"/>
    <w:rsid w:val="004B7E72"/>
    <w:rsid w:val="004C3050"/>
    <w:rsid w:val="004C3210"/>
    <w:rsid w:val="004C4429"/>
    <w:rsid w:val="004C44D6"/>
    <w:rsid w:val="004C4609"/>
    <w:rsid w:val="004C48FF"/>
    <w:rsid w:val="004C66A9"/>
    <w:rsid w:val="004C701C"/>
    <w:rsid w:val="004C7158"/>
    <w:rsid w:val="004C74E0"/>
    <w:rsid w:val="004C78DA"/>
    <w:rsid w:val="004D05F0"/>
    <w:rsid w:val="004D09A0"/>
    <w:rsid w:val="004D3150"/>
    <w:rsid w:val="004D3461"/>
    <w:rsid w:val="004D36E2"/>
    <w:rsid w:val="004D400D"/>
    <w:rsid w:val="004D5521"/>
    <w:rsid w:val="004D569F"/>
    <w:rsid w:val="004D5BF1"/>
    <w:rsid w:val="004D6D16"/>
    <w:rsid w:val="004D7621"/>
    <w:rsid w:val="004E0627"/>
    <w:rsid w:val="004E15BD"/>
    <w:rsid w:val="004E3018"/>
    <w:rsid w:val="004E3A75"/>
    <w:rsid w:val="004E406C"/>
    <w:rsid w:val="004E4618"/>
    <w:rsid w:val="004E4785"/>
    <w:rsid w:val="004E7788"/>
    <w:rsid w:val="004F027A"/>
    <w:rsid w:val="004F0689"/>
    <w:rsid w:val="004F0D68"/>
    <w:rsid w:val="004F1234"/>
    <w:rsid w:val="004F15CE"/>
    <w:rsid w:val="004F1BE0"/>
    <w:rsid w:val="004F2A26"/>
    <w:rsid w:val="004F3747"/>
    <w:rsid w:val="004F466A"/>
    <w:rsid w:val="004F5DD7"/>
    <w:rsid w:val="004F62D5"/>
    <w:rsid w:val="004F6561"/>
    <w:rsid w:val="00500884"/>
    <w:rsid w:val="00501541"/>
    <w:rsid w:val="00501592"/>
    <w:rsid w:val="00501CBE"/>
    <w:rsid w:val="00501D6E"/>
    <w:rsid w:val="00502110"/>
    <w:rsid w:val="00504062"/>
    <w:rsid w:val="00504AD3"/>
    <w:rsid w:val="005051C4"/>
    <w:rsid w:val="00505462"/>
    <w:rsid w:val="00505601"/>
    <w:rsid w:val="00505C3B"/>
    <w:rsid w:val="005062B8"/>
    <w:rsid w:val="005064CD"/>
    <w:rsid w:val="00506988"/>
    <w:rsid w:val="00507629"/>
    <w:rsid w:val="00507B75"/>
    <w:rsid w:val="005120E5"/>
    <w:rsid w:val="005127FC"/>
    <w:rsid w:val="00512A38"/>
    <w:rsid w:val="00512EA0"/>
    <w:rsid w:val="00512F2A"/>
    <w:rsid w:val="00513110"/>
    <w:rsid w:val="00513550"/>
    <w:rsid w:val="00513554"/>
    <w:rsid w:val="0051486F"/>
    <w:rsid w:val="00515E49"/>
    <w:rsid w:val="00516D40"/>
    <w:rsid w:val="0051752D"/>
    <w:rsid w:val="005177FF"/>
    <w:rsid w:val="0052039C"/>
    <w:rsid w:val="00520EA4"/>
    <w:rsid w:val="00520EF7"/>
    <w:rsid w:val="00522095"/>
    <w:rsid w:val="00522936"/>
    <w:rsid w:val="005234C2"/>
    <w:rsid w:val="00524EC2"/>
    <w:rsid w:val="00525F04"/>
    <w:rsid w:val="00526436"/>
    <w:rsid w:val="00526E0A"/>
    <w:rsid w:val="005278E8"/>
    <w:rsid w:val="00527994"/>
    <w:rsid w:val="00527D21"/>
    <w:rsid w:val="00530415"/>
    <w:rsid w:val="00530EFB"/>
    <w:rsid w:val="00531702"/>
    <w:rsid w:val="00531D9F"/>
    <w:rsid w:val="00531FFF"/>
    <w:rsid w:val="00532084"/>
    <w:rsid w:val="005323F2"/>
    <w:rsid w:val="00532ED4"/>
    <w:rsid w:val="0053313C"/>
    <w:rsid w:val="005342AB"/>
    <w:rsid w:val="00534F77"/>
    <w:rsid w:val="0053512D"/>
    <w:rsid w:val="00535262"/>
    <w:rsid w:val="0053661B"/>
    <w:rsid w:val="00536DF3"/>
    <w:rsid w:val="00537BB9"/>
    <w:rsid w:val="00537FC8"/>
    <w:rsid w:val="00537FE1"/>
    <w:rsid w:val="00541E4E"/>
    <w:rsid w:val="005427DE"/>
    <w:rsid w:val="00542DD8"/>
    <w:rsid w:val="00543A26"/>
    <w:rsid w:val="00543DB1"/>
    <w:rsid w:val="00544099"/>
    <w:rsid w:val="005440C9"/>
    <w:rsid w:val="00544E9D"/>
    <w:rsid w:val="0054534F"/>
    <w:rsid w:val="005459B4"/>
    <w:rsid w:val="005502DB"/>
    <w:rsid w:val="00551922"/>
    <w:rsid w:val="00552096"/>
    <w:rsid w:val="00553140"/>
    <w:rsid w:val="00553277"/>
    <w:rsid w:val="00553CD1"/>
    <w:rsid w:val="00554616"/>
    <w:rsid w:val="00554B4B"/>
    <w:rsid w:val="00554B7F"/>
    <w:rsid w:val="00556335"/>
    <w:rsid w:val="00557247"/>
    <w:rsid w:val="0055771D"/>
    <w:rsid w:val="005616A4"/>
    <w:rsid w:val="00562624"/>
    <w:rsid w:val="005634B5"/>
    <w:rsid w:val="005652BF"/>
    <w:rsid w:val="005655FC"/>
    <w:rsid w:val="00565687"/>
    <w:rsid w:val="00567AD7"/>
    <w:rsid w:val="00567F2A"/>
    <w:rsid w:val="00570450"/>
    <w:rsid w:val="00570572"/>
    <w:rsid w:val="00570A99"/>
    <w:rsid w:val="00571D0D"/>
    <w:rsid w:val="00571E41"/>
    <w:rsid w:val="00572AF8"/>
    <w:rsid w:val="0057303D"/>
    <w:rsid w:val="005751E6"/>
    <w:rsid w:val="00575A77"/>
    <w:rsid w:val="00575E3E"/>
    <w:rsid w:val="0057695B"/>
    <w:rsid w:val="00577AA1"/>
    <w:rsid w:val="00580BC7"/>
    <w:rsid w:val="00582CB2"/>
    <w:rsid w:val="005832D4"/>
    <w:rsid w:val="00584708"/>
    <w:rsid w:val="00585017"/>
    <w:rsid w:val="0058589D"/>
    <w:rsid w:val="00585A35"/>
    <w:rsid w:val="00585CE6"/>
    <w:rsid w:val="00585E43"/>
    <w:rsid w:val="0058626E"/>
    <w:rsid w:val="00586849"/>
    <w:rsid w:val="00586D29"/>
    <w:rsid w:val="0059085A"/>
    <w:rsid w:val="00591097"/>
    <w:rsid w:val="005915A0"/>
    <w:rsid w:val="005920C0"/>
    <w:rsid w:val="00592980"/>
    <w:rsid w:val="00592E43"/>
    <w:rsid w:val="00592F4C"/>
    <w:rsid w:val="00596CB9"/>
    <w:rsid w:val="00596FF7"/>
    <w:rsid w:val="005A0743"/>
    <w:rsid w:val="005A093F"/>
    <w:rsid w:val="005A0DA6"/>
    <w:rsid w:val="005A10DB"/>
    <w:rsid w:val="005A19B2"/>
    <w:rsid w:val="005A2AAA"/>
    <w:rsid w:val="005A2E84"/>
    <w:rsid w:val="005A36D9"/>
    <w:rsid w:val="005A4D05"/>
    <w:rsid w:val="005A5D69"/>
    <w:rsid w:val="005A7157"/>
    <w:rsid w:val="005A77A8"/>
    <w:rsid w:val="005B07A8"/>
    <w:rsid w:val="005B0C94"/>
    <w:rsid w:val="005B263A"/>
    <w:rsid w:val="005B274F"/>
    <w:rsid w:val="005B305E"/>
    <w:rsid w:val="005B337D"/>
    <w:rsid w:val="005B3903"/>
    <w:rsid w:val="005B4A5A"/>
    <w:rsid w:val="005B5904"/>
    <w:rsid w:val="005B6166"/>
    <w:rsid w:val="005B6C7C"/>
    <w:rsid w:val="005B6EDE"/>
    <w:rsid w:val="005B74CA"/>
    <w:rsid w:val="005C186C"/>
    <w:rsid w:val="005C2181"/>
    <w:rsid w:val="005C2330"/>
    <w:rsid w:val="005C2468"/>
    <w:rsid w:val="005C2F61"/>
    <w:rsid w:val="005C2FC5"/>
    <w:rsid w:val="005C3CE5"/>
    <w:rsid w:val="005C4320"/>
    <w:rsid w:val="005C584F"/>
    <w:rsid w:val="005C639C"/>
    <w:rsid w:val="005C7190"/>
    <w:rsid w:val="005D0344"/>
    <w:rsid w:val="005D07FA"/>
    <w:rsid w:val="005D170B"/>
    <w:rsid w:val="005D2364"/>
    <w:rsid w:val="005D24EF"/>
    <w:rsid w:val="005D2D04"/>
    <w:rsid w:val="005D31C7"/>
    <w:rsid w:val="005D3C4E"/>
    <w:rsid w:val="005D4FBD"/>
    <w:rsid w:val="005D534F"/>
    <w:rsid w:val="005D53D4"/>
    <w:rsid w:val="005D55C1"/>
    <w:rsid w:val="005D5BA2"/>
    <w:rsid w:val="005D6FAE"/>
    <w:rsid w:val="005D74B2"/>
    <w:rsid w:val="005D75A3"/>
    <w:rsid w:val="005E0C58"/>
    <w:rsid w:val="005E0DED"/>
    <w:rsid w:val="005E180E"/>
    <w:rsid w:val="005E1F7C"/>
    <w:rsid w:val="005E2B8E"/>
    <w:rsid w:val="005E3940"/>
    <w:rsid w:val="005E5AB6"/>
    <w:rsid w:val="005E6918"/>
    <w:rsid w:val="005E6AAD"/>
    <w:rsid w:val="005E6CCF"/>
    <w:rsid w:val="005E6ECF"/>
    <w:rsid w:val="005E70BF"/>
    <w:rsid w:val="005F16F9"/>
    <w:rsid w:val="005F18EF"/>
    <w:rsid w:val="005F1A53"/>
    <w:rsid w:val="005F28FF"/>
    <w:rsid w:val="005F2A30"/>
    <w:rsid w:val="005F2AD2"/>
    <w:rsid w:val="005F2CEE"/>
    <w:rsid w:val="005F3279"/>
    <w:rsid w:val="005F3F69"/>
    <w:rsid w:val="005F6272"/>
    <w:rsid w:val="005F6349"/>
    <w:rsid w:val="005F648A"/>
    <w:rsid w:val="005F67F7"/>
    <w:rsid w:val="005F738B"/>
    <w:rsid w:val="00602330"/>
    <w:rsid w:val="0060281B"/>
    <w:rsid w:val="006028D5"/>
    <w:rsid w:val="00602A65"/>
    <w:rsid w:val="006049B2"/>
    <w:rsid w:val="00604E38"/>
    <w:rsid w:val="00606233"/>
    <w:rsid w:val="00606C22"/>
    <w:rsid w:val="00607374"/>
    <w:rsid w:val="006078AC"/>
    <w:rsid w:val="00607ADF"/>
    <w:rsid w:val="00610486"/>
    <w:rsid w:val="006117D9"/>
    <w:rsid w:val="006122D3"/>
    <w:rsid w:val="00612B3C"/>
    <w:rsid w:val="00612FDC"/>
    <w:rsid w:val="00613762"/>
    <w:rsid w:val="00613E60"/>
    <w:rsid w:val="00614E53"/>
    <w:rsid w:val="006154B8"/>
    <w:rsid w:val="00616235"/>
    <w:rsid w:val="00617ABB"/>
    <w:rsid w:val="00621E46"/>
    <w:rsid w:val="00622FD1"/>
    <w:rsid w:val="006233B4"/>
    <w:rsid w:val="006233B5"/>
    <w:rsid w:val="00623484"/>
    <w:rsid w:val="00623688"/>
    <w:rsid w:val="00623D3F"/>
    <w:rsid w:val="0062552D"/>
    <w:rsid w:val="00625D3E"/>
    <w:rsid w:val="00625D41"/>
    <w:rsid w:val="006264C0"/>
    <w:rsid w:val="00626B28"/>
    <w:rsid w:val="006270E5"/>
    <w:rsid w:val="006305DF"/>
    <w:rsid w:val="00630B23"/>
    <w:rsid w:val="00630C00"/>
    <w:rsid w:val="0063116C"/>
    <w:rsid w:val="006313CE"/>
    <w:rsid w:val="00631DA9"/>
    <w:rsid w:val="00632840"/>
    <w:rsid w:val="00632D1D"/>
    <w:rsid w:val="00634EE4"/>
    <w:rsid w:val="00635388"/>
    <w:rsid w:val="0063560E"/>
    <w:rsid w:val="00635A32"/>
    <w:rsid w:val="00636E67"/>
    <w:rsid w:val="00640A68"/>
    <w:rsid w:val="00640EE2"/>
    <w:rsid w:val="006432B0"/>
    <w:rsid w:val="00643324"/>
    <w:rsid w:val="00643526"/>
    <w:rsid w:val="00644168"/>
    <w:rsid w:val="006446A3"/>
    <w:rsid w:val="00644A0F"/>
    <w:rsid w:val="00647199"/>
    <w:rsid w:val="00647582"/>
    <w:rsid w:val="00650212"/>
    <w:rsid w:val="0065107A"/>
    <w:rsid w:val="00652F17"/>
    <w:rsid w:val="00653E8F"/>
    <w:rsid w:val="00654D98"/>
    <w:rsid w:val="00656241"/>
    <w:rsid w:val="00656831"/>
    <w:rsid w:val="00656867"/>
    <w:rsid w:val="00656D62"/>
    <w:rsid w:val="006571A2"/>
    <w:rsid w:val="006572D2"/>
    <w:rsid w:val="0065767A"/>
    <w:rsid w:val="00660435"/>
    <w:rsid w:val="00661EF2"/>
    <w:rsid w:val="00662419"/>
    <w:rsid w:val="006625B3"/>
    <w:rsid w:val="006629C3"/>
    <w:rsid w:val="0066395E"/>
    <w:rsid w:val="00664C64"/>
    <w:rsid w:val="00664F02"/>
    <w:rsid w:val="006657E4"/>
    <w:rsid w:val="006663F5"/>
    <w:rsid w:val="00667EF4"/>
    <w:rsid w:val="0067073E"/>
    <w:rsid w:val="006717A0"/>
    <w:rsid w:val="006719CC"/>
    <w:rsid w:val="00671C6F"/>
    <w:rsid w:val="0067393D"/>
    <w:rsid w:val="00675E24"/>
    <w:rsid w:val="00676B4C"/>
    <w:rsid w:val="00677C68"/>
    <w:rsid w:val="006807FA"/>
    <w:rsid w:val="00682A47"/>
    <w:rsid w:val="006831E7"/>
    <w:rsid w:val="00683469"/>
    <w:rsid w:val="0068356D"/>
    <w:rsid w:val="00683A7A"/>
    <w:rsid w:val="006844B8"/>
    <w:rsid w:val="00684697"/>
    <w:rsid w:val="00685227"/>
    <w:rsid w:val="00686361"/>
    <w:rsid w:val="006867E0"/>
    <w:rsid w:val="00686B0C"/>
    <w:rsid w:val="00687202"/>
    <w:rsid w:val="006907F3"/>
    <w:rsid w:val="0069156D"/>
    <w:rsid w:val="00691EDB"/>
    <w:rsid w:val="00692AB4"/>
    <w:rsid w:val="00693C43"/>
    <w:rsid w:val="006960CF"/>
    <w:rsid w:val="00697C6C"/>
    <w:rsid w:val="006A077E"/>
    <w:rsid w:val="006A1210"/>
    <w:rsid w:val="006A19EB"/>
    <w:rsid w:val="006A2C88"/>
    <w:rsid w:val="006A3515"/>
    <w:rsid w:val="006A40C7"/>
    <w:rsid w:val="006A45D8"/>
    <w:rsid w:val="006A4655"/>
    <w:rsid w:val="006A525B"/>
    <w:rsid w:val="006A5404"/>
    <w:rsid w:val="006A5570"/>
    <w:rsid w:val="006A5BB4"/>
    <w:rsid w:val="006A66F3"/>
    <w:rsid w:val="006A76A4"/>
    <w:rsid w:val="006B0720"/>
    <w:rsid w:val="006B0A3A"/>
    <w:rsid w:val="006B1B99"/>
    <w:rsid w:val="006B32BD"/>
    <w:rsid w:val="006B35CD"/>
    <w:rsid w:val="006B3D44"/>
    <w:rsid w:val="006B3D6F"/>
    <w:rsid w:val="006B4270"/>
    <w:rsid w:val="006B4DD4"/>
    <w:rsid w:val="006B621E"/>
    <w:rsid w:val="006B7338"/>
    <w:rsid w:val="006B73F1"/>
    <w:rsid w:val="006B765E"/>
    <w:rsid w:val="006C2602"/>
    <w:rsid w:val="006C350A"/>
    <w:rsid w:val="006C3EAB"/>
    <w:rsid w:val="006C3F5F"/>
    <w:rsid w:val="006C410C"/>
    <w:rsid w:val="006C4458"/>
    <w:rsid w:val="006C5843"/>
    <w:rsid w:val="006C6413"/>
    <w:rsid w:val="006C6CE5"/>
    <w:rsid w:val="006C7EBF"/>
    <w:rsid w:val="006D0AC2"/>
    <w:rsid w:val="006D17F9"/>
    <w:rsid w:val="006D2148"/>
    <w:rsid w:val="006D2A5C"/>
    <w:rsid w:val="006D40A4"/>
    <w:rsid w:val="006D40D0"/>
    <w:rsid w:val="006D4A69"/>
    <w:rsid w:val="006D5B98"/>
    <w:rsid w:val="006D5C7D"/>
    <w:rsid w:val="006D630F"/>
    <w:rsid w:val="006D68FA"/>
    <w:rsid w:val="006D7959"/>
    <w:rsid w:val="006E06C8"/>
    <w:rsid w:val="006E0994"/>
    <w:rsid w:val="006E2CC8"/>
    <w:rsid w:val="006E4CC6"/>
    <w:rsid w:val="006E579E"/>
    <w:rsid w:val="006E579F"/>
    <w:rsid w:val="006E59B4"/>
    <w:rsid w:val="006E622F"/>
    <w:rsid w:val="006E7C85"/>
    <w:rsid w:val="006F05A8"/>
    <w:rsid w:val="006F066B"/>
    <w:rsid w:val="006F07BD"/>
    <w:rsid w:val="006F09D3"/>
    <w:rsid w:val="006F15CF"/>
    <w:rsid w:val="006F1A84"/>
    <w:rsid w:val="006F1B63"/>
    <w:rsid w:val="006F25E9"/>
    <w:rsid w:val="006F2D6F"/>
    <w:rsid w:val="006F2E03"/>
    <w:rsid w:val="006F3246"/>
    <w:rsid w:val="006F3512"/>
    <w:rsid w:val="006F4D7B"/>
    <w:rsid w:val="006F5FF6"/>
    <w:rsid w:val="006F6B9F"/>
    <w:rsid w:val="00700750"/>
    <w:rsid w:val="00700E25"/>
    <w:rsid w:val="007024F2"/>
    <w:rsid w:val="007024FC"/>
    <w:rsid w:val="00702601"/>
    <w:rsid w:val="00702BC7"/>
    <w:rsid w:val="00705D34"/>
    <w:rsid w:val="00706324"/>
    <w:rsid w:val="00710635"/>
    <w:rsid w:val="0071087A"/>
    <w:rsid w:val="00710F9B"/>
    <w:rsid w:val="00712098"/>
    <w:rsid w:val="00712DFE"/>
    <w:rsid w:val="007139AD"/>
    <w:rsid w:val="007150AC"/>
    <w:rsid w:val="00715FD2"/>
    <w:rsid w:val="00716735"/>
    <w:rsid w:val="007173FF"/>
    <w:rsid w:val="007176CB"/>
    <w:rsid w:val="00717A12"/>
    <w:rsid w:val="00720A95"/>
    <w:rsid w:val="00721381"/>
    <w:rsid w:val="00721469"/>
    <w:rsid w:val="0072151B"/>
    <w:rsid w:val="00721AB4"/>
    <w:rsid w:val="00721FC9"/>
    <w:rsid w:val="00722384"/>
    <w:rsid w:val="00722762"/>
    <w:rsid w:val="00724116"/>
    <w:rsid w:val="00724D6D"/>
    <w:rsid w:val="00726ADD"/>
    <w:rsid w:val="00726E1E"/>
    <w:rsid w:val="0072770E"/>
    <w:rsid w:val="007304D6"/>
    <w:rsid w:val="007325E8"/>
    <w:rsid w:val="00733AE8"/>
    <w:rsid w:val="00733C75"/>
    <w:rsid w:val="00734139"/>
    <w:rsid w:val="00734987"/>
    <w:rsid w:val="00735FC2"/>
    <w:rsid w:val="00736321"/>
    <w:rsid w:val="00737951"/>
    <w:rsid w:val="007404FE"/>
    <w:rsid w:val="00740894"/>
    <w:rsid w:val="00741B08"/>
    <w:rsid w:val="00741B3F"/>
    <w:rsid w:val="00741E44"/>
    <w:rsid w:val="00742734"/>
    <w:rsid w:val="00743CD7"/>
    <w:rsid w:val="00744570"/>
    <w:rsid w:val="007463DE"/>
    <w:rsid w:val="00746795"/>
    <w:rsid w:val="00747784"/>
    <w:rsid w:val="00747AC9"/>
    <w:rsid w:val="007504CE"/>
    <w:rsid w:val="00751564"/>
    <w:rsid w:val="00752386"/>
    <w:rsid w:val="007526E2"/>
    <w:rsid w:val="007529DE"/>
    <w:rsid w:val="00753E9A"/>
    <w:rsid w:val="007543AB"/>
    <w:rsid w:val="007544A5"/>
    <w:rsid w:val="007550BE"/>
    <w:rsid w:val="00755797"/>
    <w:rsid w:val="00755EF3"/>
    <w:rsid w:val="007567BE"/>
    <w:rsid w:val="00756CA9"/>
    <w:rsid w:val="007573F0"/>
    <w:rsid w:val="00757DD6"/>
    <w:rsid w:val="00760CD5"/>
    <w:rsid w:val="007622E2"/>
    <w:rsid w:val="007624BE"/>
    <w:rsid w:val="00762549"/>
    <w:rsid w:val="007625DF"/>
    <w:rsid w:val="007629BA"/>
    <w:rsid w:val="00763805"/>
    <w:rsid w:val="00763C71"/>
    <w:rsid w:val="0076417A"/>
    <w:rsid w:val="007657F8"/>
    <w:rsid w:val="00765D49"/>
    <w:rsid w:val="00765ECA"/>
    <w:rsid w:val="00765EEE"/>
    <w:rsid w:val="00770F9C"/>
    <w:rsid w:val="00771228"/>
    <w:rsid w:val="00771974"/>
    <w:rsid w:val="007727D8"/>
    <w:rsid w:val="007729D2"/>
    <w:rsid w:val="00773320"/>
    <w:rsid w:val="00773519"/>
    <w:rsid w:val="00773AA5"/>
    <w:rsid w:val="00773B05"/>
    <w:rsid w:val="007743A1"/>
    <w:rsid w:val="0077556E"/>
    <w:rsid w:val="00775744"/>
    <w:rsid w:val="00775B27"/>
    <w:rsid w:val="007768A3"/>
    <w:rsid w:val="00776E23"/>
    <w:rsid w:val="00777295"/>
    <w:rsid w:val="00777D85"/>
    <w:rsid w:val="007806EA"/>
    <w:rsid w:val="00780DE4"/>
    <w:rsid w:val="00782312"/>
    <w:rsid w:val="00782D05"/>
    <w:rsid w:val="00782EA3"/>
    <w:rsid w:val="007834D1"/>
    <w:rsid w:val="007835CE"/>
    <w:rsid w:val="00784151"/>
    <w:rsid w:val="0078429F"/>
    <w:rsid w:val="00784557"/>
    <w:rsid w:val="00784A73"/>
    <w:rsid w:val="00785661"/>
    <w:rsid w:val="0078630D"/>
    <w:rsid w:val="0078647E"/>
    <w:rsid w:val="0078708F"/>
    <w:rsid w:val="007872BA"/>
    <w:rsid w:val="00787BA9"/>
    <w:rsid w:val="00790DBE"/>
    <w:rsid w:val="00790FDF"/>
    <w:rsid w:val="00791D1A"/>
    <w:rsid w:val="0079255F"/>
    <w:rsid w:val="00792632"/>
    <w:rsid w:val="007929FF"/>
    <w:rsid w:val="00794314"/>
    <w:rsid w:val="00794BE8"/>
    <w:rsid w:val="007955EC"/>
    <w:rsid w:val="007957E9"/>
    <w:rsid w:val="00795800"/>
    <w:rsid w:val="00795FA8"/>
    <w:rsid w:val="0079642E"/>
    <w:rsid w:val="0079720D"/>
    <w:rsid w:val="007A059F"/>
    <w:rsid w:val="007A065C"/>
    <w:rsid w:val="007A3726"/>
    <w:rsid w:val="007A39B3"/>
    <w:rsid w:val="007A4380"/>
    <w:rsid w:val="007A4ABE"/>
    <w:rsid w:val="007A4FC8"/>
    <w:rsid w:val="007A6371"/>
    <w:rsid w:val="007A7255"/>
    <w:rsid w:val="007A77BE"/>
    <w:rsid w:val="007A79EF"/>
    <w:rsid w:val="007B1209"/>
    <w:rsid w:val="007B1DD9"/>
    <w:rsid w:val="007B359E"/>
    <w:rsid w:val="007B3E0B"/>
    <w:rsid w:val="007B5443"/>
    <w:rsid w:val="007B5FF2"/>
    <w:rsid w:val="007B67CB"/>
    <w:rsid w:val="007B6B06"/>
    <w:rsid w:val="007B6E31"/>
    <w:rsid w:val="007B7579"/>
    <w:rsid w:val="007C054C"/>
    <w:rsid w:val="007C2674"/>
    <w:rsid w:val="007C4093"/>
    <w:rsid w:val="007C5D6E"/>
    <w:rsid w:val="007C5F12"/>
    <w:rsid w:val="007D08C1"/>
    <w:rsid w:val="007D1CB8"/>
    <w:rsid w:val="007D224F"/>
    <w:rsid w:val="007D32C6"/>
    <w:rsid w:val="007D3349"/>
    <w:rsid w:val="007D390F"/>
    <w:rsid w:val="007D3B7B"/>
    <w:rsid w:val="007D6444"/>
    <w:rsid w:val="007E09BF"/>
    <w:rsid w:val="007E0A2B"/>
    <w:rsid w:val="007E15F4"/>
    <w:rsid w:val="007E1BAC"/>
    <w:rsid w:val="007E1D1B"/>
    <w:rsid w:val="007E2BBF"/>
    <w:rsid w:val="007E345B"/>
    <w:rsid w:val="007E3C0B"/>
    <w:rsid w:val="007E4211"/>
    <w:rsid w:val="007E4E60"/>
    <w:rsid w:val="007E54ED"/>
    <w:rsid w:val="007E6F7A"/>
    <w:rsid w:val="007E764F"/>
    <w:rsid w:val="007E7DCB"/>
    <w:rsid w:val="007E7F0C"/>
    <w:rsid w:val="007F011D"/>
    <w:rsid w:val="007F048F"/>
    <w:rsid w:val="007F08D5"/>
    <w:rsid w:val="007F0A2C"/>
    <w:rsid w:val="007F3454"/>
    <w:rsid w:val="007F4C0C"/>
    <w:rsid w:val="007F56EB"/>
    <w:rsid w:val="007F611C"/>
    <w:rsid w:val="007F6715"/>
    <w:rsid w:val="007F6947"/>
    <w:rsid w:val="008003FA"/>
    <w:rsid w:val="00800437"/>
    <w:rsid w:val="00800AFB"/>
    <w:rsid w:val="00801074"/>
    <w:rsid w:val="008020A6"/>
    <w:rsid w:val="008022AE"/>
    <w:rsid w:val="008026C1"/>
    <w:rsid w:val="00802BA7"/>
    <w:rsid w:val="008033F3"/>
    <w:rsid w:val="00804D53"/>
    <w:rsid w:val="0080634F"/>
    <w:rsid w:val="00807AD2"/>
    <w:rsid w:val="00807C3B"/>
    <w:rsid w:val="00807F13"/>
    <w:rsid w:val="008105EC"/>
    <w:rsid w:val="00810B57"/>
    <w:rsid w:val="008115BE"/>
    <w:rsid w:val="00811DA9"/>
    <w:rsid w:val="008122AA"/>
    <w:rsid w:val="0081376C"/>
    <w:rsid w:val="00813A51"/>
    <w:rsid w:val="00814375"/>
    <w:rsid w:val="00814637"/>
    <w:rsid w:val="00814916"/>
    <w:rsid w:val="008153C5"/>
    <w:rsid w:val="00815555"/>
    <w:rsid w:val="0081769D"/>
    <w:rsid w:val="008208FA"/>
    <w:rsid w:val="00820938"/>
    <w:rsid w:val="00820EE2"/>
    <w:rsid w:val="00821228"/>
    <w:rsid w:val="008213F9"/>
    <w:rsid w:val="0082318D"/>
    <w:rsid w:val="008231A5"/>
    <w:rsid w:val="008237B8"/>
    <w:rsid w:val="00824102"/>
    <w:rsid w:val="00824972"/>
    <w:rsid w:val="00824982"/>
    <w:rsid w:val="00825584"/>
    <w:rsid w:val="0082681B"/>
    <w:rsid w:val="008268A3"/>
    <w:rsid w:val="00827060"/>
    <w:rsid w:val="00827504"/>
    <w:rsid w:val="00830920"/>
    <w:rsid w:val="00831C2B"/>
    <w:rsid w:val="008321F3"/>
    <w:rsid w:val="00833C3D"/>
    <w:rsid w:val="0083443E"/>
    <w:rsid w:val="008344A0"/>
    <w:rsid w:val="00834550"/>
    <w:rsid w:val="00834996"/>
    <w:rsid w:val="0083638A"/>
    <w:rsid w:val="008400CE"/>
    <w:rsid w:val="00840735"/>
    <w:rsid w:val="00840B54"/>
    <w:rsid w:val="0084108F"/>
    <w:rsid w:val="00841271"/>
    <w:rsid w:val="0084188F"/>
    <w:rsid w:val="00841DFE"/>
    <w:rsid w:val="00842922"/>
    <w:rsid w:val="008430B7"/>
    <w:rsid w:val="008443E2"/>
    <w:rsid w:val="008458A2"/>
    <w:rsid w:val="008467A5"/>
    <w:rsid w:val="00847A21"/>
    <w:rsid w:val="00847E88"/>
    <w:rsid w:val="00850C24"/>
    <w:rsid w:val="00851676"/>
    <w:rsid w:val="0085262E"/>
    <w:rsid w:val="00852A1A"/>
    <w:rsid w:val="00852B78"/>
    <w:rsid w:val="008530FA"/>
    <w:rsid w:val="00853B64"/>
    <w:rsid w:val="00853FE2"/>
    <w:rsid w:val="00854043"/>
    <w:rsid w:val="008558E2"/>
    <w:rsid w:val="00855A14"/>
    <w:rsid w:val="00856331"/>
    <w:rsid w:val="00856B38"/>
    <w:rsid w:val="008573ED"/>
    <w:rsid w:val="00860DDD"/>
    <w:rsid w:val="00862013"/>
    <w:rsid w:val="00862D5B"/>
    <w:rsid w:val="00862F39"/>
    <w:rsid w:val="00864915"/>
    <w:rsid w:val="00866A56"/>
    <w:rsid w:val="00866CF8"/>
    <w:rsid w:val="00867016"/>
    <w:rsid w:val="00867BF8"/>
    <w:rsid w:val="00867E77"/>
    <w:rsid w:val="00872790"/>
    <w:rsid w:val="0087328A"/>
    <w:rsid w:val="00873FCD"/>
    <w:rsid w:val="008775D7"/>
    <w:rsid w:val="008779F7"/>
    <w:rsid w:val="00877E5A"/>
    <w:rsid w:val="00880790"/>
    <w:rsid w:val="00880F85"/>
    <w:rsid w:val="0088123E"/>
    <w:rsid w:val="00882048"/>
    <w:rsid w:val="008820DD"/>
    <w:rsid w:val="00882D8E"/>
    <w:rsid w:val="00883472"/>
    <w:rsid w:val="008845A9"/>
    <w:rsid w:val="00885612"/>
    <w:rsid w:val="00885E0C"/>
    <w:rsid w:val="008862AE"/>
    <w:rsid w:val="00887450"/>
    <w:rsid w:val="00891121"/>
    <w:rsid w:val="008911D1"/>
    <w:rsid w:val="00891C8A"/>
    <w:rsid w:val="0089261D"/>
    <w:rsid w:val="00892CF8"/>
    <w:rsid w:val="008935E6"/>
    <w:rsid w:val="0089385A"/>
    <w:rsid w:val="00893CEB"/>
    <w:rsid w:val="0089484A"/>
    <w:rsid w:val="008956C1"/>
    <w:rsid w:val="008956DB"/>
    <w:rsid w:val="00895C23"/>
    <w:rsid w:val="00896026"/>
    <w:rsid w:val="00896944"/>
    <w:rsid w:val="00896BDF"/>
    <w:rsid w:val="00896EA0"/>
    <w:rsid w:val="008971C1"/>
    <w:rsid w:val="008A0D96"/>
    <w:rsid w:val="008A3136"/>
    <w:rsid w:val="008A3AC7"/>
    <w:rsid w:val="008A4E30"/>
    <w:rsid w:val="008A5286"/>
    <w:rsid w:val="008A5C79"/>
    <w:rsid w:val="008A7E19"/>
    <w:rsid w:val="008B114D"/>
    <w:rsid w:val="008B1746"/>
    <w:rsid w:val="008B2AB3"/>
    <w:rsid w:val="008B3004"/>
    <w:rsid w:val="008B3948"/>
    <w:rsid w:val="008B4382"/>
    <w:rsid w:val="008B61FA"/>
    <w:rsid w:val="008B6C03"/>
    <w:rsid w:val="008B7728"/>
    <w:rsid w:val="008B7BE7"/>
    <w:rsid w:val="008B7F2D"/>
    <w:rsid w:val="008C0064"/>
    <w:rsid w:val="008C00C3"/>
    <w:rsid w:val="008C1610"/>
    <w:rsid w:val="008C2DBA"/>
    <w:rsid w:val="008C2EFD"/>
    <w:rsid w:val="008C2F21"/>
    <w:rsid w:val="008C4392"/>
    <w:rsid w:val="008C4A26"/>
    <w:rsid w:val="008C4A82"/>
    <w:rsid w:val="008C55B9"/>
    <w:rsid w:val="008C5708"/>
    <w:rsid w:val="008C57D5"/>
    <w:rsid w:val="008C59A6"/>
    <w:rsid w:val="008C60C5"/>
    <w:rsid w:val="008D2299"/>
    <w:rsid w:val="008D2480"/>
    <w:rsid w:val="008D2A0A"/>
    <w:rsid w:val="008D2A9F"/>
    <w:rsid w:val="008D3199"/>
    <w:rsid w:val="008D37C9"/>
    <w:rsid w:val="008D48AA"/>
    <w:rsid w:val="008D51DC"/>
    <w:rsid w:val="008D54B5"/>
    <w:rsid w:val="008D5C10"/>
    <w:rsid w:val="008D6946"/>
    <w:rsid w:val="008D6CA1"/>
    <w:rsid w:val="008E1F5D"/>
    <w:rsid w:val="008E249D"/>
    <w:rsid w:val="008E4B99"/>
    <w:rsid w:val="008E4F4A"/>
    <w:rsid w:val="008E5CE5"/>
    <w:rsid w:val="008E60F9"/>
    <w:rsid w:val="008E6B36"/>
    <w:rsid w:val="008F134C"/>
    <w:rsid w:val="008F2BAC"/>
    <w:rsid w:val="008F44C7"/>
    <w:rsid w:val="008F5064"/>
    <w:rsid w:val="008F52FB"/>
    <w:rsid w:val="008F5D26"/>
    <w:rsid w:val="008F5E66"/>
    <w:rsid w:val="008F661E"/>
    <w:rsid w:val="008F69A6"/>
    <w:rsid w:val="008F7BBD"/>
    <w:rsid w:val="008F7EA1"/>
    <w:rsid w:val="008F7FF5"/>
    <w:rsid w:val="00900DDE"/>
    <w:rsid w:val="00901404"/>
    <w:rsid w:val="009033D6"/>
    <w:rsid w:val="00903B47"/>
    <w:rsid w:val="00903BC9"/>
    <w:rsid w:val="00903FE0"/>
    <w:rsid w:val="00905B29"/>
    <w:rsid w:val="00905F1B"/>
    <w:rsid w:val="00905FE5"/>
    <w:rsid w:val="00906385"/>
    <w:rsid w:val="009071A1"/>
    <w:rsid w:val="0090760C"/>
    <w:rsid w:val="00907ED3"/>
    <w:rsid w:val="00910470"/>
    <w:rsid w:val="00910E86"/>
    <w:rsid w:val="0091150C"/>
    <w:rsid w:val="0091312B"/>
    <w:rsid w:val="0091321A"/>
    <w:rsid w:val="009150A2"/>
    <w:rsid w:val="00915C20"/>
    <w:rsid w:val="009164A5"/>
    <w:rsid w:val="009167D9"/>
    <w:rsid w:val="009171E7"/>
    <w:rsid w:val="00917305"/>
    <w:rsid w:val="00917567"/>
    <w:rsid w:val="009178D5"/>
    <w:rsid w:val="00920420"/>
    <w:rsid w:val="0092111A"/>
    <w:rsid w:val="00921E7A"/>
    <w:rsid w:val="00922B83"/>
    <w:rsid w:val="009238A0"/>
    <w:rsid w:val="00923D2D"/>
    <w:rsid w:val="00923FE1"/>
    <w:rsid w:val="00924A03"/>
    <w:rsid w:val="00926A36"/>
    <w:rsid w:val="00927B35"/>
    <w:rsid w:val="0093137B"/>
    <w:rsid w:val="0093206B"/>
    <w:rsid w:val="00932D69"/>
    <w:rsid w:val="0093332D"/>
    <w:rsid w:val="00933362"/>
    <w:rsid w:val="009348BC"/>
    <w:rsid w:val="0093501B"/>
    <w:rsid w:val="0093516C"/>
    <w:rsid w:val="00935469"/>
    <w:rsid w:val="00935B2B"/>
    <w:rsid w:val="00935B4A"/>
    <w:rsid w:val="0093681C"/>
    <w:rsid w:val="00936E14"/>
    <w:rsid w:val="00937013"/>
    <w:rsid w:val="00937C9F"/>
    <w:rsid w:val="009410F1"/>
    <w:rsid w:val="009412E1"/>
    <w:rsid w:val="0094148D"/>
    <w:rsid w:val="009416CE"/>
    <w:rsid w:val="009420D1"/>
    <w:rsid w:val="0094260F"/>
    <w:rsid w:val="0094266D"/>
    <w:rsid w:val="00942CD0"/>
    <w:rsid w:val="00944F01"/>
    <w:rsid w:val="009463A0"/>
    <w:rsid w:val="00946771"/>
    <w:rsid w:val="00946B23"/>
    <w:rsid w:val="00946ED0"/>
    <w:rsid w:val="00950447"/>
    <w:rsid w:val="0095288E"/>
    <w:rsid w:val="0095341A"/>
    <w:rsid w:val="00954808"/>
    <w:rsid w:val="009550E0"/>
    <w:rsid w:val="009558F7"/>
    <w:rsid w:val="00955A67"/>
    <w:rsid w:val="00955FD0"/>
    <w:rsid w:val="00957550"/>
    <w:rsid w:val="009615E6"/>
    <w:rsid w:val="009637D8"/>
    <w:rsid w:val="009643A0"/>
    <w:rsid w:val="009648ED"/>
    <w:rsid w:val="00966B8C"/>
    <w:rsid w:val="00966E76"/>
    <w:rsid w:val="00970A62"/>
    <w:rsid w:val="0097129E"/>
    <w:rsid w:val="009713F3"/>
    <w:rsid w:val="00971539"/>
    <w:rsid w:val="00971A64"/>
    <w:rsid w:val="00971C6E"/>
    <w:rsid w:val="00971E08"/>
    <w:rsid w:val="00972DDD"/>
    <w:rsid w:val="00974204"/>
    <w:rsid w:val="009756A0"/>
    <w:rsid w:val="00976873"/>
    <w:rsid w:val="00977475"/>
    <w:rsid w:val="009804E0"/>
    <w:rsid w:val="0098104C"/>
    <w:rsid w:val="00982DDB"/>
    <w:rsid w:val="0098492E"/>
    <w:rsid w:val="009858A7"/>
    <w:rsid w:val="0098594B"/>
    <w:rsid w:val="00985B31"/>
    <w:rsid w:val="00987721"/>
    <w:rsid w:val="00987B08"/>
    <w:rsid w:val="00987B71"/>
    <w:rsid w:val="009904C7"/>
    <w:rsid w:val="00990A18"/>
    <w:rsid w:val="00990F1F"/>
    <w:rsid w:val="009924C5"/>
    <w:rsid w:val="0099295E"/>
    <w:rsid w:val="00993C7C"/>
    <w:rsid w:val="00994141"/>
    <w:rsid w:val="00995596"/>
    <w:rsid w:val="0099657B"/>
    <w:rsid w:val="0099699F"/>
    <w:rsid w:val="00997324"/>
    <w:rsid w:val="009974BE"/>
    <w:rsid w:val="0099752E"/>
    <w:rsid w:val="009A05E6"/>
    <w:rsid w:val="009A14C6"/>
    <w:rsid w:val="009A239C"/>
    <w:rsid w:val="009A3094"/>
    <w:rsid w:val="009A45F0"/>
    <w:rsid w:val="009A4819"/>
    <w:rsid w:val="009A546C"/>
    <w:rsid w:val="009A61C0"/>
    <w:rsid w:val="009A672B"/>
    <w:rsid w:val="009A7788"/>
    <w:rsid w:val="009B0B39"/>
    <w:rsid w:val="009B0D1B"/>
    <w:rsid w:val="009B1550"/>
    <w:rsid w:val="009B15A2"/>
    <w:rsid w:val="009B2DA2"/>
    <w:rsid w:val="009B2E83"/>
    <w:rsid w:val="009B3A80"/>
    <w:rsid w:val="009B4291"/>
    <w:rsid w:val="009B4BC8"/>
    <w:rsid w:val="009B4EED"/>
    <w:rsid w:val="009B4FA1"/>
    <w:rsid w:val="009B59E7"/>
    <w:rsid w:val="009B60BB"/>
    <w:rsid w:val="009B671C"/>
    <w:rsid w:val="009B6BBA"/>
    <w:rsid w:val="009B74E1"/>
    <w:rsid w:val="009B799B"/>
    <w:rsid w:val="009B7D8D"/>
    <w:rsid w:val="009C03A1"/>
    <w:rsid w:val="009C04E3"/>
    <w:rsid w:val="009C10FA"/>
    <w:rsid w:val="009C182E"/>
    <w:rsid w:val="009C1C27"/>
    <w:rsid w:val="009C495C"/>
    <w:rsid w:val="009C6635"/>
    <w:rsid w:val="009C7CA7"/>
    <w:rsid w:val="009C7F9D"/>
    <w:rsid w:val="009D0BA1"/>
    <w:rsid w:val="009D1548"/>
    <w:rsid w:val="009D1B79"/>
    <w:rsid w:val="009D1E42"/>
    <w:rsid w:val="009D2B01"/>
    <w:rsid w:val="009D3C03"/>
    <w:rsid w:val="009D3F6D"/>
    <w:rsid w:val="009D5E41"/>
    <w:rsid w:val="009D60E8"/>
    <w:rsid w:val="009E155D"/>
    <w:rsid w:val="009E4059"/>
    <w:rsid w:val="009E418F"/>
    <w:rsid w:val="009E43E6"/>
    <w:rsid w:val="009E4F7E"/>
    <w:rsid w:val="009E5A96"/>
    <w:rsid w:val="009E5B4B"/>
    <w:rsid w:val="009E5DBA"/>
    <w:rsid w:val="009E5E86"/>
    <w:rsid w:val="009E6034"/>
    <w:rsid w:val="009E736C"/>
    <w:rsid w:val="009E7566"/>
    <w:rsid w:val="009F0D0B"/>
    <w:rsid w:val="009F0F89"/>
    <w:rsid w:val="009F11E4"/>
    <w:rsid w:val="009F1D14"/>
    <w:rsid w:val="009F31ED"/>
    <w:rsid w:val="009F3E84"/>
    <w:rsid w:val="009F55AE"/>
    <w:rsid w:val="009F6455"/>
    <w:rsid w:val="009F664E"/>
    <w:rsid w:val="009F7308"/>
    <w:rsid w:val="009F7B05"/>
    <w:rsid w:val="009F7C28"/>
    <w:rsid w:val="009F7DAC"/>
    <w:rsid w:val="00A006EC"/>
    <w:rsid w:val="00A0113C"/>
    <w:rsid w:val="00A014B1"/>
    <w:rsid w:val="00A01A1E"/>
    <w:rsid w:val="00A01C5C"/>
    <w:rsid w:val="00A0296E"/>
    <w:rsid w:val="00A02B58"/>
    <w:rsid w:val="00A03444"/>
    <w:rsid w:val="00A03590"/>
    <w:rsid w:val="00A0373E"/>
    <w:rsid w:val="00A03782"/>
    <w:rsid w:val="00A037A5"/>
    <w:rsid w:val="00A03AE7"/>
    <w:rsid w:val="00A03EA3"/>
    <w:rsid w:val="00A04936"/>
    <w:rsid w:val="00A04963"/>
    <w:rsid w:val="00A04B2D"/>
    <w:rsid w:val="00A05B9A"/>
    <w:rsid w:val="00A05BAF"/>
    <w:rsid w:val="00A0669D"/>
    <w:rsid w:val="00A07CB5"/>
    <w:rsid w:val="00A07F0F"/>
    <w:rsid w:val="00A1075A"/>
    <w:rsid w:val="00A10999"/>
    <w:rsid w:val="00A11C3F"/>
    <w:rsid w:val="00A12ACE"/>
    <w:rsid w:val="00A1346A"/>
    <w:rsid w:val="00A13478"/>
    <w:rsid w:val="00A138F6"/>
    <w:rsid w:val="00A154F3"/>
    <w:rsid w:val="00A15880"/>
    <w:rsid w:val="00A16AC3"/>
    <w:rsid w:val="00A17094"/>
    <w:rsid w:val="00A1783F"/>
    <w:rsid w:val="00A2115A"/>
    <w:rsid w:val="00A21F4C"/>
    <w:rsid w:val="00A220CE"/>
    <w:rsid w:val="00A2223A"/>
    <w:rsid w:val="00A22D56"/>
    <w:rsid w:val="00A2324F"/>
    <w:rsid w:val="00A232BD"/>
    <w:rsid w:val="00A23BB4"/>
    <w:rsid w:val="00A2457A"/>
    <w:rsid w:val="00A2546B"/>
    <w:rsid w:val="00A26392"/>
    <w:rsid w:val="00A272A7"/>
    <w:rsid w:val="00A27388"/>
    <w:rsid w:val="00A300D6"/>
    <w:rsid w:val="00A3089D"/>
    <w:rsid w:val="00A30DB2"/>
    <w:rsid w:val="00A30E3C"/>
    <w:rsid w:val="00A30EC8"/>
    <w:rsid w:val="00A30ED5"/>
    <w:rsid w:val="00A31542"/>
    <w:rsid w:val="00A319BC"/>
    <w:rsid w:val="00A327C6"/>
    <w:rsid w:val="00A32B16"/>
    <w:rsid w:val="00A32E05"/>
    <w:rsid w:val="00A352BD"/>
    <w:rsid w:val="00A36486"/>
    <w:rsid w:val="00A36B1D"/>
    <w:rsid w:val="00A37888"/>
    <w:rsid w:val="00A40F81"/>
    <w:rsid w:val="00A40FA5"/>
    <w:rsid w:val="00A411DC"/>
    <w:rsid w:val="00A41938"/>
    <w:rsid w:val="00A41C75"/>
    <w:rsid w:val="00A41E54"/>
    <w:rsid w:val="00A42FFD"/>
    <w:rsid w:val="00A432AF"/>
    <w:rsid w:val="00A43933"/>
    <w:rsid w:val="00A443B8"/>
    <w:rsid w:val="00A449FC"/>
    <w:rsid w:val="00A44B23"/>
    <w:rsid w:val="00A45430"/>
    <w:rsid w:val="00A46D52"/>
    <w:rsid w:val="00A47DAB"/>
    <w:rsid w:val="00A5015A"/>
    <w:rsid w:val="00A50388"/>
    <w:rsid w:val="00A50D3F"/>
    <w:rsid w:val="00A51E36"/>
    <w:rsid w:val="00A52897"/>
    <w:rsid w:val="00A52CC1"/>
    <w:rsid w:val="00A52D96"/>
    <w:rsid w:val="00A539A7"/>
    <w:rsid w:val="00A53E15"/>
    <w:rsid w:val="00A5435E"/>
    <w:rsid w:val="00A554BD"/>
    <w:rsid w:val="00A55634"/>
    <w:rsid w:val="00A5574C"/>
    <w:rsid w:val="00A5584D"/>
    <w:rsid w:val="00A55940"/>
    <w:rsid w:val="00A562AB"/>
    <w:rsid w:val="00A56421"/>
    <w:rsid w:val="00A565CD"/>
    <w:rsid w:val="00A56D83"/>
    <w:rsid w:val="00A57019"/>
    <w:rsid w:val="00A57261"/>
    <w:rsid w:val="00A57487"/>
    <w:rsid w:val="00A57DAA"/>
    <w:rsid w:val="00A57F72"/>
    <w:rsid w:val="00A61695"/>
    <w:rsid w:val="00A62CF5"/>
    <w:rsid w:val="00A631CE"/>
    <w:rsid w:val="00A637F2"/>
    <w:rsid w:val="00A6546B"/>
    <w:rsid w:val="00A655ED"/>
    <w:rsid w:val="00A65CAD"/>
    <w:rsid w:val="00A66234"/>
    <w:rsid w:val="00A6672C"/>
    <w:rsid w:val="00A66B29"/>
    <w:rsid w:val="00A6737A"/>
    <w:rsid w:val="00A67625"/>
    <w:rsid w:val="00A70331"/>
    <w:rsid w:val="00A707BA"/>
    <w:rsid w:val="00A70E65"/>
    <w:rsid w:val="00A711A3"/>
    <w:rsid w:val="00A71270"/>
    <w:rsid w:val="00A72472"/>
    <w:rsid w:val="00A72A85"/>
    <w:rsid w:val="00A739EE"/>
    <w:rsid w:val="00A7404D"/>
    <w:rsid w:val="00A75DA3"/>
    <w:rsid w:val="00A775E2"/>
    <w:rsid w:val="00A77C79"/>
    <w:rsid w:val="00A77E1B"/>
    <w:rsid w:val="00A80356"/>
    <w:rsid w:val="00A81B27"/>
    <w:rsid w:val="00A8225C"/>
    <w:rsid w:val="00A82CC8"/>
    <w:rsid w:val="00A8344B"/>
    <w:rsid w:val="00A8354A"/>
    <w:rsid w:val="00A8447A"/>
    <w:rsid w:val="00A8468A"/>
    <w:rsid w:val="00A84D67"/>
    <w:rsid w:val="00A84DF6"/>
    <w:rsid w:val="00A853DE"/>
    <w:rsid w:val="00A858ED"/>
    <w:rsid w:val="00A8611F"/>
    <w:rsid w:val="00A8648A"/>
    <w:rsid w:val="00A8668E"/>
    <w:rsid w:val="00A87242"/>
    <w:rsid w:val="00A8738C"/>
    <w:rsid w:val="00A873A1"/>
    <w:rsid w:val="00A87970"/>
    <w:rsid w:val="00A87EF5"/>
    <w:rsid w:val="00A9002F"/>
    <w:rsid w:val="00A900AE"/>
    <w:rsid w:val="00A911F6"/>
    <w:rsid w:val="00A92A45"/>
    <w:rsid w:val="00A9420E"/>
    <w:rsid w:val="00A94759"/>
    <w:rsid w:val="00A94A20"/>
    <w:rsid w:val="00A954DE"/>
    <w:rsid w:val="00A95F45"/>
    <w:rsid w:val="00A96008"/>
    <w:rsid w:val="00A969DF"/>
    <w:rsid w:val="00A96C0C"/>
    <w:rsid w:val="00A97136"/>
    <w:rsid w:val="00A97724"/>
    <w:rsid w:val="00A97AB5"/>
    <w:rsid w:val="00AA0891"/>
    <w:rsid w:val="00AA23F5"/>
    <w:rsid w:val="00AA50D1"/>
    <w:rsid w:val="00AA5856"/>
    <w:rsid w:val="00AA6042"/>
    <w:rsid w:val="00AA6640"/>
    <w:rsid w:val="00AA736C"/>
    <w:rsid w:val="00AA752A"/>
    <w:rsid w:val="00AA7A0C"/>
    <w:rsid w:val="00AB0813"/>
    <w:rsid w:val="00AB3C43"/>
    <w:rsid w:val="00AB54C6"/>
    <w:rsid w:val="00AB557E"/>
    <w:rsid w:val="00AB5DAA"/>
    <w:rsid w:val="00AB67D8"/>
    <w:rsid w:val="00AB7680"/>
    <w:rsid w:val="00AC0629"/>
    <w:rsid w:val="00AC0A61"/>
    <w:rsid w:val="00AC141D"/>
    <w:rsid w:val="00AC1DBB"/>
    <w:rsid w:val="00AC211E"/>
    <w:rsid w:val="00AC2C45"/>
    <w:rsid w:val="00AC3163"/>
    <w:rsid w:val="00AC329A"/>
    <w:rsid w:val="00AC47BB"/>
    <w:rsid w:val="00AC5BF8"/>
    <w:rsid w:val="00AC68F5"/>
    <w:rsid w:val="00AC6C5E"/>
    <w:rsid w:val="00AC733F"/>
    <w:rsid w:val="00AC74E7"/>
    <w:rsid w:val="00AC7AC1"/>
    <w:rsid w:val="00AD1082"/>
    <w:rsid w:val="00AD1976"/>
    <w:rsid w:val="00AD2436"/>
    <w:rsid w:val="00AD2B8F"/>
    <w:rsid w:val="00AD3448"/>
    <w:rsid w:val="00AD3A09"/>
    <w:rsid w:val="00AD4C17"/>
    <w:rsid w:val="00AD580C"/>
    <w:rsid w:val="00AD5818"/>
    <w:rsid w:val="00AD5FD9"/>
    <w:rsid w:val="00AD6140"/>
    <w:rsid w:val="00AD6245"/>
    <w:rsid w:val="00AD6955"/>
    <w:rsid w:val="00AD6E29"/>
    <w:rsid w:val="00AD6E9C"/>
    <w:rsid w:val="00AE0559"/>
    <w:rsid w:val="00AE098C"/>
    <w:rsid w:val="00AE20AF"/>
    <w:rsid w:val="00AE25E2"/>
    <w:rsid w:val="00AE284F"/>
    <w:rsid w:val="00AE2C45"/>
    <w:rsid w:val="00AE37A2"/>
    <w:rsid w:val="00AE420C"/>
    <w:rsid w:val="00AE50E5"/>
    <w:rsid w:val="00AE5698"/>
    <w:rsid w:val="00AE7A6D"/>
    <w:rsid w:val="00AE7F15"/>
    <w:rsid w:val="00AF0F8F"/>
    <w:rsid w:val="00AF1CFF"/>
    <w:rsid w:val="00AF30D3"/>
    <w:rsid w:val="00AF32AD"/>
    <w:rsid w:val="00AF45EA"/>
    <w:rsid w:val="00AF46DC"/>
    <w:rsid w:val="00AF570C"/>
    <w:rsid w:val="00AF58EF"/>
    <w:rsid w:val="00AF5BC7"/>
    <w:rsid w:val="00AF5E61"/>
    <w:rsid w:val="00AF6012"/>
    <w:rsid w:val="00AF60B0"/>
    <w:rsid w:val="00AF6A8D"/>
    <w:rsid w:val="00AF6F78"/>
    <w:rsid w:val="00B00647"/>
    <w:rsid w:val="00B02045"/>
    <w:rsid w:val="00B020FE"/>
    <w:rsid w:val="00B021D8"/>
    <w:rsid w:val="00B0285E"/>
    <w:rsid w:val="00B036C1"/>
    <w:rsid w:val="00B0424C"/>
    <w:rsid w:val="00B04ABE"/>
    <w:rsid w:val="00B05743"/>
    <w:rsid w:val="00B06301"/>
    <w:rsid w:val="00B06DB6"/>
    <w:rsid w:val="00B07AED"/>
    <w:rsid w:val="00B127C2"/>
    <w:rsid w:val="00B131EF"/>
    <w:rsid w:val="00B137EA"/>
    <w:rsid w:val="00B14206"/>
    <w:rsid w:val="00B14A3E"/>
    <w:rsid w:val="00B16B73"/>
    <w:rsid w:val="00B16CB6"/>
    <w:rsid w:val="00B16DD3"/>
    <w:rsid w:val="00B1797D"/>
    <w:rsid w:val="00B17E16"/>
    <w:rsid w:val="00B20A0E"/>
    <w:rsid w:val="00B20A64"/>
    <w:rsid w:val="00B213AF"/>
    <w:rsid w:val="00B21595"/>
    <w:rsid w:val="00B2163E"/>
    <w:rsid w:val="00B21974"/>
    <w:rsid w:val="00B21D96"/>
    <w:rsid w:val="00B247B2"/>
    <w:rsid w:val="00B247B4"/>
    <w:rsid w:val="00B24945"/>
    <w:rsid w:val="00B24BDC"/>
    <w:rsid w:val="00B25856"/>
    <w:rsid w:val="00B25EB7"/>
    <w:rsid w:val="00B26AF7"/>
    <w:rsid w:val="00B27B07"/>
    <w:rsid w:val="00B3011B"/>
    <w:rsid w:val="00B3019B"/>
    <w:rsid w:val="00B305CE"/>
    <w:rsid w:val="00B306D8"/>
    <w:rsid w:val="00B30A7E"/>
    <w:rsid w:val="00B3161A"/>
    <w:rsid w:val="00B3194C"/>
    <w:rsid w:val="00B31B6F"/>
    <w:rsid w:val="00B32E81"/>
    <w:rsid w:val="00B34A59"/>
    <w:rsid w:val="00B34BAD"/>
    <w:rsid w:val="00B34E5B"/>
    <w:rsid w:val="00B3516A"/>
    <w:rsid w:val="00B35D8D"/>
    <w:rsid w:val="00B37D78"/>
    <w:rsid w:val="00B401C9"/>
    <w:rsid w:val="00B408BD"/>
    <w:rsid w:val="00B40B64"/>
    <w:rsid w:val="00B40FFB"/>
    <w:rsid w:val="00B41B9F"/>
    <w:rsid w:val="00B42710"/>
    <w:rsid w:val="00B42982"/>
    <w:rsid w:val="00B432BC"/>
    <w:rsid w:val="00B4380A"/>
    <w:rsid w:val="00B43EF9"/>
    <w:rsid w:val="00B450FB"/>
    <w:rsid w:val="00B4630C"/>
    <w:rsid w:val="00B46427"/>
    <w:rsid w:val="00B47015"/>
    <w:rsid w:val="00B4754E"/>
    <w:rsid w:val="00B50A50"/>
    <w:rsid w:val="00B50EA2"/>
    <w:rsid w:val="00B50F91"/>
    <w:rsid w:val="00B51375"/>
    <w:rsid w:val="00B515C6"/>
    <w:rsid w:val="00B52032"/>
    <w:rsid w:val="00B5555B"/>
    <w:rsid w:val="00B562AB"/>
    <w:rsid w:val="00B56326"/>
    <w:rsid w:val="00B56330"/>
    <w:rsid w:val="00B56729"/>
    <w:rsid w:val="00B57026"/>
    <w:rsid w:val="00B5792A"/>
    <w:rsid w:val="00B57BDC"/>
    <w:rsid w:val="00B60BF0"/>
    <w:rsid w:val="00B614AE"/>
    <w:rsid w:val="00B628F1"/>
    <w:rsid w:val="00B6332D"/>
    <w:rsid w:val="00B637F7"/>
    <w:rsid w:val="00B65BC2"/>
    <w:rsid w:val="00B660E3"/>
    <w:rsid w:val="00B66C27"/>
    <w:rsid w:val="00B67CE3"/>
    <w:rsid w:val="00B7116E"/>
    <w:rsid w:val="00B7178E"/>
    <w:rsid w:val="00B71A77"/>
    <w:rsid w:val="00B71DC7"/>
    <w:rsid w:val="00B71FEC"/>
    <w:rsid w:val="00B73275"/>
    <w:rsid w:val="00B73BAA"/>
    <w:rsid w:val="00B741E1"/>
    <w:rsid w:val="00B74A59"/>
    <w:rsid w:val="00B74D87"/>
    <w:rsid w:val="00B76878"/>
    <w:rsid w:val="00B77007"/>
    <w:rsid w:val="00B77043"/>
    <w:rsid w:val="00B777F9"/>
    <w:rsid w:val="00B815A0"/>
    <w:rsid w:val="00B81A8F"/>
    <w:rsid w:val="00B82F40"/>
    <w:rsid w:val="00B834FB"/>
    <w:rsid w:val="00B8373C"/>
    <w:rsid w:val="00B84A1D"/>
    <w:rsid w:val="00B84E33"/>
    <w:rsid w:val="00B84FDE"/>
    <w:rsid w:val="00B8598B"/>
    <w:rsid w:val="00B86173"/>
    <w:rsid w:val="00B87378"/>
    <w:rsid w:val="00B8785A"/>
    <w:rsid w:val="00B9049F"/>
    <w:rsid w:val="00B90AF2"/>
    <w:rsid w:val="00B90B78"/>
    <w:rsid w:val="00B9187A"/>
    <w:rsid w:val="00B924FA"/>
    <w:rsid w:val="00B926D0"/>
    <w:rsid w:val="00B92CF9"/>
    <w:rsid w:val="00B93048"/>
    <w:rsid w:val="00B9571D"/>
    <w:rsid w:val="00B963DE"/>
    <w:rsid w:val="00B96540"/>
    <w:rsid w:val="00B96AED"/>
    <w:rsid w:val="00B96BC4"/>
    <w:rsid w:val="00B97273"/>
    <w:rsid w:val="00B97929"/>
    <w:rsid w:val="00B97E8A"/>
    <w:rsid w:val="00BA045C"/>
    <w:rsid w:val="00BA0F15"/>
    <w:rsid w:val="00BA1C38"/>
    <w:rsid w:val="00BA1D74"/>
    <w:rsid w:val="00BA3BA3"/>
    <w:rsid w:val="00BA439D"/>
    <w:rsid w:val="00BA4C73"/>
    <w:rsid w:val="00BA5BC9"/>
    <w:rsid w:val="00BA5DAA"/>
    <w:rsid w:val="00BA6708"/>
    <w:rsid w:val="00BA6F77"/>
    <w:rsid w:val="00BA7851"/>
    <w:rsid w:val="00BB03E5"/>
    <w:rsid w:val="00BB189F"/>
    <w:rsid w:val="00BB19D6"/>
    <w:rsid w:val="00BB1EBA"/>
    <w:rsid w:val="00BB2992"/>
    <w:rsid w:val="00BB3499"/>
    <w:rsid w:val="00BB4B07"/>
    <w:rsid w:val="00BB5028"/>
    <w:rsid w:val="00BB6BD0"/>
    <w:rsid w:val="00BB7E58"/>
    <w:rsid w:val="00BC0000"/>
    <w:rsid w:val="00BC0758"/>
    <w:rsid w:val="00BC2388"/>
    <w:rsid w:val="00BC33DC"/>
    <w:rsid w:val="00BC356E"/>
    <w:rsid w:val="00BC3B05"/>
    <w:rsid w:val="00BC42C6"/>
    <w:rsid w:val="00BC4317"/>
    <w:rsid w:val="00BC4FF8"/>
    <w:rsid w:val="00BC639B"/>
    <w:rsid w:val="00BC723A"/>
    <w:rsid w:val="00BC74AA"/>
    <w:rsid w:val="00BC759C"/>
    <w:rsid w:val="00BC7D64"/>
    <w:rsid w:val="00BD04DA"/>
    <w:rsid w:val="00BD0A6D"/>
    <w:rsid w:val="00BD10E4"/>
    <w:rsid w:val="00BD1244"/>
    <w:rsid w:val="00BD2844"/>
    <w:rsid w:val="00BD2FA9"/>
    <w:rsid w:val="00BD36B7"/>
    <w:rsid w:val="00BD3ADB"/>
    <w:rsid w:val="00BD4EB4"/>
    <w:rsid w:val="00BD51F2"/>
    <w:rsid w:val="00BD5285"/>
    <w:rsid w:val="00BD5D0F"/>
    <w:rsid w:val="00BD637A"/>
    <w:rsid w:val="00BE0A36"/>
    <w:rsid w:val="00BE1A60"/>
    <w:rsid w:val="00BE23DE"/>
    <w:rsid w:val="00BE4AA3"/>
    <w:rsid w:val="00BE5097"/>
    <w:rsid w:val="00BE50A6"/>
    <w:rsid w:val="00BE5506"/>
    <w:rsid w:val="00BE63CD"/>
    <w:rsid w:val="00BE6C45"/>
    <w:rsid w:val="00BE6C86"/>
    <w:rsid w:val="00BE7807"/>
    <w:rsid w:val="00BE7973"/>
    <w:rsid w:val="00BF0122"/>
    <w:rsid w:val="00BF0C1C"/>
    <w:rsid w:val="00BF2ED0"/>
    <w:rsid w:val="00BF3DA0"/>
    <w:rsid w:val="00BF4E02"/>
    <w:rsid w:val="00BF4EA5"/>
    <w:rsid w:val="00BF51E1"/>
    <w:rsid w:val="00BF53C6"/>
    <w:rsid w:val="00BF545C"/>
    <w:rsid w:val="00BF6135"/>
    <w:rsid w:val="00C00194"/>
    <w:rsid w:val="00C004F2"/>
    <w:rsid w:val="00C009D8"/>
    <w:rsid w:val="00C00A28"/>
    <w:rsid w:val="00C01651"/>
    <w:rsid w:val="00C01753"/>
    <w:rsid w:val="00C06005"/>
    <w:rsid w:val="00C062DD"/>
    <w:rsid w:val="00C104A4"/>
    <w:rsid w:val="00C109C2"/>
    <w:rsid w:val="00C127B9"/>
    <w:rsid w:val="00C130DF"/>
    <w:rsid w:val="00C13386"/>
    <w:rsid w:val="00C14EE5"/>
    <w:rsid w:val="00C16506"/>
    <w:rsid w:val="00C17039"/>
    <w:rsid w:val="00C17EF4"/>
    <w:rsid w:val="00C20089"/>
    <w:rsid w:val="00C200C2"/>
    <w:rsid w:val="00C20CCF"/>
    <w:rsid w:val="00C21274"/>
    <w:rsid w:val="00C2210D"/>
    <w:rsid w:val="00C23271"/>
    <w:rsid w:val="00C23872"/>
    <w:rsid w:val="00C2517B"/>
    <w:rsid w:val="00C2535D"/>
    <w:rsid w:val="00C25767"/>
    <w:rsid w:val="00C2646C"/>
    <w:rsid w:val="00C26537"/>
    <w:rsid w:val="00C26817"/>
    <w:rsid w:val="00C27632"/>
    <w:rsid w:val="00C277F8"/>
    <w:rsid w:val="00C27934"/>
    <w:rsid w:val="00C27A3F"/>
    <w:rsid w:val="00C31040"/>
    <w:rsid w:val="00C311CD"/>
    <w:rsid w:val="00C31266"/>
    <w:rsid w:val="00C320D8"/>
    <w:rsid w:val="00C326AB"/>
    <w:rsid w:val="00C329E7"/>
    <w:rsid w:val="00C32B27"/>
    <w:rsid w:val="00C3489B"/>
    <w:rsid w:val="00C349F5"/>
    <w:rsid w:val="00C35D3D"/>
    <w:rsid w:val="00C363AF"/>
    <w:rsid w:val="00C36863"/>
    <w:rsid w:val="00C36885"/>
    <w:rsid w:val="00C36D86"/>
    <w:rsid w:val="00C379A3"/>
    <w:rsid w:val="00C402B6"/>
    <w:rsid w:val="00C4044A"/>
    <w:rsid w:val="00C40959"/>
    <w:rsid w:val="00C436EA"/>
    <w:rsid w:val="00C43F4E"/>
    <w:rsid w:val="00C45A15"/>
    <w:rsid w:val="00C45AE5"/>
    <w:rsid w:val="00C47B95"/>
    <w:rsid w:val="00C50EB3"/>
    <w:rsid w:val="00C51170"/>
    <w:rsid w:val="00C51BD9"/>
    <w:rsid w:val="00C51FA0"/>
    <w:rsid w:val="00C535AA"/>
    <w:rsid w:val="00C535C7"/>
    <w:rsid w:val="00C53E72"/>
    <w:rsid w:val="00C5412D"/>
    <w:rsid w:val="00C5416A"/>
    <w:rsid w:val="00C54313"/>
    <w:rsid w:val="00C54991"/>
    <w:rsid w:val="00C5624D"/>
    <w:rsid w:val="00C61567"/>
    <w:rsid w:val="00C63284"/>
    <w:rsid w:val="00C6352D"/>
    <w:rsid w:val="00C64408"/>
    <w:rsid w:val="00C64416"/>
    <w:rsid w:val="00C64C05"/>
    <w:rsid w:val="00C6503C"/>
    <w:rsid w:val="00C65B16"/>
    <w:rsid w:val="00C65B7D"/>
    <w:rsid w:val="00C663B8"/>
    <w:rsid w:val="00C6680A"/>
    <w:rsid w:val="00C66B95"/>
    <w:rsid w:val="00C671C8"/>
    <w:rsid w:val="00C704FA"/>
    <w:rsid w:val="00C70FD8"/>
    <w:rsid w:val="00C711D1"/>
    <w:rsid w:val="00C71F86"/>
    <w:rsid w:val="00C72198"/>
    <w:rsid w:val="00C73C37"/>
    <w:rsid w:val="00C73EC9"/>
    <w:rsid w:val="00C74445"/>
    <w:rsid w:val="00C74D06"/>
    <w:rsid w:val="00C77A3E"/>
    <w:rsid w:val="00C80798"/>
    <w:rsid w:val="00C81E9F"/>
    <w:rsid w:val="00C83064"/>
    <w:rsid w:val="00C854D8"/>
    <w:rsid w:val="00C85679"/>
    <w:rsid w:val="00C8593F"/>
    <w:rsid w:val="00C86174"/>
    <w:rsid w:val="00C87FBF"/>
    <w:rsid w:val="00C90E5D"/>
    <w:rsid w:val="00C91DD8"/>
    <w:rsid w:val="00C91F36"/>
    <w:rsid w:val="00C91F89"/>
    <w:rsid w:val="00C9274B"/>
    <w:rsid w:val="00C9312D"/>
    <w:rsid w:val="00C93B87"/>
    <w:rsid w:val="00C93D33"/>
    <w:rsid w:val="00C942CC"/>
    <w:rsid w:val="00C94576"/>
    <w:rsid w:val="00C94B71"/>
    <w:rsid w:val="00C94F8C"/>
    <w:rsid w:val="00C95216"/>
    <w:rsid w:val="00C9636F"/>
    <w:rsid w:val="00C963EE"/>
    <w:rsid w:val="00C97BB9"/>
    <w:rsid w:val="00CA20D1"/>
    <w:rsid w:val="00CA247F"/>
    <w:rsid w:val="00CA2861"/>
    <w:rsid w:val="00CA5A69"/>
    <w:rsid w:val="00CA60CC"/>
    <w:rsid w:val="00CA66A5"/>
    <w:rsid w:val="00CA71A7"/>
    <w:rsid w:val="00CA7328"/>
    <w:rsid w:val="00CB03B9"/>
    <w:rsid w:val="00CB05D1"/>
    <w:rsid w:val="00CB0B21"/>
    <w:rsid w:val="00CB1C17"/>
    <w:rsid w:val="00CB23B2"/>
    <w:rsid w:val="00CB23F3"/>
    <w:rsid w:val="00CB27D6"/>
    <w:rsid w:val="00CB28E4"/>
    <w:rsid w:val="00CB29F0"/>
    <w:rsid w:val="00CB2D43"/>
    <w:rsid w:val="00CB2DBA"/>
    <w:rsid w:val="00CB2E93"/>
    <w:rsid w:val="00CB568E"/>
    <w:rsid w:val="00CB683A"/>
    <w:rsid w:val="00CC06EC"/>
    <w:rsid w:val="00CC0A1D"/>
    <w:rsid w:val="00CC183E"/>
    <w:rsid w:val="00CC27F1"/>
    <w:rsid w:val="00CC2EC4"/>
    <w:rsid w:val="00CC3193"/>
    <w:rsid w:val="00CC358B"/>
    <w:rsid w:val="00CC3B64"/>
    <w:rsid w:val="00CC4F97"/>
    <w:rsid w:val="00CC5768"/>
    <w:rsid w:val="00CC6F35"/>
    <w:rsid w:val="00CD17B8"/>
    <w:rsid w:val="00CD19D1"/>
    <w:rsid w:val="00CD1D47"/>
    <w:rsid w:val="00CD26D9"/>
    <w:rsid w:val="00CD2B12"/>
    <w:rsid w:val="00CD2E4A"/>
    <w:rsid w:val="00CD34F1"/>
    <w:rsid w:val="00CD3954"/>
    <w:rsid w:val="00CD4D9B"/>
    <w:rsid w:val="00CD55A8"/>
    <w:rsid w:val="00CD65F3"/>
    <w:rsid w:val="00CD6C29"/>
    <w:rsid w:val="00CD6EFF"/>
    <w:rsid w:val="00CD79F9"/>
    <w:rsid w:val="00CE04C2"/>
    <w:rsid w:val="00CE109F"/>
    <w:rsid w:val="00CE3CEA"/>
    <w:rsid w:val="00CE44B8"/>
    <w:rsid w:val="00CE451A"/>
    <w:rsid w:val="00CE4684"/>
    <w:rsid w:val="00CE57A2"/>
    <w:rsid w:val="00CE6B2E"/>
    <w:rsid w:val="00CE7EB2"/>
    <w:rsid w:val="00CF0493"/>
    <w:rsid w:val="00CF051C"/>
    <w:rsid w:val="00CF088E"/>
    <w:rsid w:val="00CF17E9"/>
    <w:rsid w:val="00CF2362"/>
    <w:rsid w:val="00CF2F2B"/>
    <w:rsid w:val="00CF4975"/>
    <w:rsid w:val="00CF52B7"/>
    <w:rsid w:val="00CF63A3"/>
    <w:rsid w:val="00CF6C63"/>
    <w:rsid w:val="00D0075F"/>
    <w:rsid w:val="00D00D6D"/>
    <w:rsid w:val="00D011B5"/>
    <w:rsid w:val="00D01250"/>
    <w:rsid w:val="00D012BB"/>
    <w:rsid w:val="00D01DF7"/>
    <w:rsid w:val="00D01FE9"/>
    <w:rsid w:val="00D0235A"/>
    <w:rsid w:val="00D02513"/>
    <w:rsid w:val="00D03387"/>
    <w:rsid w:val="00D0380D"/>
    <w:rsid w:val="00D03A25"/>
    <w:rsid w:val="00D03D49"/>
    <w:rsid w:val="00D0442A"/>
    <w:rsid w:val="00D049D5"/>
    <w:rsid w:val="00D04B5F"/>
    <w:rsid w:val="00D051F9"/>
    <w:rsid w:val="00D05DB1"/>
    <w:rsid w:val="00D05E83"/>
    <w:rsid w:val="00D06EAA"/>
    <w:rsid w:val="00D0713B"/>
    <w:rsid w:val="00D11D1D"/>
    <w:rsid w:val="00D125D4"/>
    <w:rsid w:val="00D12A02"/>
    <w:rsid w:val="00D1349C"/>
    <w:rsid w:val="00D13869"/>
    <w:rsid w:val="00D13A30"/>
    <w:rsid w:val="00D1407A"/>
    <w:rsid w:val="00D145D8"/>
    <w:rsid w:val="00D14720"/>
    <w:rsid w:val="00D14956"/>
    <w:rsid w:val="00D1516A"/>
    <w:rsid w:val="00D161E4"/>
    <w:rsid w:val="00D16A7A"/>
    <w:rsid w:val="00D173DA"/>
    <w:rsid w:val="00D179F3"/>
    <w:rsid w:val="00D20448"/>
    <w:rsid w:val="00D21A0B"/>
    <w:rsid w:val="00D22400"/>
    <w:rsid w:val="00D2579F"/>
    <w:rsid w:val="00D25DF8"/>
    <w:rsid w:val="00D2678E"/>
    <w:rsid w:val="00D302C2"/>
    <w:rsid w:val="00D305D3"/>
    <w:rsid w:val="00D32639"/>
    <w:rsid w:val="00D32689"/>
    <w:rsid w:val="00D32A3E"/>
    <w:rsid w:val="00D32BC9"/>
    <w:rsid w:val="00D342B9"/>
    <w:rsid w:val="00D35367"/>
    <w:rsid w:val="00D359B7"/>
    <w:rsid w:val="00D3758F"/>
    <w:rsid w:val="00D403B9"/>
    <w:rsid w:val="00D406D4"/>
    <w:rsid w:val="00D413F5"/>
    <w:rsid w:val="00D414D5"/>
    <w:rsid w:val="00D416B9"/>
    <w:rsid w:val="00D42194"/>
    <w:rsid w:val="00D42452"/>
    <w:rsid w:val="00D42808"/>
    <w:rsid w:val="00D451C6"/>
    <w:rsid w:val="00D4564D"/>
    <w:rsid w:val="00D45847"/>
    <w:rsid w:val="00D460CF"/>
    <w:rsid w:val="00D463BE"/>
    <w:rsid w:val="00D464A1"/>
    <w:rsid w:val="00D466AF"/>
    <w:rsid w:val="00D46CB9"/>
    <w:rsid w:val="00D46DA1"/>
    <w:rsid w:val="00D474A6"/>
    <w:rsid w:val="00D50115"/>
    <w:rsid w:val="00D50218"/>
    <w:rsid w:val="00D50391"/>
    <w:rsid w:val="00D50C90"/>
    <w:rsid w:val="00D52CFE"/>
    <w:rsid w:val="00D53043"/>
    <w:rsid w:val="00D533FF"/>
    <w:rsid w:val="00D534E0"/>
    <w:rsid w:val="00D537EA"/>
    <w:rsid w:val="00D54431"/>
    <w:rsid w:val="00D5471E"/>
    <w:rsid w:val="00D54D2E"/>
    <w:rsid w:val="00D5530F"/>
    <w:rsid w:val="00D55B73"/>
    <w:rsid w:val="00D55F63"/>
    <w:rsid w:val="00D56052"/>
    <w:rsid w:val="00D57836"/>
    <w:rsid w:val="00D602C1"/>
    <w:rsid w:val="00D60C74"/>
    <w:rsid w:val="00D619F8"/>
    <w:rsid w:val="00D64519"/>
    <w:rsid w:val="00D64658"/>
    <w:rsid w:val="00D669E4"/>
    <w:rsid w:val="00D66A2D"/>
    <w:rsid w:val="00D66DFE"/>
    <w:rsid w:val="00D67284"/>
    <w:rsid w:val="00D67BAA"/>
    <w:rsid w:val="00D70918"/>
    <w:rsid w:val="00D70AE4"/>
    <w:rsid w:val="00D7119A"/>
    <w:rsid w:val="00D7285F"/>
    <w:rsid w:val="00D73335"/>
    <w:rsid w:val="00D7375C"/>
    <w:rsid w:val="00D76404"/>
    <w:rsid w:val="00D76FEE"/>
    <w:rsid w:val="00D820AE"/>
    <w:rsid w:val="00D82690"/>
    <w:rsid w:val="00D82BFD"/>
    <w:rsid w:val="00D82ECE"/>
    <w:rsid w:val="00D84342"/>
    <w:rsid w:val="00D84DB3"/>
    <w:rsid w:val="00D84F7B"/>
    <w:rsid w:val="00D84FB6"/>
    <w:rsid w:val="00D858B1"/>
    <w:rsid w:val="00D85DE2"/>
    <w:rsid w:val="00D8709A"/>
    <w:rsid w:val="00D877A7"/>
    <w:rsid w:val="00D911CC"/>
    <w:rsid w:val="00D93D18"/>
    <w:rsid w:val="00D94798"/>
    <w:rsid w:val="00D957D9"/>
    <w:rsid w:val="00D974A8"/>
    <w:rsid w:val="00D97917"/>
    <w:rsid w:val="00D97FF1"/>
    <w:rsid w:val="00DA089B"/>
    <w:rsid w:val="00DA0A2C"/>
    <w:rsid w:val="00DA0C7B"/>
    <w:rsid w:val="00DA1212"/>
    <w:rsid w:val="00DA1269"/>
    <w:rsid w:val="00DA1852"/>
    <w:rsid w:val="00DA2A75"/>
    <w:rsid w:val="00DA2C48"/>
    <w:rsid w:val="00DA31D3"/>
    <w:rsid w:val="00DA412A"/>
    <w:rsid w:val="00DA4EB8"/>
    <w:rsid w:val="00DA4F55"/>
    <w:rsid w:val="00DA6031"/>
    <w:rsid w:val="00DA646B"/>
    <w:rsid w:val="00DA68B3"/>
    <w:rsid w:val="00DA7A7A"/>
    <w:rsid w:val="00DB117B"/>
    <w:rsid w:val="00DB12EE"/>
    <w:rsid w:val="00DB18FE"/>
    <w:rsid w:val="00DB2421"/>
    <w:rsid w:val="00DB2D9C"/>
    <w:rsid w:val="00DB44E0"/>
    <w:rsid w:val="00DB4E57"/>
    <w:rsid w:val="00DB4EE4"/>
    <w:rsid w:val="00DB5371"/>
    <w:rsid w:val="00DB54F0"/>
    <w:rsid w:val="00DB55C5"/>
    <w:rsid w:val="00DB59CE"/>
    <w:rsid w:val="00DB5B13"/>
    <w:rsid w:val="00DB68EB"/>
    <w:rsid w:val="00DB6BDA"/>
    <w:rsid w:val="00DB6E81"/>
    <w:rsid w:val="00DC047C"/>
    <w:rsid w:val="00DC1EC2"/>
    <w:rsid w:val="00DC231D"/>
    <w:rsid w:val="00DC381F"/>
    <w:rsid w:val="00DC3E17"/>
    <w:rsid w:val="00DC5114"/>
    <w:rsid w:val="00DC51C6"/>
    <w:rsid w:val="00DC599C"/>
    <w:rsid w:val="00DC5F7D"/>
    <w:rsid w:val="00DC7063"/>
    <w:rsid w:val="00DC75A8"/>
    <w:rsid w:val="00DC7A73"/>
    <w:rsid w:val="00DD0139"/>
    <w:rsid w:val="00DD05F3"/>
    <w:rsid w:val="00DD0A8F"/>
    <w:rsid w:val="00DD0E5D"/>
    <w:rsid w:val="00DD1137"/>
    <w:rsid w:val="00DD1530"/>
    <w:rsid w:val="00DD1B94"/>
    <w:rsid w:val="00DD20E4"/>
    <w:rsid w:val="00DD3D98"/>
    <w:rsid w:val="00DD46D3"/>
    <w:rsid w:val="00DD5ABB"/>
    <w:rsid w:val="00DD61C7"/>
    <w:rsid w:val="00DD7976"/>
    <w:rsid w:val="00DD7F2A"/>
    <w:rsid w:val="00DE07BF"/>
    <w:rsid w:val="00DE085D"/>
    <w:rsid w:val="00DE0C11"/>
    <w:rsid w:val="00DE0CDE"/>
    <w:rsid w:val="00DE1249"/>
    <w:rsid w:val="00DE1822"/>
    <w:rsid w:val="00DE3D30"/>
    <w:rsid w:val="00DE5034"/>
    <w:rsid w:val="00DE5160"/>
    <w:rsid w:val="00DE52D7"/>
    <w:rsid w:val="00DE5ED2"/>
    <w:rsid w:val="00DE6626"/>
    <w:rsid w:val="00DE748D"/>
    <w:rsid w:val="00DF0237"/>
    <w:rsid w:val="00DF1256"/>
    <w:rsid w:val="00DF1E83"/>
    <w:rsid w:val="00DF27E4"/>
    <w:rsid w:val="00DF2B02"/>
    <w:rsid w:val="00DF2C31"/>
    <w:rsid w:val="00DF2CE5"/>
    <w:rsid w:val="00DF34EE"/>
    <w:rsid w:val="00DF3BAD"/>
    <w:rsid w:val="00DF4CB2"/>
    <w:rsid w:val="00DF7A80"/>
    <w:rsid w:val="00DF7FD6"/>
    <w:rsid w:val="00E00BE5"/>
    <w:rsid w:val="00E01F0C"/>
    <w:rsid w:val="00E01F10"/>
    <w:rsid w:val="00E02458"/>
    <w:rsid w:val="00E02DD1"/>
    <w:rsid w:val="00E0394A"/>
    <w:rsid w:val="00E03E2E"/>
    <w:rsid w:val="00E0454B"/>
    <w:rsid w:val="00E0480A"/>
    <w:rsid w:val="00E054A2"/>
    <w:rsid w:val="00E06A54"/>
    <w:rsid w:val="00E0720B"/>
    <w:rsid w:val="00E07762"/>
    <w:rsid w:val="00E102CD"/>
    <w:rsid w:val="00E1087A"/>
    <w:rsid w:val="00E108C8"/>
    <w:rsid w:val="00E10AE0"/>
    <w:rsid w:val="00E12818"/>
    <w:rsid w:val="00E13482"/>
    <w:rsid w:val="00E15535"/>
    <w:rsid w:val="00E155CA"/>
    <w:rsid w:val="00E16E7D"/>
    <w:rsid w:val="00E20061"/>
    <w:rsid w:val="00E208F5"/>
    <w:rsid w:val="00E21C01"/>
    <w:rsid w:val="00E2208D"/>
    <w:rsid w:val="00E22E6D"/>
    <w:rsid w:val="00E24094"/>
    <w:rsid w:val="00E25EAF"/>
    <w:rsid w:val="00E26334"/>
    <w:rsid w:val="00E271EA"/>
    <w:rsid w:val="00E2751C"/>
    <w:rsid w:val="00E27C51"/>
    <w:rsid w:val="00E27E4D"/>
    <w:rsid w:val="00E301D8"/>
    <w:rsid w:val="00E30ADB"/>
    <w:rsid w:val="00E32A5B"/>
    <w:rsid w:val="00E330A0"/>
    <w:rsid w:val="00E344FA"/>
    <w:rsid w:val="00E347C2"/>
    <w:rsid w:val="00E36132"/>
    <w:rsid w:val="00E36185"/>
    <w:rsid w:val="00E36371"/>
    <w:rsid w:val="00E366C4"/>
    <w:rsid w:val="00E36CAC"/>
    <w:rsid w:val="00E36D16"/>
    <w:rsid w:val="00E3756A"/>
    <w:rsid w:val="00E407BC"/>
    <w:rsid w:val="00E40C20"/>
    <w:rsid w:val="00E40DC0"/>
    <w:rsid w:val="00E4196B"/>
    <w:rsid w:val="00E425D0"/>
    <w:rsid w:val="00E42BF4"/>
    <w:rsid w:val="00E433F2"/>
    <w:rsid w:val="00E43C36"/>
    <w:rsid w:val="00E43F6E"/>
    <w:rsid w:val="00E44328"/>
    <w:rsid w:val="00E44D5A"/>
    <w:rsid w:val="00E45C63"/>
    <w:rsid w:val="00E46B2C"/>
    <w:rsid w:val="00E50087"/>
    <w:rsid w:val="00E5159F"/>
    <w:rsid w:val="00E520C1"/>
    <w:rsid w:val="00E5219E"/>
    <w:rsid w:val="00E56317"/>
    <w:rsid w:val="00E56DD9"/>
    <w:rsid w:val="00E604CD"/>
    <w:rsid w:val="00E606F5"/>
    <w:rsid w:val="00E60E25"/>
    <w:rsid w:val="00E61F64"/>
    <w:rsid w:val="00E620FC"/>
    <w:rsid w:val="00E6247A"/>
    <w:rsid w:val="00E62941"/>
    <w:rsid w:val="00E62BDE"/>
    <w:rsid w:val="00E633EF"/>
    <w:rsid w:val="00E639B7"/>
    <w:rsid w:val="00E63EC8"/>
    <w:rsid w:val="00E64BA1"/>
    <w:rsid w:val="00E66671"/>
    <w:rsid w:val="00E666C2"/>
    <w:rsid w:val="00E66F19"/>
    <w:rsid w:val="00E67453"/>
    <w:rsid w:val="00E709B8"/>
    <w:rsid w:val="00E71386"/>
    <w:rsid w:val="00E732FF"/>
    <w:rsid w:val="00E740E8"/>
    <w:rsid w:val="00E7476B"/>
    <w:rsid w:val="00E75096"/>
    <w:rsid w:val="00E750C4"/>
    <w:rsid w:val="00E75FE2"/>
    <w:rsid w:val="00E76088"/>
    <w:rsid w:val="00E764C7"/>
    <w:rsid w:val="00E765A0"/>
    <w:rsid w:val="00E76725"/>
    <w:rsid w:val="00E77EE9"/>
    <w:rsid w:val="00E8115B"/>
    <w:rsid w:val="00E814B6"/>
    <w:rsid w:val="00E81747"/>
    <w:rsid w:val="00E81A49"/>
    <w:rsid w:val="00E82D59"/>
    <w:rsid w:val="00E8350E"/>
    <w:rsid w:val="00E84425"/>
    <w:rsid w:val="00E84620"/>
    <w:rsid w:val="00E8462C"/>
    <w:rsid w:val="00E84987"/>
    <w:rsid w:val="00E84AF6"/>
    <w:rsid w:val="00E854A1"/>
    <w:rsid w:val="00E859F1"/>
    <w:rsid w:val="00E86302"/>
    <w:rsid w:val="00E87ACC"/>
    <w:rsid w:val="00E9017A"/>
    <w:rsid w:val="00E9041D"/>
    <w:rsid w:val="00E90636"/>
    <w:rsid w:val="00E90950"/>
    <w:rsid w:val="00E914F6"/>
    <w:rsid w:val="00E91A45"/>
    <w:rsid w:val="00E921B5"/>
    <w:rsid w:val="00E929A9"/>
    <w:rsid w:val="00E93923"/>
    <w:rsid w:val="00E93C40"/>
    <w:rsid w:val="00E93F8F"/>
    <w:rsid w:val="00E94661"/>
    <w:rsid w:val="00E95556"/>
    <w:rsid w:val="00E97CC7"/>
    <w:rsid w:val="00E97FDF"/>
    <w:rsid w:val="00EA0474"/>
    <w:rsid w:val="00EA0E35"/>
    <w:rsid w:val="00EA11DA"/>
    <w:rsid w:val="00EA2042"/>
    <w:rsid w:val="00EA3DFC"/>
    <w:rsid w:val="00EA4A39"/>
    <w:rsid w:val="00EA4FC9"/>
    <w:rsid w:val="00EA6486"/>
    <w:rsid w:val="00EA6DF4"/>
    <w:rsid w:val="00EA79A0"/>
    <w:rsid w:val="00EA7A0A"/>
    <w:rsid w:val="00EB02A9"/>
    <w:rsid w:val="00EB066C"/>
    <w:rsid w:val="00EB28FF"/>
    <w:rsid w:val="00EB36CF"/>
    <w:rsid w:val="00EB384F"/>
    <w:rsid w:val="00EB417C"/>
    <w:rsid w:val="00EB5166"/>
    <w:rsid w:val="00EB51F0"/>
    <w:rsid w:val="00EB601B"/>
    <w:rsid w:val="00EB6208"/>
    <w:rsid w:val="00EB6424"/>
    <w:rsid w:val="00EC01C8"/>
    <w:rsid w:val="00EC0318"/>
    <w:rsid w:val="00EC03BB"/>
    <w:rsid w:val="00EC0839"/>
    <w:rsid w:val="00EC0A66"/>
    <w:rsid w:val="00EC0E4E"/>
    <w:rsid w:val="00EC185C"/>
    <w:rsid w:val="00EC1C30"/>
    <w:rsid w:val="00EC4B48"/>
    <w:rsid w:val="00EC566D"/>
    <w:rsid w:val="00EC613F"/>
    <w:rsid w:val="00EC6617"/>
    <w:rsid w:val="00EC6866"/>
    <w:rsid w:val="00EC7CA1"/>
    <w:rsid w:val="00ED08E6"/>
    <w:rsid w:val="00ED12FC"/>
    <w:rsid w:val="00ED1D96"/>
    <w:rsid w:val="00ED203A"/>
    <w:rsid w:val="00ED2311"/>
    <w:rsid w:val="00ED2B8E"/>
    <w:rsid w:val="00ED4221"/>
    <w:rsid w:val="00ED43C0"/>
    <w:rsid w:val="00ED4A76"/>
    <w:rsid w:val="00ED5C7A"/>
    <w:rsid w:val="00ED7CDC"/>
    <w:rsid w:val="00ED7F1B"/>
    <w:rsid w:val="00EE1EFB"/>
    <w:rsid w:val="00EE2790"/>
    <w:rsid w:val="00EE2C88"/>
    <w:rsid w:val="00EE3169"/>
    <w:rsid w:val="00EE372E"/>
    <w:rsid w:val="00EE4523"/>
    <w:rsid w:val="00EE4A53"/>
    <w:rsid w:val="00EE5038"/>
    <w:rsid w:val="00EE5388"/>
    <w:rsid w:val="00EE670A"/>
    <w:rsid w:val="00EE7EB0"/>
    <w:rsid w:val="00EF1836"/>
    <w:rsid w:val="00EF188E"/>
    <w:rsid w:val="00EF25D2"/>
    <w:rsid w:val="00EF2C78"/>
    <w:rsid w:val="00EF2F33"/>
    <w:rsid w:val="00EF2FB5"/>
    <w:rsid w:val="00EF39F2"/>
    <w:rsid w:val="00EF5542"/>
    <w:rsid w:val="00EF7B38"/>
    <w:rsid w:val="00F0045C"/>
    <w:rsid w:val="00F00FBD"/>
    <w:rsid w:val="00F013E2"/>
    <w:rsid w:val="00F01B21"/>
    <w:rsid w:val="00F01D0C"/>
    <w:rsid w:val="00F0216D"/>
    <w:rsid w:val="00F03603"/>
    <w:rsid w:val="00F0428D"/>
    <w:rsid w:val="00F04CE7"/>
    <w:rsid w:val="00F05554"/>
    <w:rsid w:val="00F05B8F"/>
    <w:rsid w:val="00F05E3E"/>
    <w:rsid w:val="00F06CA2"/>
    <w:rsid w:val="00F0724F"/>
    <w:rsid w:val="00F079AE"/>
    <w:rsid w:val="00F11074"/>
    <w:rsid w:val="00F11FF4"/>
    <w:rsid w:val="00F1271C"/>
    <w:rsid w:val="00F12A81"/>
    <w:rsid w:val="00F13A52"/>
    <w:rsid w:val="00F13B2B"/>
    <w:rsid w:val="00F13BB4"/>
    <w:rsid w:val="00F140FA"/>
    <w:rsid w:val="00F1411B"/>
    <w:rsid w:val="00F14B52"/>
    <w:rsid w:val="00F14D27"/>
    <w:rsid w:val="00F14F96"/>
    <w:rsid w:val="00F15901"/>
    <w:rsid w:val="00F2074B"/>
    <w:rsid w:val="00F21638"/>
    <w:rsid w:val="00F21D7D"/>
    <w:rsid w:val="00F22A35"/>
    <w:rsid w:val="00F242B7"/>
    <w:rsid w:val="00F24329"/>
    <w:rsid w:val="00F24A5F"/>
    <w:rsid w:val="00F26134"/>
    <w:rsid w:val="00F261CB"/>
    <w:rsid w:val="00F269B8"/>
    <w:rsid w:val="00F26D12"/>
    <w:rsid w:val="00F27898"/>
    <w:rsid w:val="00F27E57"/>
    <w:rsid w:val="00F3031B"/>
    <w:rsid w:val="00F31549"/>
    <w:rsid w:val="00F3259D"/>
    <w:rsid w:val="00F33891"/>
    <w:rsid w:val="00F33EBB"/>
    <w:rsid w:val="00F34AB7"/>
    <w:rsid w:val="00F3577E"/>
    <w:rsid w:val="00F36226"/>
    <w:rsid w:val="00F37030"/>
    <w:rsid w:val="00F37455"/>
    <w:rsid w:val="00F37E0E"/>
    <w:rsid w:val="00F40172"/>
    <w:rsid w:val="00F40A1B"/>
    <w:rsid w:val="00F43E50"/>
    <w:rsid w:val="00F44144"/>
    <w:rsid w:val="00F44E6A"/>
    <w:rsid w:val="00F4563A"/>
    <w:rsid w:val="00F46B87"/>
    <w:rsid w:val="00F47650"/>
    <w:rsid w:val="00F47782"/>
    <w:rsid w:val="00F4779C"/>
    <w:rsid w:val="00F47C90"/>
    <w:rsid w:val="00F5068F"/>
    <w:rsid w:val="00F50E8E"/>
    <w:rsid w:val="00F51A26"/>
    <w:rsid w:val="00F530B2"/>
    <w:rsid w:val="00F53787"/>
    <w:rsid w:val="00F53C2A"/>
    <w:rsid w:val="00F54250"/>
    <w:rsid w:val="00F549A4"/>
    <w:rsid w:val="00F54B8F"/>
    <w:rsid w:val="00F54C32"/>
    <w:rsid w:val="00F54F5D"/>
    <w:rsid w:val="00F552BA"/>
    <w:rsid w:val="00F557DE"/>
    <w:rsid w:val="00F55DF0"/>
    <w:rsid w:val="00F55F2B"/>
    <w:rsid w:val="00F56526"/>
    <w:rsid w:val="00F56BDC"/>
    <w:rsid w:val="00F57833"/>
    <w:rsid w:val="00F61057"/>
    <w:rsid w:val="00F62051"/>
    <w:rsid w:val="00F62AC2"/>
    <w:rsid w:val="00F631DA"/>
    <w:rsid w:val="00F63582"/>
    <w:rsid w:val="00F635B0"/>
    <w:rsid w:val="00F65E28"/>
    <w:rsid w:val="00F65F8D"/>
    <w:rsid w:val="00F662C4"/>
    <w:rsid w:val="00F677BC"/>
    <w:rsid w:val="00F67F85"/>
    <w:rsid w:val="00F703E5"/>
    <w:rsid w:val="00F703E7"/>
    <w:rsid w:val="00F709BE"/>
    <w:rsid w:val="00F70ECA"/>
    <w:rsid w:val="00F71184"/>
    <w:rsid w:val="00F72511"/>
    <w:rsid w:val="00F72BA9"/>
    <w:rsid w:val="00F73ACD"/>
    <w:rsid w:val="00F74098"/>
    <w:rsid w:val="00F74662"/>
    <w:rsid w:val="00F74BAA"/>
    <w:rsid w:val="00F74DF4"/>
    <w:rsid w:val="00F7518A"/>
    <w:rsid w:val="00F75CEA"/>
    <w:rsid w:val="00F75FA6"/>
    <w:rsid w:val="00F76898"/>
    <w:rsid w:val="00F76C9B"/>
    <w:rsid w:val="00F76CFD"/>
    <w:rsid w:val="00F76DC0"/>
    <w:rsid w:val="00F80A0E"/>
    <w:rsid w:val="00F81E7F"/>
    <w:rsid w:val="00F82102"/>
    <w:rsid w:val="00F82485"/>
    <w:rsid w:val="00F827B0"/>
    <w:rsid w:val="00F82D3A"/>
    <w:rsid w:val="00F83E3A"/>
    <w:rsid w:val="00F83FBB"/>
    <w:rsid w:val="00F845F1"/>
    <w:rsid w:val="00F8467F"/>
    <w:rsid w:val="00F86924"/>
    <w:rsid w:val="00F871D2"/>
    <w:rsid w:val="00F87E85"/>
    <w:rsid w:val="00F90558"/>
    <w:rsid w:val="00F9074F"/>
    <w:rsid w:val="00F922F9"/>
    <w:rsid w:val="00F9299A"/>
    <w:rsid w:val="00F947D4"/>
    <w:rsid w:val="00F95138"/>
    <w:rsid w:val="00F965A8"/>
    <w:rsid w:val="00F96DC0"/>
    <w:rsid w:val="00F97494"/>
    <w:rsid w:val="00F9783B"/>
    <w:rsid w:val="00FA050B"/>
    <w:rsid w:val="00FA0A67"/>
    <w:rsid w:val="00FA0F89"/>
    <w:rsid w:val="00FA1F81"/>
    <w:rsid w:val="00FA254E"/>
    <w:rsid w:val="00FA2AEC"/>
    <w:rsid w:val="00FA373F"/>
    <w:rsid w:val="00FA3EA8"/>
    <w:rsid w:val="00FA480F"/>
    <w:rsid w:val="00FA581D"/>
    <w:rsid w:val="00FA662D"/>
    <w:rsid w:val="00FA740A"/>
    <w:rsid w:val="00FA77B0"/>
    <w:rsid w:val="00FA7B30"/>
    <w:rsid w:val="00FB0206"/>
    <w:rsid w:val="00FB0437"/>
    <w:rsid w:val="00FB0720"/>
    <w:rsid w:val="00FB0852"/>
    <w:rsid w:val="00FB0F98"/>
    <w:rsid w:val="00FB1C3F"/>
    <w:rsid w:val="00FB2801"/>
    <w:rsid w:val="00FB3E61"/>
    <w:rsid w:val="00FB528B"/>
    <w:rsid w:val="00FB60B1"/>
    <w:rsid w:val="00FB6374"/>
    <w:rsid w:val="00FB761B"/>
    <w:rsid w:val="00FC0056"/>
    <w:rsid w:val="00FC0CBD"/>
    <w:rsid w:val="00FC1C76"/>
    <w:rsid w:val="00FC306C"/>
    <w:rsid w:val="00FC371E"/>
    <w:rsid w:val="00FC3CEB"/>
    <w:rsid w:val="00FC3FE2"/>
    <w:rsid w:val="00FC4AC1"/>
    <w:rsid w:val="00FC6028"/>
    <w:rsid w:val="00FC66E6"/>
    <w:rsid w:val="00FC697F"/>
    <w:rsid w:val="00FC6C3B"/>
    <w:rsid w:val="00FD0267"/>
    <w:rsid w:val="00FD0BE8"/>
    <w:rsid w:val="00FD0EFC"/>
    <w:rsid w:val="00FD2E6F"/>
    <w:rsid w:val="00FD3687"/>
    <w:rsid w:val="00FD36DC"/>
    <w:rsid w:val="00FD3DE6"/>
    <w:rsid w:val="00FD49AC"/>
    <w:rsid w:val="00FD4C09"/>
    <w:rsid w:val="00FD56B6"/>
    <w:rsid w:val="00FD584E"/>
    <w:rsid w:val="00FD6906"/>
    <w:rsid w:val="00FE0D54"/>
    <w:rsid w:val="00FE1F4C"/>
    <w:rsid w:val="00FE236A"/>
    <w:rsid w:val="00FE2FB6"/>
    <w:rsid w:val="00FE393C"/>
    <w:rsid w:val="00FE46D3"/>
    <w:rsid w:val="00FE4FBE"/>
    <w:rsid w:val="00FE6F6B"/>
    <w:rsid w:val="00FE7ABE"/>
    <w:rsid w:val="00FF0336"/>
    <w:rsid w:val="00FF17C2"/>
    <w:rsid w:val="00FF21A9"/>
    <w:rsid w:val="00FF2D41"/>
    <w:rsid w:val="00FF4716"/>
    <w:rsid w:val="00FF536E"/>
    <w:rsid w:val="00FF5409"/>
    <w:rsid w:val="00FF5F21"/>
    <w:rsid w:val="00FF5F68"/>
    <w:rsid w:val="00FF7D7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F5"/>
    <w:pPr>
      <w:spacing w:after="120" w:line="276" w:lineRule="auto"/>
      <w:ind w:firstLine="720"/>
    </w:pPr>
    <w:rPr>
      <w:rFonts w:ascii="Times New Roman" w:eastAsia="Times New Roman" w:hAnsi="Times New Roman"/>
      <w:sz w:val="28"/>
      <w:szCs w:val="22"/>
    </w:rPr>
  </w:style>
  <w:style w:type="paragraph" w:styleId="Heading1">
    <w:name w:val="heading 1"/>
    <w:basedOn w:val="Normal"/>
    <w:next w:val="Normal"/>
    <w:link w:val="Heading1Char"/>
    <w:uiPriority w:val="9"/>
    <w:qFormat/>
    <w:rsid w:val="00C26817"/>
    <w:pPr>
      <w:keepNext/>
      <w:keepLines/>
      <w:spacing w:before="240" w:after="240" w:line="240" w:lineRule="auto"/>
      <w:outlineLvl w:val="0"/>
    </w:pPr>
    <w:rPr>
      <w:b/>
      <w:bCs/>
      <w:color w:val="000000"/>
      <w:sz w:val="32"/>
      <w:szCs w:val="28"/>
    </w:rPr>
  </w:style>
  <w:style w:type="paragraph" w:styleId="Heading2">
    <w:name w:val="heading 2"/>
    <w:basedOn w:val="Normal"/>
    <w:next w:val="Normal"/>
    <w:link w:val="Heading2Char"/>
    <w:uiPriority w:val="9"/>
    <w:unhideWhenUsed/>
    <w:qFormat/>
    <w:rsid w:val="007B6B06"/>
    <w:pPr>
      <w:keepNext/>
      <w:keepLines/>
      <w:spacing w:before="360" w:after="240" w:line="240" w:lineRule="auto"/>
      <w:ind w:firstLine="0"/>
      <w:outlineLvl w:val="1"/>
    </w:pPr>
    <w:rPr>
      <w:b/>
      <w:bCs/>
      <w:color w:val="000000"/>
      <w:szCs w:val="26"/>
    </w:rPr>
  </w:style>
  <w:style w:type="paragraph" w:styleId="Heading3">
    <w:name w:val="heading 3"/>
    <w:basedOn w:val="Normal"/>
    <w:next w:val="Normal"/>
    <w:link w:val="Heading3Char"/>
    <w:uiPriority w:val="9"/>
    <w:unhideWhenUsed/>
    <w:qFormat/>
    <w:rsid w:val="004354C1"/>
    <w:pPr>
      <w:keepNext/>
      <w:keepLines/>
      <w:spacing w:before="200" w:after="240"/>
      <w:ind w:firstLine="0"/>
      <w:outlineLvl w:val="2"/>
    </w:pPr>
    <w:rPr>
      <w:b/>
      <w:bCs/>
      <w:color w:val="000000"/>
    </w:rPr>
  </w:style>
  <w:style w:type="paragraph" w:styleId="Heading4">
    <w:name w:val="heading 4"/>
    <w:basedOn w:val="Normal"/>
    <w:next w:val="Normal"/>
    <w:link w:val="Heading4Char"/>
    <w:uiPriority w:val="9"/>
    <w:unhideWhenUsed/>
    <w:qFormat/>
    <w:rsid w:val="00A7404D"/>
    <w:pPr>
      <w:keepNext/>
      <w:keepLines/>
      <w:spacing w:before="240" w:after="60"/>
      <w:ind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6817"/>
    <w:rPr>
      <w:rFonts w:ascii="Times New Roman" w:eastAsia="Times New Roman" w:hAnsi="Times New Roman" w:cs="Times New Roman"/>
      <w:b/>
      <w:bCs/>
      <w:color w:val="000000"/>
      <w:sz w:val="32"/>
      <w:szCs w:val="28"/>
      <w:lang w:eastAsia="lv-LV"/>
    </w:rPr>
  </w:style>
  <w:style w:type="character" w:styleId="Hyperlink">
    <w:name w:val="Hyperlink"/>
    <w:uiPriority w:val="99"/>
    <w:unhideWhenUsed/>
    <w:rsid w:val="00217E4E"/>
    <w:rPr>
      <w:color w:val="0000FF"/>
      <w:u w:val="single"/>
    </w:rPr>
  </w:style>
  <w:style w:type="paragraph" w:customStyle="1" w:styleId="naislab">
    <w:name w:val="naislab"/>
    <w:basedOn w:val="Normal"/>
    <w:rsid w:val="00217E4E"/>
    <w:pPr>
      <w:spacing w:before="75" w:after="75" w:line="240" w:lineRule="auto"/>
      <w:jc w:val="right"/>
    </w:pPr>
    <w:rPr>
      <w:sz w:val="24"/>
      <w:szCs w:val="24"/>
    </w:rPr>
  </w:style>
  <w:style w:type="paragraph" w:styleId="TOCHeading">
    <w:name w:val="TOC Heading"/>
    <w:basedOn w:val="Heading1"/>
    <w:next w:val="Normal"/>
    <w:uiPriority w:val="39"/>
    <w:unhideWhenUsed/>
    <w:qFormat/>
    <w:rsid w:val="00217E4E"/>
    <w:pPr>
      <w:outlineLvl w:val="9"/>
    </w:pPr>
    <w:rPr>
      <w:lang w:val="en-US"/>
    </w:rPr>
  </w:style>
  <w:style w:type="paragraph" w:styleId="TOC1">
    <w:name w:val="toc 1"/>
    <w:basedOn w:val="Normal"/>
    <w:next w:val="Normal"/>
    <w:autoRedefine/>
    <w:uiPriority w:val="39"/>
    <w:unhideWhenUsed/>
    <w:rsid w:val="00217E4E"/>
    <w:pPr>
      <w:spacing w:after="100"/>
    </w:pPr>
  </w:style>
  <w:style w:type="paragraph" w:styleId="BodyText">
    <w:name w:val="Body Text"/>
    <w:basedOn w:val="Normal"/>
    <w:link w:val="BodyTextChar"/>
    <w:rsid w:val="00217E4E"/>
    <w:pPr>
      <w:spacing w:before="240" w:after="0" w:line="240" w:lineRule="auto"/>
      <w:jc w:val="both"/>
    </w:pPr>
    <w:rPr>
      <w:sz w:val="24"/>
      <w:szCs w:val="20"/>
      <w:lang w:val="en-US"/>
    </w:rPr>
  </w:style>
  <w:style w:type="character" w:customStyle="1" w:styleId="BodyTextChar">
    <w:name w:val="Body Text Char"/>
    <w:link w:val="BodyText"/>
    <w:rsid w:val="00217E4E"/>
    <w:rPr>
      <w:rFonts w:ascii="Times New Roman" w:eastAsia="Times New Roman" w:hAnsi="Times New Roman" w:cs="Times New Roman"/>
      <w:sz w:val="24"/>
      <w:szCs w:val="20"/>
      <w:lang w:val="en-US"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nhideWhenUsed/>
    <w:rsid w:val="00217E4E"/>
    <w:pPr>
      <w:spacing w:after="0" w:line="240" w:lineRule="auto"/>
    </w:pPr>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rsid w:val="00217E4E"/>
    <w:rPr>
      <w:rFonts w:ascii="Calibri" w:eastAsia="Times New Roman" w:hAnsi="Calibri" w:cs="Times New Roman"/>
      <w:sz w:val="20"/>
      <w:szCs w:val="20"/>
      <w:lang w:eastAsia="lv-LV"/>
    </w:rPr>
  </w:style>
  <w:style w:type="character" w:styleId="FootnoteReference">
    <w:name w:val="footnote reference"/>
    <w:aliases w:val="Footnote Reference Number,SUPERS,Footnote symbol,Footnote Refernece,stylish,BVI fnr,Fußnotenzeichen_Raxen,callout"/>
    <w:uiPriority w:val="99"/>
    <w:unhideWhenUsed/>
    <w:rsid w:val="00217E4E"/>
    <w:rPr>
      <w:vertAlign w:val="superscript"/>
    </w:rPr>
  </w:style>
  <w:style w:type="paragraph" w:customStyle="1" w:styleId="naisf">
    <w:name w:val="naisf"/>
    <w:basedOn w:val="Normal"/>
    <w:rsid w:val="00217E4E"/>
    <w:pPr>
      <w:spacing w:before="75" w:after="75" w:line="240" w:lineRule="auto"/>
      <w:ind w:firstLine="375"/>
      <w:jc w:val="both"/>
    </w:pPr>
    <w:rPr>
      <w:sz w:val="24"/>
      <w:szCs w:val="24"/>
    </w:rPr>
  </w:style>
  <w:style w:type="character" w:customStyle="1" w:styleId="Heading2Char">
    <w:name w:val="Heading 2 Char"/>
    <w:link w:val="Heading2"/>
    <w:uiPriority w:val="9"/>
    <w:rsid w:val="007B6B06"/>
    <w:rPr>
      <w:rFonts w:ascii="Times New Roman" w:eastAsia="Times New Roman" w:hAnsi="Times New Roman"/>
      <w:b/>
      <w:bCs/>
      <w:color w:val="000000"/>
      <w:sz w:val="28"/>
      <w:szCs w:val="26"/>
    </w:rPr>
  </w:style>
  <w:style w:type="paragraph" w:styleId="BalloonText">
    <w:name w:val="Balloon Text"/>
    <w:basedOn w:val="Normal"/>
    <w:link w:val="BalloonTextChar"/>
    <w:uiPriority w:val="99"/>
    <w:semiHidden/>
    <w:unhideWhenUsed/>
    <w:rsid w:val="00BE63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63CD"/>
    <w:rPr>
      <w:rFonts w:ascii="Tahoma" w:eastAsia="Times New Roman" w:hAnsi="Tahoma" w:cs="Tahoma"/>
      <w:sz w:val="16"/>
      <w:szCs w:val="16"/>
      <w:lang w:eastAsia="lv-LV"/>
    </w:rPr>
  </w:style>
  <w:style w:type="paragraph" w:styleId="ListParagraph">
    <w:name w:val="List Paragraph"/>
    <w:basedOn w:val="Normal"/>
    <w:uiPriority w:val="34"/>
    <w:qFormat/>
    <w:rsid w:val="003C70DE"/>
    <w:pPr>
      <w:ind w:left="720"/>
      <w:contextualSpacing/>
    </w:pPr>
  </w:style>
  <w:style w:type="paragraph" w:customStyle="1" w:styleId="Default">
    <w:name w:val="Default"/>
    <w:rsid w:val="001E161E"/>
    <w:pPr>
      <w:autoSpaceDE w:val="0"/>
      <w:autoSpaceDN w:val="0"/>
      <w:adjustRightInd w:val="0"/>
    </w:pPr>
    <w:rPr>
      <w:rFonts w:ascii="Arial" w:eastAsia="Times New Roman" w:hAnsi="Arial" w:cs="Arial"/>
      <w:color w:val="000000"/>
      <w:sz w:val="24"/>
      <w:szCs w:val="24"/>
    </w:rPr>
  </w:style>
  <w:style w:type="paragraph" w:styleId="BodyText3">
    <w:name w:val="Body Text 3"/>
    <w:basedOn w:val="Normal"/>
    <w:link w:val="BodyText3Char"/>
    <w:uiPriority w:val="99"/>
    <w:semiHidden/>
    <w:unhideWhenUsed/>
    <w:rsid w:val="00131BE0"/>
    <w:rPr>
      <w:rFonts w:ascii="Calibri" w:hAnsi="Calibri"/>
      <w:sz w:val="16"/>
      <w:szCs w:val="16"/>
    </w:rPr>
  </w:style>
  <w:style w:type="character" w:customStyle="1" w:styleId="BodyText3Char">
    <w:name w:val="Body Text 3 Char"/>
    <w:link w:val="BodyText3"/>
    <w:uiPriority w:val="99"/>
    <w:semiHidden/>
    <w:rsid w:val="00131BE0"/>
    <w:rPr>
      <w:rFonts w:ascii="Calibri" w:eastAsia="Times New Roman" w:hAnsi="Calibri" w:cs="Times New Roman"/>
      <w:sz w:val="16"/>
      <w:szCs w:val="16"/>
      <w:lang w:eastAsia="lv-LV"/>
    </w:rPr>
  </w:style>
  <w:style w:type="character" w:customStyle="1" w:styleId="spelle">
    <w:name w:val="spelle"/>
    <w:basedOn w:val="DefaultParagraphFont"/>
    <w:rsid w:val="00E859F1"/>
  </w:style>
  <w:style w:type="table" w:styleId="TableGrid">
    <w:name w:val="Table Grid"/>
    <w:basedOn w:val="TableNormal"/>
    <w:uiPriority w:val="59"/>
    <w:rsid w:val="005E1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5E1F7C"/>
    <w:pPr>
      <w:spacing w:after="100"/>
      <w:ind w:left="220"/>
    </w:pPr>
  </w:style>
  <w:style w:type="paragraph" w:styleId="Header">
    <w:name w:val="header"/>
    <w:basedOn w:val="Normal"/>
    <w:link w:val="HeaderChar"/>
    <w:uiPriority w:val="99"/>
    <w:unhideWhenUsed/>
    <w:rsid w:val="005E1F7C"/>
    <w:pPr>
      <w:tabs>
        <w:tab w:val="center" w:pos="4153"/>
        <w:tab w:val="right" w:pos="8306"/>
      </w:tabs>
      <w:spacing w:after="0" w:line="240" w:lineRule="auto"/>
    </w:pPr>
    <w:rPr>
      <w:rFonts w:ascii="Calibri" w:hAnsi="Calibri"/>
      <w:sz w:val="20"/>
      <w:szCs w:val="20"/>
    </w:rPr>
  </w:style>
  <w:style w:type="character" w:customStyle="1" w:styleId="HeaderChar">
    <w:name w:val="Header Char"/>
    <w:link w:val="Header"/>
    <w:uiPriority w:val="99"/>
    <w:rsid w:val="005E1F7C"/>
    <w:rPr>
      <w:rFonts w:ascii="Calibri" w:eastAsia="Times New Roman" w:hAnsi="Calibri" w:cs="Times New Roman"/>
      <w:lang w:eastAsia="lv-LV"/>
    </w:rPr>
  </w:style>
  <w:style w:type="paragraph" w:styleId="Footer">
    <w:name w:val="footer"/>
    <w:basedOn w:val="Normal"/>
    <w:link w:val="FooterChar"/>
    <w:uiPriority w:val="99"/>
    <w:unhideWhenUsed/>
    <w:rsid w:val="005E1F7C"/>
    <w:pPr>
      <w:tabs>
        <w:tab w:val="center" w:pos="4153"/>
        <w:tab w:val="right" w:pos="8306"/>
      </w:tabs>
      <w:spacing w:after="0" w:line="240" w:lineRule="auto"/>
    </w:pPr>
    <w:rPr>
      <w:rFonts w:ascii="Calibri" w:hAnsi="Calibri"/>
      <w:sz w:val="20"/>
      <w:szCs w:val="20"/>
    </w:rPr>
  </w:style>
  <w:style w:type="character" w:customStyle="1" w:styleId="FooterChar">
    <w:name w:val="Footer Char"/>
    <w:link w:val="Footer"/>
    <w:uiPriority w:val="99"/>
    <w:rsid w:val="005E1F7C"/>
    <w:rPr>
      <w:rFonts w:ascii="Calibri" w:eastAsia="Times New Roman" w:hAnsi="Calibri" w:cs="Times New Roman"/>
      <w:lang w:eastAsia="lv-LV"/>
    </w:rPr>
  </w:style>
  <w:style w:type="paragraph" w:styleId="CommentText">
    <w:name w:val="annotation text"/>
    <w:basedOn w:val="Normal"/>
    <w:link w:val="CommentTextChar"/>
    <w:uiPriority w:val="99"/>
    <w:unhideWhenUsed/>
    <w:rsid w:val="005E1F7C"/>
    <w:pPr>
      <w:spacing w:after="0" w:line="240" w:lineRule="auto"/>
    </w:pPr>
    <w:rPr>
      <w:sz w:val="20"/>
      <w:szCs w:val="20"/>
    </w:rPr>
  </w:style>
  <w:style w:type="character" w:customStyle="1" w:styleId="CommentTextChar">
    <w:name w:val="Comment Text Char"/>
    <w:link w:val="CommentText"/>
    <w:uiPriority w:val="99"/>
    <w:rsid w:val="005E1F7C"/>
    <w:rPr>
      <w:rFonts w:ascii="Times New Roman" w:eastAsia="Times New Roman" w:hAnsi="Times New Roman" w:cs="Times New Roman"/>
      <w:sz w:val="20"/>
      <w:szCs w:val="20"/>
      <w:lang w:eastAsia="lv-LV"/>
    </w:rPr>
  </w:style>
  <w:style w:type="character" w:styleId="Strong">
    <w:name w:val="Strong"/>
    <w:uiPriority w:val="22"/>
    <w:qFormat/>
    <w:rsid w:val="005E1F7C"/>
    <w:rPr>
      <w:b/>
      <w:bCs/>
    </w:rPr>
  </w:style>
  <w:style w:type="paragraph" w:customStyle="1" w:styleId="bullet">
    <w:name w:val="bullet"/>
    <w:basedOn w:val="Normal"/>
    <w:rsid w:val="005E1F7C"/>
    <w:pPr>
      <w:spacing w:line="240" w:lineRule="auto"/>
      <w:jc w:val="both"/>
    </w:pPr>
    <w:rPr>
      <w:bCs/>
      <w:sz w:val="24"/>
      <w:szCs w:val="20"/>
    </w:rPr>
  </w:style>
  <w:style w:type="character" w:customStyle="1" w:styleId="apple-converted-space">
    <w:name w:val="apple-converted-space"/>
    <w:basedOn w:val="DefaultParagraphFont"/>
    <w:rsid w:val="00504AD3"/>
  </w:style>
  <w:style w:type="character" w:styleId="Emphasis">
    <w:name w:val="Emphasis"/>
    <w:uiPriority w:val="20"/>
    <w:qFormat/>
    <w:rsid w:val="00504AD3"/>
    <w:rPr>
      <w:i/>
      <w:iCs/>
    </w:rPr>
  </w:style>
  <w:style w:type="character" w:styleId="CommentReference">
    <w:name w:val="annotation reference"/>
    <w:uiPriority w:val="99"/>
    <w:semiHidden/>
    <w:unhideWhenUsed/>
    <w:rsid w:val="00F9299A"/>
    <w:rPr>
      <w:sz w:val="16"/>
      <w:szCs w:val="16"/>
    </w:rPr>
  </w:style>
  <w:style w:type="paragraph" w:styleId="CommentSubject">
    <w:name w:val="annotation subject"/>
    <w:basedOn w:val="CommentText"/>
    <w:next w:val="CommentText"/>
    <w:link w:val="CommentSubjectChar"/>
    <w:uiPriority w:val="99"/>
    <w:semiHidden/>
    <w:unhideWhenUsed/>
    <w:rsid w:val="00F9299A"/>
    <w:pPr>
      <w:spacing w:after="200"/>
    </w:pPr>
    <w:rPr>
      <w:rFonts w:ascii="Calibri" w:hAnsi="Calibri"/>
      <w:b/>
      <w:bCs/>
    </w:rPr>
  </w:style>
  <w:style w:type="character" w:customStyle="1" w:styleId="CommentSubjectChar">
    <w:name w:val="Comment Subject Char"/>
    <w:link w:val="CommentSubject"/>
    <w:uiPriority w:val="99"/>
    <w:semiHidden/>
    <w:rsid w:val="00F9299A"/>
    <w:rPr>
      <w:rFonts w:ascii="Calibri" w:eastAsia="Times New Roman" w:hAnsi="Calibri" w:cs="Times New Roman"/>
      <w:b/>
      <w:bCs/>
      <w:sz w:val="20"/>
      <w:szCs w:val="20"/>
      <w:lang w:eastAsia="lv-LV"/>
    </w:rPr>
  </w:style>
  <w:style w:type="character" w:styleId="FollowedHyperlink">
    <w:name w:val="FollowedHyperlink"/>
    <w:uiPriority w:val="99"/>
    <w:semiHidden/>
    <w:unhideWhenUsed/>
    <w:rsid w:val="002E656C"/>
    <w:rPr>
      <w:color w:val="800080"/>
      <w:u w:val="single"/>
    </w:rPr>
  </w:style>
  <w:style w:type="character" w:customStyle="1" w:styleId="st1">
    <w:name w:val="st1"/>
    <w:basedOn w:val="DefaultParagraphFont"/>
    <w:rsid w:val="00D13A30"/>
  </w:style>
  <w:style w:type="paragraph" w:styleId="Title">
    <w:name w:val="Title"/>
    <w:basedOn w:val="Normal"/>
    <w:link w:val="TitleChar"/>
    <w:qFormat/>
    <w:rsid w:val="005F3279"/>
    <w:pPr>
      <w:spacing w:before="240" w:after="0" w:line="240" w:lineRule="auto"/>
      <w:jc w:val="center"/>
    </w:pPr>
    <w:rPr>
      <w:b/>
      <w:bCs/>
      <w:szCs w:val="24"/>
    </w:rPr>
  </w:style>
  <w:style w:type="character" w:customStyle="1" w:styleId="TitleChar">
    <w:name w:val="Title Char"/>
    <w:link w:val="Title"/>
    <w:rsid w:val="005F3279"/>
    <w:rPr>
      <w:rFonts w:ascii="Times New Roman" w:eastAsia="Times New Roman" w:hAnsi="Times New Roman" w:cs="Times New Roman"/>
      <w:b/>
      <w:bCs/>
      <w:sz w:val="28"/>
      <w:szCs w:val="24"/>
    </w:rPr>
  </w:style>
  <w:style w:type="paragraph" w:styleId="BodyTextIndent2">
    <w:name w:val="Body Text Indent 2"/>
    <w:basedOn w:val="Normal"/>
    <w:link w:val="BodyTextIndent2Char"/>
    <w:uiPriority w:val="99"/>
    <w:unhideWhenUsed/>
    <w:rsid w:val="001066CB"/>
    <w:pPr>
      <w:spacing w:line="480" w:lineRule="auto"/>
      <w:ind w:left="283"/>
    </w:pPr>
    <w:rPr>
      <w:rFonts w:ascii="Calibri" w:hAnsi="Calibri"/>
      <w:sz w:val="20"/>
      <w:szCs w:val="20"/>
    </w:rPr>
  </w:style>
  <w:style w:type="character" w:customStyle="1" w:styleId="BodyTextIndent2Char">
    <w:name w:val="Body Text Indent 2 Char"/>
    <w:link w:val="BodyTextIndent2"/>
    <w:uiPriority w:val="99"/>
    <w:rsid w:val="001066CB"/>
    <w:rPr>
      <w:rFonts w:ascii="Calibri" w:eastAsia="Times New Roman" w:hAnsi="Calibri" w:cs="Times New Roman"/>
      <w:lang w:eastAsia="lv-LV"/>
    </w:rPr>
  </w:style>
  <w:style w:type="paragraph" w:styleId="NormalWeb">
    <w:name w:val="Normal (Web)"/>
    <w:basedOn w:val="Normal"/>
    <w:uiPriority w:val="99"/>
    <w:unhideWhenUsed/>
    <w:rsid w:val="009164A5"/>
    <w:pPr>
      <w:spacing w:before="100" w:beforeAutospacing="1" w:after="100" w:afterAutospacing="1" w:line="240" w:lineRule="auto"/>
    </w:pPr>
    <w:rPr>
      <w:sz w:val="24"/>
      <w:szCs w:val="24"/>
    </w:rPr>
  </w:style>
  <w:style w:type="character" w:customStyle="1" w:styleId="Heading3Char">
    <w:name w:val="Heading 3 Char"/>
    <w:link w:val="Heading3"/>
    <w:uiPriority w:val="9"/>
    <w:rsid w:val="004354C1"/>
    <w:rPr>
      <w:rFonts w:ascii="Times New Roman" w:eastAsia="Times New Roman" w:hAnsi="Times New Roman"/>
      <w:b/>
      <w:bCs/>
      <w:color w:val="000000"/>
      <w:sz w:val="28"/>
      <w:szCs w:val="22"/>
    </w:rPr>
  </w:style>
  <w:style w:type="character" w:customStyle="1" w:styleId="longtext">
    <w:name w:val="long_text"/>
    <w:basedOn w:val="DefaultParagraphFont"/>
    <w:rsid w:val="00465BB3"/>
  </w:style>
  <w:style w:type="paragraph" w:styleId="EnvelopeReturn">
    <w:name w:val="envelope return"/>
    <w:basedOn w:val="Normal"/>
    <w:unhideWhenUsed/>
    <w:rsid w:val="00D534E0"/>
    <w:pPr>
      <w:keepLines/>
      <w:widowControl w:val="0"/>
      <w:spacing w:before="600" w:after="0" w:line="240" w:lineRule="auto"/>
    </w:pPr>
    <w:rPr>
      <w:sz w:val="26"/>
      <w:szCs w:val="20"/>
      <w:lang w:val="en-AU" w:eastAsia="en-US"/>
    </w:rPr>
  </w:style>
  <w:style w:type="character" w:customStyle="1" w:styleId="inplacedisplayid1siteid0">
    <w:name w:val="inplacedisplayid1siteid0"/>
    <w:basedOn w:val="DefaultParagraphFont"/>
    <w:rsid w:val="0022114F"/>
  </w:style>
  <w:style w:type="paragraph" w:styleId="Subtitle">
    <w:name w:val="Subtitle"/>
    <w:basedOn w:val="Normal"/>
    <w:next w:val="Normal"/>
    <w:link w:val="SubtitleChar"/>
    <w:qFormat/>
    <w:rsid w:val="00D52CFE"/>
    <w:pPr>
      <w:keepNext/>
      <w:keepLines/>
      <w:widowControl w:val="0"/>
      <w:suppressAutoHyphens/>
      <w:spacing w:before="600" w:after="600" w:line="240" w:lineRule="auto"/>
      <w:ind w:right="4820"/>
    </w:pPr>
    <w:rPr>
      <w:b/>
      <w:bCs/>
      <w:sz w:val="26"/>
      <w:szCs w:val="26"/>
      <w:lang w:val="en-AU" w:eastAsia="en-US"/>
    </w:rPr>
  </w:style>
  <w:style w:type="character" w:customStyle="1" w:styleId="SubtitleChar">
    <w:name w:val="Subtitle Char"/>
    <w:link w:val="Subtitle"/>
    <w:rsid w:val="00D52CFE"/>
    <w:rPr>
      <w:rFonts w:ascii="Times New Roman" w:eastAsia="Times New Roman" w:hAnsi="Times New Roman"/>
      <w:b/>
      <w:bCs/>
      <w:sz w:val="26"/>
      <w:szCs w:val="26"/>
      <w:lang w:val="en-AU" w:eastAsia="en-US"/>
    </w:rPr>
  </w:style>
  <w:style w:type="paragraph" w:styleId="PlainText">
    <w:name w:val="Plain Text"/>
    <w:basedOn w:val="Normal"/>
    <w:link w:val="PlainTextChar"/>
    <w:uiPriority w:val="99"/>
    <w:unhideWhenUsed/>
    <w:rsid w:val="008D6946"/>
    <w:pPr>
      <w:spacing w:before="120" w:after="0" w:line="240" w:lineRule="auto"/>
      <w:jc w:val="both"/>
    </w:pPr>
    <w:rPr>
      <w:rFonts w:ascii="Calibri" w:eastAsia="Calibri" w:hAnsi="Calibri"/>
      <w:szCs w:val="21"/>
      <w:lang w:eastAsia="en-US"/>
    </w:rPr>
  </w:style>
  <w:style w:type="character" w:customStyle="1" w:styleId="PlainTextChar">
    <w:name w:val="Plain Text Char"/>
    <w:link w:val="PlainText"/>
    <w:uiPriority w:val="99"/>
    <w:rsid w:val="008D6946"/>
    <w:rPr>
      <w:sz w:val="28"/>
      <w:szCs w:val="21"/>
      <w:lang w:eastAsia="en-US"/>
    </w:rPr>
  </w:style>
  <w:style w:type="paragraph" w:customStyle="1" w:styleId="contentstory">
    <w:name w:val="contentstory"/>
    <w:basedOn w:val="Normal"/>
    <w:rsid w:val="00C81E9F"/>
    <w:pPr>
      <w:spacing w:before="100" w:beforeAutospacing="1" w:after="100" w:afterAutospacing="1" w:line="240" w:lineRule="auto"/>
      <w:jc w:val="both"/>
    </w:pPr>
    <w:rPr>
      <w:rFonts w:ascii="TimesNewRoman" w:hAnsi="TimesNewRoman"/>
      <w:color w:val="003366"/>
      <w:sz w:val="20"/>
      <w:szCs w:val="20"/>
    </w:rPr>
  </w:style>
  <w:style w:type="paragraph" w:customStyle="1" w:styleId="tv213">
    <w:name w:val="tv213"/>
    <w:basedOn w:val="Normal"/>
    <w:rsid w:val="00BF545C"/>
    <w:pPr>
      <w:spacing w:before="100" w:beforeAutospacing="1" w:after="100" w:afterAutospacing="1" w:line="240" w:lineRule="auto"/>
    </w:pPr>
    <w:rPr>
      <w:sz w:val="24"/>
      <w:szCs w:val="24"/>
    </w:rPr>
  </w:style>
  <w:style w:type="character" w:customStyle="1" w:styleId="highlightentry1">
    <w:name w:val="highlightentry1"/>
    <w:rsid w:val="00F36226"/>
    <w:rPr>
      <w:shd w:val="clear" w:color="auto" w:fill="F9DCAA"/>
    </w:rPr>
  </w:style>
  <w:style w:type="paragraph" w:styleId="TOC3">
    <w:name w:val="toc 3"/>
    <w:basedOn w:val="Normal"/>
    <w:next w:val="Normal"/>
    <w:autoRedefine/>
    <w:uiPriority w:val="39"/>
    <w:unhideWhenUsed/>
    <w:rsid w:val="00B37D78"/>
    <w:pPr>
      <w:ind w:left="440"/>
    </w:pPr>
  </w:style>
  <w:style w:type="paragraph" w:customStyle="1" w:styleId="notice1">
    <w:name w:val="notice1"/>
    <w:basedOn w:val="Normal"/>
    <w:rsid w:val="00B213AF"/>
    <w:pPr>
      <w:pBdr>
        <w:top w:val="single" w:sz="6" w:space="12" w:color="D5E4CD"/>
        <w:left w:val="single" w:sz="6" w:space="24" w:color="D5E4CD"/>
        <w:bottom w:val="single" w:sz="6" w:space="12" w:color="D5E4CD"/>
        <w:right w:val="single" w:sz="6" w:space="24" w:color="D5E4CD"/>
      </w:pBdr>
      <w:spacing w:before="190" w:after="190" w:line="240" w:lineRule="auto"/>
    </w:pPr>
    <w:rPr>
      <w:rFonts w:ascii="Verdana" w:hAnsi="Verdana"/>
      <w:b/>
      <w:bCs/>
      <w:sz w:val="16"/>
      <w:szCs w:val="16"/>
    </w:rPr>
  </w:style>
  <w:style w:type="paragraph" w:styleId="Revision">
    <w:name w:val="Revision"/>
    <w:hidden/>
    <w:uiPriority w:val="99"/>
    <w:semiHidden/>
    <w:rsid w:val="00507629"/>
    <w:rPr>
      <w:rFonts w:eastAsia="Times New Roman"/>
      <w:sz w:val="22"/>
      <w:szCs w:val="22"/>
    </w:rPr>
  </w:style>
  <w:style w:type="paragraph" w:styleId="Caption">
    <w:name w:val="caption"/>
    <w:basedOn w:val="Normal"/>
    <w:next w:val="Normal"/>
    <w:uiPriority w:val="35"/>
    <w:unhideWhenUsed/>
    <w:qFormat/>
    <w:rsid w:val="00A30E3C"/>
    <w:rPr>
      <w:b/>
      <w:bCs/>
      <w:sz w:val="20"/>
      <w:szCs w:val="20"/>
    </w:rPr>
  </w:style>
  <w:style w:type="character" w:customStyle="1" w:styleId="Heading4Char">
    <w:name w:val="Heading 4 Char"/>
    <w:link w:val="Heading4"/>
    <w:uiPriority w:val="9"/>
    <w:rsid w:val="00A7404D"/>
    <w:rPr>
      <w:rFonts w:ascii="Times New Roman" w:eastAsia="Times New Roman" w:hAnsi="Times New Roman" w:cs="Times New Roman"/>
      <w:b/>
      <w:bCs/>
      <w:sz w:val="28"/>
      <w:szCs w:val="28"/>
    </w:rPr>
  </w:style>
  <w:style w:type="paragraph" w:styleId="TOC4">
    <w:name w:val="toc 4"/>
    <w:basedOn w:val="Normal"/>
    <w:next w:val="Normal"/>
    <w:autoRedefine/>
    <w:uiPriority w:val="39"/>
    <w:unhideWhenUsed/>
    <w:rsid w:val="0030630B"/>
    <w:pPr>
      <w:ind w:left="840"/>
    </w:pPr>
  </w:style>
  <w:style w:type="paragraph" w:customStyle="1" w:styleId="tv2131">
    <w:name w:val="tv2131"/>
    <w:basedOn w:val="Normal"/>
    <w:rsid w:val="003876BC"/>
    <w:pPr>
      <w:spacing w:before="240" w:after="0" w:line="360" w:lineRule="auto"/>
      <w:ind w:firstLine="300"/>
      <w:jc w:val="both"/>
    </w:pPr>
    <w:rPr>
      <w:rFonts w:ascii="Verdana" w:hAnsi="Verdana"/>
      <w:sz w:val="18"/>
      <w:szCs w:val="18"/>
    </w:rPr>
  </w:style>
  <w:style w:type="character" w:customStyle="1" w:styleId="yshortcuts">
    <w:name w:val="yshortcuts"/>
    <w:rsid w:val="00873FCD"/>
  </w:style>
  <w:style w:type="table" w:customStyle="1" w:styleId="TableGrid1">
    <w:name w:val="Table Grid1"/>
    <w:basedOn w:val="TableNormal"/>
    <w:next w:val="TableGrid"/>
    <w:uiPriority w:val="59"/>
    <w:rsid w:val="00FE0D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4F027A"/>
  </w:style>
  <w:style w:type="table" w:customStyle="1" w:styleId="TableGrid2">
    <w:name w:val="Table Grid2"/>
    <w:basedOn w:val="TableNormal"/>
    <w:next w:val="TableGrid"/>
    <w:uiPriority w:val="59"/>
    <w:rsid w:val="001745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ojumupamats1">
    <w:name w:val="labojumu_pamats1"/>
    <w:basedOn w:val="Normal"/>
    <w:rsid w:val="0036220B"/>
    <w:pPr>
      <w:spacing w:before="45" w:after="0" w:line="360" w:lineRule="auto"/>
      <w:ind w:firstLine="300"/>
    </w:pPr>
    <w:rPr>
      <w:rFonts w:ascii="Verdana" w:hAnsi="Verdana"/>
      <w:i/>
      <w:iCs/>
      <w:sz w:val="17"/>
      <w:szCs w:val="17"/>
    </w:rPr>
  </w:style>
  <w:style w:type="paragraph" w:customStyle="1" w:styleId="phone">
    <w:name w:val="phone"/>
    <w:basedOn w:val="Normal"/>
    <w:rsid w:val="00D13869"/>
    <w:pPr>
      <w:spacing w:before="100" w:beforeAutospacing="1" w:after="100" w:afterAutospacing="1" w:line="240" w:lineRule="auto"/>
      <w:ind w:firstLine="0"/>
    </w:pPr>
    <w:rPr>
      <w:sz w:val="24"/>
      <w:szCs w:val="24"/>
    </w:rPr>
  </w:style>
  <w:style w:type="paragraph" w:customStyle="1" w:styleId="CM1">
    <w:name w:val="CM1"/>
    <w:basedOn w:val="Default"/>
    <w:next w:val="Default"/>
    <w:uiPriority w:val="99"/>
    <w:rsid w:val="00BC723A"/>
    <w:rPr>
      <w:rFonts w:ascii="EUAlbertina" w:eastAsia="Calibri"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F5"/>
    <w:pPr>
      <w:spacing w:after="120" w:line="276" w:lineRule="auto"/>
      <w:ind w:firstLine="720"/>
    </w:pPr>
    <w:rPr>
      <w:rFonts w:ascii="Times New Roman" w:eastAsia="Times New Roman" w:hAnsi="Times New Roman"/>
      <w:sz w:val="28"/>
      <w:szCs w:val="22"/>
    </w:rPr>
  </w:style>
  <w:style w:type="paragraph" w:styleId="Heading1">
    <w:name w:val="heading 1"/>
    <w:basedOn w:val="Normal"/>
    <w:next w:val="Normal"/>
    <w:link w:val="Heading1Char"/>
    <w:uiPriority w:val="9"/>
    <w:qFormat/>
    <w:rsid w:val="00C26817"/>
    <w:pPr>
      <w:keepNext/>
      <w:keepLines/>
      <w:spacing w:before="240" w:after="240" w:line="240" w:lineRule="auto"/>
      <w:outlineLvl w:val="0"/>
    </w:pPr>
    <w:rPr>
      <w:b/>
      <w:bCs/>
      <w:color w:val="000000"/>
      <w:sz w:val="32"/>
      <w:szCs w:val="28"/>
    </w:rPr>
  </w:style>
  <w:style w:type="paragraph" w:styleId="Heading2">
    <w:name w:val="heading 2"/>
    <w:basedOn w:val="Normal"/>
    <w:next w:val="Normal"/>
    <w:link w:val="Heading2Char"/>
    <w:uiPriority w:val="9"/>
    <w:unhideWhenUsed/>
    <w:qFormat/>
    <w:rsid w:val="007B6B06"/>
    <w:pPr>
      <w:keepNext/>
      <w:keepLines/>
      <w:spacing w:before="360" w:after="240" w:line="240" w:lineRule="auto"/>
      <w:ind w:firstLine="0"/>
      <w:outlineLvl w:val="1"/>
    </w:pPr>
    <w:rPr>
      <w:b/>
      <w:bCs/>
      <w:color w:val="000000"/>
      <w:szCs w:val="26"/>
    </w:rPr>
  </w:style>
  <w:style w:type="paragraph" w:styleId="Heading3">
    <w:name w:val="heading 3"/>
    <w:basedOn w:val="Normal"/>
    <w:next w:val="Normal"/>
    <w:link w:val="Heading3Char"/>
    <w:uiPriority w:val="9"/>
    <w:unhideWhenUsed/>
    <w:qFormat/>
    <w:rsid w:val="004354C1"/>
    <w:pPr>
      <w:keepNext/>
      <w:keepLines/>
      <w:spacing w:before="200" w:after="240"/>
      <w:ind w:firstLine="0"/>
      <w:outlineLvl w:val="2"/>
    </w:pPr>
    <w:rPr>
      <w:b/>
      <w:bCs/>
      <w:color w:val="000000"/>
    </w:rPr>
  </w:style>
  <w:style w:type="paragraph" w:styleId="Heading4">
    <w:name w:val="heading 4"/>
    <w:basedOn w:val="Normal"/>
    <w:next w:val="Normal"/>
    <w:link w:val="Heading4Char"/>
    <w:uiPriority w:val="9"/>
    <w:unhideWhenUsed/>
    <w:qFormat/>
    <w:rsid w:val="00A7404D"/>
    <w:pPr>
      <w:keepNext/>
      <w:keepLines/>
      <w:spacing w:before="240" w:after="60"/>
      <w:ind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6817"/>
    <w:rPr>
      <w:rFonts w:ascii="Times New Roman" w:eastAsia="Times New Roman" w:hAnsi="Times New Roman" w:cs="Times New Roman"/>
      <w:b/>
      <w:bCs/>
      <w:color w:val="000000"/>
      <w:sz w:val="32"/>
      <w:szCs w:val="28"/>
      <w:lang w:eastAsia="lv-LV"/>
    </w:rPr>
  </w:style>
  <w:style w:type="character" w:styleId="Hyperlink">
    <w:name w:val="Hyperlink"/>
    <w:uiPriority w:val="99"/>
    <w:unhideWhenUsed/>
    <w:rsid w:val="00217E4E"/>
    <w:rPr>
      <w:color w:val="0000FF"/>
      <w:u w:val="single"/>
    </w:rPr>
  </w:style>
  <w:style w:type="paragraph" w:customStyle="1" w:styleId="naislab">
    <w:name w:val="naislab"/>
    <w:basedOn w:val="Normal"/>
    <w:rsid w:val="00217E4E"/>
    <w:pPr>
      <w:spacing w:before="75" w:after="75" w:line="240" w:lineRule="auto"/>
      <w:jc w:val="right"/>
    </w:pPr>
    <w:rPr>
      <w:sz w:val="24"/>
      <w:szCs w:val="24"/>
    </w:rPr>
  </w:style>
  <w:style w:type="paragraph" w:styleId="TOCHeading">
    <w:name w:val="TOC Heading"/>
    <w:basedOn w:val="Heading1"/>
    <w:next w:val="Normal"/>
    <w:uiPriority w:val="39"/>
    <w:unhideWhenUsed/>
    <w:qFormat/>
    <w:rsid w:val="00217E4E"/>
    <w:pPr>
      <w:outlineLvl w:val="9"/>
    </w:pPr>
    <w:rPr>
      <w:lang w:val="en-US"/>
    </w:rPr>
  </w:style>
  <w:style w:type="paragraph" w:styleId="TOC1">
    <w:name w:val="toc 1"/>
    <w:basedOn w:val="Normal"/>
    <w:next w:val="Normal"/>
    <w:autoRedefine/>
    <w:uiPriority w:val="39"/>
    <w:unhideWhenUsed/>
    <w:rsid w:val="00217E4E"/>
    <w:pPr>
      <w:spacing w:after="100"/>
    </w:pPr>
  </w:style>
  <w:style w:type="paragraph" w:styleId="BodyText">
    <w:name w:val="Body Text"/>
    <w:basedOn w:val="Normal"/>
    <w:link w:val="BodyTextChar"/>
    <w:rsid w:val="00217E4E"/>
    <w:pPr>
      <w:spacing w:before="240" w:after="0" w:line="240" w:lineRule="auto"/>
      <w:jc w:val="both"/>
    </w:pPr>
    <w:rPr>
      <w:sz w:val="24"/>
      <w:szCs w:val="20"/>
      <w:lang w:val="en-US"/>
    </w:rPr>
  </w:style>
  <w:style w:type="character" w:customStyle="1" w:styleId="BodyTextChar">
    <w:name w:val="Body Text Char"/>
    <w:link w:val="BodyText"/>
    <w:rsid w:val="00217E4E"/>
    <w:rPr>
      <w:rFonts w:ascii="Times New Roman" w:eastAsia="Times New Roman" w:hAnsi="Times New Roman" w:cs="Times New Roman"/>
      <w:sz w:val="24"/>
      <w:szCs w:val="20"/>
      <w:lang w:val="en-US"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nhideWhenUsed/>
    <w:rsid w:val="00217E4E"/>
    <w:pPr>
      <w:spacing w:after="0" w:line="240" w:lineRule="auto"/>
    </w:pPr>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rsid w:val="00217E4E"/>
    <w:rPr>
      <w:rFonts w:ascii="Calibri" w:eastAsia="Times New Roman" w:hAnsi="Calibri" w:cs="Times New Roman"/>
      <w:sz w:val="20"/>
      <w:szCs w:val="20"/>
      <w:lang w:eastAsia="lv-LV"/>
    </w:rPr>
  </w:style>
  <w:style w:type="character" w:styleId="FootnoteReference">
    <w:name w:val="footnote reference"/>
    <w:aliases w:val="Footnote Reference Number,SUPERS,Footnote symbol,Footnote Refernece,stylish,BVI fnr,Fußnotenzeichen_Raxen,callout"/>
    <w:uiPriority w:val="99"/>
    <w:unhideWhenUsed/>
    <w:rsid w:val="00217E4E"/>
    <w:rPr>
      <w:vertAlign w:val="superscript"/>
    </w:rPr>
  </w:style>
  <w:style w:type="paragraph" w:customStyle="1" w:styleId="naisf">
    <w:name w:val="naisf"/>
    <w:basedOn w:val="Normal"/>
    <w:rsid w:val="00217E4E"/>
    <w:pPr>
      <w:spacing w:before="75" w:after="75" w:line="240" w:lineRule="auto"/>
      <w:ind w:firstLine="375"/>
      <w:jc w:val="both"/>
    </w:pPr>
    <w:rPr>
      <w:sz w:val="24"/>
      <w:szCs w:val="24"/>
    </w:rPr>
  </w:style>
  <w:style w:type="character" w:customStyle="1" w:styleId="Heading2Char">
    <w:name w:val="Heading 2 Char"/>
    <w:link w:val="Heading2"/>
    <w:uiPriority w:val="9"/>
    <w:rsid w:val="007B6B06"/>
    <w:rPr>
      <w:rFonts w:ascii="Times New Roman" w:eastAsia="Times New Roman" w:hAnsi="Times New Roman"/>
      <w:b/>
      <w:bCs/>
      <w:color w:val="000000"/>
      <w:sz w:val="28"/>
      <w:szCs w:val="26"/>
    </w:rPr>
  </w:style>
  <w:style w:type="paragraph" w:styleId="BalloonText">
    <w:name w:val="Balloon Text"/>
    <w:basedOn w:val="Normal"/>
    <w:link w:val="BalloonTextChar"/>
    <w:uiPriority w:val="99"/>
    <w:semiHidden/>
    <w:unhideWhenUsed/>
    <w:rsid w:val="00BE63C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63CD"/>
    <w:rPr>
      <w:rFonts w:ascii="Tahoma" w:eastAsia="Times New Roman" w:hAnsi="Tahoma" w:cs="Tahoma"/>
      <w:sz w:val="16"/>
      <w:szCs w:val="16"/>
      <w:lang w:eastAsia="lv-LV"/>
    </w:rPr>
  </w:style>
  <w:style w:type="paragraph" w:styleId="ListParagraph">
    <w:name w:val="List Paragraph"/>
    <w:basedOn w:val="Normal"/>
    <w:uiPriority w:val="34"/>
    <w:qFormat/>
    <w:rsid w:val="003C70DE"/>
    <w:pPr>
      <w:ind w:left="720"/>
      <w:contextualSpacing/>
    </w:pPr>
  </w:style>
  <w:style w:type="paragraph" w:customStyle="1" w:styleId="Default">
    <w:name w:val="Default"/>
    <w:rsid w:val="001E161E"/>
    <w:pPr>
      <w:autoSpaceDE w:val="0"/>
      <w:autoSpaceDN w:val="0"/>
      <w:adjustRightInd w:val="0"/>
    </w:pPr>
    <w:rPr>
      <w:rFonts w:ascii="Arial" w:eastAsia="Times New Roman" w:hAnsi="Arial" w:cs="Arial"/>
      <w:color w:val="000000"/>
      <w:sz w:val="24"/>
      <w:szCs w:val="24"/>
    </w:rPr>
  </w:style>
  <w:style w:type="paragraph" w:styleId="BodyText3">
    <w:name w:val="Body Text 3"/>
    <w:basedOn w:val="Normal"/>
    <w:link w:val="BodyText3Char"/>
    <w:uiPriority w:val="99"/>
    <w:semiHidden/>
    <w:unhideWhenUsed/>
    <w:rsid w:val="00131BE0"/>
    <w:rPr>
      <w:rFonts w:ascii="Calibri" w:hAnsi="Calibri"/>
      <w:sz w:val="16"/>
      <w:szCs w:val="16"/>
    </w:rPr>
  </w:style>
  <w:style w:type="character" w:customStyle="1" w:styleId="BodyText3Char">
    <w:name w:val="Body Text 3 Char"/>
    <w:link w:val="BodyText3"/>
    <w:uiPriority w:val="99"/>
    <w:semiHidden/>
    <w:rsid w:val="00131BE0"/>
    <w:rPr>
      <w:rFonts w:ascii="Calibri" w:eastAsia="Times New Roman" w:hAnsi="Calibri" w:cs="Times New Roman"/>
      <w:sz w:val="16"/>
      <w:szCs w:val="16"/>
      <w:lang w:eastAsia="lv-LV"/>
    </w:rPr>
  </w:style>
  <w:style w:type="character" w:customStyle="1" w:styleId="spelle">
    <w:name w:val="spelle"/>
    <w:basedOn w:val="DefaultParagraphFont"/>
    <w:rsid w:val="00E859F1"/>
  </w:style>
  <w:style w:type="table" w:styleId="TableGrid">
    <w:name w:val="Table Grid"/>
    <w:basedOn w:val="TableNormal"/>
    <w:uiPriority w:val="59"/>
    <w:rsid w:val="005E1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5E1F7C"/>
    <w:pPr>
      <w:spacing w:after="100"/>
      <w:ind w:left="220"/>
    </w:pPr>
  </w:style>
  <w:style w:type="paragraph" w:styleId="Header">
    <w:name w:val="header"/>
    <w:basedOn w:val="Normal"/>
    <w:link w:val="HeaderChar"/>
    <w:uiPriority w:val="99"/>
    <w:unhideWhenUsed/>
    <w:rsid w:val="005E1F7C"/>
    <w:pPr>
      <w:tabs>
        <w:tab w:val="center" w:pos="4153"/>
        <w:tab w:val="right" w:pos="8306"/>
      </w:tabs>
      <w:spacing w:after="0" w:line="240" w:lineRule="auto"/>
    </w:pPr>
    <w:rPr>
      <w:rFonts w:ascii="Calibri" w:hAnsi="Calibri"/>
      <w:sz w:val="20"/>
      <w:szCs w:val="20"/>
    </w:rPr>
  </w:style>
  <w:style w:type="character" w:customStyle="1" w:styleId="HeaderChar">
    <w:name w:val="Header Char"/>
    <w:link w:val="Header"/>
    <w:uiPriority w:val="99"/>
    <w:rsid w:val="005E1F7C"/>
    <w:rPr>
      <w:rFonts w:ascii="Calibri" w:eastAsia="Times New Roman" w:hAnsi="Calibri" w:cs="Times New Roman"/>
      <w:lang w:eastAsia="lv-LV"/>
    </w:rPr>
  </w:style>
  <w:style w:type="paragraph" w:styleId="Footer">
    <w:name w:val="footer"/>
    <w:basedOn w:val="Normal"/>
    <w:link w:val="FooterChar"/>
    <w:uiPriority w:val="99"/>
    <w:unhideWhenUsed/>
    <w:rsid w:val="005E1F7C"/>
    <w:pPr>
      <w:tabs>
        <w:tab w:val="center" w:pos="4153"/>
        <w:tab w:val="right" w:pos="8306"/>
      </w:tabs>
      <w:spacing w:after="0" w:line="240" w:lineRule="auto"/>
    </w:pPr>
    <w:rPr>
      <w:rFonts w:ascii="Calibri" w:hAnsi="Calibri"/>
      <w:sz w:val="20"/>
      <w:szCs w:val="20"/>
    </w:rPr>
  </w:style>
  <w:style w:type="character" w:customStyle="1" w:styleId="FooterChar">
    <w:name w:val="Footer Char"/>
    <w:link w:val="Footer"/>
    <w:uiPriority w:val="99"/>
    <w:rsid w:val="005E1F7C"/>
    <w:rPr>
      <w:rFonts w:ascii="Calibri" w:eastAsia="Times New Roman" w:hAnsi="Calibri" w:cs="Times New Roman"/>
      <w:lang w:eastAsia="lv-LV"/>
    </w:rPr>
  </w:style>
  <w:style w:type="paragraph" w:styleId="CommentText">
    <w:name w:val="annotation text"/>
    <w:basedOn w:val="Normal"/>
    <w:link w:val="CommentTextChar"/>
    <w:uiPriority w:val="99"/>
    <w:unhideWhenUsed/>
    <w:rsid w:val="005E1F7C"/>
    <w:pPr>
      <w:spacing w:after="0" w:line="240" w:lineRule="auto"/>
    </w:pPr>
    <w:rPr>
      <w:sz w:val="20"/>
      <w:szCs w:val="20"/>
    </w:rPr>
  </w:style>
  <w:style w:type="character" w:customStyle="1" w:styleId="CommentTextChar">
    <w:name w:val="Comment Text Char"/>
    <w:link w:val="CommentText"/>
    <w:uiPriority w:val="99"/>
    <w:rsid w:val="005E1F7C"/>
    <w:rPr>
      <w:rFonts w:ascii="Times New Roman" w:eastAsia="Times New Roman" w:hAnsi="Times New Roman" w:cs="Times New Roman"/>
      <w:sz w:val="20"/>
      <w:szCs w:val="20"/>
      <w:lang w:eastAsia="lv-LV"/>
    </w:rPr>
  </w:style>
  <w:style w:type="character" w:styleId="Strong">
    <w:name w:val="Strong"/>
    <w:uiPriority w:val="22"/>
    <w:qFormat/>
    <w:rsid w:val="005E1F7C"/>
    <w:rPr>
      <w:b/>
      <w:bCs/>
    </w:rPr>
  </w:style>
  <w:style w:type="paragraph" w:customStyle="1" w:styleId="bullet">
    <w:name w:val="bullet"/>
    <w:basedOn w:val="Normal"/>
    <w:rsid w:val="005E1F7C"/>
    <w:pPr>
      <w:spacing w:line="240" w:lineRule="auto"/>
      <w:jc w:val="both"/>
    </w:pPr>
    <w:rPr>
      <w:bCs/>
      <w:sz w:val="24"/>
      <w:szCs w:val="20"/>
    </w:rPr>
  </w:style>
  <w:style w:type="character" w:customStyle="1" w:styleId="apple-converted-space">
    <w:name w:val="apple-converted-space"/>
    <w:basedOn w:val="DefaultParagraphFont"/>
    <w:rsid w:val="00504AD3"/>
  </w:style>
  <w:style w:type="character" w:styleId="Emphasis">
    <w:name w:val="Emphasis"/>
    <w:uiPriority w:val="20"/>
    <w:qFormat/>
    <w:rsid w:val="00504AD3"/>
    <w:rPr>
      <w:i/>
      <w:iCs/>
    </w:rPr>
  </w:style>
  <w:style w:type="character" w:styleId="CommentReference">
    <w:name w:val="annotation reference"/>
    <w:uiPriority w:val="99"/>
    <w:semiHidden/>
    <w:unhideWhenUsed/>
    <w:rsid w:val="00F9299A"/>
    <w:rPr>
      <w:sz w:val="16"/>
      <w:szCs w:val="16"/>
    </w:rPr>
  </w:style>
  <w:style w:type="paragraph" w:styleId="CommentSubject">
    <w:name w:val="annotation subject"/>
    <w:basedOn w:val="CommentText"/>
    <w:next w:val="CommentText"/>
    <w:link w:val="CommentSubjectChar"/>
    <w:uiPriority w:val="99"/>
    <w:semiHidden/>
    <w:unhideWhenUsed/>
    <w:rsid w:val="00F9299A"/>
    <w:pPr>
      <w:spacing w:after="200"/>
    </w:pPr>
    <w:rPr>
      <w:rFonts w:ascii="Calibri" w:hAnsi="Calibri"/>
      <w:b/>
      <w:bCs/>
    </w:rPr>
  </w:style>
  <w:style w:type="character" w:customStyle="1" w:styleId="CommentSubjectChar">
    <w:name w:val="Comment Subject Char"/>
    <w:link w:val="CommentSubject"/>
    <w:uiPriority w:val="99"/>
    <w:semiHidden/>
    <w:rsid w:val="00F9299A"/>
    <w:rPr>
      <w:rFonts w:ascii="Calibri" w:eastAsia="Times New Roman" w:hAnsi="Calibri" w:cs="Times New Roman"/>
      <w:b/>
      <w:bCs/>
      <w:sz w:val="20"/>
      <w:szCs w:val="20"/>
      <w:lang w:eastAsia="lv-LV"/>
    </w:rPr>
  </w:style>
  <w:style w:type="character" w:styleId="FollowedHyperlink">
    <w:name w:val="FollowedHyperlink"/>
    <w:uiPriority w:val="99"/>
    <w:semiHidden/>
    <w:unhideWhenUsed/>
    <w:rsid w:val="002E656C"/>
    <w:rPr>
      <w:color w:val="800080"/>
      <w:u w:val="single"/>
    </w:rPr>
  </w:style>
  <w:style w:type="character" w:customStyle="1" w:styleId="st1">
    <w:name w:val="st1"/>
    <w:basedOn w:val="DefaultParagraphFont"/>
    <w:rsid w:val="00D13A30"/>
  </w:style>
  <w:style w:type="paragraph" w:styleId="Title">
    <w:name w:val="Title"/>
    <w:basedOn w:val="Normal"/>
    <w:link w:val="TitleChar"/>
    <w:qFormat/>
    <w:rsid w:val="005F3279"/>
    <w:pPr>
      <w:spacing w:before="240" w:after="0" w:line="240" w:lineRule="auto"/>
      <w:jc w:val="center"/>
    </w:pPr>
    <w:rPr>
      <w:b/>
      <w:bCs/>
      <w:szCs w:val="24"/>
    </w:rPr>
  </w:style>
  <w:style w:type="character" w:customStyle="1" w:styleId="TitleChar">
    <w:name w:val="Title Char"/>
    <w:link w:val="Title"/>
    <w:rsid w:val="005F3279"/>
    <w:rPr>
      <w:rFonts w:ascii="Times New Roman" w:eastAsia="Times New Roman" w:hAnsi="Times New Roman" w:cs="Times New Roman"/>
      <w:b/>
      <w:bCs/>
      <w:sz w:val="28"/>
      <w:szCs w:val="24"/>
    </w:rPr>
  </w:style>
  <w:style w:type="paragraph" w:styleId="BodyTextIndent2">
    <w:name w:val="Body Text Indent 2"/>
    <w:basedOn w:val="Normal"/>
    <w:link w:val="BodyTextIndent2Char"/>
    <w:uiPriority w:val="99"/>
    <w:unhideWhenUsed/>
    <w:rsid w:val="001066CB"/>
    <w:pPr>
      <w:spacing w:line="480" w:lineRule="auto"/>
      <w:ind w:left="283"/>
    </w:pPr>
    <w:rPr>
      <w:rFonts w:ascii="Calibri" w:hAnsi="Calibri"/>
      <w:sz w:val="20"/>
      <w:szCs w:val="20"/>
    </w:rPr>
  </w:style>
  <w:style w:type="character" w:customStyle="1" w:styleId="BodyTextIndent2Char">
    <w:name w:val="Body Text Indent 2 Char"/>
    <w:link w:val="BodyTextIndent2"/>
    <w:uiPriority w:val="99"/>
    <w:rsid w:val="001066CB"/>
    <w:rPr>
      <w:rFonts w:ascii="Calibri" w:eastAsia="Times New Roman" w:hAnsi="Calibri" w:cs="Times New Roman"/>
      <w:lang w:eastAsia="lv-LV"/>
    </w:rPr>
  </w:style>
  <w:style w:type="paragraph" w:styleId="NormalWeb">
    <w:name w:val="Normal (Web)"/>
    <w:basedOn w:val="Normal"/>
    <w:uiPriority w:val="99"/>
    <w:unhideWhenUsed/>
    <w:rsid w:val="009164A5"/>
    <w:pPr>
      <w:spacing w:before="100" w:beforeAutospacing="1" w:after="100" w:afterAutospacing="1" w:line="240" w:lineRule="auto"/>
    </w:pPr>
    <w:rPr>
      <w:sz w:val="24"/>
      <w:szCs w:val="24"/>
    </w:rPr>
  </w:style>
  <w:style w:type="character" w:customStyle="1" w:styleId="Heading3Char">
    <w:name w:val="Heading 3 Char"/>
    <w:link w:val="Heading3"/>
    <w:uiPriority w:val="9"/>
    <w:rsid w:val="004354C1"/>
    <w:rPr>
      <w:rFonts w:ascii="Times New Roman" w:eastAsia="Times New Roman" w:hAnsi="Times New Roman"/>
      <w:b/>
      <w:bCs/>
      <w:color w:val="000000"/>
      <w:sz w:val="28"/>
      <w:szCs w:val="22"/>
    </w:rPr>
  </w:style>
  <w:style w:type="character" w:customStyle="1" w:styleId="longtext">
    <w:name w:val="long_text"/>
    <w:basedOn w:val="DefaultParagraphFont"/>
    <w:rsid w:val="00465BB3"/>
  </w:style>
  <w:style w:type="paragraph" w:styleId="EnvelopeReturn">
    <w:name w:val="envelope return"/>
    <w:basedOn w:val="Normal"/>
    <w:unhideWhenUsed/>
    <w:rsid w:val="00D534E0"/>
    <w:pPr>
      <w:keepLines/>
      <w:widowControl w:val="0"/>
      <w:spacing w:before="600" w:after="0" w:line="240" w:lineRule="auto"/>
    </w:pPr>
    <w:rPr>
      <w:sz w:val="26"/>
      <w:szCs w:val="20"/>
      <w:lang w:val="en-AU" w:eastAsia="en-US"/>
    </w:rPr>
  </w:style>
  <w:style w:type="character" w:customStyle="1" w:styleId="inplacedisplayid1siteid0">
    <w:name w:val="inplacedisplayid1siteid0"/>
    <w:basedOn w:val="DefaultParagraphFont"/>
    <w:rsid w:val="0022114F"/>
  </w:style>
  <w:style w:type="paragraph" w:styleId="Subtitle">
    <w:name w:val="Subtitle"/>
    <w:basedOn w:val="Normal"/>
    <w:next w:val="Normal"/>
    <w:link w:val="SubtitleChar"/>
    <w:qFormat/>
    <w:rsid w:val="00D52CFE"/>
    <w:pPr>
      <w:keepNext/>
      <w:keepLines/>
      <w:widowControl w:val="0"/>
      <w:suppressAutoHyphens/>
      <w:spacing w:before="600" w:after="600" w:line="240" w:lineRule="auto"/>
      <w:ind w:right="4820"/>
    </w:pPr>
    <w:rPr>
      <w:b/>
      <w:bCs/>
      <w:sz w:val="26"/>
      <w:szCs w:val="26"/>
      <w:lang w:val="en-AU" w:eastAsia="en-US"/>
    </w:rPr>
  </w:style>
  <w:style w:type="character" w:customStyle="1" w:styleId="SubtitleChar">
    <w:name w:val="Subtitle Char"/>
    <w:link w:val="Subtitle"/>
    <w:rsid w:val="00D52CFE"/>
    <w:rPr>
      <w:rFonts w:ascii="Times New Roman" w:eastAsia="Times New Roman" w:hAnsi="Times New Roman"/>
      <w:b/>
      <w:bCs/>
      <w:sz w:val="26"/>
      <w:szCs w:val="26"/>
      <w:lang w:val="en-AU" w:eastAsia="en-US"/>
    </w:rPr>
  </w:style>
  <w:style w:type="paragraph" w:styleId="PlainText">
    <w:name w:val="Plain Text"/>
    <w:basedOn w:val="Normal"/>
    <w:link w:val="PlainTextChar"/>
    <w:uiPriority w:val="99"/>
    <w:unhideWhenUsed/>
    <w:rsid w:val="008D6946"/>
    <w:pPr>
      <w:spacing w:before="120" w:after="0" w:line="240" w:lineRule="auto"/>
      <w:jc w:val="both"/>
    </w:pPr>
    <w:rPr>
      <w:rFonts w:ascii="Calibri" w:eastAsia="Calibri" w:hAnsi="Calibri"/>
      <w:szCs w:val="21"/>
      <w:lang w:eastAsia="en-US"/>
    </w:rPr>
  </w:style>
  <w:style w:type="character" w:customStyle="1" w:styleId="PlainTextChar">
    <w:name w:val="Plain Text Char"/>
    <w:link w:val="PlainText"/>
    <w:uiPriority w:val="99"/>
    <w:rsid w:val="008D6946"/>
    <w:rPr>
      <w:sz w:val="28"/>
      <w:szCs w:val="21"/>
      <w:lang w:eastAsia="en-US"/>
    </w:rPr>
  </w:style>
  <w:style w:type="paragraph" w:customStyle="1" w:styleId="contentstory">
    <w:name w:val="contentstory"/>
    <w:basedOn w:val="Normal"/>
    <w:rsid w:val="00C81E9F"/>
    <w:pPr>
      <w:spacing w:before="100" w:beforeAutospacing="1" w:after="100" w:afterAutospacing="1" w:line="240" w:lineRule="auto"/>
      <w:jc w:val="both"/>
    </w:pPr>
    <w:rPr>
      <w:rFonts w:ascii="TimesNewRoman" w:hAnsi="TimesNewRoman"/>
      <w:color w:val="003366"/>
      <w:sz w:val="20"/>
      <w:szCs w:val="20"/>
    </w:rPr>
  </w:style>
  <w:style w:type="paragraph" w:customStyle="1" w:styleId="tv213">
    <w:name w:val="tv213"/>
    <w:basedOn w:val="Normal"/>
    <w:rsid w:val="00BF545C"/>
    <w:pPr>
      <w:spacing w:before="100" w:beforeAutospacing="1" w:after="100" w:afterAutospacing="1" w:line="240" w:lineRule="auto"/>
    </w:pPr>
    <w:rPr>
      <w:sz w:val="24"/>
      <w:szCs w:val="24"/>
    </w:rPr>
  </w:style>
  <w:style w:type="character" w:customStyle="1" w:styleId="highlightentry1">
    <w:name w:val="highlightentry1"/>
    <w:rsid w:val="00F36226"/>
    <w:rPr>
      <w:shd w:val="clear" w:color="auto" w:fill="F9DCAA"/>
    </w:rPr>
  </w:style>
  <w:style w:type="paragraph" w:styleId="TOC3">
    <w:name w:val="toc 3"/>
    <w:basedOn w:val="Normal"/>
    <w:next w:val="Normal"/>
    <w:autoRedefine/>
    <w:uiPriority w:val="39"/>
    <w:unhideWhenUsed/>
    <w:rsid w:val="00B37D78"/>
    <w:pPr>
      <w:ind w:left="440"/>
    </w:pPr>
  </w:style>
  <w:style w:type="paragraph" w:customStyle="1" w:styleId="notice1">
    <w:name w:val="notice1"/>
    <w:basedOn w:val="Normal"/>
    <w:rsid w:val="00B213AF"/>
    <w:pPr>
      <w:pBdr>
        <w:top w:val="single" w:sz="6" w:space="12" w:color="D5E4CD"/>
        <w:left w:val="single" w:sz="6" w:space="24" w:color="D5E4CD"/>
        <w:bottom w:val="single" w:sz="6" w:space="12" w:color="D5E4CD"/>
        <w:right w:val="single" w:sz="6" w:space="24" w:color="D5E4CD"/>
      </w:pBdr>
      <w:spacing w:before="190" w:after="190" w:line="240" w:lineRule="auto"/>
    </w:pPr>
    <w:rPr>
      <w:rFonts w:ascii="Verdana" w:hAnsi="Verdana"/>
      <w:b/>
      <w:bCs/>
      <w:sz w:val="16"/>
      <w:szCs w:val="16"/>
    </w:rPr>
  </w:style>
  <w:style w:type="paragraph" w:styleId="Revision">
    <w:name w:val="Revision"/>
    <w:hidden/>
    <w:uiPriority w:val="99"/>
    <w:semiHidden/>
    <w:rsid w:val="00507629"/>
    <w:rPr>
      <w:rFonts w:eastAsia="Times New Roman"/>
      <w:sz w:val="22"/>
      <w:szCs w:val="22"/>
    </w:rPr>
  </w:style>
  <w:style w:type="paragraph" w:styleId="Caption">
    <w:name w:val="caption"/>
    <w:basedOn w:val="Normal"/>
    <w:next w:val="Normal"/>
    <w:uiPriority w:val="35"/>
    <w:unhideWhenUsed/>
    <w:qFormat/>
    <w:rsid w:val="00A30E3C"/>
    <w:rPr>
      <w:b/>
      <w:bCs/>
      <w:sz w:val="20"/>
      <w:szCs w:val="20"/>
    </w:rPr>
  </w:style>
  <w:style w:type="character" w:customStyle="1" w:styleId="Heading4Char">
    <w:name w:val="Heading 4 Char"/>
    <w:link w:val="Heading4"/>
    <w:uiPriority w:val="9"/>
    <w:rsid w:val="00A7404D"/>
    <w:rPr>
      <w:rFonts w:ascii="Times New Roman" w:eastAsia="Times New Roman" w:hAnsi="Times New Roman" w:cs="Times New Roman"/>
      <w:b/>
      <w:bCs/>
      <w:sz w:val="28"/>
      <w:szCs w:val="28"/>
    </w:rPr>
  </w:style>
  <w:style w:type="paragraph" w:styleId="TOC4">
    <w:name w:val="toc 4"/>
    <w:basedOn w:val="Normal"/>
    <w:next w:val="Normal"/>
    <w:autoRedefine/>
    <w:uiPriority w:val="39"/>
    <w:unhideWhenUsed/>
    <w:rsid w:val="0030630B"/>
    <w:pPr>
      <w:ind w:left="840"/>
    </w:pPr>
  </w:style>
  <w:style w:type="paragraph" w:customStyle="1" w:styleId="tv2131">
    <w:name w:val="tv2131"/>
    <w:basedOn w:val="Normal"/>
    <w:rsid w:val="003876BC"/>
    <w:pPr>
      <w:spacing w:before="240" w:after="0" w:line="360" w:lineRule="auto"/>
      <w:ind w:firstLine="300"/>
      <w:jc w:val="both"/>
    </w:pPr>
    <w:rPr>
      <w:rFonts w:ascii="Verdana" w:hAnsi="Verdana"/>
      <w:sz w:val="18"/>
      <w:szCs w:val="18"/>
    </w:rPr>
  </w:style>
  <w:style w:type="character" w:customStyle="1" w:styleId="yshortcuts">
    <w:name w:val="yshortcuts"/>
    <w:rsid w:val="00873FCD"/>
  </w:style>
  <w:style w:type="table" w:customStyle="1" w:styleId="TableGrid1">
    <w:name w:val="Table Grid1"/>
    <w:basedOn w:val="TableNormal"/>
    <w:next w:val="TableGrid"/>
    <w:uiPriority w:val="59"/>
    <w:rsid w:val="00FE0D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4F027A"/>
  </w:style>
  <w:style w:type="table" w:customStyle="1" w:styleId="TableGrid2">
    <w:name w:val="Table Grid2"/>
    <w:basedOn w:val="TableNormal"/>
    <w:next w:val="TableGrid"/>
    <w:uiPriority w:val="59"/>
    <w:rsid w:val="001745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ojumupamats1">
    <w:name w:val="labojumu_pamats1"/>
    <w:basedOn w:val="Normal"/>
    <w:rsid w:val="0036220B"/>
    <w:pPr>
      <w:spacing w:before="45" w:after="0" w:line="360" w:lineRule="auto"/>
      <w:ind w:firstLine="300"/>
    </w:pPr>
    <w:rPr>
      <w:rFonts w:ascii="Verdana" w:hAnsi="Verdana"/>
      <w:i/>
      <w:iCs/>
      <w:sz w:val="17"/>
      <w:szCs w:val="17"/>
    </w:rPr>
  </w:style>
  <w:style w:type="paragraph" w:customStyle="1" w:styleId="phone">
    <w:name w:val="phone"/>
    <w:basedOn w:val="Normal"/>
    <w:rsid w:val="00D13869"/>
    <w:pPr>
      <w:spacing w:before="100" w:beforeAutospacing="1" w:after="100" w:afterAutospacing="1" w:line="240" w:lineRule="auto"/>
      <w:ind w:firstLine="0"/>
    </w:pPr>
    <w:rPr>
      <w:sz w:val="24"/>
      <w:szCs w:val="24"/>
    </w:rPr>
  </w:style>
  <w:style w:type="paragraph" w:customStyle="1" w:styleId="CM1">
    <w:name w:val="CM1"/>
    <w:basedOn w:val="Default"/>
    <w:next w:val="Default"/>
    <w:uiPriority w:val="99"/>
    <w:rsid w:val="00BC723A"/>
    <w:rPr>
      <w:rFonts w:ascii="EUAlbertina" w:eastAsia="Calibri"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385">
      <w:bodyDiv w:val="1"/>
      <w:marLeft w:val="0"/>
      <w:marRight w:val="0"/>
      <w:marTop w:val="0"/>
      <w:marBottom w:val="0"/>
      <w:divBdr>
        <w:top w:val="none" w:sz="0" w:space="0" w:color="auto"/>
        <w:left w:val="none" w:sz="0" w:space="0" w:color="auto"/>
        <w:bottom w:val="none" w:sz="0" w:space="0" w:color="auto"/>
        <w:right w:val="none" w:sz="0" w:space="0" w:color="auto"/>
      </w:divBdr>
    </w:div>
    <w:div w:id="51975660">
      <w:bodyDiv w:val="1"/>
      <w:marLeft w:val="0"/>
      <w:marRight w:val="0"/>
      <w:marTop w:val="0"/>
      <w:marBottom w:val="0"/>
      <w:divBdr>
        <w:top w:val="none" w:sz="0" w:space="0" w:color="auto"/>
        <w:left w:val="none" w:sz="0" w:space="0" w:color="auto"/>
        <w:bottom w:val="none" w:sz="0" w:space="0" w:color="auto"/>
        <w:right w:val="none" w:sz="0" w:space="0" w:color="auto"/>
      </w:divBdr>
    </w:div>
    <w:div w:id="56512004">
      <w:bodyDiv w:val="1"/>
      <w:marLeft w:val="0"/>
      <w:marRight w:val="0"/>
      <w:marTop w:val="0"/>
      <w:marBottom w:val="0"/>
      <w:divBdr>
        <w:top w:val="none" w:sz="0" w:space="0" w:color="auto"/>
        <w:left w:val="none" w:sz="0" w:space="0" w:color="auto"/>
        <w:bottom w:val="none" w:sz="0" w:space="0" w:color="auto"/>
        <w:right w:val="none" w:sz="0" w:space="0" w:color="auto"/>
      </w:divBdr>
    </w:div>
    <w:div w:id="57561168">
      <w:bodyDiv w:val="1"/>
      <w:marLeft w:val="0"/>
      <w:marRight w:val="0"/>
      <w:marTop w:val="0"/>
      <w:marBottom w:val="0"/>
      <w:divBdr>
        <w:top w:val="none" w:sz="0" w:space="0" w:color="auto"/>
        <w:left w:val="none" w:sz="0" w:space="0" w:color="auto"/>
        <w:bottom w:val="none" w:sz="0" w:space="0" w:color="auto"/>
        <w:right w:val="none" w:sz="0" w:space="0" w:color="auto"/>
      </w:divBdr>
    </w:div>
    <w:div w:id="71658792">
      <w:bodyDiv w:val="1"/>
      <w:marLeft w:val="0"/>
      <w:marRight w:val="0"/>
      <w:marTop w:val="0"/>
      <w:marBottom w:val="0"/>
      <w:divBdr>
        <w:top w:val="none" w:sz="0" w:space="0" w:color="auto"/>
        <w:left w:val="none" w:sz="0" w:space="0" w:color="auto"/>
        <w:bottom w:val="none" w:sz="0" w:space="0" w:color="auto"/>
        <w:right w:val="none" w:sz="0" w:space="0" w:color="auto"/>
      </w:divBdr>
      <w:divsChild>
        <w:div w:id="960114334">
          <w:marLeft w:val="0"/>
          <w:marRight w:val="0"/>
          <w:marTop w:val="0"/>
          <w:marBottom w:val="0"/>
          <w:divBdr>
            <w:top w:val="none" w:sz="0" w:space="0" w:color="auto"/>
            <w:left w:val="none" w:sz="0" w:space="0" w:color="auto"/>
            <w:bottom w:val="none" w:sz="0" w:space="0" w:color="auto"/>
            <w:right w:val="none" w:sz="0" w:space="0" w:color="auto"/>
          </w:divBdr>
          <w:divsChild>
            <w:div w:id="1614560218">
              <w:marLeft w:val="3225"/>
              <w:marRight w:val="0"/>
              <w:marTop w:val="0"/>
              <w:marBottom w:val="0"/>
              <w:divBdr>
                <w:top w:val="none" w:sz="0" w:space="0" w:color="auto"/>
                <w:left w:val="none" w:sz="0" w:space="0" w:color="auto"/>
                <w:bottom w:val="none" w:sz="0" w:space="0" w:color="auto"/>
                <w:right w:val="none" w:sz="0" w:space="0" w:color="auto"/>
              </w:divBdr>
              <w:divsChild>
                <w:div w:id="317543526">
                  <w:marLeft w:val="90"/>
                  <w:marRight w:val="0"/>
                  <w:marTop w:val="0"/>
                  <w:marBottom w:val="0"/>
                  <w:divBdr>
                    <w:top w:val="single" w:sz="6" w:space="0" w:color="EEEEEE"/>
                    <w:left w:val="none" w:sz="0" w:space="0" w:color="auto"/>
                    <w:bottom w:val="none" w:sz="0" w:space="0" w:color="auto"/>
                    <w:right w:val="none" w:sz="0" w:space="0" w:color="auto"/>
                  </w:divBdr>
                  <w:divsChild>
                    <w:div w:id="1356809965">
                      <w:marLeft w:val="0"/>
                      <w:marRight w:val="0"/>
                      <w:marTop w:val="0"/>
                      <w:marBottom w:val="0"/>
                      <w:divBdr>
                        <w:top w:val="none" w:sz="0" w:space="0" w:color="auto"/>
                        <w:left w:val="none" w:sz="0" w:space="0" w:color="auto"/>
                        <w:bottom w:val="none" w:sz="0" w:space="0" w:color="auto"/>
                        <w:right w:val="none" w:sz="0" w:space="0" w:color="auto"/>
                      </w:divBdr>
                      <w:divsChild>
                        <w:div w:id="5043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09630">
      <w:bodyDiv w:val="1"/>
      <w:marLeft w:val="0"/>
      <w:marRight w:val="0"/>
      <w:marTop w:val="0"/>
      <w:marBottom w:val="0"/>
      <w:divBdr>
        <w:top w:val="none" w:sz="0" w:space="0" w:color="auto"/>
        <w:left w:val="none" w:sz="0" w:space="0" w:color="auto"/>
        <w:bottom w:val="none" w:sz="0" w:space="0" w:color="auto"/>
        <w:right w:val="none" w:sz="0" w:space="0" w:color="auto"/>
      </w:divBdr>
    </w:div>
    <w:div w:id="90132146">
      <w:bodyDiv w:val="1"/>
      <w:marLeft w:val="0"/>
      <w:marRight w:val="0"/>
      <w:marTop w:val="0"/>
      <w:marBottom w:val="0"/>
      <w:divBdr>
        <w:top w:val="none" w:sz="0" w:space="0" w:color="auto"/>
        <w:left w:val="none" w:sz="0" w:space="0" w:color="auto"/>
        <w:bottom w:val="none" w:sz="0" w:space="0" w:color="auto"/>
        <w:right w:val="none" w:sz="0" w:space="0" w:color="auto"/>
      </w:divBdr>
    </w:div>
    <w:div w:id="101658696">
      <w:bodyDiv w:val="1"/>
      <w:marLeft w:val="0"/>
      <w:marRight w:val="0"/>
      <w:marTop w:val="0"/>
      <w:marBottom w:val="0"/>
      <w:divBdr>
        <w:top w:val="none" w:sz="0" w:space="0" w:color="auto"/>
        <w:left w:val="none" w:sz="0" w:space="0" w:color="auto"/>
        <w:bottom w:val="none" w:sz="0" w:space="0" w:color="auto"/>
        <w:right w:val="none" w:sz="0" w:space="0" w:color="auto"/>
      </w:divBdr>
    </w:div>
    <w:div w:id="109132659">
      <w:bodyDiv w:val="1"/>
      <w:marLeft w:val="0"/>
      <w:marRight w:val="0"/>
      <w:marTop w:val="0"/>
      <w:marBottom w:val="0"/>
      <w:divBdr>
        <w:top w:val="none" w:sz="0" w:space="0" w:color="auto"/>
        <w:left w:val="none" w:sz="0" w:space="0" w:color="auto"/>
        <w:bottom w:val="none" w:sz="0" w:space="0" w:color="auto"/>
        <w:right w:val="none" w:sz="0" w:space="0" w:color="auto"/>
      </w:divBdr>
    </w:div>
    <w:div w:id="116609514">
      <w:bodyDiv w:val="1"/>
      <w:marLeft w:val="0"/>
      <w:marRight w:val="0"/>
      <w:marTop w:val="0"/>
      <w:marBottom w:val="0"/>
      <w:divBdr>
        <w:top w:val="none" w:sz="0" w:space="0" w:color="auto"/>
        <w:left w:val="none" w:sz="0" w:space="0" w:color="auto"/>
        <w:bottom w:val="none" w:sz="0" w:space="0" w:color="auto"/>
        <w:right w:val="none" w:sz="0" w:space="0" w:color="auto"/>
      </w:divBdr>
    </w:div>
    <w:div w:id="125978966">
      <w:bodyDiv w:val="1"/>
      <w:marLeft w:val="0"/>
      <w:marRight w:val="0"/>
      <w:marTop w:val="0"/>
      <w:marBottom w:val="0"/>
      <w:divBdr>
        <w:top w:val="none" w:sz="0" w:space="0" w:color="auto"/>
        <w:left w:val="none" w:sz="0" w:space="0" w:color="auto"/>
        <w:bottom w:val="none" w:sz="0" w:space="0" w:color="auto"/>
        <w:right w:val="none" w:sz="0" w:space="0" w:color="auto"/>
      </w:divBdr>
    </w:div>
    <w:div w:id="155655402">
      <w:bodyDiv w:val="1"/>
      <w:marLeft w:val="0"/>
      <w:marRight w:val="0"/>
      <w:marTop w:val="0"/>
      <w:marBottom w:val="0"/>
      <w:divBdr>
        <w:top w:val="none" w:sz="0" w:space="0" w:color="auto"/>
        <w:left w:val="none" w:sz="0" w:space="0" w:color="auto"/>
        <w:bottom w:val="none" w:sz="0" w:space="0" w:color="auto"/>
        <w:right w:val="none" w:sz="0" w:space="0" w:color="auto"/>
      </w:divBdr>
    </w:div>
    <w:div w:id="159544050">
      <w:bodyDiv w:val="1"/>
      <w:marLeft w:val="0"/>
      <w:marRight w:val="0"/>
      <w:marTop w:val="0"/>
      <w:marBottom w:val="0"/>
      <w:divBdr>
        <w:top w:val="none" w:sz="0" w:space="0" w:color="auto"/>
        <w:left w:val="none" w:sz="0" w:space="0" w:color="auto"/>
        <w:bottom w:val="none" w:sz="0" w:space="0" w:color="auto"/>
        <w:right w:val="none" w:sz="0" w:space="0" w:color="auto"/>
      </w:divBdr>
    </w:div>
    <w:div w:id="166405655">
      <w:bodyDiv w:val="1"/>
      <w:marLeft w:val="0"/>
      <w:marRight w:val="0"/>
      <w:marTop w:val="0"/>
      <w:marBottom w:val="0"/>
      <w:divBdr>
        <w:top w:val="none" w:sz="0" w:space="0" w:color="auto"/>
        <w:left w:val="none" w:sz="0" w:space="0" w:color="auto"/>
        <w:bottom w:val="none" w:sz="0" w:space="0" w:color="auto"/>
        <w:right w:val="none" w:sz="0" w:space="0" w:color="auto"/>
      </w:divBdr>
      <w:divsChild>
        <w:div w:id="1125273215">
          <w:marLeft w:val="0"/>
          <w:marRight w:val="0"/>
          <w:marTop w:val="100"/>
          <w:marBottom w:val="100"/>
          <w:divBdr>
            <w:top w:val="none" w:sz="0" w:space="0" w:color="auto"/>
            <w:left w:val="none" w:sz="0" w:space="0" w:color="auto"/>
            <w:bottom w:val="none" w:sz="0" w:space="0" w:color="auto"/>
            <w:right w:val="none" w:sz="0" w:space="0" w:color="auto"/>
          </w:divBdr>
          <w:divsChild>
            <w:div w:id="648218633">
              <w:marLeft w:val="0"/>
              <w:marRight w:val="0"/>
              <w:marTop w:val="0"/>
              <w:marBottom w:val="0"/>
              <w:divBdr>
                <w:top w:val="none" w:sz="0" w:space="0" w:color="auto"/>
                <w:left w:val="none" w:sz="0" w:space="0" w:color="auto"/>
                <w:bottom w:val="none" w:sz="0" w:space="0" w:color="auto"/>
                <w:right w:val="none" w:sz="0" w:space="0" w:color="auto"/>
              </w:divBdr>
              <w:divsChild>
                <w:div w:id="2039771895">
                  <w:marLeft w:val="0"/>
                  <w:marRight w:val="0"/>
                  <w:marTop w:val="0"/>
                  <w:marBottom w:val="0"/>
                  <w:divBdr>
                    <w:top w:val="none" w:sz="0" w:space="0" w:color="auto"/>
                    <w:left w:val="none" w:sz="0" w:space="0" w:color="auto"/>
                    <w:bottom w:val="none" w:sz="0" w:space="0" w:color="auto"/>
                    <w:right w:val="none" w:sz="0" w:space="0" w:color="auto"/>
                  </w:divBdr>
                  <w:divsChild>
                    <w:div w:id="1840578823">
                      <w:marLeft w:val="0"/>
                      <w:marRight w:val="0"/>
                      <w:marTop w:val="0"/>
                      <w:marBottom w:val="0"/>
                      <w:divBdr>
                        <w:top w:val="none" w:sz="0" w:space="0" w:color="auto"/>
                        <w:left w:val="none" w:sz="0" w:space="0" w:color="auto"/>
                        <w:bottom w:val="none" w:sz="0" w:space="0" w:color="auto"/>
                        <w:right w:val="none" w:sz="0" w:space="0" w:color="auto"/>
                      </w:divBdr>
                      <w:divsChild>
                        <w:div w:id="113721715">
                          <w:marLeft w:val="0"/>
                          <w:marRight w:val="0"/>
                          <w:marTop w:val="0"/>
                          <w:marBottom w:val="0"/>
                          <w:divBdr>
                            <w:top w:val="none" w:sz="0" w:space="0" w:color="auto"/>
                            <w:left w:val="none" w:sz="0" w:space="0" w:color="auto"/>
                            <w:bottom w:val="none" w:sz="0" w:space="0" w:color="auto"/>
                            <w:right w:val="none" w:sz="0" w:space="0" w:color="auto"/>
                          </w:divBdr>
                          <w:divsChild>
                            <w:div w:id="1188450717">
                              <w:marLeft w:val="0"/>
                              <w:marRight w:val="0"/>
                              <w:marTop w:val="0"/>
                              <w:marBottom w:val="0"/>
                              <w:divBdr>
                                <w:top w:val="none" w:sz="0" w:space="0" w:color="auto"/>
                                <w:left w:val="none" w:sz="0" w:space="0" w:color="auto"/>
                                <w:bottom w:val="none" w:sz="0" w:space="0" w:color="auto"/>
                                <w:right w:val="none" w:sz="0" w:space="0" w:color="auto"/>
                              </w:divBdr>
                              <w:divsChild>
                                <w:div w:id="1632592271">
                                  <w:marLeft w:val="0"/>
                                  <w:marRight w:val="0"/>
                                  <w:marTop w:val="0"/>
                                  <w:marBottom w:val="0"/>
                                  <w:divBdr>
                                    <w:top w:val="none" w:sz="0" w:space="0" w:color="auto"/>
                                    <w:left w:val="none" w:sz="0" w:space="0" w:color="auto"/>
                                    <w:bottom w:val="none" w:sz="0" w:space="0" w:color="auto"/>
                                    <w:right w:val="none" w:sz="0" w:space="0" w:color="auto"/>
                                  </w:divBdr>
                                  <w:divsChild>
                                    <w:div w:id="1573002244">
                                      <w:marLeft w:val="0"/>
                                      <w:marRight w:val="0"/>
                                      <w:marTop w:val="0"/>
                                      <w:marBottom w:val="150"/>
                                      <w:divBdr>
                                        <w:top w:val="none" w:sz="0" w:space="0" w:color="auto"/>
                                        <w:left w:val="none" w:sz="0" w:space="0" w:color="auto"/>
                                        <w:bottom w:val="none" w:sz="0" w:space="0" w:color="auto"/>
                                        <w:right w:val="none" w:sz="0" w:space="0" w:color="auto"/>
                                      </w:divBdr>
                                      <w:divsChild>
                                        <w:div w:id="21364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38992">
      <w:bodyDiv w:val="1"/>
      <w:marLeft w:val="0"/>
      <w:marRight w:val="0"/>
      <w:marTop w:val="0"/>
      <w:marBottom w:val="0"/>
      <w:divBdr>
        <w:top w:val="none" w:sz="0" w:space="0" w:color="auto"/>
        <w:left w:val="none" w:sz="0" w:space="0" w:color="auto"/>
        <w:bottom w:val="none" w:sz="0" w:space="0" w:color="auto"/>
        <w:right w:val="none" w:sz="0" w:space="0" w:color="auto"/>
      </w:divBdr>
    </w:div>
    <w:div w:id="186867063">
      <w:bodyDiv w:val="1"/>
      <w:marLeft w:val="0"/>
      <w:marRight w:val="0"/>
      <w:marTop w:val="0"/>
      <w:marBottom w:val="0"/>
      <w:divBdr>
        <w:top w:val="none" w:sz="0" w:space="0" w:color="auto"/>
        <w:left w:val="none" w:sz="0" w:space="0" w:color="auto"/>
        <w:bottom w:val="none" w:sz="0" w:space="0" w:color="auto"/>
        <w:right w:val="none" w:sz="0" w:space="0" w:color="auto"/>
      </w:divBdr>
    </w:div>
    <w:div w:id="208108593">
      <w:bodyDiv w:val="1"/>
      <w:marLeft w:val="0"/>
      <w:marRight w:val="0"/>
      <w:marTop w:val="0"/>
      <w:marBottom w:val="0"/>
      <w:divBdr>
        <w:top w:val="none" w:sz="0" w:space="0" w:color="auto"/>
        <w:left w:val="none" w:sz="0" w:space="0" w:color="auto"/>
        <w:bottom w:val="none" w:sz="0" w:space="0" w:color="auto"/>
        <w:right w:val="none" w:sz="0" w:space="0" w:color="auto"/>
      </w:divBdr>
    </w:div>
    <w:div w:id="212891608">
      <w:bodyDiv w:val="1"/>
      <w:marLeft w:val="0"/>
      <w:marRight w:val="0"/>
      <w:marTop w:val="0"/>
      <w:marBottom w:val="0"/>
      <w:divBdr>
        <w:top w:val="none" w:sz="0" w:space="0" w:color="auto"/>
        <w:left w:val="none" w:sz="0" w:space="0" w:color="auto"/>
        <w:bottom w:val="none" w:sz="0" w:space="0" w:color="auto"/>
        <w:right w:val="none" w:sz="0" w:space="0" w:color="auto"/>
      </w:divBdr>
    </w:div>
    <w:div w:id="228420987">
      <w:bodyDiv w:val="1"/>
      <w:marLeft w:val="0"/>
      <w:marRight w:val="0"/>
      <w:marTop w:val="0"/>
      <w:marBottom w:val="0"/>
      <w:divBdr>
        <w:top w:val="none" w:sz="0" w:space="0" w:color="auto"/>
        <w:left w:val="none" w:sz="0" w:space="0" w:color="auto"/>
        <w:bottom w:val="none" w:sz="0" w:space="0" w:color="auto"/>
        <w:right w:val="none" w:sz="0" w:space="0" w:color="auto"/>
      </w:divBdr>
    </w:div>
    <w:div w:id="249118447">
      <w:bodyDiv w:val="1"/>
      <w:marLeft w:val="0"/>
      <w:marRight w:val="0"/>
      <w:marTop w:val="0"/>
      <w:marBottom w:val="0"/>
      <w:divBdr>
        <w:top w:val="none" w:sz="0" w:space="0" w:color="auto"/>
        <w:left w:val="none" w:sz="0" w:space="0" w:color="auto"/>
        <w:bottom w:val="none" w:sz="0" w:space="0" w:color="auto"/>
        <w:right w:val="none" w:sz="0" w:space="0" w:color="auto"/>
      </w:divBdr>
    </w:div>
    <w:div w:id="258757012">
      <w:bodyDiv w:val="1"/>
      <w:marLeft w:val="0"/>
      <w:marRight w:val="0"/>
      <w:marTop w:val="0"/>
      <w:marBottom w:val="0"/>
      <w:divBdr>
        <w:top w:val="none" w:sz="0" w:space="0" w:color="auto"/>
        <w:left w:val="none" w:sz="0" w:space="0" w:color="auto"/>
        <w:bottom w:val="none" w:sz="0" w:space="0" w:color="auto"/>
        <w:right w:val="none" w:sz="0" w:space="0" w:color="auto"/>
      </w:divBdr>
      <w:divsChild>
        <w:div w:id="335033768">
          <w:marLeft w:val="0"/>
          <w:marRight w:val="0"/>
          <w:marTop w:val="0"/>
          <w:marBottom w:val="0"/>
          <w:divBdr>
            <w:top w:val="none" w:sz="0" w:space="0" w:color="auto"/>
            <w:left w:val="single" w:sz="18" w:space="5" w:color="FFFFFF"/>
            <w:bottom w:val="none" w:sz="0" w:space="0" w:color="auto"/>
            <w:right w:val="single" w:sz="18" w:space="5" w:color="FFFFFF"/>
          </w:divBdr>
          <w:divsChild>
            <w:div w:id="642856807">
              <w:marLeft w:val="300"/>
              <w:marRight w:val="225"/>
              <w:marTop w:val="0"/>
              <w:marBottom w:val="0"/>
              <w:divBdr>
                <w:top w:val="none" w:sz="0" w:space="0" w:color="auto"/>
                <w:left w:val="none" w:sz="0" w:space="0" w:color="auto"/>
                <w:bottom w:val="none" w:sz="0" w:space="0" w:color="auto"/>
                <w:right w:val="none" w:sz="0" w:space="0" w:color="auto"/>
              </w:divBdr>
              <w:divsChild>
                <w:div w:id="101904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66893596">
      <w:bodyDiv w:val="1"/>
      <w:marLeft w:val="0"/>
      <w:marRight w:val="0"/>
      <w:marTop w:val="0"/>
      <w:marBottom w:val="0"/>
      <w:divBdr>
        <w:top w:val="none" w:sz="0" w:space="0" w:color="auto"/>
        <w:left w:val="none" w:sz="0" w:space="0" w:color="auto"/>
        <w:bottom w:val="none" w:sz="0" w:space="0" w:color="auto"/>
        <w:right w:val="none" w:sz="0" w:space="0" w:color="auto"/>
      </w:divBdr>
    </w:div>
    <w:div w:id="269171368">
      <w:bodyDiv w:val="1"/>
      <w:marLeft w:val="0"/>
      <w:marRight w:val="0"/>
      <w:marTop w:val="0"/>
      <w:marBottom w:val="0"/>
      <w:divBdr>
        <w:top w:val="none" w:sz="0" w:space="0" w:color="auto"/>
        <w:left w:val="none" w:sz="0" w:space="0" w:color="auto"/>
        <w:bottom w:val="none" w:sz="0" w:space="0" w:color="auto"/>
        <w:right w:val="none" w:sz="0" w:space="0" w:color="auto"/>
      </w:divBdr>
    </w:div>
    <w:div w:id="271134831">
      <w:bodyDiv w:val="1"/>
      <w:marLeft w:val="0"/>
      <w:marRight w:val="0"/>
      <w:marTop w:val="0"/>
      <w:marBottom w:val="0"/>
      <w:divBdr>
        <w:top w:val="none" w:sz="0" w:space="0" w:color="auto"/>
        <w:left w:val="none" w:sz="0" w:space="0" w:color="auto"/>
        <w:bottom w:val="none" w:sz="0" w:space="0" w:color="auto"/>
        <w:right w:val="none" w:sz="0" w:space="0" w:color="auto"/>
      </w:divBdr>
    </w:div>
    <w:div w:id="274560735">
      <w:bodyDiv w:val="1"/>
      <w:marLeft w:val="0"/>
      <w:marRight w:val="0"/>
      <w:marTop w:val="0"/>
      <w:marBottom w:val="0"/>
      <w:divBdr>
        <w:top w:val="none" w:sz="0" w:space="0" w:color="auto"/>
        <w:left w:val="none" w:sz="0" w:space="0" w:color="auto"/>
        <w:bottom w:val="none" w:sz="0" w:space="0" w:color="auto"/>
        <w:right w:val="none" w:sz="0" w:space="0" w:color="auto"/>
      </w:divBdr>
      <w:divsChild>
        <w:div w:id="1051004059">
          <w:marLeft w:val="0"/>
          <w:marRight w:val="0"/>
          <w:marTop w:val="100"/>
          <w:marBottom w:val="100"/>
          <w:divBdr>
            <w:top w:val="none" w:sz="0" w:space="0" w:color="auto"/>
            <w:left w:val="none" w:sz="0" w:space="0" w:color="auto"/>
            <w:bottom w:val="none" w:sz="0" w:space="0" w:color="auto"/>
            <w:right w:val="none" w:sz="0" w:space="0" w:color="auto"/>
          </w:divBdr>
          <w:divsChild>
            <w:div w:id="1414202620">
              <w:marLeft w:val="0"/>
              <w:marRight w:val="0"/>
              <w:marTop w:val="0"/>
              <w:marBottom w:val="0"/>
              <w:divBdr>
                <w:top w:val="none" w:sz="0" w:space="0" w:color="auto"/>
                <w:left w:val="none" w:sz="0" w:space="0" w:color="auto"/>
                <w:bottom w:val="none" w:sz="0" w:space="0" w:color="auto"/>
                <w:right w:val="none" w:sz="0" w:space="0" w:color="auto"/>
              </w:divBdr>
              <w:divsChild>
                <w:div w:id="1226405178">
                  <w:marLeft w:val="0"/>
                  <w:marRight w:val="0"/>
                  <w:marTop w:val="0"/>
                  <w:marBottom w:val="0"/>
                  <w:divBdr>
                    <w:top w:val="none" w:sz="0" w:space="0" w:color="auto"/>
                    <w:left w:val="none" w:sz="0" w:space="0" w:color="auto"/>
                    <w:bottom w:val="none" w:sz="0" w:space="0" w:color="auto"/>
                    <w:right w:val="none" w:sz="0" w:space="0" w:color="auto"/>
                  </w:divBdr>
                  <w:divsChild>
                    <w:div w:id="726299251">
                      <w:marLeft w:val="0"/>
                      <w:marRight w:val="0"/>
                      <w:marTop w:val="0"/>
                      <w:marBottom w:val="0"/>
                      <w:divBdr>
                        <w:top w:val="none" w:sz="0" w:space="0" w:color="auto"/>
                        <w:left w:val="none" w:sz="0" w:space="0" w:color="auto"/>
                        <w:bottom w:val="none" w:sz="0" w:space="0" w:color="auto"/>
                        <w:right w:val="none" w:sz="0" w:space="0" w:color="auto"/>
                      </w:divBdr>
                      <w:divsChild>
                        <w:div w:id="28728768">
                          <w:marLeft w:val="0"/>
                          <w:marRight w:val="0"/>
                          <w:marTop w:val="0"/>
                          <w:marBottom w:val="0"/>
                          <w:divBdr>
                            <w:top w:val="none" w:sz="0" w:space="0" w:color="auto"/>
                            <w:left w:val="none" w:sz="0" w:space="0" w:color="auto"/>
                            <w:bottom w:val="none" w:sz="0" w:space="0" w:color="auto"/>
                            <w:right w:val="none" w:sz="0" w:space="0" w:color="auto"/>
                          </w:divBdr>
                          <w:divsChild>
                            <w:div w:id="1660844237">
                              <w:marLeft w:val="0"/>
                              <w:marRight w:val="0"/>
                              <w:marTop w:val="0"/>
                              <w:marBottom w:val="0"/>
                              <w:divBdr>
                                <w:top w:val="none" w:sz="0" w:space="0" w:color="auto"/>
                                <w:left w:val="none" w:sz="0" w:space="0" w:color="auto"/>
                                <w:bottom w:val="none" w:sz="0" w:space="0" w:color="auto"/>
                                <w:right w:val="none" w:sz="0" w:space="0" w:color="auto"/>
                              </w:divBdr>
                              <w:divsChild>
                                <w:div w:id="2114010199">
                                  <w:marLeft w:val="0"/>
                                  <w:marRight w:val="0"/>
                                  <w:marTop w:val="0"/>
                                  <w:marBottom w:val="0"/>
                                  <w:divBdr>
                                    <w:top w:val="none" w:sz="0" w:space="0" w:color="auto"/>
                                    <w:left w:val="none" w:sz="0" w:space="0" w:color="auto"/>
                                    <w:bottom w:val="none" w:sz="0" w:space="0" w:color="auto"/>
                                    <w:right w:val="none" w:sz="0" w:space="0" w:color="auto"/>
                                  </w:divBdr>
                                  <w:divsChild>
                                    <w:div w:id="2040815509">
                                      <w:marLeft w:val="0"/>
                                      <w:marRight w:val="0"/>
                                      <w:marTop w:val="0"/>
                                      <w:marBottom w:val="150"/>
                                      <w:divBdr>
                                        <w:top w:val="none" w:sz="0" w:space="0" w:color="auto"/>
                                        <w:left w:val="none" w:sz="0" w:space="0" w:color="auto"/>
                                        <w:bottom w:val="none" w:sz="0" w:space="0" w:color="auto"/>
                                        <w:right w:val="none" w:sz="0" w:space="0" w:color="auto"/>
                                      </w:divBdr>
                                      <w:divsChild>
                                        <w:div w:id="1018046126">
                                          <w:marLeft w:val="0"/>
                                          <w:marRight w:val="0"/>
                                          <w:marTop w:val="0"/>
                                          <w:marBottom w:val="0"/>
                                          <w:divBdr>
                                            <w:top w:val="none" w:sz="0" w:space="0" w:color="auto"/>
                                            <w:left w:val="none" w:sz="0" w:space="0" w:color="auto"/>
                                            <w:bottom w:val="none" w:sz="0" w:space="0" w:color="auto"/>
                                            <w:right w:val="none" w:sz="0" w:space="0" w:color="auto"/>
                                          </w:divBdr>
                                          <w:divsChild>
                                            <w:div w:id="1706834082">
                                              <w:marLeft w:val="0"/>
                                              <w:marRight w:val="0"/>
                                              <w:marTop w:val="0"/>
                                              <w:marBottom w:val="0"/>
                                              <w:divBdr>
                                                <w:top w:val="none" w:sz="0" w:space="0" w:color="auto"/>
                                                <w:left w:val="none" w:sz="0" w:space="0" w:color="auto"/>
                                                <w:bottom w:val="none" w:sz="0" w:space="0" w:color="auto"/>
                                                <w:right w:val="none" w:sz="0" w:space="0" w:color="auto"/>
                                              </w:divBdr>
                                              <w:divsChild>
                                                <w:div w:id="18010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3893679">
      <w:bodyDiv w:val="1"/>
      <w:marLeft w:val="0"/>
      <w:marRight w:val="0"/>
      <w:marTop w:val="0"/>
      <w:marBottom w:val="0"/>
      <w:divBdr>
        <w:top w:val="none" w:sz="0" w:space="0" w:color="auto"/>
        <w:left w:val="none" w:sz="0" w:space="0" w:color="auto"/>
        <w:bottom w:val="none" w:sz="0" w:space="0" w:color="auto"/>
        <w:right w:val="none" w:sz="0" w:space="0" w:color="auto"/>
      </w:divBdr>
    </w:div>
    <w:div w:id="326860224">
      <w:bodyDiv w:val="1"/>
      <w:marLeft w:val="0"/>
      <w:marRight w:val="0"/>
      <w:marTop w:val="0"/>
      <w:marBottom w:val="0"/>
      <w:divBdr>
        <w:top w:val="none" w:sz="0" w:space="0" w:color="auto"/>
        <w:left w:val="none" w:sz="0" w:space="0" w:color="auto"/>
        <w:bottom w:val="none" w:sz="0" w:space="0" w:color="auto"/>
        <w:right w:val="none" w:sz="0" w:space="0" w:color="auto"/>
      </w:divBdr>
    </w:div>
    <w:div w:id="339161736">
      <w:bodyDiv w:val="1"/>
      <w:marLeft w:val="0"/>
      <w:marRight w:val="0"/>
      <w:marTop w:val="0"/>
      <w:marBottom w:val="0"/>
      <w:divBdr>
        <w:top w:val="none" w:sz="0" w:space="0" w:color="auto"/>
        <w:left w:val="none" w:sz="0" w:space="0" w:color="auto"/>
        <w:bottom w:val="none" w:sz="0" w:space="0" w:color="auto"/>
        <w:right w:val="none" w:sz="0" w:space="0" w:color="auto"/>
      </w:divBdr>
    </w:div>
    <w:div w:id="357312283">
      <w:bodyDiv w:val="1"/>
      <w:marLeft w:val="0"/>
      <w:marRight w:val="0"/>
      <w:marTop w:val="0"/>
      <w:marBottom w:val="0"/>
      <w:divBdr>
        <w:top w:val="none" w:sz="0" w:space="0" w:color="auto"/>
        <w:left w:val="none" w:sz="0" w:space="0" w:color="auto"/>
        <w:bottom w:val="none" w:sz="0" w:space="0" w:color="auto"/>
        <w:right w:val="none" w:sz="0" w:space="0" w:color="auto"/>
      </w:divBdr>
    </w:div>
    <w:div w:id="379869597">
      <w:bodyDiv w:val="1"/>
      <w:marLeft w:val="0"/>
      <w:marRight w:val="0"/>
      <w:marTop w:val="0"/>
      <w:marBottom w:val="0"/>
      <w:divBdr>
        <w:top w:val="none" w:sz="0" w:space="0" w:color="auto"/>
        <w:left w:val="none" w:sz="0" w:space="0" w:color="auto"/>
        <w:bottom w:val="none" w:sz="0" w:space="0" w:color="auto"/>
        <w:right w:val="none" w:sz="0" w:space="0" w:color="auto"/>
      </w:divBdr>
    </w:div>
    <w:div w:id="388454920">
      <w:bodyDiv w:val="1"/>
      <w:marLeft w:val="0"/>
      <w:marRight w:val="0"/>
      <w:marTop w:val="0"/>
      <w:marBottom w:val="0"/>
      <w:divBdr>
        <w:top w:val="none" w:sz="0" w:space="0" w:color="auto"/>
        <w:left w:val="none" w:sz="0" w:space="0" w:color="auto"/>
        <w:bottom w:val="none" w:sz="0" w:space="0" w:color="auto"/>
        <w:right w:val="none" w:sz="0" w:space="0" w:color="auto"/>
      </w:divBdr>
    </w:div>
    <w:div w:id="390740253">
      <w:bodyDiv w:val="1"/>
      <w:marLeft w:val="0"/>
      <w:marRight w:val="0"/>
      <w:marTop w:val="0"/>
      <w:marBottom w:val="0"/>
      <w:divBdr>
        <w:top w:val="none" w:sz="0" w:space="0" w:color="auto"/>
        <w:left w:val="none" w:sz="0" w:space="0" w:color="auto"/>
        <w:bottom w:val="none" w:sz="0" w:space="0" w:color="auto"/>
        <w:right w:val="none" w:sz="0" w:space="0" w:color="auto"/>
      </w:divBdr>
    </w:div>
    <w:div w:id="391082840">
      <w:bodyDiv w:val="1"/>
      <w:marLeft w:val="0"/>
      <w:marRight w:val="0"/>
      <w:marTop w:val="0"/>
      <w:marBottom w:val="0"/>
      <w:divBdr>
        <w:top w:val="none" w:sz="0" w:space="0" w:color="auto"/>
        <w:left w:val="none" w:sz="0" w:space="0" w:color="auto"/>
        <w:bottom w:val="none" w:sz="0" w:space="0" w:color="auto"/>
        <w:right w:val="none" w:sz="0" w:space="0" w:color="auto"/>
      </w:divBdr>
    </w:div>
    <w:div w:id="395781015">
      <w:bodyDiv w:val="1"/>
      <w:marLeft w:val="0"/>
      <w:marRight w:val="0"/>
      <w:marTop w:val="0"/>
      <w:marBottom w:val="0"/>
      <w:divBdr>
        <w:top w:val="none" w:sz="0" w:space="0" w:color="auto"/>
        <w:left w:val="none" w:sz="0" w:space="0" w:color="auto"/>
        <w:bottom w:val="none" w:sz="0" w:space="0" w:color="auto"/>
        <w:right w:val="none" w:sz="0" w:space="0" w:color="auto"/>
      </w:divBdr>
      <w:divsChild>
        <w:div w:id="6564218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8502700">
      <w:bodyDiv w:val="1"/>
      <w:marLeft w:val="0"/>
      <w:marRight w:val="0"/>
      <w:marTop w:val="0"/>
      <w:marBottom w:val="0"/>
      <w:divBdr>
        <w:top w:val="none" w:sz="0" w:space="0" w:color="auto"/>
        <w:left w:val="none" w:sz="0" w:space="0" w:color="auto"/>
        <w:bottom w:val="none" w:sz="0" w:space="0" w:color="auto"/>
        <w:right w:val="none" w:sz="0" w:space="0" w:color="auto"/>
      </w:divBdr>
    </w:div>
    <w:div w:id="411197701">
      <w:bodyDiv w:val="1"/>
      <w:marLeft w:val="0"/>
      <w:marRight w:val="0"/>
      <w:marTop w:val="0"/>
      <w:marBottom w:val="0"/>
      <w:divBdr>
        <w:top w:val="none" w:sz="0" w:space="0" w:color="auto"/>
        <w:left w:val="none" w:sz="0" w:space="0" w:color="auto"/>
        <w:bottom w:val="none" w:sz="0" w:space="0" w:color="auto"/>
        <w:right w:val="none" w:sz="0" w:space="0" w:color="auto"/>
      </w:divBdr>
    </w:div>
    <w:div w:id="428164008">
      <w:bodyDiv w:val="1"/>
      <w:marLeft w:val="0"/>
      <w:marRight w:val="0"/>
      <w:marTop w:val="0"/>
      <w:marBottom w:val="0"/>
      <w:divBdr>
        <w:top w:val="none" w:sz="0" w:space="0" w:color="auto"/>
        <w:left w:val="none" w:sz="0" w:space="0" w:color="auto"/>
        <w:bottom w:val="none" w:sz="0" w:space="0" w:color="auto"/>
        <w:right w:val="none" w:sz="0" w:space="0" w:color="auto"/>
      </w:divBdr>
    </w:div>
    <w:div w:id="458768607">
      <w:bodyDiv w:val="1"/>
      <w:marLeft w:val="0"/>
      <w:marRight w:val="0"/>
      <w:marTop w:val="0"/>
      <w:marBottom w:val="0"/>
      <w:divBdr>
        <w:top w:val="none" w:sz="0" w:space="0" w:color="auto"/>
        <w:left w:val="none" w:sz="0" w:space="0" w:color="auto"/>
        <w:bottom w:val="none" w:sz="0" w:space="0" w:color="auto"/>
        <w:right w:val="none" w:sz="0" w:space="0" w:color="auto"/>
      </w:divBdr>
    </w:div>
    <w:div w:id="466821971">
      <w:bodyDiv w:val="1"/>
      <w:marLeft w:val="0"/>
      <w:marRight w:val="0"/>
      <w:marTop w:val="0"/>
      <w:marBottom w:val="0"/>
      <w:divBdr>
        <w:top w:val="none" w:sz="0" w:space="0" w:color="auto"/>
        <w:left w:val="none" w:sz="0" w:space="0" w:color="auto"/>
        <w:bottom w:val="none" w:sz="0" w:space="0" w:color="auto"/>
        <w:right w:val="none" w:sz="0" w:space="0" w:color="auto"/>
      </w:divBdr>
    </w:div>
    <w:div w:id="484930090">
      <w:bodyDiv w:val="1"/>
      <w:marLeft w:val="0"/>
      <w:marRight w:val="0"/>
      <w:marTop w:val="0"/>
      <w:marBottom w:val="0"/>
      <w:divBdr>
        <w:top w:val="none" w:sz="0" w:space="0" w:color="auto"/>
        <w:left w:val="none" w:sz="0" w:space="0" w:color="auto"/>
        <w:bottom w:val="none" w:sz="0" w:space="0" w:color="auto"/>
        <w:right w:val="none" w:sz="0" w:space="0" w:color="auto"/>
      </w:divBdr>
    </w:div>
    <w:div w:id="485172570">
      <w:bodyDiv w:val="1"/>
      <w:marLeft w:val="0"/>
      <w:marRight w:val="0"/>
      <w:marTop w:val="0"/>
      <w:marBottom w:val="0"/>
      <w:divBdr>
        <w:top w:val="none" w:sz="0" w:space="0" w:color="auto"/>
        <w:left w:val="none" w:sz="0" w:space="0" w:color="auto"/>
        <w:bottom w:val="none" w:sz="0" w:space="0" w:color="auto"/>
        <w:right w:val="none" w:sz="0" w:space="0" w:color="auto"/>
      </w:divBdr>
    </w:div>
    <w:div w:id="486633478">
      <w:bodyDiv w:val="1"/>
      <w:marLeft w:val="0"/>
      <w:marRight w:val="0"/>
      <w:marTop w:val="0"/>
      <w:marBottom w:val="0"/>
      <w:divBdr>
        <w:top w:val="none" w:sz="0" w:space="0" w:color="auto"/>
        <w:left w:val="none" w:sz="0" w:space="0" w:color="auto"/>
        <w:bottom w:val="none" w:sz="0" w:space="0" w:color="auto"/>
        <w:right w:val="none" w:sz="0" w:space="0" w:color="auto"/>
      </w:divBdr>
      <w:divsChild>
        <w:div w:id="1752897151">
          <w:marLeft w:val="0"/>
          <w:marRight w:val="0"/>
          <w:marTop w:val="0"/>
          <w:marBottom w:val="0"/>
          <w:divBdr>
            <w:top w:val="none" w:sz="0" w:space="0" w:color="auto"/>
            <w:left w:val="single" w:sz="18" w:space="5" w:color="FFFFFF"/>
            <w:bottom w:val="none" w:sz="0" w:space="0" w:color="auto"/>
            <w:right w:val="single" w:sz="18" w:space="5" w:color="FFFFFF"/>
          </w:divBdr>
          <w:divsChild>
            <w:div w:id="421996876">
              <w:marLeft w:val="300"/>
              <w:marRight w:val="225"/>
              <w:marTop w:val="0"/>
              <w:marBottom w:val="0"/>
              <w:divBdr>
                <w:top w:val="none" w:sz="0" w:space="0" w:color="auto"/>
                <w:left w:val="none" w:sz="0" w:space="0" w:color="auto"/>
                <w:bottom w:val="none" w:sz="0" w:space="0" w:color="auto"/>
                <w:right w:val="none" w:sz="0" w:space="0" w:color="auto"/>
              </w:divBdr>
              <w:divsChild>
                <w:div w:id="2023505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92531196">
      <w:bodyDiv w:val="1"/>
      <w:marLeft w:val="0"/>
      <w:marRight w:val="0"/>
      <w:marTop w:val="0"/>
      <w:marBottom w:val="0"/>
      <w:divBdr>
        <w:top w:val="none" w:sz="0" w:space="0" w:color="auto"/>
        <w:left w:val="none" w:sz="0" w:space="0" w:color="auto"/>
        <w:bottom w:val="none" w:sz="0" w:space="0" w:color="auto"/>
        <w:right w:val="none" w:sz="0" w:space="0" w:color="auto"/>
      </w:divBdr>
    </w:div>
    <w:div w:id="514659741">
      <w:bodyDiv w:val="1"/>
      <w:marLeft w:val="0"/>
      <w:marRight w:val="0"/>
      <w:marTop w:val="0"/>
      <w:marBottom w:val="0"/>
      <w:divBdr>
        <w:top w:val="none" w:sz="0" w:space="0" w:color="auto"/>
        <w:left w:val="none" w:sz="0" w:space="0" w:color="auto"/>
        <w:bottom w:val="none" w:sz="0" w:space="0" w:color="auto"/>
        <w:right w:val="none" w:sz="0" w:space="0" w:color="auto"/>
      </w:divBdr>
    </w:div>
    <w:div w:id="517238140">
      <w:bodyDiv w:val="1"/>
      <w:marLeft w:val="0"/>
      <w:marRight w:val="0"/>
      <w:marTop w:val="0"/>
      <w:marBottom w:val="0"/>
      <w:divBdr>
        <w:top w:val="none" w:sz="0" w:space="0" w:color="auto"/>
        <w:left w:val="none" w:sz="0" w:space="0" w:color="auto"/>
        <w:bottom w:val="none" w:sz="0" w:space="0" w:color="auto"/>
        <w:right w:val="none" w:sz="0" w:space="0" w:color="auto"/>
      </w:divBdr>
    </w:div>
    <w:div w:id="534851147">
      <w:bodyDiv w:val="1"/>
      <w:marLeft w:val="0"/>
      <w:marRight w:val="0"/>
      <w:marTop w:val="0"/>
      <w:marBottom w:val="0"/>
      <w:divBdr>
        <w:top w:val="none" w:sz="0" w:space="0" w:color="auto"/>
        <w:left w:val="none" w:sz="0" w:space="0" w:color="auto"/>
        <w:bottom w:val="none" w:sz="0" w:space="0" w:color="auto"/>
        <w:right w:val="none" w:sz="0" w:space="0" w:color="auto"/>
      </w:divBdr>
    </w:div>
    <w:div w:id="549389058">
      <w:bodyDiv w:val="1"/>
      <w:marLeft w:val="0"/>
      <w:marRight w:val="0"/>
      <w:marTop w:val="0"/>
      <w:marBottom w:val="0"/>
      <w:divBdr>
        <w:top w:val="none" w:sz="0" w:space="0" w:color="auto"/>
        <w:left w:val="none" w:sz="0" w:space="0" w:color="auto"/>
        <w:bottom w:val="none" w:sz="0" w:space="0" w:color="auto"/>
        <w:right w:val="none" w:sz="0" w:space="0" w:color="auto"/>
      </w:divBdr>
    </w:div>
    <w:div w:id="551969007">
      <w:bodyDiv w:val="1"/>
      <w:marLeft w:val="0"/>
      <w:marRight w:val="0"/>
      <w:marTop w:val="0"/>
      <w:marBottom w:val="0"/>
      <w:divBdr>
        <w:top w:val="none" w:sz="0" w:space="0" w:color="auto"/>
        <w:left w:val="none" w:sz="0" w:space="0" w:color="auto"/>
        <w:bottom w:val="none" w:sz="0" w:space="0" w:color="auto"/>
        <w:right w:val="none" w:sz="0" w:space="0" w:color="auto"/>
      </w:divBdr>
    </w:div>
    <w:div w:id="556210084">
      <w:bodyDiv w:val="1"/>
      <w:marLeft w:val="0"/>
      <w:marRight w:val="0"/>
      <w:marTop w:val="0"/>
      <w:marBottom w:val="0"/>
      <w:divBdr>
        <w:top w:val="none" w:sz="0" w:space="0" w:color="auto"/>
        <w:left w:val="none" w:sz="0" w:space="0" w:color="auto"/>
        <w:bottom w:val="none" w:sz="0" w:space="0" w:color="auto"/>
        <w:right w:val="none" w:sz="0" w:space="0" w:color="auto"/>
      </w:divBdr>
    </w:div>
    <w:div w:id="580212366">
      <w:bodyDiv w:val="1"/>
      <w:marLeft w:val="0"/>
      <w:marRight w:val="0"/>
      <w:marTop w:val="0"/>
      <w:marBottom w:val="0"/>
      <w:divBdr>
        <w:top w:val="none" w:sz="0" w:space="0" w:color="auto"/>
        <w:left w:val="none" w:sz="0" w:space="0" w:color="auto"/>
        <w:bottom w:val="none" w:sz="0" w:space="0" w:color="auto"/>
        <w:right w:val="none" w:sz="0" w:space="0" w:color="auto"/>
      </w:divBdr>
    </w:div>
    <w:div w:id="586693723">
      <w:bodyDiv w:val="1"/>
      <w:marLeft w:val="0"/>
      <w:marRight w:val="0"/>
      <w:marTop w:val="0"/>
      <w:marBottom w:val="0"/>
      <w:divBdr>
        <w:top w:val="none" w:sz="0" w:space="0" w:color="auto"/>
        <w:left w:val="none" w:sz="0" w:space="0" w:color="auto"/>
        <w:bottom w:val="none" w:sz="0" w:space="0" w:color="auto"/>
        <w:right w:val="none" w:sz="0" w:space="0" w:color="auto"/>
      </w:divBdr>
    </w:div>
    <w:div w:id="600182265">
      <w:bodyDiv w:val="1"/>
      <w:marLeft w:val="0"/>
      <w:marRight w:val="0"/>
      <w:marTop w:val="0"/>
      <w:marBottom w:val="0"/>
      <w:divBdr>
        <w:top w:val="none" w:sz="0" w:space="0" w:color="auto"/>
        <w:left w:val="none" w:sz="0" w:space="0" w:color="auto"/>
        <w:bottom w:val="none" w:sz="0" w:space="0" w:color="auto"/>
        <w:right w:val="none" w:sz="0" w:space="0" w:color="auto"/>
      </w:divBdr>
    </w:div>
    <w:div w:id="626664770">
      <w:bodyDiv w:val="1"/>
      <w:marLeft w:val="0"/>
      <w:marRight w:val="0"/>
      <w:marTop w:val="0"/>
      <w:marBottom w:val="0"/>
      <w:divBdr>
        <w:top w:val="none" w:sz="0" w:space="0" w:color="auto"/>
        <w:left w:val="none" w:sz="0" w:space="0" w:color="auto"/>
        <w:bottom w:val="none" w:sz="0" w:space="0" w:color="auto"/>
        <w:right w:val="none" w:sz="0" w:space="0" w:color="auto"/>
      </w:divBdr>
      <w:divsChild>
        <w:div w:id="1095246364">
          <w:marLeft w:val="0"/>
          <w:marRight w:val="0"/>
          <w:marTop w:val="100"/>
          <w:marBottom w:val="100"/>
          <w:divBdr>
            <w:top w:val="none" w:sz="0" w:space="0" w:color="auto"/>
            <w:left w:val="none" w:sz="0" w:space="0" w:color="auto"/>
            <w:bottom w:val="none" w:sz="0" w:space="0" w:color="auto"/>
            <w:right w:val="none" w:sz="0" w:space="0" w:color="auto"/>
          </w:divBdr>
          <w:divsChild>
            <w:div w:id="1331525942">
              <w:marLeft w:val="0"/>
              <w:marRight w:val="0"/>
              <w:marTop w:val="0"/>
              <w:marBottom w:val="0"/>
              <w:divBdr>
                <w:top w:val="none" w:sz="0" w:space="0" w:color="auto"/>
                <w:left w:val="none" w:sz="0" w:space="0" w:color="auto"/>
                <w:bottom w:val="none" w:sz="0" w:space="0" w:color="auto"/>
                <w:right w:val="none" w:sz="0" w:space="0" w:color="auto"/>
              </w:divBdr>
              <w:divsChild>
                <w:div w:id="1411656912">
                  <w:marLeft w:val="0"/>
                  <w:marRight w:val="0"/>
                  <w:marTop w:val="0"/>
                  <w:marBottom w:val="0"/>
                  <w:divBdr>
                    <w:top w:val="none" w:sz="0" w:space="0" w:color="auto"/>
                    <w:left w:val="none" w:sz="0" w:space="0" w:color="auto"/>
                    <w:bottom w:val="none" w:sz="0" w:space="0" w:color="auto"/>
                    <w:right w:val="none" w:sz="0" w:space="0" w:color="auto"/>
                  </w:divBdr>
                  <w:divsChild>
                    <w:div w:id="1051421269">
                      <w:marLeft w:val="0"/>
                      <w:marRight w:val="0"/>
                      <w:marTop w:val="0"/>
                      <w:marBottom w:val="0"/>
                      <w:divBdr>
                        <w:top w:val="none" w:sz="0" w:space="0" w:color="auto"/>
                        <w:left w:val="none" w:sz="0" w:space="0" w:color="auto"/>
                        <w:bottom w:val="none" w:sz="0" w:space="0" w:color="auto"/>
                        <w:right w:val="none" w:sz="0" w:space="0" w:color="auto"/>
                      </w:divBdr>
                      <w:divsChild>
                        <w:div w:id="1211575698">
                          <w:marLeft w:val="0"/>
                          <w:marRight w:val="0"/>
                          <w:marTop w:val="0"/>
                          <w:marBottom w:val="0"/>
                          <w:divBdr>
                            <w:top w:val="none" w:sz="0" w:space="0" w:color="auto"/>
                            <w:left w:val="none" w:sz="0" w:space="0" w:color="auto"/>
                            <w:bottom w:val="none" w:sz="0" w:space="0" w:color="auto"/>
                            <w:right w:val="none" w:sz="0" w:space="0" w:color="auto"/>
                          </w:divBdr>
                          <w:divsChild>
                            <w:div w:id="57873428">
                              <w:marLeft w:val="0"/>
                              <w:marRight w:val="0"/>
                              <w:marTop w:val="0"/>
                              <w:marBottom w:val="0"/>
                              <w:divBdr>
                                <w:top w:val="none" w:sz="0" w:space="0" w:color="auto"/>
                                <w:left w:val="none" w:sz="0" w:space="0" w:color="auto"/>
                                <w:bottom w:val="none" w:sz="0" w:space="0" w:color="auto"/>
                                <w:right w:val="none" w:sz="0" w:space="0" w:color="auto"/>
                              </w:divBdr>
                              <w:divsChild>
                                <w:div w:id="172767443">
                                  <w:marLeft w:val="0"/>
                                  <w:marRight w:val="0"/>
                                  <w:marTop w:val="0"/>
                                  <w:marBottom w:val="0"/>
                                  <w:divBdr>
                                    <w:top w:val="none" w:sz="0" w:space="0" w:color="auto"/>
                                    <w:left w:val="none" w:sz="0" w:space="0" w:color="auto"/>
                                    <w:bottom w:val="none" w:sz="0" w:space="0" w:color="auto"/>
                                    <w:right w:val="none" w:sz="0" w:space="0" w:color="auto"/>
                                  </w:divBdr>
                                  <w:divsChild>
                                    <w:div w:id="1426346901">
                                      <w:marLeft w:val="0"/>
                                      <w:marRight w:val="0"/>
                                      <w:marTop w:val="0"/>
                                      <w:marBottom w:val="150"/>
                                      <w:divBdr>
                                        <w:top w:val="none" w:sz="0" w:space="0" w:color="auto"/>
                                        <w:left w:val="none" w:sz="0" w:space="0" w:color="auto"/>
                                        <w:bottom w:val="none" w:sz="0" w:space="0" w:color="auto"/>
                                        <w:right w:val="none" w:sz="0" w:space="0" w:color="auto"/>
                                      </w:divBdr>
                                      <w:divsChild>
                                        <w:div w:id="9919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003350">
      <w:bodyDiv w:val="1"/>
      <w:marLeft w:val="0"/>
      <w:marRight w:val="0"/>
      <w:marTop w:val="0"/>
      <w:marBottom w:val="0"/>
      <w:divBdr>
        <w:top w:val="none" w:sz="0" w:space="0" w:color="auto"/>
        <w:left w:val="none" w:sz="0" w:space="0" w:color="auto"/>
        <w:bottom w:val="none" w:sz="0" w:space="0" w:color="auto"/>
        <w:right w:val="none" w:sz="0" w:space="0" w:color="auto"/>
      </w:divBdr>
    </w:div>
    <w:div w:id="658658540">
      <w:bodyDiv w:val="1"/>
      <w:marLeft w:val="0"/>
      <w:marRight w:val="0"/>
      <w:marTop w:val="0"/>
      <w:marBottom w:val="0"/>
      <w:divBdr>
        <w:top w:val="none" w:sz="0" w:space="0" w:color="auto"/>
        <w:left w:val="none" w:sz="0" w:space="0" w:color="auto"/>
        <w:bottom w:val="none" w:sz="0" w:space="0" w:color="auto"/>
        <w:right w:val="none" w:sz="0" w:space="0" w:color="auto"/>
      </w:divBdr>
      <w:divsChild>
        <w:div w:id="2013530153">
          <w:marLeft w:val="0"/>
          <w:marRight w:val="0"/>
          <w:marTop w:val="0"/>
          <w:marBottom w:val="0"/>
          <w:divBdr>
            <w:top w:val="none" w:sz="0" w:space="0" w:color="auto"/>
            <w:left w:val="single" w:sz="18" w:space="4" w:color="FFFFFF"/>
            <w:bottom w:val="none" w:sz="0" w:space="0" w:color="auto"/>
            <w:right w:val="single" w:sz="18" w:space="4" w:color="FFFFFF"/>
          </w:divBdr>
          <w:divsChild>
            <w:div w:id="1929846002">
              <w:marLeft w:val="272"/>
              <w:marRight w:val="204"/>
              <w:marTop w:val="0"/>
              <w:marBottom w:val="0"/>
              <w:divBdr>
                <w:top w:val="none" w:sz="0" w:space="0" w:color="auto"/>
                <w:left w:val="none" w:sz="0" w:space="0" w:color="auto"/>
                <w:bottom w:val="none" w:sz="0" w:space="0" w:color="auto"/>
                <w:right w:val="none" w:sz="0" w:space="0" w:color="auto"/>
              </w:divBdr>
              <w:divsChild>
                <w:div w:id="1078018069">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 w:id="662003552">
      <w:bodyDiv w:val="1"/>
      <w:marLeft w:val="0"/>
      <w:marRight w:val="0"/>
      <w:marTop w:val="0"/>
      <w:marBottom w:val="0"/>
      <w:divBdr>
        <w:top w:val="none" w:sz="0" w:space="0" w:color="auto"/>
        <w:left w:val="none" w:sz="0" w:space="0" w:color="auto"/>
        <w:bottom w:val="none" w:sz="0" w:space="0" w:color="auto"/>
        <w:right w:val="none" w:sz="0" w:space="0" w:color="auto"/>
      </w:divBdr>
    </w:div>
    <w:div w:id="669603975">
      <w:bodyDiv w:val="1"/>
      <w:marLeft w:val="0"/>
      <w:marRight w:val="0"/>
      <w:marTop w:val="0"/>
      <w:marBottom w:val="0"/>
      <w:divBdr>
        <w:top w:val="none" w:sz="0" w:space="0" w:color="auto"/>
        <w:left w:val="none" w:sz="0" w:space="0" w:color="auto"/>
        <w:bottom w:val="none" w:sz="0" w:space="0" w:color="auto"/>
        <w:right w:val="none" w:sz="0" w:space="0" w:color="auto"/>
      </w:divBdr>
    </w:div>
    <w:div w:id="686518920">
      <w:bodyDiv w:val="1"/>
      <w:marLeft w:val="0"/>
      <w:marRight w:val="0"/>
      <w:marTop w:val="0"/>
      <w:marBottom w:val="0"/>
      <w:divBdr>
        <w:top w:val="none" w:sz="0" w:space="0" w:color="auto"/>
        <w:left w:val="none" w:sz="0" w:space="0" w:color="auto"/>
        <w:bottom w:val="none" w:sz="0" w:space="0" w:color="auto"/>
        <w:right w:val="none" w:sz="0" w:space="0" w:color="auto"/>
      </w:divBdr>
    </w:div>
    <w:div w:id="690302687">
      <w:bodyDiv w:val="1"/>
      <w:marLeft w:val="0"/>
      <w:marRight w:val="0"/>
      <w:marTop w:val="0"/>
      <w:marBottom w:val="0"/>
      <w:divBdr>
        <w:top w:val="none" w:sz="0" w:space="0" w:color="auto"/>
        <w:left w:val="none" w:sz="0" w:space="0" w:color="auto"/>
        <w:bottom w:val="none" w:sz="0" w:space="0" w:color="auto"/>
        <w:right w:val="none" w:sz="0" w:space="0" w:color="auto"/>
      </w:divBdr>
    </w:div>
    <w:div w:id="715198138">
      <w:bodyDiv w:val="1"/>
      <w:marLeft w:val="0"/>
      <w:marRight w:val="0"/>
      <w:marTop w:val="0"/>
      <w:marBottom w:val="0"/>
      <w:divBdr>
        <w:top w:val="none" w:sz="0" w:space="0" w:color="auto"/>
        <w:left w:val="none" w:sz="0" w:space="0" w:color="auto"/>
        <w:bottom w:val="none" w:sz="0" w:space="0" w:color="auto"/>
        <w:right w:val="none" w:sz="0" w:space="0" w:color="auto"/>
      </w:divBdr>
    </w:div>
    <w:div w:id="737362041">
      <w:bodyDiv w:val="1"/>
      <w:marLeft w:val="0"/>
      <w:marRight w:val="0"/>
      <w:marTop w:val="0"/>
      <w:marBottom w:val="0"/>
      <w:divBdr>
        <w:top w:val="none" w:sz="0" w:space="0" w:color="auto"/>
        <w:left w:val="none" w:sz="0" w:space="0" w:color="auto"/>
        <w:bottom w:val="none" w:sz="0" w:space="0" w:color="auto"/>
        <w:right w:val="none" w:sz="0" w:space="0" w:color="auto"/>
      </w:divBdr>
    </w:div>
    <w:div w:id="761224232">
      <w:bodyDiv w:val="1"/>
      <w:marLeft w:val="0"/>
      <w:marRight w:val="0"/>
      <w:marTop w:val="0"/>
      <w:marBottom w:val="0"/>
      <w:divBdr>
        <w:top w:val="none" w:sz="0" w:space="0" w:color="auto"/>
        <w:left w:val="none" w:sz="0" w:space="0" w:color="auto"/>
        <w:bottom w:val="none" w:sz="0" w:space="0" w:color="auto"/>
        <w:right w:val="none" w:sz="0" w:space="0" w:color="auto"/>
      </w:divBdr>
    </w:div>
    <w:div w:id="793134891">
      <w:bodyDiv w:val="1"/>
      <w:marLeft w:val="0"/>
      <w:marRight w:val="0"/>
      <w:marTop w:val="0"/>
      <w:marBottom w:val="0"/>
      <w:divBdr>
        <w:top w:val="none" w:sz="0" w:space="0" w:color="auto"/>
        <w:left w:val="none" w:sz="0" w:space="0" w:color="auto"/>
        <w:bottom w:val="none" w:sz="0" w:space="0" w:color="auto"/>
        <w:right w:val="none" w:sz="0" w:space="0" w:color="auto"/>
      </w:divBdr>
    </w:div>
    <w:div w:id="815997737">
      <w:bodyDiv w:val="1"/>
      <w:marLeft w:val="0"/>
      <w:marRight w:val="0"/>
      <w:marTop w:val="0"/>
      <w:marBottom w:val="0"/>
      <w:divBdr>
        <w:top w:val="none" w:sz="0" w:space="0" w:color="auto"/>
        <w:left w:val="none" w:sz="0" w:space="0" w:color="auto"/>
        <w:bottom w:val="none" w:sz="0" w:space="0" w:color="auto"/>
        <w:right w:val="none" w:sz="0" w:space="0" w:color="auto"/>
      </w:divBdr>
      <w:divsChild>
        <w:div w:id="802389923">
          <w:marLeft w:val="408"/>
          <w:marRight w:val="408"/>
          <w:marTop w:val="0"/>
          <w:marBottom w:val="136"/>
          <w:divBdr>
            <w:top w:val="single" w:sz="6" w:space="7" w:color="112449"/>
            <w:left w:val="single" w:sz="6" w:space="7" w:color="112449"/>
            <w:bottom w:val="single" w:sz="6" w:space="7" w:color="112449"/>
            <w:right w:val="single" w:sz="6" w:space="7" w:color="112449"/>
          </w:divBdr>
        </w:div>
      </w:divsChild>
    </w:div>
    <w:div w:id="821313099">
      <w:bodyDiv w:val="1"/>
      <w:marLeft w:val="0"/>
      <w:marRight w:val="0"/>
      <w:marTop w:val="0"/>
      <w:marBottom w:val="0"/>
      <w:divBdr>
        <w:top w:val="none" w:sz="0" w:space="0" w:color="auto"/>
        <w:left w:val="none" w:sz="0" w:space="0" w:color="auto"/>
        <w:bottom w:val="none" w:sz="0" w:space="0" w:color="auto"/>
        <w:right w:val="none" w:sz="0" w:space="0" w:color="auto"/>
      </w:divBdr>
    </w:div>
    <w:div w:id="832991179">
      <w:bodyDiv w:val="1"/>
      <w:marLeft w:val="0"/>
      <w:marRight w:val="0"/>
      <w:marTop w:val="0"/>
      <w:marBottom w:val="0"/>
      <w:divBdr>
        <w:top w:val="none" w:sz="0" w:space="0" w:color="auto"/>
        <w:left w:val="none" w:sz="0" w:space="0" w:color="auto"/>
        <w:bottom w:val="none" w:sz="0" w:space="0" w:color="auto"/>
        <w:right w:val="none" w:sz="0" w:space="0" w:color="auto"/>
      </w:divBdr>
    </w:div>
    <w:div w:id="849559959">
      <w:bodyDiv w:val="1"/>
      <w:marLeft w:val="0"/>
      <w:marRight w:val="0"/>
      <w:marTop w:val="0"/>
      <w:marBottom w:val="0"/>
      <w:divBdr>
        <w:top w:val="none" w:sz="0" w:space="0" w:color="auto"/>
        <w:left w:val="none" w:sz="0" w:space="0" w:color="auto"/>
        <w:bottom w:val="none" w:sz="0" w:space="0" w:color="auto"/>
        <w:right w:val="none" w:sz="0" w:space="0" w:color="auto"/>
      </w:divBdr>
    </w:div>
    <w:div w:id="851727774">
      <w:bodyDiv w:val="1"/>
      <w:marLeft w:val="0"/>
      <w:marRight w:val="0"/>
      <w:marTop w:val="0"/>
      <w:marBottom w:val="0"/>
      <w:divBdr>
        <w:top w:val="none" w:sz="0" w:space="0" w:color="auto"/>
        <w:left w:val="none" w:sz="0" w:space="0" w:color="auto"/>
        <w:bottom w:val="none" w:sz="0" w:space="0" w:color="auto"/>
        <w:right w:val="none" w:sz="0" w:space="0" w:color="auto"/>
      </w:divBdr>
    </w:div>
    <w:div w:id="855729606">
      <w:bodyDiv w:val="1"/>
      <w:marLeft w:val="0"/>
      <w:marRight w:val="0"/>
      <w:marTop w:val="0"/>
      <w:marBottom w:val="0"/>
      <w:divBdr>
        <w:top w:val="none" w:sz="0" w:space="0" w:color="auto"/>
        <w:left w:val="none" w:sz="0" w:space="0" w:color="auto"/>
        <w:bottom w:val="none" w:sz="0" w:space="0" w:color="auto"/>
        <w:right w:val="none" w:sz="0" w:space="0" w:color="auto"/>
      </w:divBdr>
    </w:div>
    <w:div w:id="862354310">
      <w:bodyDiv w:val="1"/>
      <w:marLeft w:val="0"/>
      <w:marRight w:val="0"/>
      <w:marTop w:val="0"/>
      <w:marBottom w:val="0"/>
      <w:divBdr>
        <w:top w:val="none" w:sz="0" w:space="0" w:color="auto"/>
        <w:left w:val="none" w:sz="0" w:space="0" w:color="auto"/>
        <w:bottom w:val="none" w:sz="0" w:space="0" w:color="auto"/>
        <w:right w:val="none" w:sz="0" w:space="0" w:color="auto"/>
      </w:divBdr>
      <w:divsChild>
        <w:div w:id="386615339">
          <w:marLeft w:val="0"/>
          <w:marRight w:val="0"/>
          <w:marTop w:val="100"/>
          <w:marBottom w:val="100"/>
          <w:divBdr>
            <w:top w:val="none" w:sz="0" w:space="0" w:color="auto"/>
            <w:left w:val="none" w:sz="0" w:space="0" w:color="auto"/>
            <w:bottom w:val="none" w:sz="0" w:space="0" w:color="auto"/>
            <w:right w:val="none" w:sz="0" w:space="0" w:color="auto"/>
          </w:divBdr>
          <w:divsChild>
            <w:div w:id="95756594">
              <w:marLeft w:val="0"/>
              <w:marRight w:val="0"/>
              <w:marTop w:val="0"/>
              <w:marBottom w:val="0"/>
              <w:divBdr>
                <w:top w:val="none" w:sz="0" w:space="0" w:color="auto"/>
                <w:left w:val="none" w:sz="0" w:space="0" w:color="auto"/>
                <w:bottom w:val="none" w:sz="0" w:space="0" w:color="auto"/>
                <w:right w:val="none" w:sz="0" w:space="0" w:color="auto"/>
              </w:divBdr>
              <w:divsChild>
                <w:div w:id="315961411">
                  <w:marLeft w:val="0"/>
                  <w:marRight w:val="0"/>
                  <w:marTop w:val="0"/>
                  <w:marBottom w:val="0"/>
                  <w:divBdr>
                    <w:top w:val="none" w:sz="0" w:space="0" w:color="auto"/>
                    <w:left w:val="none" w:sz="0" w:space="0" w:color="auto"/>
                    <w:bottom w:val="none" w:sz="0" w:space="0" w:color="auto"/>
                    <w:right w:val="none" w:sz="0" w:space="0" w:color="auto"/>
                  </w:divBdr>
                  <w:divsChild>
                    <w:div w:id="891379225">
                      <w:marLeft w:val="0"/>
                      <w:marRight w:val="0"/>
                      <w:marTop w:val="0"/>
                      <w:marBottom w:val="0"/>
                      <w:divBdr>
                        <w:top w:val="none" w:sz="0" w:space="0" w:color="auto"/>
                        <w:left w:val="none" w:sz="0" w:space="0" w:color="auto"/>
                        <w:bottom w:val="none" w:sz="0" w:space="0" w:color="auto"/>
                        <w:right w:val="none" w:sz="0" w:space="0" w:color="auto"/>
                      </w:divBdr>
                      <w:divsChild>
                        <w:div w:id="1082530786">
                          <w:marLeft w:val="0"/>
                          <w:marRight w:val="0"/>
                          <w:marTop w:val="0"/>
                          <w:marBottom w:val="0"/>
                          <w:divBdr>
                            <w:top w:val="none" w:sz="0" w:space="0" w:color="auto"/>
                            <w:left w:val="none" w:sz="0" w:space="0" w:color="auto"/>
                            <w:bottom w:val="none" w:sz="0" w:space="0" w:color="auto"/>
                            <w:right w:val="none" w:sz="0" w:space="0" w:color="auto"/>
                          </w:divBdr>
                          <w:divsChild>
                            <w:div w:id="1664435693">
                              <w:marLeft w:val="0"/>
                              <w:marRight w:val="0"/>
                              <w:marTop w:val="0"/>
                              <w:marBottom w:val="0"/>
                              <w:divBdr>
                                <w:top w:val="none" w:sz="0" w:space="0" w:color="auto"/>
                                <w:left w:val="none" w:sz="0" w:space="0" w:color="auto"/>
                                <w:bottom w:val="none" w:sz="0" w:space="0" w:color="auto"/>
                                <w:right w:val="none" w:sz="0" w:space="0" w:color="auto"/>
                              </w:divBdr>
                              <w:divsChild>
                                <w:div w:id="78330810">
                                  <w:marLeft w:val="0"/>
                                  <w:marRight w:val="0"/>
                                  <w:marTop w:val="0"/>
                                  <w:marBottom w:val="0"/>
                                  <w:divBdr>
                                    <w:top w:val="none" w:sz="0" w:space="0" w:color="auto"/>
                                    <w:left w:val="none" w:sz="0" w:space="0" w:color="auto"/>
                                    <w:bottom w:val="none" w:sz="0" w:space="0" w:color="auto"/>
                                    <w:right w:val="none" w:sz="0" w:space="0" w:color="auto"/>
                                  </w:divBdr>
                                </w:div>
                                <w:div w:id="223567357">
                                  <w:marLeft w:val="0"/>
                                  <w:marRight w:val="0"/>
                                  <w:marTop w:val="0"/>
                                  <w:marBottom w:val="0"/>
                                  <w:divBdr>
                                    <w:top w:val="none" w:sz="0" w:space="0" w:color="auto"/>
                                    <w:left w:val="none" w:sz="0" w:space="0" w:color="auto"/>
                                    <w:bottom w:val="none" w:sz="0" w:space="0" w:color="auto"/>
                                    <w:right w:val="none" w:sz="0" w:space="0" w:color="auto"/>
                                  </w:divBdr>
                                  <w:divsChild>
                                    <w:div w:id="1707606980">
                                      <w:marLeft w:val="0"/>
                                      <w:marRight w:val="0"/>
                                      <w:marTop w:val="0"/>
                                      <w:marBottom w:val="150"/>
                                      <w:divBdr>
                                        <w:top w:val="none" w:sz="0" w:space="0" w:color="auto"/>
                                        <w:left w:val="none" w:sz="0" w:space="0" w:color="auto"/>
                                        <w:bottom w:val="none" w:sz="0" w:space="0" w:color="auto"/>
                                        <w:right w:val="none" w:sz="0" w:space="0" w:color="auto"/>
                                      </w:divBdr>
                                      <w:divsChild>
                                        <w:div w:id="16679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642503">
                  <w:marLeft w:val="0"/>
                  <w:marRight w:val="675"/>
                  <w:marTop w:val="0"/>
                  <w:marBottom w:val="0"/>
                  <w:divBdr>
                    <w:top w:val="none" w:sz="0" w:space="0" w:color="auto"/>
                    <w:left w:val="none" w:sz="0" w:space="0" w:color="auto"/>
                    <w:bottom w:val="none" w:sz="0" w:space="0" w:color="auto"/>
                    <w:right w:val="none" w:sz="0" w:space="0" w:color="auto"/>
                  </w:divBdr>
                  <w:divsChild>
                    <w:div w:id="8302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56482">
      <w:bodyDiv w:val="1"/>
      <w:marLeft w:val="45"/>
      <w:marRight w:val="45"/>
      <w:marTop w:val="90"/>
      <w:marBottom w:val="90"/>
      <w:divBdr>
        <w:top w:val="none" w:sz="0" w:space="0" w:color="auto"/>
        <w:left w:val="none" w:sz="0" w:space="0" w:color="auto"/>
        <w:bottom w:val="none" w:sz="0" w:space="0" w:color="auto"/>
        <w:right w:val="none" w:sz="0" w:space="0" w:color="auto"/>
      </w:divBdr>
      <w:divsChild>
        <w:div w:id="1309087917">
          <w:marLeft w:val="0"/>
          <w:marRight w:val="0"/>
          <w:marTop w:val="0"/>
          <w:marBottom w:val="567"/>
          <w:divBdr>
            <w:top w:val="none" w:sz="0" w:space="0" w:color="auto"/>
            <w:left w:val="none" w:sz="0" w:space="0" w:color="auto"/>
            <w:bottom w:val="none" w:sz="0" w:space="0" w:color="auto"/>
            <w:right w:val="none" w:sz="0" w:space="0" w:color="auto"/>
          </w:divBdr>
        </w:div>
      </w:divsChild>
    </w:div>
    <w:div w:id="897471522">
      <w:bodyDiv w:val="1"/>
      <w:marLeft w:val="0"/>
      <w:marRight w:val="0"/>
      <w:marTop w:val="0"/>
      <w:marBottom w:val="0"/>
      <w:divBdr>
        <w:top w:val="none" w:sz="0" w:space="0" w:color="auto"/>
        <w:left w:val="none" w:sz="0" w:space="0" w:color="auto"/>
        <w:bottom w:val="none" w:sz="0" w:space="0" w:color="auto"/>
        <w:right w:val="none" w:sz="0" w:space="0" w:color="auto"/>
      </w:divBdr>
    </w:div>
    <w:div w:id="906960927">
      <w:bodyDiv w:val="1"/>
      <w:marLeft w:val="0"/>
      <w:marRight w:val="0"/>
      <w:marTop w:val="0"/>
      <w:marBottom w:val="0"/>
      <w:divBdr>
        <w:top w:val="none" w:sz="0" w:space="0" w:color="auto"/>
        <w:left w:val="none" w:sz="0" w:space="0" w:color="auto"/>
        <w:bottom w:val="none" w:sz="0" w:space="0" w:color="auto"/>
        <w:right w:val="none" w:sz="0" w:space="0" w:color="auto"/>
      </w:divBdr>
    </w:div>
    <w:div w:id="931011558">
      <w:bodyDiv w:val="1"/>
      <w:marLeft w:val="0"/>
      <w:marRight w:val="0"/>
      <w:marTop w:val="0"/>
      <w:marBottom w:val="0"/>
      <w:divBdr>
        <w:top w:val="none" w:sz="0" w:space="0" w:color="auto"/>
        <w:left w:val="none" w:sz="0" w:space="0" w:color="auto"/>
        <w:bottom w:val="none" w:sz="0" w:space="0" w:color="auto"/>
        <w:right w:val="none" w:sz="0" w:space="0" w:color="auto"/>
      </w:divBdr>
    </w:div>
    <w:div w:id="954629483">
      <w:bodyDiv w:val="1"/>
      <w:marLeft w:val="0"/>
      <w:marRight w:val="0"/>
      <w:marTop w:val="0"/>
      <w:marBottom w:val="0"/>
      <w:divBdr>
        <w:top w:val="none" w:sz="0" w:space="0" w:color="auto"/>
        <w:left w:val="none" w:sz="0" w:space="0" w:color="auto"/>
        <w:bottom w:val="none" w:sz="0" w:space="0" w:color="auto"/>
        <w:right w:val="none" w:sz="0" w:space="0" w:color="auto"/>
      </w:divBdr>
    </w:div>
    <w:div w:id="955984714">
      <w:bodyDiv w:val="1"/>
      <w:marLeft w:val="0"/>
      <w:marRight w:val="0"/>
      <w:marTop w:val="0"/>
      <w:marBottom w:val="0"/>
      <w:divBdr>
        <w:top w:val="none" w:sz="0" w:space="0" w:color="auto"/>
        <w:left w:val="none" w:sz="0" w:space="0" w:color="auto"/>
        <w:bottom w:val="none" w:sz="0" w:space="0" w:color="auto"/>
        <w:right w:val="none" w:sz="0" w:space="0" w:color="auto"/>
      </w:divBdr>
      <w:divsChild>
        <w:div w:id="1568607871">
          <w:marLeft w:val="0"/>
          <w:marRight w:val="0"/>
          <w:marTop w:val="0"/>
          <w:marBottom w:val="0"/>
          <w:divBdr>
            <w:top w:val="none" w:sz="0" w:space="0" w:color="auto"/>
            <w:left w:val="none" w:sz="0" w:space="0" w:color="auto"/>
            <w:bottom w:val="none" w:sz="0" w:space="0" w:color="auto"/>
            <w:right w:val="none" w:sz="0" w:space="0" w:color="auto"/>
          </w:divBdr>
          <w:divsChild>
            <w:div w:id="740951413">
              <w:marLeft w:val="0"/>
              <w:marRight w:val="0"/>
              <w:marTop w:val="0"/>
              <w:marBottom w:val="0"/>
              <w:divBdr>
                <w:top w:val="none" w:sz="0" w:space="0" w:color="auto"/>
                <w:left w:val="none" w:sz="0" w:space="0" w:color="auto"/>
                <w:bottom w:val="single" w:sz="6" w:space="4" w:color="B2B2B2"/>
                <w:right w:val="none" w:sz="0" w:space="0" w:color="auto"/>
              </w:divBdr>
              <w:divsChild>
                <w:div w:id="1355963663">
                  <w:marLeft w:val="0"/>
                  <w:marRight w:val="0"/>
                  <w:marTop w:val="0"/>
                  <w:marBottom w:val="0"/>
                  <w:divBdr>
                    <w:top w:val="none" w:sz="0" w:space="0" w:color="auto"/>
                    <w:left w:val="none" w:sz="0" w:space="0" w:color="auto"/>
                    <w:bottom w:val="none" w:sz="0" w:space="0" w:color="auto"/>
                    <w:right w:val="none" w:sz="0" w:space="0" w:color="auto"/>
                  </w:divBdr>
                  <w:divsChild>
                    <w:div w:id="651368772">
                      <w:marLeft w:val="0"/>
                      <w:marRight w:val="0"/>
                      <w:marTop w:val="0"/>
                      <w:marBottom w:val="0"/>
                      <w:divBdr>
                        <w:top w:val="none" w:sz="0" w:space="0" w:color="auto"/>
                        <w:left w:val="none" w:sz="0" w:space="0" w:color="auto"/>
                        <w:bottom w:val="none" w:sz="0" w:space="0" w:color="auto"/>
                        <w:right w:val="none" w:sz="0" w:space="0" w:color="auto"/>
                      </w:divBdr>
                      <w:divsChild>
                        <w:div w:id="1410032871">
                          <w:marLeft w:val="0"/>
                          <w:marRight w:val="0"/>
                          <w:marTop w:val="0"/>
                          <w:marBottom w:val="0"/>
                          <w:divBdr>
                            <w:top w:val="none" w:sz="0" w:space="0" w:color="auto"/>
                            <w:left w:val="none" w:sz="0" w:space="0" w:color="auto"/>
                            <w:bottom w:val="none" w:sz="0" w:space="0" w:color="auto"/>
                            <w:right w:val="none" w:sz="0" w:space="0" w:color="auto"/>
                          </w:divBdr>
                          <w:divsChild>
                            <w:div w:id="974607965">
                              <w:marLeft w:val="0"/>
                              <w:marRight w:val="0"/>
                              <w:marTop w:val="0"/>
                              <w:marBottom w:val="0"/>
                              <w:divBdr>
                                <w:top w:val="none" w:sz="0" w:space="0" w:color="auto"/>
                                <w:left w:val="none" w:sz="0" w:space="0" w:color="auto"/>
                                <w:bottom w:val="none" w:sz="0" w:space="0" w:color="auto"/>
                                <w:right w:val="none" w:sz="0" w:space="0" w:color="auto"/>
                              </w:divBdr>
                              <w:divsChild>
                                <w:div w:id="960234694">
                                  <w:marLeft w:val="0"/>
                                  <w:marRight w:val="0"/>
                                  <w:marTop w:val="0"/>
                                  <w:marBottom w:val="0"/>
                                  <w:divBdr>
                                    <w:top w:val="none" w:sz="0" w:space="0" w:color="auto"/>
                                    <w:left w:val="none" w:sz="0" w:space="0" w:color="auto"/>
                                    <w:bottom w:val="none" w:sz="0" w:space="0" w:color="auto"/>
                                    <w:right w:val="none" w:sz="0" w:space="0" w:color="auto"/>
                                  </w:divBdr>
                                  <w:divsChild>
                                    <w:div w:id="1438140339">
                                      <w:marLeft w:val="0"/>
                                      <w:marRight w:val="0"/>
                                      <w:marTop w:val="0"/>
                                      <w:marBottom w:val="0"/>
                                      <w:divBdr>
                                        <w:top w:val="none" w:sz="0" w:space="0" w:color="auto"/>
                                        <w:left w:val="none" w:sz="0" w:space="0" w:color="auto"/>
                                        <w:bottom w:val="none" w:sz="0" w:space="0" w:color="auto"/>
                                        <w:right w:val="none" w:sz="0" w:space="0" w:color="auto"/>
                                      </w:divBdr>
                                      <w:divsChild>
                                        <w:div w:id="456490108">
                                          <w:marLeft w:val="0"/>
                                          <w:marRight w:val="0"/>
                                          <w:marTop w:val="0"/>
                                          <w:marBottom w:val="0"/>
                                          <w:divBdr>
                                            <w:top w:val="none" w:sz="0" w:space="0" w:color="auto"/>
                                            <w:left w:val="none" w:sz="0" w:space="0" w:color="auto"/>
                                            <w:bottom w:val="none" w:sz="0" w:space="0" w:color="auto"/>
                                            <w:right w:val="none" w:sz="0" w:space="0" w:color="auto"/>
                                          </w:divBdr>
                                          <w:divsChild>
                                            <w:div w:id="1565919393">
                                              <w:marLeft w:val="3349"/>
                                              <w:marRight w:val="0"/>
                                              <w:marTop w:val="0"/>
                                              <w:marBottom w:val="0"/>
                                              <w:divBdr>
                                                <w:top w:val="none" w:sz="0" w:space="0" w:color="auto"/>
                                                <w:left w:val="none" w:sz="0" w:space="0" w:color="auto"/>
                                                <w:bottom w:val="none" w:sz="0" w:space="0" w:color="auto"/>
                                                <w:right w:val="none" w:sz="0" w:space="0" w:color="auto"/>
                                              </w:divBdr>
                                              <w:divsChild>
                                                <w:div w:id="1228297251">
                                                  <w:marLeft w:val="0"/>
                                                  <w:marRight w:val="0"/>
                                                  <w:marTop w:val="0"/>
                                                  <w:marBottom w:val="0"/>
                                                  <w:divBdr>
                                                    <w:top w:val="none" w:sz="0" w:space="0" w:color="auto"/>
                                                    <w:left w:val="none" w:sz="0" w:space="0" w:color="auto"/>
                                                    <w:bottom w:val="none" w:sz="0" w:space="0" w:color="auto"/>
                                                    <w:right w:val="none" w:sz="0" w:space="0" w:color="auto"/>
                                                  </w:divBdr>
                                                  <w:divsChild>
                                                    <w:div w:id="2145198428">
                                                      <w:marLeft w:val="0"/>
                                                      <w:marRight w:val="0"/>
                                                      <w:marTop w:val="0"/>
                                                      <w:marBottom w:val="0"/>
                                                      <w:divBdr>
                                                        <w:top w:val="none" w:sz="0" w:space="0" w:color="auto"/>
                                                        <w:left w:val="none" w:sz="0" w:space="0" w:color="auto"/>
                                                        <w:bottom w:val="none" w:sz="0" w:space="0" w:color="auto"/>
                                                        <w:right w:val="none" w:sz="0" w:space="0" w:color="auto"/>
                                                      </w:divBdr>
                                                      <w:divsChild>
                                                        <w:div w:id="1641421415">
                                                          <w:marLeft w:val="0"/>
                                                          <w:marRight w:val="0"/>
                                                          <w:marTop w:val="0"/>
                                                          <w:marBottom w:val="0"/>
                                                          <w:divBdr>
                                                            <w:top w:val="none" w:sz="0" w:space="0" w:color="auto"/>
                                                            <w:left w:val="none" w:sz="0" w:space="0" w:color="auto"/>
                                                            <w:bottom w:val="none" w:sz="0" w:space="0" w:color="auto"/>
                                                            <w:right w:val="none" w:sz="0" w:space="0" w:color="auto"/>
                                                          </w:divBdr>
                                                          <w:divsChild>
                                                            <w:div w:id="1658923013">
                                                              <w:marLeft w:val="0"/>
                                                              <w:marRight w:val="0"/>
                                                              <w:marTop w:val="0"/>
                                                              <w:marBottom w:val="0"/>
                                                              <w:divBdr>
                                                                <w:top w:val="none" w:sz="0" w:space="0" w:color="auto"/>
                                                                <w:left w:val="none" w:sz="0" w:space="0" w:color="auto"/>
                                                                <w:bottom w:val="none" w:sz="0" w:space="0" w:color="auto"/>
                                                                <w:right w:val="none" w:sz="0" w:space="0" w:color="auto"/>
                                                              </w:divBdr>
                                                              <w:divsChild>
                                                                <w:div w:id="1395739042">
                                                                  <w:marLeft w:val="0"/>
                                                                  <w:marRight w:val="0"/>
                                                                  <w:marTop w:val="0"/>
                                                                  <w:marBottom w:val="0"/>
                                                                  <w:divBdr>
                                                                    <w:top w:val="none" w:sz="0" w:space="0" w:color="auto"/>
                                                                    <w:left w:val="none" w:sz="0" w:space="0" w:color="auto"/>
                                                                    <w:bottom w:val="none" w:sz="0" w:space="0" w:color="auto"/>
                                                                    <w:right w:val="none" w:sz="0" w:space="0" w:color="auto"/>
                                                                  </w:divBdr>
                                                                  <w:divsChild>
                                                                    <w:div w:id="1817141183">
                                                                      <w:marLeft w:val="0"/>
                                                                      <w:marRight w:val="0"/>
                                                                      <w:marTop w:val="84"/>
                                                                      <w:marBottom w:val="0"/>
                                                                      <w:divBdr>
                                                                        <w:top w:val="none" w:sz="0" w:space="0" w:color="auto"/>
                                                                        <w:left w:val="none" w:sz="0" w:space="0" w:color="auto"/>
                                                                        <w:bottom w:val="none" w:sz="0" w:space="0" w:color="auto"/>
                                                                        <w:right w:val="none" w:sz="0" w:space="0" w:color="auto"/>
                                                                      </w:divBdr>
                                                                      <w:divsChild>
                                                                        <w:div w:id="1349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300010">
      <w:bodyDiv w:val="1"/>
      <w:marLeft w:val="0"/>
      <w:marRight w:val="0"/>
      <w:marTop w:val="0"/>
      <w:marBottom w:val="0"/>
      <w:divBdr>
        <w:top w:val="none" w:sz="0" w:space="0" w:color="auto"/>
        <w:left w:val="none" w:sz="0" w:space="0" w:color="auto"/>
        <w:bottom w:val="none" w:sz="0" w:space="0" w:color="auto"/>
        <w:right w:val="none" w:sz="0" w:space="0" w:color="auto"/>
      </w:divBdr>
      <w:divsChild>
        <w:div w:id="781531318">
          <w:marLeft w:val="0"/>
          <w:marRight w:val="0"/>
          <w:marTop w:val="100"/>
          <w:marBottom w:val="100"/>
          <w:divBdr>
            <w:top w:val="none" w:sz="0" w:space="0" w:color="auto"/>
            <w:left w:val="none" w:sz="0" w:space="0" w:color="auto"/>
            <w:bottom w:val="none" w:sz="0" w:space="0" w:color="auto"/>
            <w:right w:val="none" w:sz="0" w:space="0" w:color="auto"/>
          </w:divBdr>
          <w:divsChild>
            <w:div w:id="913781905">
              <w:marLeft w:val="0"/>
              <w:marRight w:val="0"/>
              <w:marTop w:val="0"/>
              <w:marBottom w:val="0"/>
              <w:divBdr>
                <w:top w:val="none" w:sz="0" w:space="0" w:color="auto"/>
                <w:left w:val="none" w:sz="0" w:space="0" w:color="auto"/>
                <w:bottom w:val="none" w:sz="0" w:space="0" w:color="auto"/>
                <w:right w:val="none" w:sz="0" w:space="0" w:color="auto"/>
              </w:divBdr>
              <w:divsChild>
                <w:div w:id="1079063614">
                  <w:marLeft w:val="0"/>
                  <w:marRight w:val="0"/>
                  <w:marTop w:val="0"/>
                  <w:marBottom w:val="0"/>
                  <w:divBdr>
                    <w:top w:val="none" w:sz="0" w:space="0" w:color="auto"/>
                    <w:left w:val="none" w:sz="0" w:space="0" w:color="auto"/>
                    <w:bottom w:val="none" w:sz="0" w:space="0" w:color="auto"/>
                    <w:right w:val="none" w:sz="0" w:space="0" w:color="auto"/>
                  </w:divBdr>
                  <w:divsChild>
                    <w:div w:id="1793211658">
                      <w:marLeft w:val="0"/>
                      <w:marRight w:val="0"/>
                      <w:marTop w:val="0"/>
                      <w:marBottom w:val="0"/>
                      <w:divBdr>
                        <w:top w:val="none" w:sz="0" w:space="0" w:color="auto"/>
                        <w:left w:val="none" w:sz="0" w:space="0" w:color="auto"/>
                        <w:bottom w:val="none" w:sz="0" w:space="0" w:color="auto"/>
                        <w:right w:val="none" w:sz="0" w:space="0" w:color="auto"/>
                      </w:divBdr>
                      <w:divsChild>
                        <w:div w:id="1583755627">
                          <w:marLeft w:val="0"/>
                          <w:marRight w:val="0"/>
                          <w:marTop w:val="0"/>
                          <w:marBottom w:val="0"/>
                          <w:divBdr>
                            <w:top w:val="none" w:sz="0" w:space="0" w:color="auto"/>
                            <w:left w:val="none" w:sz="0" w:space="0" w:color="auto"/>
                            <w:bottom w:val="none" w:sz="0" w:space="0" w:color="auto"/>
                            <w:right w:val="none" w:sz="0" w:space="0" w:color="auto"/>
                          </w:divBdr>
                          <w:divsChild>
                            <w:div w:id="1428233964">
                              <w:marLeft w:val="0"/>
                              <w:marRight w:val="0"/>
                              <w:marTop w:val="0"/>
                              <w:marBottom w:val="0"/>
                              <w:divBdr>
                                <w:top w:val="none" w:sz="0" w:space="0" w:color="auto"/>
                                <w:left w:val="none" w:sz="0" w:space="0" w:color="auto"/>
                                <w:bottom w:val="none" w:sz="0" w:space="0" w:color="auto"/>
                                <w:right w:val="none" w:sz="0" w:space="0" w:color="auto"/>
                              </w:divBdr>
                              <w:divsChild>
                                <w:div w:id="223374559">
                                  <w:marLeft w:val="0"/>
                                  <w:marRight w:val="0"/>
                                  <w:marTop w:val="0"/>
                                  <w:marBottom w:val="0"/>
                                  <w:divBdr>
                                    <w:top w:val="none" w:sz="0" w:space="0" w:color="auto"/>
                                    <w:left w:val="none" w:sz="0" w:space="0" w:color="auto"/>
                                    <w:bottom w:val="none" w:sz="0" w:space="0" w:color="auto"/>
                                    <w:right w:val="none" w:sz="0" w:space="0" w:color="auto"/>
                                  </w:divBdr>
                                </w:div>
                                <w:div w:id="653488158">
                                  <w:marLeft w:val="0"/>
                                  <w:marRight w:val="0"/>
                                  <w:marTop w:val="0"/>
                                  <w:marBottom w:val="0"/>
                                  <w:divBdr>
                                    <w:top w:val="none" w:sz="0" w:space="0" w:color="auto"/>
                                    <w:left w:val="none" w:sz="0" w:space="0" w:color="auto"/>
                                    <w:bottom w:val="none" w:sz="0" w:space="0" w:color="auto"/>
                                    <w:right w:val="none" w:sz="0" w:space="0" w:color="auto"/>
                                  </w:divBdr>
                                  <w:divsChild>
                                    <w:div w:id="948704805">
                                      <w:marLeft w:val="0"/>
                                      <w:marRight w:val="0"/>
                                      <w:marTop w:val="0"/>
                                      <w:marBottom w:val="150"/>
                                      <w:divBdr>
                                        <w:top w:val="none" w:sz="0" w:space="0" w:color="auto"/>
                                        <w:left w:val="none" w:sz="0" w:space="0" w:color="auto"/>
                                        <w:bottom w:val="none" w:sz="0" w:space="0" w:color="auto"/>
                                        <w:right w:val="none" w:sz="0" w:space="0" w:color="auto"/>
                                      </w:divBdr>
                                      <w:divsChild>
                                        <w:div w:id="634870355">
                                          <w:marLeft w:val="0"/>
                                          <w:marRight w:val="0"/>
                                          <w:marTop w:val="0"/>
                                          <w:marBottom w:val="0"/>
                                          <w:divBdr>
                                            <w:top w:val="none" w:sz="0" w:space="0" w:color="auto"/>
                                            <w:left w:val="none" w:sz="0" w:space="0" w:color="auto"/>
                                            <w:bottom w:val="none" w:sz="0" w:space="0" w:color="auto"/>
                                            <w:right w:val="none" w:sz="0" w:space="0" w:color="auto"/>
                                          </w:divBdr>
                                          <w:divsChild>
                                            <w:div w:id="14086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728715">
      <w:bodyDiv w:val="1"/>
      <w:marLeft w:val="0"/>
      <w:marRight w:val="0"/>
      <w:marTop w:val="0"/>
      <w:marBottom w:val="0"/>
      <w:divBdr>
        <w:top w:val="none" w:sz="0" w:space="0" w:color="auto"/>
        <w:left w:val="none" w:sz="0" w:space="0" w:color="auto"/>
        <w:bottom w:val="none" w:sz="0" w:space="0" w:color="auto"/>
        <w:right w:val="none" w:sz="0" w:space="0" w:color="auto"/>
      </w:divBdr>
    </w:div>
    <w:div w:id="965040952">
      <w:bodyDiv w:val="1"/>
      <w:marLeft w:val="0"/>
      <w:marRight w:val="0"/>
      <w:marTop w:val="0"/>
      <w:marBottom w:val="0"/>
      <w:divBdr>
        <w:top w:val="none" w:sz="0" w:space="0" w:color="auto"/>
        <w:left w:val="none" w:sz="0" w:space="0" w:color="auto"/>
        <w:bottom w:val="none" w:sz="0" w:space="0" w:color="auto"/>
        <w:right w:val="none" w:sz="0" w:space="0" w:color="auto"/>
      </w:divBdr>
    </w:div>
    <w:div w:id="966159047">
      <w:bodyDiv w:val="1"/>
      <w:marLeft w:val="0"/>
      <w:marRight w:val="0"/>
      <w:marTop w:val="0"/>
      <w:marBottom w:val="0"/>
      <w:divBdr>
        <w:top w:val="none" w:sz="0" w:space="0" w:color="auto"/>
        <w:left w:val="none" w:sz="0" w:space="0" w:color="auto"/>
        <w:bottom w:val="none" w:sz="0" w:space="0" w:color="auto"/>
        <w:right w:val="none" w:sz="0" w:space="0" w:color="auto"/>
      </w:divBdr>
    </w:div>
    <w:div w:id="983922881">
      <w:bodyDiv w:val="1"/>
      <w:marLeft w:val="0"/>
      <w:marRight w:val="0"/>
      <w:marTop w:val="0"/>
      <w:marBottom w:val="0"/>
      <w:divBdr>
        <w:top w:val="none" w:sz="0" w:space="0" w:color="auto"/>
        <w:left w:val="none" w:sz="0" w:space="0" w:color="auto"/>
        <w:bottom w:val="none" w:sz="0" w:space="0" w:color="auto"/>
        <w:right w:val="none" w:sz="0" w:space="0" w:color="auto"/>
      </w:divBdr>
      <w:divsChild>
        <w:div w:id="2019843700">
          <w:marLeft w:val="0"/>
          <w:marRight w:val="0"/>
          <w:marTop w:val="0"/>
          <w:marBottom w:val="0"/>
          <w:divBdr>
            <w:top w:val="none" w:sz="0" w:space="0" w:color="auto"/>
            <w:left w:val="none" w:sz="0" w:space="0" w:color="auto"/>
            <w:bottom w:val="none" w:sz="0" w:space="0" w:color="auto"/>
            <w:right w:val="none" w:sz="0" w:space="0" w:color="auto"/>
          </w:divBdr>
          <w:divsChild>
            <w:div w:id="262884494">
              <w:marLeft w:val="0"/>
              <w:marRight w:val="0"/>
              <w:marTop w:val="0"/>
              <w:marBottom w:val="0"/>
              <w:divBdr>
                <w:top w:val="none" w:sz="0" w:space="0" w:color="auto"/>
                <w:left w:val="none" w:sz="0" w:space="0" w:color="auto"/>
                <w:bottom w:val="none" w:sz="0" w:space="0" w:color="auto"/>
                <w:right w:val="none" w:sz="0" w:space="0" w:color="auto"/>
              </w:divBdr>
              <w:divsChild>
                <w:div w:id="20202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5757">
      <w:bodyDiv w:val="1"/>
      <w:marLeft w:val="0"/>
      <w:marRight w:val="0"/>
      <w:marTop w:val="0"/>
      <w:marBottom w:val="0"/>
      <w:divBdr>
        <w:top w:val="none" w:sz="0" w:space="0" w:color="auto"/>
        <w:left w:val="none" w:sz="0" w:space="0" w:color="auto"/>
        <w:bottom w:val="none" w:sz="0" w:space="0" w:color="auto"/>
        <w:right w:val="none" w:sz="0" w:space="0" w:color="auto"/>
      </w:divBdr>
    </w:div>
    <w:div w:id="1019281881">
      <w:bodyDiv w:val="1"/>
      <w:marLeft w:val="0"/>
      <w:marRight w:val="0"/>
      <w:marTop w:val="0"/>
      <w:marBottom w:val="0"/>
      <w:divBdr>
        <w:top w:val="none" w:sz="0" w:space="0" w:color="auto"/>
        <w:left w:val="none" w:sz="0" w:space="0" w:color="auto"/>
        <w:bottom w:val="none" w:sz="0" w:space="0" w:color="auto"/>
        <w:right w:val="none" w:sz="0" w:space="0" w:color="auto"/>
      </w:divBdr>
    </w:div>
    <w:div w:id="1031808945">
      <w:bodyDiv w:val="1"/>
      <w:marLeft w:val="0"/>
      <w:marRight w:val="0"/>
      <w:marTop w:val="0"/>
      <w:marBottom w:val="0"/>
      <w:divBdr>
        <w:top w:val="none" w:sz="0" w:space="0" w:color="auto"/>
        <w:left w:val="none" w:sz="0" w:space="0" w:color="auto"/>
        <w:bottom w:val="none" w:sz="0" w:space="0" w:color="auto"/>
        <w:right w:val="none" w:sz="0" w:space="0" w:color="auto"/>
      </w:divBdr>
    </w:div>
    <w:div w:id="1032343053">
      <w:bodyDiv w:val="1"/>
      <w:marLeft w:val="0"/>
      <w:marRight w:val="0"/>
      <w:marTop w:val="0"/>
      <w:marBottom w:val="0"/>
      <w:divBdr>
        <w:top w:val="none" w:sz="0" w:space="0" w:color="auto"/>
        <w:left w:val="none" w:sz="0" w:space="0" w:color="auto"/>
        <w:bottom w:val="none" w:sz="0" w:space="0" w:color="auto"/>
        <w:right w:val="none" w:sz="0" w:space="0" w:color="auto"/>
      </w:divBdr>
      <w:divsChild>
        <w:div w:id="2126195973">
          <w:marLeft w:val="0"/>
          <w:marRight w:val="0"/>
          <w:marTop w:val="0"/>
          <w:marBottom w:val="0"/>
          <w:divBdr>
            <w:top w:val="none" w:sz="0" w:space="0" w:color="auto"/>
            <w:left w:val="single" w:sz="18" w:space="5" w:color="FFFFFF"/>
            <w:bottom w:val="none" w:sz="0" w:space="0" w:color="auto"/>
            <w:right w:val="single" w:sz="18" w:space="5" w:color="FFFFFF"/>
          </w:divBdr>
          <w:divsChild>
            <w:div w:id="1695767622">
              <w:marLeft w:val="300"/>
              <w:marRight w:val="225"/>
              <w:marTop w:val="0"/>
              <w:marBottom w:val="0"/>
              <w:divBdr>
                <w:top w:val="none" w:sz="0" w:space="0" w:color="auto"/>
                <w:left w:val="none" w:sz="0" w:space="0" w:color="auto"/>
                <w:bottom w:val="none" w:sz="0" w:space="0" w:color="auto"/>
                <w:right w:val="none" w:sz="0" w:space="0" w:color="auto"/>
              </w:divBdr>
              <w:divsChild>
                <w:div w:id="714158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32802959">
      <w:bodyDiv w:val="1"/>
      <w:marLeft w:val="0"/>
      <w:marRight w:val="0"/>
      <w:marTop w:val="0"/>
      <w:marBottom w:val="0"/>
      <w:divBdr>
        <w:top w:val="none" w:sz="0" w:space="0" w:color="auto"/>
        <w:left w:val="none" w:sz="0" w:space="0" w:color="auto"/>
        <w:bottom w:val="none" w:sz="0" w:space="0" w:color="auto"/>
        <w:right w:val="none" w:sz="0" w:space="0" w:color="auto"/>
      </w:divBdr>
      <w:divsChild>
        <w:div w:id="1277639422">
          <w:marLeft w:val="0"/>
          <w:marRight w:val="0"/>
          <w:marTop w:val="0"/>
          <w:marBottom w:val="0"/>
          <w:divBdr>
            <w:top w:val="none" w:sz="0" w:space="0" w:color="auto"/>
            <w:left w:val="single" w:sz="18" w:space="5" w:color="FFFFFF"/>
            <w:bottom w:val="none" w:sz="0" w:space="0" w:color="auto"/>
            <w:right w:val="single" w:sz="18" w:space="5" w:color="FFFFFF"/>
          </w:divBdr>
          <w:divsChild>
            <w:div w:id="325675064">
              <w:marLeft w:val="300"/>
              <w:marRight w:val="225"/>
              <w:marTop w:val="0"/>
              <w:marBottom w:val="0"/>
              <w:divBdr>
                <w:top w:val="none" w:sz="0" w:space="0" w:color="auto"/>
                <w:left w:val="none" w:sz="0" w:space="0" w:color="auto"/>
                <w:bottom w:val="none" w:sz="0" w:space="0" w:color="auto"/>
                <w:right w:val="none" w:sz="0" w:space="0" w:color="auto"/>
              </w:divBdr>
              <w:divsChild>
                <w:div w:id="1825469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36277433">
      <w:bodyDiv w:val="1"/>
      <w:marLeft w:val="0"/>
      <w:marRight w:val="0"/>
      <w:marTop w:val="0"/>
      <w:marBottom w:val="0"/>
      <w:divBdr>
        <w:top w:val="none" w:sz="0" w:space="0" w:color="auto"/>
        <w:left w:val="none" w:sz="0" w:space="0" w:color="auto"/>
        <w:bottom w:val="none" w:sz="0" w:space="0" w:color="auto"/>
        <w:right w:val="none" w:sz="0" w:space="0" w:color="auto"/>
      </w:divBdr>
    </w:div>
    <w:div w:id="1052774246">
      <w:bodyDiv w:val="1"/>
      <w:marLeft w:val="0"/>
      <w:marRight w:val="0"/>
      <w:marTop w:val="0"/>
      <w:marBottom w:val="0"/>
      <w:divBdr>
        <w:top w:val="none" w:sz="0" w:space="0" w:color="auto"/>
        <w:left w:val="none" w:sz="0" w:space="0" w:color="auto"/>
        <w:bottom w:val="none" w:sz="0" w:space="0" w:color="auto"/>
        <w:right w:val="none" w:sz="0" w:space="0" w:color="auto"/>
      </w:divBdr>
    </w:div>
    <w:div w:id="1053693837">
      <w:bodyDiv w:val="1"/>
      <w:marLeft w:val="0"/>
      <w:marRight w:val="0"/>
      <w:marTop w:val="0"/>
      <w:marBottom w:val="0"/>
      <w:divBdr>
        <w:top w:val="none" w:sz="0" w:space="0" w:color="auto"/>
        <w:left w:val="none" w:sz="0" w:space="0" w:color="auto"/>
        <w:bottom w:val="none" w:sz="0" w:space="0" w:color="auto"/>
        <w:right w:val="none" w:sz="0" w:space="0" w:color="auto"/>
      </w:divBdr>
      <w:divsChild>
        <w:div w:id="1522619763">
          <w:marLeft w:val="0"/>
          <w:marRight w:val="0"/>
          <w:marTop w:val="0"/>
          <w:marBottom w:val="0"/>
          <w:divBdr>
            <w:top w:val="none" w:sz="0" w:space="0" w:color="auto"/>
            <w:left w:val="single" w:sz="18" w:space="5" w:color="FFFFFF"/>
            <w:bottom w:val="none" w:sz="0" w:space="0" w:color="auto"/>
            <w:right w:val="single" w:sz="18" w:space="5" w:color="FFFFFF"/>
          </w:divBdr>
          <w:divsChild>
            <w:div w:id="1760255772">
              <w:marLeft w:val="300"/>
              <w:marRight w:val="225"/>
              <w:marTop w:val="0"/>
              <w:marBottom w:val="0"/>
              <w:divBdr>
                <w:top w:val="none" w:sz="0" w:space="0" w:color="auto"/>
                <w:left w:val="none" w:sz="0" w:space="0" w:color="auto"/>
                <w:bottom w:val="none" w:sz="0" w:space="0" w:color="auto"/>
                <w:right w:val="none" w:sz="0" w:space="0" w:color="auto"/>
              </w:divBdr>
              <w:divsChild>
                <w:div w:id="15965505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7191466">
      <w:bodyDiv w:val="1"/>
      <w:marLeft w:val="0"/>
      <w:marRight w:val="0"/>
      <w:marTop w:val="0"/>
      <w:marBottom w:val="0"/>
      <w:divBdr>
        <w:top w:val="none" w:sz="0" w:space="0" w:color="auto"/>
        <w:left w:val="none" w:sz="0" w:space="0" w:color="auto"/>
        <w:bottom w:val="none" w:sz="0" w:space="0" w:color="auto"/>
        <w:right w:val="none" w:sz="0" w:space="0" w:color="auto"/>
      </w:divBdr>
      <w:divsChild>
        <w:div w:id="1948197668">
          <w:marLeft w:val="0"/>
          <w:marRight w:val="0"/>
          <w:marTop w:val="0"/>
          <w:marBottom w:val="0"/>
          <w:divBdr>
            <w:top w:val="none" w:sz="0" w:space="0" w:color="auto"/>
            <w:left w:val="none" w:sz="0" w:space="0" w:color="auto"/>
            <w:bottom w:val="none" w:sz="0" w:space="0" w:color="auto"/>
            <w:right w:val="none" w:sz="0" w:space="0" w:color="auto"/>
          </w:divBdr>
        </w:div>
      </w:divsChild>
    </w:div>
    <w:div w:id="1071003552">
      <w:bodyDiv w:val="1"/>
      <w:marLeft w:val="0"/>
      <w:marRight w:val="0"/>
      <w:marTop w:val="0"/>
      <w:marBottom w:val="0"/>
      <w:divBdr>
        <w:top w:val="none" w:sz="0" w:space="0" w:color="auto"/>
        <w:left w:val="none" w:sz="0" w:space="0" w:color="auto"/>
        <w:bottom w:val="none" w:sz="0" w:space="0" w:color="auto"/>
        <w:right w:val="none" w:sz="0" w:space="0" w:color="auto"/>
      </w:divBdr>
    </w:div>
    <w:div w:id="1072048182">
      <w:bodyDiv w:val="1"/>
      <w:marLeft w:val="0"/>
      <w:marRight w:val="0"/>
      <w:marTop w:val="0"/>
      <w:marBottom w:val="0"/>
      <w:divBdr>
        <w:top w:val="none" w:sz="0" w:space="0" w:color="auto"/>
        <w:left w:val="none" w:sz="0" w:space="0" w:color="auto"/>
        <w:bottom w:val="none" w:sz="0" w:space="0" w:color="auto"/>
        <w:right w:val="none" w:sz="0" w:space="0" w:color="auto"/>
      </w:divBdr>
    </w:div>
    <w:div w:id="1079325553">
      <w:bodyDiv w:val="1"/>
      <w:marLeft w:val="0"/>
      <w:marRight w:val="0"/>
      <w:marTop w:val="0"/>
      <w:marBottom w:val="0"/>
      <w:divBdr>
        <w:top w:val="none" w:sz="0" w:space="0" w:color="auto"/>
        <w:left w:val="none" w:sz="0" w:space="0" w:color="auto"/>
        <w:bottom w:val="none" w:sz="0" w:space="0" w:color="auto"/>
        <w:right w:val="none" w:sz="0" w:space="0" w:color="auto"/>
      </w:divBdr>
    </w:div>
    <w:div w:id="1097095284">
      <w:bodyDiv w:val="1"/>
      <w:marLeft w:val="0"/>
      <w:marRight w:val="0"/>
      <w:marTop w:val="0"/>
      <w:marBottom w:val="0"/>
      <w:divBdr>
        <w:top w:val="none" w:sz="0" w:space="0" w:color="auto"/>
        <w:left w:val="none" w:sz="0" w:space="0" w:color="auto"/>
        <w:bottom w:val="none" w:sz="0" w:space="0" w:color="auto"/>
        <w:right w:val="none" w:sz="0" w:space="0" w:color="auto"/>
      </w:divBdr>
    </w:div>
    <w:div w:id="1106928730">
      <w:bodyDiv w:val="1"/>
      <w:marLeft w:val="0"/>
      <w:marRight w:val="0"/>
      <w:marTop w:val="0"/>
      <w:marBottom w:val="0"/>
      <w:divBdr>
        <w:top w:val="none" w:sz="0" w:space="0" w:color="auto"/>
        <w:left w:val="none" w:sz="0" w:space="0" w:color="auto"/>
        <w:bottom w:val="none" w:sz="0" w:space="0" w:color="auto"/>
        <w:right w:val="none" w:sz="0" w:space="0" w:color="auto"/>
      </w:divBdr>
      <w:divsChild>
        <w:div w:id="1713535897">
          <w:marLeft w:val="0"/>
          <w:marRight w:val="0"/>
          <w:marTop w:val="100"/>
          <w:marBottom w:val="100"/>
          <w:divBdr>
            <w:top w:val="none" w:sz="0" w:space="0" w:color="auto"/>
            <w:left w:val="none" w:sz="0" w:space="0" w:color="auto"/>
            <w:bottom w:val="none" w:sz="0" w:space="0" w:color="auto"/>
            <w:right w:val="none" w:sz="0" w:space="0" w:color="auto"/>
          </w:divBdr>
          <w:divsChild>
            <w:div w:id="1654868415">
              <w:marLeft w:val="0"/>
              <w:marRight w:val="0"/>
              <w:marTop w:val="0"/>
              <w:marBottom w:val="0"/>
              <w:divBdr>
                <w:top w:val="none" w:sz="0" w:space="0" w:color="auto"/>
                <w:left w:val="none" w:sz="0" w:space="0" w:color="auto"/>
                <w:bottom w:val="none" w:sz="0" w:space="0" w:color="auto"/>
                <w:right w:val="none" w:sz="0" w:space="0" w:color="auto"/>
              </w:divBdr>
              <w:divsChild>
                <w:div w:id="3440178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195138">
      <w:bodyDiv w:val="1"/>
      <w:marLeft w:val="0"/>
      <w:marRight w:val="0"/>
      <w:marTop w:val="0"/>
      <w:marBottom w:val="0"/>
      <w:divBdr>
        <w:top w:val="none" w:sz="0" w:space="0" w:color="auto"/>
        <w:left w:val="none" w:sz="0" w:space="0" w:color="auto"/>
        <w:bottom w:val="none" w:sz="0" w:space="0" w:color="auto"/>
        <w:right w:val="none" w:sz="0" w:space="0" w:color="auto"/>
      </w:divBdr>
    </w:div>
    <w:div w:id="1140003218">
      <w:bodyDiv w:val="1"/>
      <w:marLeft w:val="0"/>
      <w:marRight w:val="0"/>
      <w:marTop w:val="0"/>
      <w:marBottom w:val="0"/>
      <w:divBdr>
        <w:top w:val="none" w:sz="0" w:space="0" w:color="auto"/>
        <w:left w:val="none" w:sz="0" w:space="0" w:color="auto"/>
        <w:bottom w:val="none" w:sz="0" w:space="0" w:color="auto"/>
        <w:right w:val="none" w:sz="0" w:space="0" w:color="auto"/>
      </w:divBdr>
    </w:div>
    <w:div w:id="1151365757">
      <w:bodyDiv w:val="1"/>
      <w:marLeft w:val="0"/>
      <w:marRight w:val="0"/>
      <w:marTop w:val="0"/>
      <w:marBottom w:val="0"/>
      <w:divBdr>
        <w:top w:val="none" w:sz="0" w:space="0" w:color="auto"/>
        <w:left w:val="none" w:sz="0" w:space="0" w:color="auto"/>
        <w:bottom w:val="none" w:sz="0" w:space="0" w:color="auto"/>
        <w:right w:val="none" w:sz="0" w:space="0" w:color="auto"/>
      </w:divBdr>
    </w:div>
    <w:div w:id="1155298122">
      <w:bodyDiv w:val="1"/>
      <w:marLeft w:val="0"/>
      <w:marRight w:val="0"/>
      <w:marTop w:val="0"/>
      <w:marBottom w:val="0"/>
      <w:divBdr>
        <w:top w:val="none" w:sz="0" w:space="0" w:color="auto"/>
        <w:left w:val="none" w:sz="0" w:space="0" w:color="auto"/>
        <w:bottom w:val="none" w:sz="0" w:space="0" w:color="auto"/>
        <w:right w:val="none" w:sz="0" w:space="0" w:color="auto"/>
      </w:divBdr>
    </w:div>
    <w:div w:id="1156259582">
      <w:bodyDiv w:val="1"/>
      <w:marLeft w:val="0"/>
      <w:marRight w:val="0"/>
      <w:marTop w:val="0"/>
      <w:marBottom w:val="0"/>
      <w:divBdr>
        <w:top w:val="none" w:sz="0" w:space="0" w:color="auto"/>
        <w:left w:val="none" w:sz="0" w:space="0" w:color="auto"/>
        <w:bottom w:val="none" w:sz="0" w:space="0" w:color="auto"/>
        <w:right w:val="none" w:sz="0" w:space="0" w:color="auto"/>
      </w:divBdr>
    </w:div>
    <w:div w:id="1158886528">
      <w:bodyDiv w:val="1"/>
      <w:marLeft w:val="0"/>
      <w:marRight w:val="0"/>
      <w:marTop w:val="0"/>
      <w:marBottom w:val="0"/>
      <w:divBdr>
        <w:top w:val="none" w:sz="0" w:space="0" w:color="auto"/>
        <w:left w:val="none" w:sz="0" w:space="0" w:color="auto"/>
        <w:bottom w:val="none" w:sz="0" w:space="0" w:color="auto"/>
        <w:right w:val="none" w:sz="0" w:space="0" w:color="auto"/>
      </w:divBdr>
    </w:div>
    <w:div w:id="1183321261">
      <w:bodyDiv w:val="1"/>
      <w:marLeft w:val="0"/>
      <w:marRight w:val="0"/>
      <w:marTop w:val="0"/>
      <w:marBottom w:val="0"/>
      <w:divBdr>
        <w:top w:val="none" w:sz="0" w:space="0" w:color="auto"/>
        <w:left w:val="none" w:sz="0" w:space="0" w:color="auto"/>
        <w:bottom w:val="none" w:sz="0" w:space="0" w:color="auto"/>
        <w:right w:val="none" w:sz="0" w:space="0" w:color="auto"/>
      </w:divBdr>
    </w:div>
    <w:div w:id="1188177799">
      <w:bodyDiv w:val="1"/>
      <w:marLeft w:val="0"/>
      <w:marRight w:val="0"/>
      <w:marTop w:val="0"/>
      <w:marBottom w:val="0"/>
      <w:divBdr>
        <w:top w:val="none" w:sz="0" w:space="0" w:color="auto"/>
        <w:left w:val="none" w:sz="0" w:space="0" w:color="auto"/>
        <w:bottom w:val="none" w:sz="0" w:space="0" w:color="auto"/>
        <w:right w:val="none" w:sz="0" w:space="0" w:color="auto"/>
      </w:divBdr>
    </w:div>
    <w:div w:id="1203985059">
      <w:bodyDiv w:val="1"/>
      <w:marLeft w:val="0"/>
      <w:marRight w:val="0"/>
      <w:marTop w:val="0"/>
      <w:marBottom w:val="0"/>
      <w:divBdr>
        <w:top w:val="none" w:sz="0" w:space="0" w:color="auto"/>
        <w:left w:val="none" w:sz="0" w:space="0" w:color="auto"/>
        <w:bottom w:val="none" w:sz="0" w:space="0" w:color="auto"/>
        <w:right w:val="none" w:sz="0" w:space="0" w:color="auto"/>
      </w:divBdr>
      <w:divsChild>
        <w:div w:id="1889099314">
          <w:marLeft w:val="0"/>
          <w:marRight w:val="0"/>
          <w:marTop w:val="100"/>
          <w:marBottom w:val="100"/>
          <w:divBdr>
            <w:top w:val="none" w:sz="0" w:space="0" w:color="auto"/>
            <w:left w:val="none" w:sz="0" w:space="0" w:color="auto"/>
            <w:bottom w:val="none" w:sz="0" w:space="0" w:color="auto"/>
            <w:right w:val="none" w:sz="0" w:space="0" w:color="auto"/>
          </w:divBdr>
          <w:divsChild>
            <w:div w:id="1584146254">
              <w:marLeft w:val="0"/>
              <w:marRight w:val="0"/>
              <w:marTop w:val="0"/>
              <w:marBottom w:val="0"/>
              <w:divBdr>
                <w:top w:val="none" w:sz="0" w:space="0" w:color="auto"/>
                <w:left w:val="none" w:sz="0" w:space="0" w:color="auto"/>
                <w:bottom w:val="none" w:sz="0" w:space="0" w:color="auto"/>
                <w:right w:val="none" w:sz="0" w:space="0" w:color="auto"/>
              </w:divBdr>
              <w:divsChild>
                <w:div w:id="1721854973">
                  <w:marLeft w:val="0"/>
                  <w:marRight w:val="0"/>
                  <w:marTop w:val="0"/>
                  <w:marBottom w:val="0"/>
                  <w:divBdr>
                    <w:top w:val="none" w:sz="0" w:space="0" w:color="auto"/>
                    <w:left w:val="none" w:sz="0" w:space="0" w:color="auto"/>
                    <w:bottom w:val="none" w:sz="0" w:space="0" w:color="auto"/>
                    <w:right w:val="none" w:sz="0" w:space="0" w:color="auto"/>
                  </w:divBdr>
                  <w:divsChild>
                    <w:div w:id="2074425154">
                      <w:marLeft w:val="0"/>
                      <w:marRight w:val="0"/>
                      <w:marTop w:val="0"/>
                      <w:marBottom w:val="0"/>
                      <w:divBdr>
                        <w:top w:val="none" w:sz="0" w:space="0" w:color="auto"/>
                        <w:left w:val="none" w:sz="0" w:space="0" w:color="auto"/>
                        <w:bottom w:val="none" w:sz="0" w:space="0" w:color="auto"/>
                        <w:right w:val="none" w:sz="0" w:space="0" w:color="auto"/>
                      </w:divBdr>
                      <w:divsChild>
                        <w:div w:id="1983583710">
                          <w:marLeft w:val="0"/>
                          <w:marRight w:val="0"/>
                          <w:marTop w:val="0"/>
                          <w:marBottom w:val="0"/>
                          <w:divBdr>
                            <w:top w:val="none" w:sz="0" w:space="0" w:color="auto"/>
                            <w:left w:val="none" w:sz="0" w:space="0" w:color="auto"/>
                            <w:bottom w:val="none" w:sz="0" w:space="0" w:color="auto"/>
                            <w:right w:val="none" w:sz="0" w:space="0" w:color="auto"/>
                          </w:divBdr>
                          <w:divsChild>
                            <w:div w:id="2098863025">
                              <w:marLeft w:val="0"/>
                              <w:marRight w:val="0"/>
                              <w:marTop w:val="0"/>
                              <w:marBottom w:val="0"/>
                              <w:divBdr>
                                <w:top w:val="none" w:sz="0" w:space="0" w:color="auto"/>
                                <w:left w:val="none" w:sz="0" w:space="0" w:color="auto"/>
                                <w:bottom w:val="none" w:sz="0" w:space="0" w:color="auto"/>
                                <w:right w:val="none" w:sz="0" w:space="0" w:color="auto"/>
                              </w:divBdr>
                              <w:divsChild>
                                <w:div w:id="1859154662">
                                  <w:marLeft w:val="0"/>
                                  <w:marRight w:val="0"/>
                                  <w:marTop w:val="0"/>
                                  <w:marBottom w:val="0"/>
                                  <w:divBdr>
                                    <w:top w:val="none" w:sz="0" w:space="0" w:color="auto"/>
                                    <w:left w:val="none" w:sz="0" w:space="0" w:color="auto"/>
                                    <w:bottom w:val="none" w:sz="0" w:space="0" w:color="auto"/>
                                    <w:right w:val="none" w:sz="0" w:space="0" w:color="auto"/>
                                  </w:divBdr>
                                  <w:divsChild>
                                    <w:div w:id="2013338235">
                                      <w:marLeft w:val="0"/>
                                      <w:marRight w:val="0"/>
                                      <w:marTop w:val="0"/>
                                      <w:marBottom w:val="150"/>
                                      <w:divBdr>
                                        <w:top w:val="none" w:sz="0" w:space="0" w:color="auto"/>
                                        <w:left w:val="none" w:sz="0" w:space="0" w:color="auto"/>
                                        <w:bottom w:val="none" w:sz="0" w:space="0" w:color="auto"/>
                                        <w:right w:val="none" w:sz="0" w:space="0" w:color="auto"/>
                                      </w:divBdr>
                                      <w:divsChild>
                                        <w:div w:id="8357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906443">
      <w:bodyDiv w:val="1"/>
      <w:marLeft w:val="0"/>
      <w:marRight w:val="0"/>
      <w:marTop w:val="0"/>
      <w:marBottom w:val="0"/>
      <w:divBdr>
        <w:top w:val="none" w:sz="0" w:space="0" w:color="auto"/>
        <w:left w:val="none" w:sz="0" w:space="0" w:color="auto"/>
        <w:bottom w:val="none" w:sz="0" w:space="0" w:color="auto"/>
        <w:right w:val="none" w:sz="0" w:space="0" w:color="auto"/>
      </w:divBdr>
    </w:div>
    <w:div w:id="1225600274">
      <w:bodyDiv w:val="1"/>
      <w:marLeft w:val="0"/>
      <w:marRight w:val="0"/>
      <w:marTop w:val="0"/>
      <w:marBottom w:val="0"/>
      <w:divBdr>
        <w:top w:val="none" w:sz="0" w:space="0" w:color="auto"/>
        <w:left w:val="none" w:sz="0" w:space="0" w:color="auto"/>
        <w:bottom w:val="none" w:sz="0" w:space="0" w:color="auto"/>
        <w:right w:val="none" w:sz="0" w:space="0" w:color="auto"/>
      </w:divBdr>
    </w:div>
    <w:div w:id="1236286116">
      <w:bodyDiv w:val="1"/>
      <w:marLeft w:val="0"/>
      <w:marRight w:val="0"/>
      <w:marTop w:val="0"/>
      <w:marBottom w:val="0"/>
      <w:divBdr>
        <w:top w:val="none" w:sz="0" w:space="0" w:color="auto"/>
        <w:left w:val="none" w:sz="0" w:space="0" w:color="auto"/>
        <w:bottom w:val="none" w:sz="0" w:space="0" w:color="auto"/>
        <w:right w:val="none" w:sz="0" w:space="0" w:color="auto"/>
      </w:divBdr>
    </w:div>
    <w:div w:id="1251810510">
      <w:bodyDiv w:val="1"/>
      <w:marLeft w:val="0"/>
      <w:marRight w:val="0"/>
      <w:marTop w:val="0"/>
      <w:marBottom w:val="0"/>
      <w:divBdr>
        <w:top w:val="none" w:sz="0" w:space="0" w:color="auto"/>
        <w:left w:val="none" w:sz="0" w:space="0" w:color="auto"/>
        <w:bottom w:val="none" w:sz="0" w:space="0" w:color="auto"/>
        <w:right w:val="none" w:sz="0" w:space="0" w:color="auto"/>
      </w:divBdr>
    </w:div>
    <w:div w:id="1264529002">
      <w:bodyDiv w:val="1"/>
      <w:marLeft w:val="0"/>
      <w:marRight w:val="0"/>
      <w:marTop w:val="0"/>
      <w:marBottom w:val="0"/>
      <w:divBdr>
        <w:top w:val="none" w:sz="0" w:space="0" w:color="auto"/>
        <w:left w:val="none" w:sz="0" w:space="0" w:color="auto"/>
        <w:bottom w:val="none" w:sz="0" w:space="0" w:color="auto"/>
        <w:right w:val="none" w:sz="0" w:space="0" w:color="auto"/>
      </w:divBdr>
      <w:divsChild>
        <w:div w:id="269239966">
          <w:marLeft w:val="408"/>
          <w:marRight w:val="408"/>
          <w:marTop w:val="0"/>
          <w:marBottom w:val="136"/>
          <w:divBdr>
            <w:top w:val="single" w:sz="6" w:space="7" w:color="112449"/>
            <w:left w:val="single" w:sz="6" w:space="7" w:color="112449"/>
            <w:bottom w:val="single" w:sz="6" w:space="7" w:color="112449"/>
            <w:right w:val="single" w:sz="6" w:space="7" w:color="112449"/>
          </w:divBdr>
        </w:div>
      </w:divsChild>
    </w:div>
    <w:div w:id="1266115836">
      <w:bodyDiv w:val="1"/>
      <w:marLeft w:val="0"/>
      <w:marRight w:val="0"/>
      <w:marTop w:val="0"/>
      <w:marBottom w:val="0"/>
      <w:divBdr>
        <w:top w:val="none" w:sz="0" w:space="0" w:color="auto"/>
        <w:left w:val="none" w:sz="0" w:space="0" w:color="auto"/>
        <w:bottom w:val="none" w:sz="0" w:space="0" w:color="auto"/>
        <w:right w:val="none" w:sz="0" w:space="0" w:color="auto"/>
      </w:divBdr>
    </w:div>
    <w:div w:id="1267663317">
      <w:bodyDiv w:val="1"/>
      <w:marLeft w:val="0"/>
      <w:marRight w:val="0"/>
      <w:marTop w:val="0"/>
      <w:marBottom w:val="0"/>
      <w:divBdr>
        <w:top w:val="none" w:sz="0" w:space="0" w:color="auto"/>
        <w:left w:val="none" w:sz="0" w:space="0" w:color="auto"/>
        <w:bottom w:val="none" w:sz="0" w:space="0" w:color="auto"/>
        <w:right w:val="none" w:sz="0" w:space="0" w:color="auto"/>
      </w:divBdr>
    </w:div>
    <w:div w:id="1267663558">
      <w:bodyDiv w:val="1"/>
      <w:marLeft w:val="0"/>
      <w:marRight w:val="0"/>
      <w:marTop w:val="0"/>
      <w:marBottom w:val="0"/>
      <w:divBdr>
        <w:top w:val="none" w:sz="0" w:space="0" w:color="auto"/>
        <w:left w:val="none" w:sz="0" w:space="0" w:color="auto"/>
        <w:bottom w:val="none" w:sz="0" w:space="0" w:color="auto"/>
        <w:right w:val="none" w:sz="0" w:space="0" w:color="auto"/>
      </w:divBdr>
    </w:div>
    <w:div w:id="1276256431">
      <w:bodyDiv w:val="1"/>
      <w:marLeft w:val="0"/>
      <w:marRight w:val="0"/>
      <w:marTop w:val="0"/>
      <w:marBottom w:val="225"/>
      <w:divBdr>
        <w:top w:val="none" w:sz="0" w:space="0" w:color="auto"/>
        <w:left w:val="none" w:sz="0" w:space="0" w:color="auto"/>
        <w:bottom w:val="none" w:sz="0" w:space="0" w:color="auto"/>
        <w:right w:val="none" w:sz="0" w:space="0" w:color="auto"/>
      </w:divBdr>
      <w:divsChild>
        <w:div w:id="725565500">
          <w:marLeft w:val="0"/>
          <w:marRight w:val="0"/>
          <w:marTop w:val="90"/>
          <w:marBottom w:val="0"/>
          <w:divBdr>
            <w:top w:val="none" w:sz="0" w:space="0" w:color="auto"/>
            <w:left w:val="none" w:sz="0" w:space="0" w:color="auto"/>
            <w:bottom w:val="none" w:sz="0" w:space="0" w:color="auto"/>
            <w:right w:val="none" w:sz="0" w:space="0" w:color="auto"/>
          </w:divBdr>
          <w:divsChild>
            <w:div w:id="848568530">
              <w:marLeft w:val="0"/>
              <w:marRight w:val="0"/>
              <w:marTop w:val="0"/>
              <w:marBottom w:val="0"/>
              <w:divBdr>
                <w:top w:val="none" w:sz="0" w:space="0" w:color="auto"/>
                <w:left w:val="none" w:sz="0" w:space="0" w:color="auto"/>
                <w:bottom w:val="none" w:sz="0" w:space="0" w:color="auto"/>
                <w:right w:val="none" w:sz="0" w:space="0" w:color="auto"/>
              </w:divBdr>
              <w:divsChild>
                <w:div w:id="753556111">
                  <w:marLeft w:val="0"/>
                  <w:marRight w:val="0"/>
                  <w:marTop w:val="0"/>
                  <w:marBottom w:val="0"/>
                  <w:divBdr>
                    <w:top w:val="none" w:sz="0" w:space="0" w:color="auto"/>
                    <w:left w:val="none" w:sz="0" w:space="0" w:color="auto"/>
                    <w:bottom w:val="none" w:sz="0" w:space="0" w:color="auto"/>
                    <w:right w:val="none" w:sz="0" w:space="0" w:color="auto"/>
                  </w:divBdr>
                  <w:divsChild>
                    <w:div w:id="988828409">
                      <w:marLeft w:val="0"/>
                      <w:marRight w:val="0"/>
                      <w:marTop w:val="0"/>
                      <w:marBottom w:val="0"/>
                      <w:divBdr>
                        <w:top w:val="none" w:sz="0" w:space="0" w:color="auto"/>
                        <w:left w:val="none" w:sz="0" w:space="0" w:color="auto"/>
                        <w:bottom w:val="none" w:sz="0" w:space="0" w:color="auto"/>
                        <w:right w:val="none" w:sz="0" w:space="0" w:color="auto"/>
                      </w:divBdr>
                      <w:divsChild>
                        <w:div w:id="109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7260">
      <w:bodyDiv w:val="1"/>
      <w:marLeft w:val="0"/>
      <w:marRight w:val="0"/>
      <w:marTop w:val="0"/>
      <w:marBottom w:val="0"/>
      <w:divBdr>
        <w:top w:val="none" w:sz="0" w:space="0" w:color="auto"/>
        <w:left w:val="none" w:sz="0" w:space="0" w:color="auto"/>
        <w:bottom w:val="none" w:sz="0" w:space="0" w:color="auto"/>
        <w:right w:val="none" w:sz="0" w:space="0" w:color="auto"/>
      </w:divBdr>
    </w:div>
    <w:div w:id="1291284811">
      <w:bodyDiv w:val="1"/>
      <w:marLeft w:val="0"/>
      <w:marRight w:val="0"/>
      <w:marTop w:val="0"/>
      <w:marBottom w:val="0"/>
      <w:divBdr>
        <w:top w:val="none" w:sz="0" w:space="0" w:color="auto"/>
        <w:left w:val="none" w:sz="0" w:space="0" w:color="auto"/>
        <w:bottom w:val="none" w:sz="0" w:space="0" w:color="auto"/>
        <w:right w:val="none" w:sz="0" w:space="0" w:color="auto"/>
      </w:divBdr>
      <w:divsChild>
        <w:div w:id="9563744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94481526">
      <w:bodyDiv w:val="1"/>
      <w:marLeft w:val="0"/>
      <w:marRight w:val="0"/>
      <w:marTop w:val="0"/>
      <w:marBottom w:val="0"/>
      <w:divBdr>
        <w:top w:val="none" w:sz="0" w:space="0" w:color="auto"/>
        <w:left w:val="none" w:sz="0" w:space="0" w:color="auto"/>
        <w:bottom w:val="none" w:sz="0" w:space="0" w:color="auto"/>
        <w:right w:val="none" w:sz="0" w:space="0" w:color="auto"/>
      </w:divBdr>
    </w:div>
    <w:div w:id="1296254795">
      <w:bodyDiv w:val="1"/>
      <w:marLeft w:val="0"/>
      <w:marRight w:val="0"/>
      <w:marTop w:val="0"/>
      <w:marBottom w:val="0"/>
      <w:divBdr>
        <w:top w:val="none" w:sz="0" w:space="0" w:color="auto"/>
        <w:left w:val="none" w:sz="0" w:space="0" w:color="auto"/>
        <w:bottom w:val="none" w:sz="0" w:space="0" w:color="auto"/>
        <w:right w:val="none" w:sz="0" w:space="0" w:color="auto"/>
      </w:divBdr>
    </w:div>
    <w:div w:id="1299144104">
      <w:bodyDiv w:val="1"/>
      <w:marLeft w:val="0"/>
      <w:marRight w:val="0"/>
      <w:marTop w:val="0"/>
      <w:marBottom w:val="0"/>
      <w:divBdr>
        <w:top w:val="none" w:sz="0" w:space="0" w:color="auto"/>
        <w:left w:val="none" w:sz="0" w:space="0" w:color="auto"/>
        <w:bottom w:val="none" w:sz="0" w:space="0" w:color="auto"/>
        <w:right w:val="none" w:sz="0" w:space="0" w:color="auto"/>
      </w:divBdr>
    </w:div>
    <w:div w:id="1305425786">
      <w:bodyDiv w:val="1"/>
      <w:marLeft w:val="0"/>
      <w:marRight w:val="0"/>
      <w:marTop w:val="0"/>
      <w:marBottom w:val="0"/>
      <w:divBdr>
        <w:top w:val="none" w:sz="0" w:space="0" w:color="auto"/>
        <w:left w:val="none" w:sz="0" w:space="0" w:color="auto"/>
        <w:bottom w:val="none" w:sz="0" w:space="0" w:color="auto"/>
        <w:right w:val="none" w:sz="0" w:space="0" w:color="auto"/>
      </w:divBdr>
    </w:div>
    <w:div w:id="1365907001">
      <w:bodyDiv w:val="1"/>
      <w:marLeft w:val="0"/>
      <w:marRight w:val="0"/>
      <w:marTop w:val="0"/>
      <w:marBottom w:val="0"/>
      <w:divBdr>
        <w:top w:val="none" w:sz="0" w:space="0" w:color="auto"/>
        <w:left w:val="none" w:sz="0" w:space="0" w:color="auto"/>
        <w:bottom w:val="none" w:sz="0" w:space="0" w:color="auto"/>
        <w:right w:val="none" w:sz="0" w:space="0" w:color="auto"/>
      </w:divBdr>
    </w:div>
    <w:div w:id="1389955234">
      <w:bodyDiv w:val="1"/>
      <w:marLeft w:val="0"/>
      <w:marRight w:val="0"/>
      <w:marTop w:val="0"/>
      <w:marBottom w:val="0"/>
      <w:divBdr>
        <w:top w:val="none" w:sz="0" w:space="0" w:color="auto"/>
        <w:left w:val="none" w:sz="0" w:space="0" w:color="auto"/>
        <w:bottom w:val="none" w:sz="0" w:space="0" w:color="auto"/>
        <w:right w:val="none" w:sz="0" w:space="0" w:color="auto"/>
      </w:divBdr>
    </w:div>
    <w:div w:id="1400709279">
      <w:bodyDiv w:val="1"/>
      <w:marLeft w:val="0"/>
      <w:marRight w:val="0"/>
      <w:marTop w:val="0"/>
      <w:marBottom w:val="0"/>
      <w:divBdr>
        <w:top w:val="none" w:sz="0" w:space="0" w:color="auto"/>
        <w:left w:val="none" w:sz="0" w:space="0" w:color="auto"/>
        <w:bottom w:val="none" w:sz="0" w:space="0" w:color="auto"/>
        <w:right w:val="none" w:sz="0" w:space="0" w:color="auto"/>
      </w:divBdr>
    </w:div>
    <w:div w:id="1416198684">
      <w:bodyDiv w:val="1"/>
      <w:marLeft w:val="0"/>
      <w:marRight w:val="0"/>
      <w:marTop w:val="0"/>
      <w:marBottom w:val="0"/>
      <w:divBdr>
        <w:top w:val="none" w:sz="0" w:space="0" w:color="auto"/>
        <w:left w:val="none" w:sz="0" w:space="0" w:color="auto"/>
        <w:bottom w:val="none" w:sz="0" w:space="0" w:color="auto"/>
        <w:right w:val="none" w:sz="0" w:space="0" w:color="auto"/>
      </w:divBdr>
      <w:divsChild>
        <w:div w:id="512065230">
          <w:marLeft w:val="0"/>
          <w:marRight w:val="0"/>
          <w:marTop w:val="0"/>
          <w:marBottom w:val="0"/>
          <w:divBdr>
            <w:top w:val="none" w:sz="0" w:space="0" w:color="auto"/>
            <w:left w:val="single" w:sz="18" w:space="5" w:color="FFFFFF"/>
            <w:bottom w:val="none" w:sz="0" w:space="0" w:color="auto"/>
            <w:right w:val="single" w:sz="18" w:space="5" w:color="FFFFFF"/>
          </w:divBdr>
          <w:divsChild>
            <w:div w:id="1383821277">
              <w:marLeft w:val="300"/>
              <w:marRight w:val="225"/>
              <w:marTop w:val="0"/>
              <w:marBottom w:val="0"/>
              <w:divBdr>
                <w:top w:val="none" w:sz="0" w:space="0" w:color="auto"/>
                <w:left w:val="none" w:sz="0" w:space="0" w:color="auto"/>
                <w:bottom w:val="none" w:sz="0" w:space="0" w:color="auto"/>
                <w:right w:val="none" w:sz="0" w:space="0" w:color="auto"/>
              </w:divBdr>
              <w:divsChild>
                <w:div w:id="4365666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24109033">
      <w:bodyDiv w:val="1"/>
      <w:marLeft w:val="0"/>
      <w:marRight w:val="0"/>
      <w:marTop w:val="0"/>
      <w:marBottom w:val="0"/>
      <w:divBdr>
        <w:top w:val="none" w:sz="0" w:space="0" w:color="auto"/>
        <w:left w:val="none" w:sz="0" w:space="0" w:color="auto"/>
        <w:bottom w:val="none" w:sz="0" w:space="0" w:color="auto"/>
        <w:right w:val="none" w:sz="0" w:space="0" w:color="auto"/>
      </w:divBdr>
    </w:div>
    <w:div w:id="1426881027">
      <w:bodyDiv w:val="1"/>
      <w:marLeft w:val="0"/>
      <w:marRight w:val="0"/>
      <w:marTop w:val="0"/>
      <w:marBottom w:val="0"/>
      <w:divBdr>
        <w:top w:val="none" w:sz="0" w:space="0" w:color="auto"/>
        <w:left w:val="none" w:sz="0" w:space="0" w:color="auto"/>
        <w:bottom w:val="none" w:sz="0" w:space="0" w:color="auto"/>
        <w:right w:val="none" w:sz="0" w:space="0" w:color="auto"/>
      </w:divBdr>
    </w:div>
    <w:div w:id="1471554882">
      <w:bodyDiv w:val="1"/>
      <w:marLeft w:val="0"/>
      <w:marRight w:val="0"/>
      <w:marTop w:val="0"/>
      <w:marBottom w:val="0"/>
      <w:divBdr>
        <w:top w:val="none" w:sz="0" w:space="0" w:color="auto"/>
        <w:left w:val="none" w:sz="0" w:space="0" w:color="auto"/>
        <w:bottom w:val="none" w:sz="0" w:space="0" w:color="auto"/>
        <w:right w:val="none" w:sz="0" w:space="0" w:color="auto"/>
      </w:divBdr>
    </w:div>
    <w:div w:id="1528759959">
      <w:bodyDiv w:val="1"/>
      <w:marLeft w:val="0"/>
      <w:marRight w:val="0"/>
      <w:marTop w:val="0"/>
      <w:marBottom w:val="0"/>
      <w:divBdr>
        <w:top w:val="none" w:sz="0" w:space="0" w:color="auto"/>
        <w:left w:val="none" w:sz="0" w:space="0" w:color="auto"/>
        <w:bottom w:val="none" w:sz="0" w:space="0" w:color="auto"/>
        <w:right w:val="none" w:sz="0" w:space="0" w:color="auto"/>
      </w:divBdr>
      <w:divsChild>
        <w:div w:id="1064645464">
          <w:marLeft w:val="0"/>
          <w:marRight w:val="0"/>
          <w:marTop w:val="0"/>
          <w:marBottom w:val="0"/>
          <w:divBdr>
            <w:top w:val="none" w:sz="0" w:space="0" w:color="auto"/>
            <w:left w:val="none" w:sz="0" w:space="0" w:color="auto"/>
            <w:bottom w:val="none" w:sz="0" w:space="0" w:color="auto"/>
            <w:right w:val="none" w:sz="0" w:space="0" w:color="auto"/>
          </w:divBdr>
          <w:divsChild>
            <w:div w:id="1147670124">
              <w:marLeft w:val="3225"/>
              <w:marRight w:val="0"/>
              <w:marTop w:val="0"/>
              <w:marBottom w:val="0"/>
              <w:divBdr>
                <w:top w:val="none" w:sz="0" w:space="0" w:color="auto"/>
                <w:left w:val="none" w:sz="0" w:space="0" w:color="auto"/>
                <w:bottom w:val="none" w:sz="0" w:space="0" w:color="auto"/>
                <w:right w:val="none" w:sz="0" w:space="0" w:color="auto"/>
              </w:divBdr>
              <w:divsChild>
                <w:div w:id="1750273150">
                  <w:marLeft w:val="90"/>
                  <w:marRight w:val="0"/>
                  <w:marTop w:val="0"/>
                  <w:marBottom w:val="0"/>
                  <w:divBdr>
                    <w:top w:val="single" w:sz="6" w:space="0" w:color="EEEEEE"/>
                    <w:left w:val="none" w:sz="0" w:space="0" w:color="auto"/>
                    <w:bottom w:val="none" w:sz="0" w:space="0" w:color="auto"/>
                    <w:right w:val="none" w:sz="0" w:space="0" w:color="auto"/>
                  </w:divBdr>
                  <w:divsChild>
                    <w:div w:id="1500002264">
                      <w:marLeft w:val="0"/>
                      <w:marRight w:val="0"/>
                      <w:marTop w:val="0"/>
                      <w:marBottom w:val="0"/>
                      <w:divBdr>
                        <w:top w:val="none" w:sz="0" w:space="0" w:color="auto"/>
                        <w:left w:val="none" w:sz="0" w:space="0" w:color="auto"/>
                        <w:bottom w:val="none" w:sz="0" w:space="0" w:color="auto"/>
                        <w:right w:val="none" w:sz="0" w:space="0" w:color="auto"/>
                      </w:divBdr>
                      <w:divsChild>
                        <w:div w:id="16116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34681">
      <w:bodyDiv w:val="1"/>
      <w:marLeft w:val="0"/>
      <w:marRight w:val="0"/>
      <w:marTop w:val="0"/>
      <w:marBottom w:val="0"/>
      <w:divBdr>
        <w:top w:val="none" w:sz="0" w:space="0" w:color="auto"/>
        <w:left w:val="none" w:sz="0" w:space="0" w:color="auto"/>
        <w:bottom w:val="none" w:sz="0" w:space="0" w:color="auto"/>
        <w:right w:val="none" w:sz="0" w:space="0" w:color="auto"/>
      </w:divBdr>
    </w:div>
    <w:div w:id="1554272466">
      <w:bodyDiv w:val="1"/>
      <w:marLeft w:val="0"/>
      <w:marRight w:val="0"/>
      <w:marTop w:val="0"/>
      <w:marBottom w:val="0"/>
      <w:divBdr>
        <w:top w:val="none" w:sz="0" w:space="0" w:color="auto"/>
        <w:left w:val="none" w:sz="0" w:space="0" w:color="auto"/>
        <w:bottom w:val="none" w:sz="0" w:space="0" w:color="auto"/>
        <w:right w:val="none" w:sz="0" w:space="0" w:color="auto"/>
      </w:divBdr>
    </w:div>
    <w:div w:id="1589579882">
      <w:bodyDiv w:val="1"/>
      <w:marLeft w:val="0"/>
      <w:marRight w:val="0"/>
      <w:marTop w:val="0"/>
      <w:marBottom w:val="0"/>
      <w:divBdr>
        <w:top w:val="none" w:sz="0" w:space="0" w:color="auto"/>
        <w:left w:val="none" w:sz="0" w:space="0" w:color="auto"/>
        <w:bottom w:val="none" w:sz="0" w:space="0" w:color="auto"/>
        <w:right w:val="none" w:sz="0" w:space="0" w:color="auto"/>
      </w:divBdr>
      <w:divsChild>
        <w:div w:id="1731688876">
          <w:marLeft w:val="0"/>
          <w:marRight w:val="0"/>
          <w:marTop w:val="0"/>
          <w:marBottom w:val="0"/>
          <w:divBdr>
            <w:top w:val="none" w:sz="0" w:space="0" w:color="auto"/>
            <w:left w:val="single" w:sz="18" w:space="5" w:color="FFFFFF"/>
            <w:bottom w:val="none" w:sz="0" w:space="0" w:color="auto"/>
            <w:right w:val="single" w:sz="18" w:space="5" w:color="FFFFFF"/>
          </w:divBdr>
          <w:divsChild>
            <w:div w:id="1720591815">
              <w:marLeft w:val="300"/>
              <w:marRight w:val="225"/>
              <w:marTop w:val="0"/>
              <w:marBottom w:val="0"/>
              <w:divBdr>
                <w:top w:val="none" w:sz="0" w:space="0" w:color="auto"/>
                <w:left w:val="none" w:sz="0" w:space="0" w:color="auto"/>
                <w:bottom w:val="none" w:sz="0" w:space="0" w:color="auto"/>
                <w:right w:val="none" w:sz="0" w:space="0" w:color="auto"/>
              </w:divBdr>
              <w:divsChild>
                <w:div w:id="1608274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98828322">
      <w:bodyDiv w:val="1"/>
      <w:marLeft w:val="0"/>
      <w:marRight w:val="0"/>
      <w:marTop w:val="0"/>
      <w:marBottom w:val="0"/>
      <w:divBdr>
        <w:top w:val="none" w:sz="0" w:space="0" w:color="auto"/>
        <w:left w:val="none" w:sz="0" w:space="0" w:color="auto"/>
        <w:bottom w:val="none" w:sz="0" w:space="0" w:color="auto"/>
        <w:right w:val="none" w:sz="0" w:space="0" w:color="auto"/>
      </w:divBdr>
      <w:divsChild>
        <w:div w:id="1524588203">
          <w:marLeft w:val="408"/>
          <w:marRight w:val="408"/>
          <w:marTop w:val="0"/>
          <w:marBottom w:val="136"/>
          <w:divBdr>
            <w:top w:val="single" w:sz="6" w:space="7" w:color="112449"/>
            <w:left w:val="single" w:sz="6" w:space="7" w:color="112449"/>
            <w:bottom w:val="single" w:sz="6" w:space="7" w:color="112449"/>
            <w:right w:val="single" w:sz="6" w:space="7" w:color="112449"/>
          </w:divBdr>
        </w:div>
      </w:divsChild>
    </w:div>
    <w:div w:id="1612785619">
      <w:bodyDiv w:val="1"/>
      <w:marLeft w:val="0"/>
      <w:marRight w:val="0"/>
      <w:marTop w:val="0"/>
      <w:marBottom w:val="0"/>
      <w:divBdr>
        <w:top w:val="none" w:sz="0" w:space="0" w:color="auto"/>
        <w:left w:val="none" w:sz="0" w:space="0" w:color="auto"/>
        <w:bottom w:val="none" w:sz="0" w:space="0" w:color="auto"/>
        <w:right w:val="none" w:sz="0" w:space="0" w:color="auto"/>
      </w:divBdr>
    </w:div>
    <w:div w:id="1632784775">
      <w:bodyDiv w:val="1"/>
      <w:marLeft w:val="0"/>
      <w:marRight w:val="0"/>
      <w:marTop w:val="0"/>
      <w:marBottom w:val="0"/>
      <w:divBdr>
        <w:top w:val="none" w:sz="0" w:space="0" w:color="auto"/>
        <w:left w:val="none" w:sz="0" w:space="0" w:color="auto"/>
        <w:bottom w:val="none" w:sz="0" w:space="0" w:color="auto"/>
        <w:right w:val="none" w:sz="0" w:space="0" w:color="auto"/>
      </w:divBdr>
    </w:div>
    <w:div w:id="1634410842">
      <w:bodyDiv w:val="1"/>
      <w:marLeft w:val="0"/>
      <w:marRight w:val="0"/>
      <w:marTop w:val="0"/>
      <w:marBottom w:val="0"/>
      <w:divBdr>
        <w:top w:val="none" w:sz="0" w:space="0" w:color="auto"/>
        <w:left w:val="none" w:sz="0" w:space="0" w:color="auto"/>
        <w:bottom w:val="none" w:sz="0" w:space="0" w:color="auto"/>
        <w:right w:val="none" w:sz="0" w:space="0" w:color="auto"/>
      </w:divBdr>
    </w:div>
    <w:div w:id="1634865114">
      <w:bodyDiv w:val="1"/>
      <w:marLeft w:val="0"/>
      <w:marRight w:val="0"/>
      <w:marTop w:val="0"/>
      <w:marBottom w:val="0"/>
      <w:divBdr>
        <w:top w:val="none" w:sz="0" w:space="0" w:color="auto"/>
        <w:left w:val="none" w:sz="0" w:space="0" w:color="auto"/>
        <w:bottom w:val="none" w:sz="0" w:space="0" w:color="auto"/>
        <w:right w:val="none" w:sz="0" w:space="0" w:color="auto"/>
      </w:divBdr>
    </w:div>
    <w:div w:id="1635326613">
      <w:bodyDiv w:val="1"/>
      <w:marLeft w:val="0"/>
      <w:marRight w:val="0"/>
      <w:marTop w:val="0"/>
      <w:marBottom w:val="0"/>
      <w:divBdr>
        <w:top w:val="none" w:sz="0" w:space="0" w:color="auto"/>
        <w:left w:val="none" w:sz="0" w:space="0" w:color="auto"/>
        <w:bottom w:val="none" w:sz="0" w:space="0" w:color="auto"/>
        <w:right w:val="none" w:sz="0" w:space="0" w:color="auto"/>
      </w:divBdr>
    </w:div>
    <w:div w:id="1653366683">
      <w:bodyDiv w:val="1"/>
      <w:marLeft w:val="0"/>
      <w:marRight w:val="0"/>
      <w:marTop w:val="0"/>
      <w:marBottom w:val="0"/>
      <w:divBdr>
        <w:top w:val="none" w:sz="0" w:space="0" w:color="auto"/>
        <w:left w:val="none" w:sz="0" w:space="0" w:color="auto"/>
        <w:bottom w:val="none" w:sz="0" w:space="0" w:color="auto"/>
        <w:right w:val="none" w:sz="0" w:space="0" w:color="auto"/>
      </w:divBdr>
    </w:div>
    <w:div w:id="1662150430">
      <w:bodyDiv w:val="1"/>
      <w:marLeft w:val="0"/>
      <w:marRight w:val="0"/>
      <w:marTop w:val="0"/>
      <w:marBottom w:val="0"/>
      <w:divBdr>
        <w:top w:val="none" w:sz="0" w:space="0" w:color="auto"/>
        <w:left w:val="none" w:sz="0" w:space="0" w:color="auto"/>
        <w:bottom w:val="none" w:sz="0" w:space="0" w:color="auto"/>
        <w:right w:val="none" w:sz="0" w:space="0" w:color="auto"/>
      </w:divBdr>
    </w:div>
    <w:div w:id="1672944761">
      <w:bodyDiv w:val="1"/>
      <w:marLeft w:val="0"/>
      <w:marRight w:val="0"/>
      <w:marTop w:val="0"/>
      <w:marBottom w:val="0"/>
      <w:divBdr>
        <w:top w:val="none" w:sz="0" w:space="0" w:color="auto"/>
        <w:left w:val="none" w:sz="0" w:space="0" w:color="auto"/>
        <w:bottom w:val="none" w:sz="0" w:space="0" w:color="auto"/>
        <w:right w:val="none" w:sz="0" w:space="0" w:color="auto"/>
      </w:divBdr>
    </w:div>
    <w:div w:id="1689527963">
      <w:bodyDiv w:val="1"/>
      <w:marLeft w:val="0"/>
      <w:marRight w:val="0"/>
      <w:marTop w:val="0"/>
      <w:marBottom w:val="0"/>
      <w:divBdr>
        <w:top w:val="none" w:sz="0" w:space="0" w:color="auto"/>
        <w:left w:val="none" w:sz="0" w:space="0" w:color="auto"/>
        <w:bottom w:val="none" w:sz="0" w:space="0" w:color="auto"/>
        <w:right w:val="none" w:sz="0" w:space="0" w:color="auto"/>
      </w:divBdr>
      <w:divsChild>
        <w:div w:id="1658919414">
          <w:marLeft w:val="734"/>
          <w:marRight w:val="0"/>
          <w:marTop w:val="96"/>
          <w:marBottom w:val="0"/>
          <w:divBdr>
            <w:top w:val="none" w:sz="0" w:space="0" w:color="auto"/>
            <w:left w:val="none" w:sz="0" w:space="0" w:color="auto"/>
            <w:bottom w:val="none" w:sz="0" w:space="0" w:color="auto"/>
            <w:right w:val="none" w:sz="0" w:space="0" w:color="auto"/>
          </w:divBdr>
        </w:div>
        <w:div w:id="2048942893">
          <w:marLeft w:val="734"/>
          <w:marRight w:val="0"/>
          <w:marTop w:val="96"/>
          <w:marBottom w:val="0"/>
          <w:divBdr>
            <w:top w:val="none" w:sz="0" w:space="0" w:color="auto"/>
            <w:left w:val="none" w:sz="0" w:space="0" w:color="auto"/>
            <w:bottom w:val="none" w:sz="0" w:space="0" w:color="auto"/>
            <w:right w:val="none" w:sz="0" w:space="0" w:color="auto"/>
          </w:divBdr>
        </w:div>
      </w:divsChild>
    </w:div>
    <w:div w:id="1715042144">
      <w:bodyDiv w:val="1"/>
      <w:marLeft w:val="0"/>
      <w:marRight w:val="0"/>
      <w:marTop w:val="0"/>
      <w:marBottom w:val="0"/>
      <w:divBdr>
        <w:top w:val="none" w:sz="0" w:space="0" w:color="auto"/>
        <w:left w:val="none" w:sz="0" w:space="0" w:color="auto"/>
        <w:bottom w:val="none" w:sz="0" w:space="0" w:color="auto"/>
        <w:right w:val="none" w:sz="0" w:space="0" w:color="auto"/>
      </w:divBdr>
    </w:div>
    <w:div w:id="1737318511">
      <w:bodyDiv w:val="1"/>
      <w:marLeft w:val="0"/>
      <w:marRight w:val="0"/>
      <w:marTop w:val="0"/>
      <w:marBottom w:val="0"/>
      <w:divBdr>
        <w:top w:val="none" w:sz="0" w:space="0" w:color="auto"/>
        <w:left w:val="none" w:sz="0" w:space="0" w:color="auto"/>
        <w:bottom w:val="none" w:sz="0" w:space="0" w:color="auto"/>
        <w:right w:val="none" w:sz="0" w:space="0" w:color="auto"/>
      </w:divBdr>
    </w:div>
    <w:div w:id="1766343319">
      <w:bodyDiv w:val="1"/>
      <w:marLeft w:val="0"/>
      <w:marRight w:val="0"/>
      <w:marTop w:val="0"/>
      <w:marBottom w:val="0"/>
      <w:divBdr>
        <w:top w:val="none" w:sz="0" w:space="0" w:color="auto"/>
        <w:left w:val="none" w:sz="0" w:space="0" w:color="auto"/>
        <w:bottom w:val="none" w:sz="0" w:space="0" w:color="auto"/>
        <w:right w:val="none" w:sz="0" w:space="0" w:color="auto"/>
      </w:divBdr>
    </w:div>
    <w:div w:id="1807745452">
      <w:bodyDiv w:val="1"/>
      <w:marLeft w:val="0"/>
      <w:marRight w:val="0"/>
      <w:marTop w:val="0"/>
      <w:marBottom w:val="0"/>
      <w:divBdr>
        <w:top w:val="none" w:sz="0" w:space="0" w:color="auto"/>
        <w:left w:val="none" w:sz="0" w:space="0" w:color="auto"/>
        <w:bottom w:val="none" w:sz="0" w:space="0" w:color="auto"/>
        <w:right w:val="none" w:sz="0" w:space="0" w:color="auto"/>
      </w:divBdr>
    </w:div>
    <w:div w:id="1813865289">
      <w:bodyDiv w:val="1"/>
      <w:marLeft w:val="0"/>
      <w:marRight w:val="0"/>
      <w:marTop w:val="0"/>
      <w:marBottom w:val="0"/>
      <w:divBdr>
        <w:top w:val="none" w:sz="0" w:space="0" w:color="auto"/>
        <w:left w:val="none" w:sz="0" w:space="0" w:color="auto"/>
        <w:bottom w:val="none" w:sz="0" w:space="0" w:color="auto"/>
        <w:right w:val="none" w:sz="0" w:space="0" w:color="auto"/>
      </w:divBdr>
    </w:div>
    <w:div w:id="1842506192">
      <w:bodyDiv w:val="1"/>
      <w:marLeft w:val="0"/>
      <w:marRight w:val="0"/>
      <w:marTop w:val="0"/>
      <w:marBottom w:val="0"/>
      <w:divBdr>
        <w:top w:val="none" w:sz="0" w:space="0" w:color="auto"/>
        <w:left w:val="none" w:sz="0" w:space="0" w:color="auto"/>
        <w:bottom w:val="none" w:sz="0" w:space="0" w:color="auto"/>
        <w:right w:val="none" w:sz="0" w:space="0" w:color="auto"/>
      </w:divBdr>
    </w:div>
    <w:div w:id="1886289565">
      <w:bodyDiv w:val="1"/>
      <w:marLeft w:val="0"/>
      <w:marRight w:val="0"/>
      <w:marTop w:val="0"/>
      <w:marBottom w:val="0"/>
      <w:divBdr>
        <w:top w:val="none" w:sz="0" w:space="0" w:color="auto"/>
        <w:left w:val="none" w:sz="0" w:space="0" w:color="auto"/>
        <w:bottom w:val="none" w:sz="0" w:space="0" w:color="auto"/>
        <w:right w:val="none" w:sz="0" w:space="0" w:color="auto"/>
      </w:divBdr>
    </w:div>
    <w:div w:id="1888486424">
      <w:bodyDiv w:val="1"/>
      <w:marLeft w:val="0"/>
      <w:marRight w:val="0"/>
      <w:marTop w:val="0"/>
      <w:marBottom w:val="0"/>
      <w:divBdr>
        <w:top w:val="none" w:sz="0" w:space="0" w:color="auto"/>
        <w:left w:val="none" w:sz="0" w:space="0" w:color="auto"/>
        <w:bottom w:val="none" w:sz="0" w:space="0" w:color="auto"/>
        <w:right w:val="none" w:sz="0" w:space="0" w:color="auto"/>
      </w:divBdr>
      <w:divsChild>
        <w:div w:id="2080248472">
          <w:marLeft w:val="0"/>
          <w:marRight w:val="0"/>
          <w:marTop w:val="0"/>
          <w:marBottom w:val="0"/>
          <w:divBdr>
            <w:top w:val="none" w:sz="0" w:space="0" w:color="auto"/>
            <w:left w:val="single" w:sz="18" w:space="5" w:color="FFFFFF"/>
            <w:bottom w:val="none" w:sz="0" w:space="0" w:color="auto"/>
            <w:right w:val="single" w:sz="18" w:space="5" w:color="FFFFFF"/>
          </w:divBdr>
          <w:divsChild>
            <w:div w:id="1785802535">
              <w:marLeft w:val="300"/>
              <w:marRight w:val="225"/>
              <w:marTop w:val="0"/>
              <w:marBottom w:val="0"/>
              <w:divBdr>
                <w:top w:val="none" w:sz="0" w:space="0" w:color="auto"/>
                <w:left w:val="none" w:sz="0" w:space="0" w:color="auto"/>
                <w:bottom w:val="none" w:sz="0" w:space="0" w:color="auto"/>
                <w:right w:val="none" w:sz="0" w:space="0" w:color="auto"/>
              </w:divBdr>
              <w:divsChild>
                <w:div w:id="8206590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91575494">
      <w:bodyDiv w:val="1"/>
      <w:marLeft w:val="0"/>
      <w:marRight w:val="0"/>
      <w:marTop w:val="0"/>
      <w:marBottom w:val="0"/>
      <w:divBdr>
        <w:top w:val="none" w:sz="0" w:space="0" w:color="auto"/>
        <w:left w:val="none" w:sz="0" w:space="0" w:color="auto"/>
        <w:bottom w:val="none" w:sz="0" w:space="0" w:color="auto"/>
        <w:right w:val="none" w:sz="0" w:space="0" w:color="auto"/>
      </w:divBdr>
      <w:divsChild>
        <w:div w:id="10953863">
          <w:marLeft w:val="0"/>
          <w:marRight w:val="0"/>
          <w:marTop w:val="0"/>
          <w:marBottom w:val="0"/>
          <w:divBdr>
            <w:top w:val="none" w:sz="0" w:space="0" w:color="auto"/>
            <w:left w:val="none" w:sz="0" w:space="0" w:color="auto"/>
            <w:bottom w:val="none" w:sz="0" w:space="0" w:color="auto"/>
            <w:right w:val="none" w:sz="0" w:space="0" w:color="auto"/>
          </w:divBdr>
        </w:div>
        <w:div w:id="1414888814">
          <w:marLeft w:val="0"/>
          <w:marRight w:val="0"/>
          <w:marTop w:val="0"/>
          <w:marBottom w:val="0"/>
          <w:divBdr>
            <w:top w:val="none" w:sz="0" w:space="0" w:color="auto"/>
            <w:left w:val="none" w:sz="0" w:space="0" w:color="auto"/>
            <w:bottom w:val="none" w:sz="0" w:space="0" w:color="auto"/>
            <w:right w:val="none" w:sz="0" w:space="0" w:color="auto"/>
          </w:divBdr>
        </w:div>
      </w:divsChild>
    </w:div>
    <w:div w:id="1894149111">
      <w:bodyDiv w:val="1"/>
      <w:marLeft w:val="0"/>
      <w:marRight w:val="0"/>
      <w:marTop w:val="0"/>
      <w:marBottom w:val="0"/>
      <w:divBdr>
        <w:top w:val="none" w:sz="0" w:space="0" w:color="auto"/>
        <w:left w:val="none" w:sz="0" w:space="0" w:color="auto"/>
        <w:bottom w:val="none" w:sz="0" w:space="0" w:color="auto"/>
        <w:right w:val="none" w:sz="0" w:space="0" w:color="auto"/>
      </w:divBdr>
    </w:div>
    <w:div w:id="1897664895">
      <w:bodyDiv w:val="1"/>
      <w:marLeft w:val="0"/>
      <w:marRight w:val="0"/>
      <w:marTop w:val="0"/>
      <w:marBottom w:val="0"/>
      <w:divBdr>
        <w:top w:val="none" w:sz="0" w:space="0" w:color="auto"/>
        <w:left w:val="none" w:sz="0" w:space="0" w:color="auto"/>
        <w:bottom w:val="none" w:sz="0" w:space="0" w:color="auto"/>
        <w:right w:val="none" w:sz="0" w:space="0" w:color="auto"/>
      </w:divBdr>
    </w:div>
    <w:div w:id="1926062065">
      <w:bodyDiv w:val="1"/>
      <w:marLeft w:val="0"/>
      <w:marRight w:val="0"/>
      <w:marTop w:val="0"/>
      <w:marBottom w:val="0"/>
      <w:divBdr>
        <w:top w:val="none" w:sz="0" w:space="0" w:color="auto"/>
        <w:left w:val="none" w:sz="0" w:space="0" w:color="auto"/>
        <w:bottom w:val="none" w:sz="0" w:space="0" w:color="auto"/>
        <w:right w:val="none" w:sz="0" w:space="0" w:color="auto"/>
      </w:divBdr>
    </w:div>
    <w:div w:id="1931623076">
      <w:bodyDiv w:val="1"/>
      <w:marLeft w:val="400"/>
      <w:marRight w:val="400"/>
      <w:marTop w:val="400"/>
      <w:marBottom w:val="0"/>
      <w:divBdr>
        <w:top w:val="none" w:sz="0" w:space="0" w:color="auto"/>
        <w:left w:val="none" w:sz="0" w:space="0" w:color="auto"/>
        <w:bottom w:val="none" w:sz="0" w:space="0" w:color="auto"/>
        <w:right w:val="none" w:sz="0" w:space="0" w:color="auto"/>
      </w:divBdr>
    </w:div>
    <w:div w:id="1942759864">
      <w:bodyDiv w:val="1"/>
      <w:marLeft w:val="0"/>
      <w:marRight w:val="0"/>
      <w:marTop w:val="0"/>
      <w:marBottom w:val="0"/>
      <w:divBdr>
        <w:top w:val="none" w:sz="0" w:space="0" w:color="auto"/>
        <w:left w:val="none" w:sz="0" w:space="0" w:color="auto"/>
        <w:bottom w:val="none" w:sz="0" w:space="0" w:color="auto"/>
        <w:right w:val="none" w:sz="0" w:space="0" w:color="auto"/>
      </w:divBdr>
    </w:div>
    <w:div w:id="1944145582">
      <w:bodyDiv w:val="1"/>
      <w:marLeft w:val="0"/>
      <w:marRight w:val="0"/>
      <w:marTop w:val="0"/>
      <w:marBottom w:val="0"/>
      <w:divBdr>
        <w:top w:val="none" w:sz="0" w:space="0" w:color="auto"/>
        <w:left w:val="none" w:sz="0" w:space="0" w:color="auto"/>
        <w:bottom w:val="none" w:sz="0" w:space="0" w:color="auto"/>
        <w:right w:val="none" w:sz="0" w:space="0" w:color="auto"/>
      </w:divBdr>
      <w:divsChild>
        <w:div w:id="278728152">
          <w:marLeft w:val="0"/>
          <w:marRight w:val="0"/>
          <w:marTop w:val="0"/>
          <w:marBottom w:val="0"/>
          <w:divBdr>
            <w:top w:val="none" w:sz="0" w:space="0" w:color="auto"/>
            <w:left w:val="none" w:sz="0" w:space="0" w:color="auto"/>
            <w:bottom w:val="none" w:sz="0" w:space="0" w:color="auto"/>
            <w:right w:val="none" w:sz="0" w:space="0" w:color="auto"/>
          </w:divBdr>
        </w:div>
        <w:div w:id="535698614">
          <w:marLeft w:val="0"/>
          <w:marRight w:val="0"/>
          <w:marTop w:val="0"/>
          <w:marBottom w:val="0"/>
          <w:divBdr>
            <w:top w:val="none" w:sz="0" w:space="0" w:color="auto"/>
            <w:left w:val="none" w:sz="0" w:space="0" w:color="auto"/>
            <w:bottom w:val="none" w:sz="0" w:space="0" w:color="auto"/>
            <w:right w:val="none" w:sz="0" w:space="0" w:color="auto"/>
          </w:divBdr>
        </w:div>
      </w:divsChild>
    </w:div>
    <w:div w:id="1950894713">
      <w:bodyDiv w:val="1"/>
      <w:marLeft w:val="0"/>
      <w:marRight w:val="0"/>
      <w:marTop w:val="0"/>
      <w:marBottom w:val="0"/>
      <w:divBdr>
        <w:top w:val="none" w:sz="0" w:space="0" w:color="auto"/>
        <w:left w:val="none" w:sz="0" w:space="0" w:color="auto"/>
        <w:bottom w:val="none" w:sz="0" w:space="0" w:color="auto"/>
        <w:right w:val="none" w:sz="0" w:space="0" w:color="auto"/>
      </w:divBdr>
    </w:div>
    <w:div w:id="1957250322">
      <w:bodyDiv w:val="1"/>
      <w:marLeft w:val="0"/>
      <w:marRight w:val="0"/>
      <w:marTop w:val="0"/>
      <w:marBottom w:val="0"/>
      <w:divBdr>
        <w:top w:val="none" w:sz="0" w:space="0" w:color="auto"/>
        <w:left w:val="none" w:sz="0" w:space="0" w:color="auto"/>
        <w:bottom w:val="none" w:sz="0" w:space="0" w:color="auto"/>
        <w:right w:val="none" w:sz="0" w:space="0" w:color="auto"/>
      </w:divBdr>
    </w:div>
    <w:div w:id="1965883885">
      <w:bodyDiv w:val="1"/>
      <w:marLeft w:val="0"/>
      <w:marRight w:val="0"/>
      <w:marTop w:val="0"/>
      <w:marBottom w:val="0"/>
      <w:divBdr>
        <w:top w:val="none" w:sz="0" w:space="0" w:color="auto"/>
        <w:left w:val="none" w:sz="0" w:space="0" w:color="auto"/>
        <w:bottom w:val="none" w:sz="0" w:space="0" w:color="auto"/>
        <w:right w:val="none" w:sz="0" w:space="0" w:color="auto"/>
      </w:divBdr>
    </w:div>
    <w:div w:id="1972439352">
      <w:bodyDiv w:val="1"/>
      <w:marLeft w:val="0"/>
      <w:marRight w:val="0"/>
      <w:marTop w:val="0"/>
      <w:marBottom w:val="0"/>
      <w:divBdr>
        <w:top w:val="none" w:sz="0" w:space="0" w:color="auto"/>
        <w:left w:val="none" w:sz="0" w:space="0" w:color="auto"/>
        <w:bottom w:val="none" w:sz="0" w:space="0" w:color="auto"/>
        <w:right w:val="none" w:sz="0" w:space="0" w:color="auto"/>
      </w:divBdr>
    </w:div>
    <w:div w:id="2013949287">
      <w:bodyDiv w:val="1"/>
      <w:marLeft w:val="0"/>
      <w:marRight w:val="0"/>
      <w:marTop w:val="0"/>
      <w:marBottom w:val="0"/>
      <w:divBdr>
        <w:top w:val="none" w:sz="0" w:space="0" w:color="auto"/>
        <w:left w:val="none" w:sz="0" w:space="0" w:color="auto"/>
        <w:bottom w:val="none" w:sz="0" w:space="0" w:color="auto"/>
        <w:right w:val="none" w:sz="0" w:space="0" w:color="auto"/>
      </w:divBdr>
    </w:div>
    <w:div w:id="2024621490">
      <w:bodyDiv w:val="1"/>
      <w:marLeft w:val="0"/>
      <w:marRight w:val="0"/>
      <w:marTop w:val="0"/>
      <w:marBottom w:val="0"/>
      <w:divBdr>
        <w:top w:val="none" w:sz="0" w:space="0" w:color="auto"/>
        <w:left w:val="none" w:sz="0" w:space="0" w:color="auto"/>
        <w:bottom w:val="none" w:sz="0" w:space="0" w:color="auto"/>
        <w:right w:val="none" w:sz="0" w:space="0" w:color="auto"/>
      </w:divBdr>
      <w:divsChild>
        <w:div w:id="1567111795">
          <w:marLeft w:val="0"/>
          <w:marRight w:val="0"/>
          <w:marTop w:val="0"/>
          <w:marBottom w:val="0"/>
          <w:divBdr>
            <w:top w:val="none" w:sz="0" w:space="0" w:color="auto"/>
            <w:left w:val="none" w:sz="0" w:space="0" w:color="auto"/>
            <w:bottom w:val="none" w:sz="0" w:space="0" w:color="auto"/>
            <w:right w:val="none" w:sz="0" w:space="0" w:color="auto"/>
          </w:divBdr>
        </w:div>
      </w:divsChild>
    </w:div>
    <w:div w:id="2029788654">
      <w:bodyDiv w:val="1"/>
      <w:marLeft w:val="0"/>
      <w:marRight w:val="0"/>
      <w:marTop w:val="0"/>
      <w:marBottom w:val="0"/>
      <w:divBdr>
        <w:top w:val="none" w:sz="0" w:space="0" w:color="auto"/>
        <w:left w:val="none" w:sz="0" w:space="0" w:color="auto"/>
        <w:bottom w:val="none" w:sz="0" w:space="0" w:color="auto"/>
        <w:right w:val="none" w:sz="0" w:space="0" w:color="auto"/>
      </w:divBdr>
    </w:div>
    <w:div w:id="2068650978">
      <w:bodyDiv w:val="1"/>
      <w:marLeft w:val="0"/>
      <w:marRight w:val="0"/>
      <w:marTop w:val="0"/>
      <w:marBottom w:val="0"/>
      <w:divBdr>
        <w:top w:val="none" w:sz="0" w:space="0" w:color="auto"/>
        <w:left w:val="none" w:sz="0" w:space="0" w:color="auto"/>
        <w:bottom w:val="none" w:sz="0" w:space="0" w:color="auto"/>
        <w:right w:val="none" w:sz="0" w:space="0" w:color="auto"/>
      </w:divBdr>
    </w:div>
    <w:div w:id="2070568748">
      <w:bodyDiv w:val="1"/>
      <w:marLeft w:val="0"/>
      <w:marRight w:val="0"/>
      <w:marTop w:val="0"/>
      <w:marBottom w:val="0"/>
      <w:divBdr>
        <w:top w:val="none" w:sz="0" w:space="0" w:color="auto"/>
        <w:left w:val="none" w:sz="0" w:space="0" w:color="auto"/>
        <w:bottom w:val="none" w:sz="0" w:space="0" w:color="auto"/>
        <w:right w:val="none" w:sz="0" w:space="0" w:color="auto"/>
      </w:divBdr>
    </w:div>
    <w:div w:id="2082099231">
      <w:bodyDiv w:val="1"/>
      <w:marLeft w:val="0"/>
      <w:marRight w:val="0"/>
      <w:marTop w:val="0"/>
      <w:marBottom w:val="0"/>
      <w:divBdr>
        <w:top w:val="none" w:sz="0" w:space="0" w:color="auto"/>
        <w:left w:val="none" w:sz="0" w:space="0" w:color="auto"/>
        <w:bottom w:val="none" w:sz="0" w:space="0" w:color="auto"/>
        <w:right w:val="none" w:sz="0" w:space="0" w:color="auto"/>
      </w:divBdr>
    </w:div>
    <w:div w:id="2115706798">
      <w:bodyDiv w:val="1"/>
      <w:marLeft w:val="0"/>
      <w:marRight w:val="0"/>
      <w:marTop w:val="0"/>
      <w:marBottom w:val="0"/>
      <w:divBdr>
        <w:top w:val="none" w:sz="0" w:space="0" w:color="auto"/>
        <w:left w:val="none" w:sz="0" w:space="0" w:color="auto"/>
        <w:bottom w:val="none" w:sz="0" w:space="0" w:color="auto"/>
        <w:right w:val="none" w:sz="0" w:space="0" w:color="auto"/>
      </w:divBdr>
    </w:div>
    <w:div w:id="2132017767">
      <w:bodyDiv w:val="1"/>
      <w:marLeft w:val="0"/>
      <w:marRight w:val="0"/>
      <w:marTop w:val="0"/>
      <w:marBottom w:val="0"/>
      <w:divBdr>
        <w:top w:val="none" w:sz="0" w:space="0" w:color="auto"/>
        <w:left w:val="none" w:sz="0" w:space="0" w:color="auto"/>
        <w:bottom w:val="none" w:sz="0" w:space="0" w:color="auto"/>
        <w:right w:val="none" w:sz="0" w:space="0" w:color="auto"/>
      </w:divBdr>
    </w:div>
    <w:div w:id="2136487059">
      <w:bodyDiv w:val="1"/>
      <w:marLeft w:val="0"/>
      <w:marRight w:val="0"/>
      <w:marTop w:val="0"/>
      <w:marBottom w:val="0"/>
      <w:divBdr>
        <w:top w:val="none" w:sz="0" w:space="0" w:color="auto"/>
        <w:left w:val="none" w:sz="0" w:space="0" w:color="auto"/>
        <w:bottom w:val="none" w:sz="0" w:space="0" w:color="auto"/>
        <w:right w:val="none" w:sz="0" w:space="0" w:color="auto"/>
      </w:divBdr>
    </w:div>
    <w:div w:id="2139642754">
      <w:bodyDiv w:val="1"/>
      <w:marLeft w:val="0"/>
      <w:marRight w:val="0"/>
      <w:marTop w:val="0"/>
      <w:marBottom w:val="0"/>
      <w:divBdr>
        <w:top w:val="none" w:sz="0" w:space="0" w:color="auto"/>
        <w:left w:val="none" w:sz="0" w:space="0" w:color="auto"/>
        <w:bottom w:val="none" w:sz="0" w:space="0" w:color="auto"/>
        <w:right w:val="none" w:sz="0" w:space="0" w:color="auto"/>
      </w:divBdr>
      <w:divsChild>
        <w:div w:id="17229718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1.jpeg"/><Relationship Id="rId3" Type="http://schemas.openxmlformats.org/officeDocument/2006/relationships/customXml" Target="../customXml/item3.xml"/><Relationship Id="rId21" Type="http://schemas.microsoft.com/office/2007/relationships/stylesWithEffects" Target="stylesWithEffects.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33" Type="http://schemas.openxmlformats.org/officeDocument/2006/relationships/hyperlink" Target="mailto:Karlis.Pigens@em.gov.l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hyperlink" Target="mailto:Rota.Snuka@em.gov.lv"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hyperlink" Target="http://www.em.gov.lv/em/2nd/?cat=30168" TargetMode="External"/><Relationship Id="rId36"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image" Target="media/image2.jpeg"/><Relationship Id="rId30" Type="http://schemas.openxmlformats.org/officeDocument/2006/relationships/chart" Target="charts/chart2.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storage\redirect$\evijam\Desktop\komandejums\citi%20darbi\materiala%20nenodr\materiala%20nenodr\MBdat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storage\redirect$\evijam\Desktop\komandejums\citi%20darbi\materiala%20nenodr\materiala%20nenodr\ekon_spriedze_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orage\redirect$\evijam\Desktop\ek%20sarunam%20par%20soc%20pal_nabadzibu\Ienak_ar_pasv_v_pabalstiem_LM_04-02-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lv-LV" sz="1000"/>
              <a:t>Mājsaimniecību izdevumi mājoklim, ūdenim, elektroenerģijai, gāzei</a:t>
            </a:r>
            <a:r>
              <a:rPr lang="lv-LV" sz="1000" baseline="0"/>
              <a:t> u.c. kurināmajam kvintiļu grupās vidēji uz vienu mājsaimniecības locekli mēnesī, % 2011</a:t>
            </a:r>
            <a:endParaRPr lang="lv-LV" sz="1000"/>
          </a:p>
        </c:rich>
      </c:tx>
      <c:layout>
        <c:manualLayout>
          <c:xMode val="edge"/>
          <c:yMode val="edge"/>
          <c:x val="0.10266677271401681"/>
          <c:y val="2.7695351137487636E-2"/>
        </c:manualLayout>
      </c:layout>
      <c:overlay val="0"/>
    </c:title>
    <c:autoTitleDeleted val="0"/>
    <c:plotArea>
      <c:layout/>
      <c:barChart>
        <c:barDir val="col"/>
        <c:grouping val="clustered"/>
        <c:varyColors val="0"/>
        <c:ser>
          <c:idx val="0"/>
          <c:order val="0"/>
          <c:tx>
            <c:v>Lati</c:v>
          </c:tx>
          <c:invertIfNegative val="0"/>
          <c:cat>
            <c:strRef>
              <c:f>Sheet1!$A$117:$A$121</c:f>
              <c:strCache>
                <c:ptCount val="5"/>
                <c:pt idx="0">
                  <c:v>1 
(73 LVL)</c:v>
                </c:pt>
                <c:pt idx="1">
                  <c:v>2 
(139 LVL)</c:v>
                </c:pt>
                <c:pt idx="2">
                  <c:v>3 
(182 LVL)</c:v>
                </c:pt>
                <c:pt idx="3">
                  <c:v>4 
(247 LVL)</c:v>
                </c:pt>
                <c:pt idx="4">
                  <c:v>5 
(479 LVL)</c:v>
                </c:pt>
              </c:strCache>
            </c:strRef>
          </c:cat>
          <c:val>
            <c:numRef>
              <c:f>Sheet1!$H$117:$H$121</c:f>
              <c:numCache>
                <c:formatCode>General</c:formatCode>
                <c:ptCount val="5"/>
                <c:pt idx="0">
                  <c:v>19.88</c:v>
                </c:pt>
                <c:pt idx="1">
                  <c:v>28.19</c:v>
                </c:pt>
                <c:pt idx="2">
                  <c:v>34.03</c:v>
                </c:pt>
                <c:pt idx="3">
                  <c:v>33.619999999999997</c:v>
                </c:pt>
                <c:pt idx="4">
                  <c:v>46.1</c:v>
                </c:pt>
              </c:numCache>
            </c:numRef>
          </c:val>
        </c:ser>
        <c:ser>
          <c:idx val="1"/>
          <c:order val="1"/>
          <c:tx>
            <c:v>%</c:v>
          </c:tx>
          <c:invertIfNegative val="0"/>
          <c:cat>
            <c:strRef>
              <c:f>Sheet1!$A$117:$A$121</c:f>
              <c:strCache>
                <c:ptCount val="5"/>
                <c:pt idx="0">
                  <c:v>1 
(73 LVL)</c:v>
                </c:pt>
                <c:pt idx="1">
                  <c:v>2 
(139 LVL)</c:v>
                </c:pt>
                <c:pt idx="2">
                  <c:v>3 
(182 LVL)</c:v>
                </c:pt>
                <c:pt idx="3">
                  <c:v>4 
(247 LVL)</c:v>
                </c:pt>
                <c:pt idx="4">
                  <c:v>5 
(479 LVL)</c:v>
                </c:pt>
              </c:strCache>
            </c:strRef>
          </c:cat>
          <c:val>
            <c:numRef>
              <c:f>Sheet1!$I$117:$I$121</c:f>
              <c:numCache>
                <c:formatCode>General</c:formatCode>
                <c:ptCount val="5"/>
                <c:pt idx="0">
                  <c:v>19.2</c:v>
                </c:pt>
                <c:pt idx="1">
                  <c:v>18.3</c:v>
                </c:pt>
                <c:pt idx="2">
                  <c:v>19.600000000000001</c:v>
                </c:pt>
                <c:pt idx="3">
                  <c:v>15.4</c:v>
                </c:pt>
                <c:pt idx="4">
                  <c:v>13.9</c:v>
                </c:pt>
              </c:numCache>
            </c:numRef>
          </c:val>
        </c:ser>
        <c:dLbls>
          <c:showLegendKey val="0"/>
          <c:showVal val="1"/>
          <c:showCatName val="0"/>
          <c:showSerName val="0"/>
          <c:showPercent val="0"/>
          <c:showBubbleSize val="0"/>
        </c:dLbls>
        <c:gapWidth val="150"/>
        <c:overlap val="-25"/>
        <c:axId val="153737088"/>
        <c:axId val="153738624"/>
      </c:barChart>
      <c:catAx>
        <c:axId val="153737088"/>
        <c:scaling>
          <c:orientation val="minMax"/>
        </c:scaling>
        <c:delete val="0"/>
        <c:axPos val="b"/>
        <c:majorTickMark val="none"/>
        <c:minorTickMark val="none"/>
        <c:tickLblPos val="nextTo"/>
        <c:crossAx val="153738624"/>
        <c:crosses val="autoZero"/>
        <c:auto val="1"/>
        <c:lblAlgn val="ctr"/>
        <c:lblOffset val="100"/>
        <c:noMultiLvlLbl val="0"/>
      </c:catAx>
      <c:valAx>
        <c:axId val="153738624"/>
        <c:scaling>
          <c:orientation val="minMax"/>
        </c:scaling>
        <c:delete val="1"/>
        <c:axPos val="l"/>
        <c:numFmt formatCode="General" sourceLinked="1"/>
        <c:majorTickMark val="none"/>
        <c:minorTickMark val="none"/>
        <c:tickLblPos val="nextTo"/>
        <c:crossAx val="153737088"/>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lv-LV" sz="1100" b="1" i="0" u="none" strike="noStrike" baseline="0">
                <a:effectLst/>
              </a:rPr>
              <a:t>Mājsaimniecību īpatsvars % kvintiļu grupās, kuras naudas trūkuma dēļ nevarēja atļauties segt komunālo pakalpojumu rēķinus, īri vai atmaksāt kredītu </a:t>
            </a:r>
            <a:r>
              <a:rPr lang="lv-LV" sz="1100" b="1" i="0" u="none" strike="noStrike" baseline="0"/>
              <a:t> </a:t>
            </a:r>
            <a:endParaRPr lang="lv-LV" sz="1100" b="1"/>
          </a:p>
        </c:rich>
      </c:tx>
      <c:overlay val="0"/>
    </c:title>
    <c:autoTitleDeleted val="0"/>
    <c:plotArea>
      <c:layout/>
      <c:barChart>
        <c:barDir val="col"/>
        <c:grouping val="clustered"/>
        <c:varyColors val="0"/>
        <c:ser>
          <c:idx val="0"/>
          <c:order val="0"/>
          <c:tx>
            <c:strRef>
              <c:f>Sheet1!$B$117</c:f>
              <c:strCache>
                <c:ptCount val="1"/>
              </c:strCache>
            </c:strRef>
          </c:tx>
          <c:invertIfNegative val="0"/>
          <c:cat>
            <c:strRef>
              <c:f>Sheet1!$A$118:$A$122</c:f>
              <c:strCache>
                <c:ptCount val="5"/>
                <c:pt idx="0">
                  <c:v>1 
(73 LVL)</c:v>
                </c:pt>
                <c:pt idx="1">
                  <c:v>2 
(139 LVL)</c:v>
                </c:pt>
                <c:pt idx="2">
                  <c:v>3 
(182 LVL)</c:v>
                </c:pt>
                <c:pt idx="3">
                  <c:v>4 
(247 LVL)</c:v>
                </c:pt>
                <c:pt idx="4">
                  <c:v>5 
(479 LVL)</c:v>
                </c:pt>
              </c:strCache>
            </c:strRef>
          </c:cat>
          <c:val>
            <c:numRef>
              <c:f>Sheet1!$B$118:$B$122</c:f>
              <c:numCache>
                <c:formatCode>General</c:formatCode>
                <c:ptCount val="5"/>
                <c:pt idx="0">
                  <c:v>46</c:v>
                </c:pt>
                <c:pt idx="1">
                  <c:v>28.2</c:v>
                </c:pt>
                <c:pt idx="2">
                  <c:v>18.2</c:v>
                </c:pt>
                <c:pt idx="3">
                  <c:v>17.399999999999999</c:v>
                </c:pt>
                <c:pt idx="4">
                  <c:v>10.4</c:v>
                </c:pt>
              </c:numCache>
            </c:numRef>
          </c:val>
        </c:ser>
        <c:dLbls>
          <c:showLegendKey val="0"/>
          <c:showVal val="1"/>
          <c:showCatName val="0"/>
          <c:showSerName val="0"/>
          <c:showPercent val="0"/>
          <c:showBubbleSize val="0"/>
        </c:dLbls>
        <c:gapWidth val="75"/>
        <c:axId val="154108288"/>
        <c:axId val="154109824"/>
      </c:barChart>
      <c:catAx>
        <c:axId val="154108288"/>
        <c:scaling>
          <c:orientation val="minMax"/>
        </c:scaling>
        <c:delete val="0"/>
        <c:axPos val="b"/>
        <c:majorTickMark val="none"/>
        <c:minorTickMark val="none"/>
        <c:tickLblPos val="nextTo"/>
        <c:crossAx val="154109824"/>
        <c:crosses val="autoZero"/>
        <c:auto val="1"/>
        <c:lblAlgn val="ctr"/>
        <c:lblOffset val="100"/>
        <c:noMultiLvlLbl val="0"/>
      </c:catAx>
      <c:valAx>
        <c:axId val="154109824"/>
        <c:scaling>
          <c:orientation val="minMax"/>
        </c:scaling>
        <c:delete val="0"/>
        <c:axPos val="l"/>
        <c:numFmt formatCode="General" sourceLinked="1"/>
        <c:majorTickMark val="none"/>
        <c:minorTickMark val="none"/>
        <c:tickLblPos val="nextTo"/>
        <c:crossAx val="1541082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RES!$A$53</c:f>
              <c:strCache>
                <c:ptCount val="1"/>
                <c:pt idx="0">
                  <c:v>Mājsaimniecību ienākumi no pašvaldību sociālajiem transfertiem 2011.gadā, %</c:v>
                </c:pt>
              </c:strCache>
            </c:strRef>
          </c:tx>
          <c:invertIfNegative val="0"/>
          <c:cat>
            <c:multiLvlStrRef>
              <c:f>RES!$B$51:$F$52</c:f>
              <c:multiLvlStrCache>
                <c:ptCount val="5"/>
                <c:lvl>
                  <c:pt idx="0">
                    <c:v>1</c:v>
                  </c:pt>
                  <c:pt idx="1">
                    <c:v>2</c:v>
                  </c:pt>
                  <c:pt idx="2">
                    <c:v>3</c:v>
                  </c:pt>
                  <c:pt idx="3">
                    <c:v>4</c:v>
                  </c:pt>
                  <c:pt idx="4">
                    <c:v>5</c:v>
                  </c:pt>
                </c:lvl>
                <c:lvl>
                  <c:pt idx="0">
                    <c:v>Kvintiles</c:v>
                  </c:pt>
                </c:lvl>
              </c:multiLvlStrCache>
            </c:multiLvlStrRef>
          </c:cat>
          <c:val>
            <c:numRef>
              <c:f>RES!$B$53:$F$53</c:f>
              <c:numCache>
                <c:formatCode>0.00</c:formatCode>
                <c:ptCount val="5"/>
                <c:pt idx="0">
                  <c:v>4.62</c:v>
                </c:pt>
                <c:pt idx="1">
                  <c:v>1.18</c:v>
                </c:pt>
                <c:pt idx="2">
                  <c:v>0.49</c:v>
                </c:pt>
                <c:pt idx="3">
                  <c:v>0.2</c:v>
                </c:pt>
                <c:pt idx="4">
                  <c:v>7.0000000000000007E-2</c:v>
                </c:pt>
              </c:numCache>
            </c:numRef>
          </c:val>
        </c:ser>
        <c:dLbls>
          <c:showLegendKey val="0"/>
          <c:showVal val="1"/>
          <c:showCatName val="0"/>
          <c:showSerName val="0"/>
          <c:showPercent val="0"/>
          <c:showBubbleSize val="0"/>
        </c:dLbls>
        <c:gapWidth val="75"/>
        <c:shape val="cylinder"/>
        <c:axId val="154126976"/>
        <c:axId val="154468736"/>
        <c:axId val="0"/>
      </c:bar3DChart>
      <c:catAx>
        <c:axId val="154126976"/>
        <c:scaling>
          <c:orientation val="minMax"/>
        </c:scaling>
        <c:delete val="0"/>
        <c:axPos val="b"/>
        <c:majorTickMark val="none"/>
        <c:minorTickMark val="none"/>
        <c:tickLblPos val="nextTo"/>
        <c:crossAx val="154468736"/>
        <c:crosses val="autoZero"/>
        <c:auto val="1"/>
        <c:lblAlgn val="ctr"/>
        <c:lblOffset val="100"/>
        <c:noMultiLvlLbl val="0"/>
      </c:catAx>
      <c:valAx>
        <c:axId val="154468736"/>
        <c:scaling>
          <c:orientation val="minMax"/>
        </c:scaling>
        <c:delete val="0"/>
        <c:axPos val="l"/>
        <c:numFmt formatCode="0.00" sourceLinked="1"/>
        <c:majorTickMark val="none"/>
        <c:minorTickMark val="none"/>
        <c:tickLblPos val="nextTo"/>
        <c:crossAx val="154126976"/>
        <c:crosses val="autoZero"/>
        <c:crossBetween val="between"/>
      </c:valAx>
    </c:plotArea>
    <c:legend>
      <c:legendPos val="t"/>
      <c:legendEntry>
        <c:idx val="0"/>
        <c:txPr>
          <a:bodyPr/>
          <a:lstStyle/>
          <a:p>
            <a:pPr>
              <a:defRPr sz="1200" b="1"/>
            </a:pPr>
            <a:endParaRPr lang="lv-LV"/>
          </a:p>
        </c:txPr>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C89F-F51D-4D9F-A715-7403A71CC1CF}">
  <ds:schemaRefs>
    <ds:schemaRef ds:uri="http://schemas.openxmlformats.org/officeDocument/2006/bibliography"/>
  </ds:schemaRefs>
</ds:datastoreItem>
</file>

<file path=customXml/itemProps10.xml><?xml version="1.0" encoding="utf-8"?>
<ds:datastoreItem xmlns:ds="http://schemas.openxmlformats.org/officeDocument/2006/customXml" ds:itemID="{C36C9D07-4454-4F15-AC72-AF2EBA94CB0D}">
  <ds:schemaRefs>
    <ds:schemaRef ds:uri="http://schemas.openxmlformats.org/officeDocument/2006/bibliography"/>
  </ds:schemaRefs>
</ds:datastoreItem>
</file>

<file path=customXml/itemProps11.xml><?xml version="1.0" encoding="utf-8"?>
<ds:datastoreItem xmlns:ds="http://schemas.openxmlformats.org/officeDocument/2006/customXml" ds:itemID="{0BC44B23-C4F5-41AD-855C-8F64BBE173D8}">
  <ds:schemaRefs>
    <ds:schemaRef ds:uri="http://schemas.openxmlformats.org/officeDocument/2006/bibliography"/>
  </ds:schemaRefs>
</ds:datastoreItem>
</file>

<file path=customXml/itemProps12.xml><?xml version="1.0" encoding="utf-8"?>
<ds:datastoreItem xmlns:ds="http://schemas.openxmlformats.org/officeDocument/2006/customXml" ds:itemID="{D05B5AB6-940F-4028-9C00-1161263AD616}">
  <ds:schemaRefs>
    <ds:schemaRef ds:uri="http://schemas.openxmlformats.org/officeDocument/2006/bibliography"/>
  </ds:schemaRefs>
</ds:datastoreItem>
</file>

<file path=customXml/itemProps13.xml><?xml version="1.0" encoding="utf-8"?>
<ds:datastoreItem xmlns:ds="http://schemas.openxmlformats.org/officeDocument/2006/customXml" ds:itemID="{DCD4F5B7-7E4F-4530-AD58-E4BA51DBDD86}">
  <ds:schemaRefs>
    <ds:schemaRef ds:uri="http://schemas.openxmlformats.org/officeDocument/2006/bibliography"/>
  </ds:schemaRefs>
</ds:datastoreItem>
</file>

<file path=customXml/itemProps14.xml><?xml version="1.0" encoding="utf-8"?>
<ds:datastoreItem xmlns:ds="http://schemas.openxmlformats.org/officeDocument/2006/customXml" ds:itemID="{C28C4441-E342-45AA-A0E8-4348A0CBD569}">
  <ds:schemaRefs>
    <ds:schemaRef ds:uri="http://schemas.openxmlformats.org/officeDocument/2006/bibliography"/>
  </ds:schemaRefs>
</ds:datastoreItem>
</file>

<file path=customXml/itemProps15.xml><?xml version="1.0" encoding="utf-8"?>
<ds:datastoreItem xmlns:ds="http://schemas.openxmlformats.org/officeDocument/2006/customXml" ds:itemID="{A35EC0C9-4019-4699-8A1C-788CD0DF85B6}">
  <ds:schemaRefs>
    <ds:schemaRef ds:uri="http://schemas.openxmlformats.org/officeDocument/2006/bibliography"/>
  </ds:schemaRefs>
</ds:datastoreItem>
</file>

<file path=customXml/itemProps16.xml><?xml version="1.0" encoding="utf-8"?>
<ds:datastoreItem xmlns:ds="http://schemas.openxmlformats.org/officeDocument/2006/customXml" ds:itemID="{38672EED-EC9F-4CF8-A7CE-147BEA0428BD}">
  <ds:schemaRefs>
    <ds:schemaRef ds:uri="http://schemas.openxmlformats.org/officeDocument/2006/bibliography"/>
  </ds:schemaRefs>
</ds:datastoreItem>
</file>

<file path=customXml/itemProps17.xml><?xml version="1.0" encoding="utf-8"?>
<ds:datastoreItem xmlns:ds="http://schemas.openxmlformats.org/officeDocument/2006/customXml" ds:itemID="{0E718757-67CC-42F1-A9F7-7FC32F88454E}">
  <ds:schemaRefs>
    <ds:schemaRef ds:uri="http://schemas.openxmlformats.org/officeDocument/2006/bibliography"/>
  </ds:schemaRefs>
</ds:datastoreItem>
</file>

<file path=customXml/itemProps18.xml><?xml version="1.0" encoding="utf-8"?>
<ds:datastoreItem xmlns:ds="http://schemas.openxmlformats.org/officeDocument/2006/customXml" ds:itemID="{8D252BFA-821C-4058-BE01-D758122FEBAC}">
  <ds:schemaRefs>
    <ds:schemaRef ds:uri="http://schemas.openxmlformats.org/officeDocument/2006/bibliography"/>
  </ds:schemaRefs>
</ds:datastoreItem>
</file>

<file path=customXml/itemProps2.xml><?xml version="1.0" encoding="utf-8"?>
<ds:datastoreItem xmlns:ds="http://schemas.openxmlformats.org/officeDocument/2006/customXml" ds:itemID="{76A1F020-409D-41B4-A08A-B282D88BAD57}">
  <ds:schemaRefs>
    <ds:schemaRef ds:uri="http://schemas.openxmlformats.org/officeDocument/2006/bibliography"/>
  </ds:schemaRefs>
</ds:datastoreItem>
</file>

<file path=customXml/itemProps3.xml><?xml version="1.0" encoding="utf-8"?>
<ds:datastoreItem xmlns:ds="http://schemas.openxmlformats.org/officeDocument/2006/customXml" ds:itemID="{B3DF073C-0E37-46FC-A533-424C544F535C}">
  <ds:schemaRefs>
    <ds:schemaRef ds:uri="http://schemas.openxmlformats.org/officeDocument/2006/bibliography"/>
  </ds:schemaRefs>
</ds:datastoreItem>
</file>

<file path=customXml/itemProps4.xml><?xml version="1.0" encoding="utf-8"?>
<ds:datastoreItem xmlns:ds="http://schemas.openxmlformats.org/officeDocument/2006/customXml" ds:itemID="{5BBE890E-B6CB-4B0E-8F58-B14D2A232A18}">
  <ds:schemaRefs>
    <ds:schemaRef ds:uri="http://schemas.openxmlformats.org/officeDocument/2006/bibliography"/>
  </ds:schemaRefs>
</ds:datastoreItem>
</file>

<file path=customXml/itemProps5.xml><?xml version="1.0" encoding="utf-8"?>
<ds:datastoreItem xmlns:ds="http://schemas.openxmlformats.org/officeDocument/2006/customXml" ds:itemID="{A9E28596-B2D8-4461-8A6C-31EAF6484699}">
  <ds:schemaRefs>
    <ds:schemaRef ds:uri="http://schemas.openxmlformats.org/officeDocument/2006/bibliography"/>
  </ds:schemaRefs>
</ds:datastoreItem>
</file>

<file path=customXml/itemProps6.xml><?xml version="1.0" encoding="utf-8"?>
<ds:datastoreItem xmlns:ds="http://schemas.openxmlformats.org/officeDocument/2006/customXml" ds:itemID="{6DA8F40E-C130-4D24-A0BA-3D2925B30183}">
  <ds:schemaRefs>
    <ds:schemaRef ds:uri="http://schemas.openxmlformats.org/officeDocument/2006/bibliography"/>
  </ds:schemaRefs>
</ds:datastoreItem>
</file>

<file path=customXml/itemProps7.xml><?xml version="1.0" encoding="utf-8"?>
<ds:datastoreItem xmlns:ds="http://schemas.openxmlformats.org/officeDocument/2006/customXml" ds:itemID="{CA731745-B2B5-4639-AF4E-CD20E7914B9F}">
  <ds:schemaRefs>
    <ds:schemaRef ds:uri="http://schemas.openxmlformats.org/officeDocument/2006/bibliography"/>
  </ds:schemaRefs>
</ds:datastoreItem>
</file>

<file path=customXml/itemProps8.xml><?xml version="1.0" encoding="utf-8"?>
<ds:datastoreItem xmlns:ds="http://schemas.openxmlformats.org/officeDocument/2006/customXml" ds:itemID="{EE08E6F3-7D68-4F31-8EB6-673AB60F7498}">
  <ds:schemaRefs>
    <ds:schemaRef ds:uri="http://schemas.openxmlformats.org/officeDocument/2006/bibliography"/>
  </ds:schemaRefs>
</ds:datastoreItem>
</file>

<file path=customXml/itemProps9.xml><?xml version="1.0" encoding="utf-8"?>
<ds:datastoreItem xmlns:ds="http://schemas.openxmlformats.org/officeDocument/2006/customXml" ds:itemID="{DC33B0DD-16C0-49B8-B8E3-FE07CAB6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27</Pages>
  <Words>43009</Words>
  <Characters>24516</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Informatīvais ziņojums par atbalsta mehānismiem elektroenerģijas ražošanai, izmantojot fosilos energoresursus</vt:lpstr>
    </vt:vector>
  </TitlesOfParts>
  <Company>LR Ekonomikas ministrija</Company>
  <LinksUpToDate>false</LinksUpToDate>
  <CharactersWithSpaces>67391</CharactersWithSpaces>
  <SharedDoc>false</SharedDoc>
  <HLinks>
    <vt:vector size="156" baseType="variant">
      <vt:variant>
        <vt:i4>4128797</vt:i4>
      </vt:variant>
      <vt:variant>
        <vt:i4>129</vt:i4>
      </vt:variant>
      <vt:variant>
        <vt:i4>0</vt:i4>
      </vt:variant>
      <vt:variant>
        <vt:i4>5</vt:i4>
      </vt:variant>
      <vt:variant>
        <vt:lpwstr>mailto:Karlis.Pigens@em.gov.lv</vt:lpwstr>
      </vt:variant>
      <vt:variant>
        <vt:lpwstr/>
      </vt:variant>
      <vt:variant>
        <vt:i4>4128797</vt:i4>
      </vt:variant>
      <vt:variant>
        <vt:i4>126</vt:i4>
      </vt:variant>
      <vt:variant>
        <vt:i4>0</vt:i4>
      </vt:variant>
      <vt:variant>
        <vt:i4>5</vt:i4>
      </vt:variant>
      <vt:variant>
        <vt:lpwstr>mailto:Karlis.Pigens@em.gov.lv</vt:lpwstr>
      </vt:variant>
      <vt:variant>
        <vt:lpwstr/>
      </vt:variant>
      <vt:variant>
        <vt:i4>7405617</vt:i4>
      </vt:variant>
      <vt:variant>
        <vt:i4>117</vt:i4>
      </vt:variant>
      <vt:variant>
        <vt:i4>0</vt:i4>
      </vt:variant>
      <vt:variant>
        <vt:i4>5</vt:i4>
      </vt:variant>
      <vt:variant>
        <vt:lpwstr>http://www.em.gov.lv/em/2nd/?cat=30168</vt:lpwstr>
      </vt:variant>
      <vt:variant>
        <vt:lpwstr/>
      </vt:variant>
      <vt:variant>
        <vt:i4>1310778</vt:i4>
      </vt:variant>
      <vt:variant>
        <vt:i4>110</vt:i4>
      </vt:variant>
      <vt:variant>
        <vt:i4>0</vt:i4>
      </vt:variant>
      <vt:variant>
        <vt:i4>5</vt:i4>
      </vt:variant>
      <vt:variant>
        <vt:lpwstr/>
      </vt:variant>
      <vt:variant>
        <vt:lpwstr>_Toc351283076</vt:lpwstr>
      </vt:variant>
      <vt:variant>
        <vt:i4>1310778</vt:i4>
      </vt:variant>
      <vt:variant>
        <vt:i4>104</vt:i4>
      </vt:variant>
      <vt:variant>
        <vt:i4>0</vt:i4>
      </vt:variant>
      <vt:variant>
        <vt:i4>5</vt:i4>
      </vt:variant>
      <vt:variant>
        <vt:lpwstr/>
      </vt:variant>
      <vt:variant>
        <vt:lpwstr>_Toc351283075</vt:lpwstr>
      </vt:variant>
      <vt:variant>
        <vt:i4>1310778</vt:i4>
      </vt:variant>
      <vt:variant>
        <vt:i4>98</vt:i4>
      </vt:variant>
      <vt:variant>
        <vt:i4>0</vt:i4>
      </vt:variant>
      <vt:variant>
        <vt:i4>5</vt:i4>
      </vt:variant>
      <vt:variant>
        <vt:lpwstr/>
      </vt:variant>
      <vt:variant>
        <vt:lpwstr>_Toc351283074</vt:lpwstr>
      </vt:variant>
      <vt:variant>
        <vt:i4>1310778</vt:i4>
      </vt:variant>
      <vt:variant>
        <vt:i4>92</vt:i4>
      </vt:variant>
      <vt:variant>
        <vt:i4>0</vt:i4>
      </vt:variant>
      <vt:variant>
        <vt:i4>5</vt:i4>
      </vt:variant>
      <vt:variant>
        <vt:lpwstr/>
      </vt:variant>
      <vt:variant>
        <vt:lpwstr>_Toc351283073</vt:lpwstr>
      </vt:variant>
      <vt:variant>
        <vt:i4>1310778</vt:i4>
      </vt:variant>
      <vt:variant>
        <vt:i4>86</vt:i4>
      </vt:variant>
      <vt:variant>
        <vt:i4>0</vt:i4>
      </vt:variant>
      <vt:variant>
        <vt:i4>5</vt:i4>
      </vt:variant>
      <vt:variant>
        <vt:lpwstr/>
      </vt:variant>
      <vt:variant>
        <vt:lpwstr>_Toc351283072</vt:lpwstr>
      </vt:variant>
      <vt:variant>
        <vt:i4>1310778</vt:i4>
      </vt:variant>
      <vt:variant>
        <vt:i4>80</vt:i4>
      </vt:variant>
      <vt:variant>
        <vt:i4>0</vt:i4>
      </vt:variant>
      <vt:variant>
        <vt:i4>5</vt:i4>
      </vt:variant>
      <vt:variant>
        <vt:lpwstr/>
      </vt:variant>
      <vt:variant>
        <vt:lpwstr>_Toc351283071</vt:lpwstr>
      </vt:variant>
      <vt:variant>
        <vt:i4>1310778</vt:i4>
      </vt:variant>
      <vt:variant>
        <vt:i4>74</vt:i4>
      </vt:variant>
      <vt:variant>
        <vt:i4>0</vt:i4>
      </vt:variant>
      <vt:variant>
        <vt:i4>5</vt:i4>
      </vt:variant>
      <vt:variant>
        <vt:lpwstr/>
      </vt:variant>
      <vt:variant>
        <vt:lpwstr>_Toc351283070</vt:lpwstr>
      </vt:variant>
      <vt:variant>
        <vt:i4>1376314</vt:i4>
      </vt:variant>
      <vt:variant>
        <vt:i4>68</vt:i4>
      </vt:variant>
      <vt:variant>
        <vt:i4>0</vt:i4>
      </vt:variant>
      <vt:variant>
        <vt:i4>5</vt:i4>
      </vt:variant>
      <vt:variant>
        <vt:lpwstr/>
      </vt:variant>
      <vt:variant>
        <vt:lpwstr>_Toc351283069</vt:lpwstr>
      </vt:variant>
      <vt:variant>
        <vt:i4>1376314</vt:i4>
      </vt:variant>
      <vt:variant>
        <vt:i4>62</vt:i4>
      </vt:variant>
      <vt:variant>
        <vt:i4>0</vt:i4>
      </vt:variant>
      <vt:variant>
        <vt:i4>5</vt:i4>
      </vt:variant>
      <vt:variant>
        <vt:lpwstr/>
      </vt:variant>
      <vt:variant>
        <vt:lpwstr>_Toc351283068</vt:lpwstr>
      </vt:variant>
      <vt:variant>
        <vt:i4>1376314</vt:i4>
      </vt:variant>
      <vt:variant>
        <vt:i4>56</vt:i4>
      </vt:variant>
      <vt:variant>
        <vt:i4>0</vt:i4>
      </vt:variant>
      <vt:variant>
        <vt:i4>5</vt:i4>
      </vt:variant>
      <vt:variant>
        <vt:lpwstr/>
      </vt:variant>
      <vt:variant>
        <vt:lpwstr>_Toc351283067</vt:lpwstr>
      </vt:variant>
      <vt:variant>
        <vt:i4>1376314</vt:i4>
      </vt:variant>
      <vt:variant>
        <vt:i4>50</vt:i4>
      </vt:variant>
      <vt:variant>
        <vt:i4>0</vt:i4>
      </vt:variant>
      <vt:variant>
        <vt:i4>5</vt:i4>
      </vt:variant>
      <vt:variant>
        <vt:lpwstr/>
      </vt:variant>
      <vt:variant>
        <vt:lpwstr>_Toc351283066</vt:lpwstr>
      </vt:variant>
      <vt:variant>
        <vt:i4>1376314</vt:i4>
      </vt:variant>
      <vt:variant>
        <vt:i4>44</vt:i4>
      </vt:variant>
      <vt:variant>
        <vt:i4>0</vt:i4>
      </vt:variant>
      <vt:variant>
        <vt:i4>5</vt:i4>
      </vt:variant>
      <vt:variant>
        <vt:lpwstr/>
      </vt:variant>
      <vt:variant>
        <vt:lpwstr>_Toc351283065</vt:lpwstr>
      </vt:variant>
      <vt:variant>
        <vt:i4>1376314</vt:i4>
      </vt:variant>
      <vt:variant>
        <vt:i4>38</vt:i4>
      </vt:variant>
      <vt:variant>
        <vt:i4>0</vt:i4>
      </vt:variant>
      <vt:variant>
        <vt:i4>5</vt:i4>
      </vt:variant>
      <vt:variant>
        <vt:lpwstr/>
      </vt:variant>
      <vt:variant>
        <vt:lpwstr>_Toc351283064</vt:lpwstr>
      </vt:variant>
      <vt:variant>
        <vt:i4>1376314</vt:i4>
      </vt:variant>
      <vt:variant>
        <vt:i4>32</vt:i4>
      </vt:variant>
      <vt:variant>
        <vt:i4>0</vt:i4>
      </vt:variant>
      <vt:variant>
        <vt:i4>5</vt:i4>
      </vt:variant>
      <vt:variant>
        <vt:lpwstr/>
      </vt:variant>
      <vt:variant>
        <vt:lpwstr>_Toc351283063</vt:lpwstr>
      </vt:variant>
      <vt:variant>
        <vt:i4>1376314</vt:i4>
      </vt:variant>
      <vt:variant>
        <vt:i4>26</vt:i4>
      </vt:variant>
      <vt:variant>
        <vt:i4>0</vt:i4>
      </vt:variant>
      <vt:variant>
        <vt:i4>5</vt:i4>
      </vt:variant>
      <vt:variant>
        <vt:lpwstr/>
      </vt:variant>
      <vt:variant>
        <vt:lpwstr>_Toc351283062</vt:lpwstr>
      </vt:variant>
      <vt:variant>
        <vt:i4>1376314</vt:i4>
      </vt:variant>
      <vt:variant>
        <vt:i4>20</vt:i4>
      </vt:variant>
      <vt:variant>
        <vt:i4>0</vt:i4>
      </vt:variant>
      <vt:variant>
        <vt:i4>5</vt:i4>
      </vt:variant>
      <vt:variant>
        <vt:lpwstr/>
      </vt:variant>
      <vt:variant>
        <vt:lpwstr>_Toc351283061</vt:lpwstr>
      </vt:variant>
      <vt:variant>
        <vt:i4>1376314</vt:i4>
      </vt:variant>
      <vt:variant>
        <vt:i4>14</vt:i4>
      </vt:variant>
      <vt:variant>
        <vt:i4>0</vt:i4>
      </vt:variant>
      <vt:variant>
        <vt:i4>5</vt:i4>
      </vt:variant>
      <vt:variant>
        <vt:lpwstr/>
      </vt:variant>
      <vt:variant>
        <vt:lpwstr>_Toc351283060</vt:lpwstr>
      </vt:variant>
      <vt:variant>
        <vt:i4>1441850</vt:i4>
      </vt:variant>
      <vt:variant>
        <vt:i4>8</vt:i4>
      </vt:variant>
      <vt:variant>
        <vt:i4>0</vt:i4>
      </vt:variant>
      <vt:variant>
        <vt:i4>5</vt:i4>
      </vt:variant>
      <vt:variant>
        <vt:lpwstr/>
      </vt:variant>
      <vt:variant>
        <vt:lpwstr>_Toc351283059</vt:lpwstr>
      </vt:variant>
      <vt:variant>
        <vt:i4>1441850</vt:i4>
      </vt:variant>
      <vt:variant>
        <vt:i4>2</vt:i4>
      </vt:variant>
      <vt:variant>
        <vt:i4>0</vt:i4>
      </vt:variant>
      <vt:variant>
        <vt:i4>5</vt:i4>
      </vt:variant>
      <vt:variant>
        <vt:lpwstr/>
      </vt:variant>
      <vt:variant>
        <vt:lpwstr>_Toc351283058</vt:lpwstr>
      </vt:variant>
      <vt:variant>
        <vt:i4>196686</vt:i4>
      </vt:variant>
      <vt:variant>
        <vt:i4>6</vt:i4>
      </vt:variant>
      <vt:variant>
        <vt:i4>0</vt:i4>
      </vt:variant>
      <vt:variant>
        <vt:i4>5</vt:i4>
      </vt:variant>
      <vt:variant>
        <vt:lpwstr>http://www.csb.gov.lv/statistikas-temas/sociala-drosiba-galvenie-raditaji-30402.html</vt:lpwstr>
      </vt:variant>
      <vt:variant>
        <vt:lpwstr/>
      </vt:variant>
      <vt:variant>
        <vt:i4>7995440</vt:i4>
      </vt:variant>
      <vt:variant>
        <vt:i4>3</vt:i4>
      </vt:variant>
      <vt:variant>
        <vt:i4>0</vt:i4>
      </vt:variant>
      <vt:variant>
        <vt:i4>5</vt:i4>
      </vt:variant>
      <vt:variant>
        <vt:lpwstr>http://www.em.gov.lv/em/2nd/?cat=30270</vt:lpwstr>
      </vt:variant>
      <vt:variant>
        <vt:lpwstr/>
      </vt:variant>
      <vt:variant>
        <vt:i4>4063275</vt:i4>
      </vt:variant>
      <vt:variant>
        <vt:i4>0</vt:i4>
      </vt:variant>
      <vt:variant>
        <vt:i4>0</vt:i4>
      </vt:variant>
      <vt:variant>
        <vt:i4>5</vt:i4>
      </vt:variant>
      <vt:variant>
        <vt:lpwstr>http://www.sprk.lv/doc_upl/Sertifikacija_PV.pdf</vt:lpwstr>
      </vt:variant>
      <vt:variant>
        <vt:lpwstr/>
      </vt:variant>
      <vt:variant>
        <vt:i4>7667813</vt:i4>
      </vt:variant>
      <vt:variant>
        <vt:i4>0</vt:i4>
      </vt:variant>
      <vt:variant>
        <vt:i4>0</vt:i4>
      </vt:variant>
      <vt:variant>
        <vt:i4>5</vt:i4>
      </vt:variant>
      <vt:variant>
        <vt:lpwstr>http://www.likumi.lv/doc.php?id=88966</vt:lpwstr>
      </vt:variant>
      <vt:variant>
        <vt:lpwstr>p12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atbalsta mehānismiem elektroenerģijas ražošanai, izmantojot fosilos energoresursus</dc:title>
  <dc:subject>Rīcības plāns</dc:subject>
  <dc:creator>Kārlis Piģēns</dc:creator>
  <dc:description>K.Piģēns,67013133
Karlis.Pigens@em.gov.lv</dc:description>
  <cp:lastModifiedBy>PigensK</cp:lastModifiedBy>
  <cp:revision>30</cp:revision>
  <cp:lastPrinted>2013-03-28T12:03:00Z</cp:lastPrinted>
  <dcterms:created xsi:type="dcterms:W3CDTF">2013-03-28T08:42:00Z</dcterms:created>
  <dcterms:modified xsi:type="dcterms:W3CDTF">2013-03-28T12:27:00Z</dcterms:modified>
</cp:coreProperties>
</file>