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51.xml" ContentType="application/vnd.openxmlformats-officedocument.themeOverride+xml"/>
  <Override PartName="/word/charts/chart149.xml" ContentType="application/vnd.openxmlformats-officedocument.drawingml.chart+xml"/>
  <Override PartName="/word/theme/themeOverride40.xml" ContentType="application/vnd.openxmlformats-officedocument.themeOverride+xml"/>
  <Override PartName="/word/charts/chart59.xml" ContentType="application/vnd.openxmlformats-officedocument.drawingml.chart+xml"/>
  <Override PartName="/word/charts/chart13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theme/themeOverride106.xml" ContentType="application/vnd.openxmlformats-officedocument.themeOverride+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theme/themeOverride89.xml" ContentType="application/vnd.openxmlformats-officedocument.themeOverride+xml"/>
  <Override PartName="/word/charts/chart116.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Override PartName="/word/charts/chart141.xml" ContentType="application/vnd.openxmlformats-officedocument.drawingml.chart+xml"/>
  <Default Extension="xlsx" ContentType="application/vnd.openxmlformats-officedocument.spreadsheetml.sheet"/>
  <Override PartName="/word/charts/chart51.xml" ContentType="application/vnd.openxmlformats-officedocument.drawingml.chart+xml"/>
  <Override PartName="/word/theme/themeOverride67.xml" ContentType="application/vnd.openxmlformats-officedocument.themeOverride+xml"/>
  <Override PartName="/word/charts/chart130.xml" ContentType="application/vnd.openxmlformats-officedocument.drawingml.chart+xml"/>
  <Override PartName="/word/charts/chart1.xml" ContentType="application/vnd.openxmlformats-officedocument.drawingml.chart+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92.xml" ContentType="application/vnd.openxmlformats-officedocument.themeOverride+xml"/>
  <Override PartName="/word/theme/themeOverride34.xml" ContentType="application/vnd.openxmlformats-officedocument.themeOverride+xml"/>
  <Override PartName="/word/theme/themeOverride81.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70.xml" ContentType="application/vnd.openxmlformats-officedocument.themeOverride+xml"/>
  <Override PartName="/word/charts/chart89.xml" ContentType="application/vnd.openxmlformats-officedocument.drawingml.chart+xml"/>
  <Override PartName="/word/theme/themeOverride12.xml" ContentType="application/vnd.openxmlformats-officedocument.themeOverride+xml"/>
  <Override PartName="/word/charts/chart78.xml" ContentType="application/vnd.openxmlformats-officedocument.drawingml.chart+xml"/>
  <Override PartName="/word/drawings/drawing7.xml" ContentType="application/vnd.openxmlformats-officedocument.drawingml.chartshapes+xml"/>
  <Override PartName="/word/charts/chart6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92.xml" ContentType="application/vnd.openxmlformats-officedocument.drawingml.chart+xml"/>
  <Override PartName="/word/charts/chart124.xml" ContentType="application/vnd.openxmlformats-officedocument.drawingml.chart+xml"/>
  <Override PartName="/word/charts/chart34.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theme/themeOverride97.xml" ContentType="application/vnd.openxmlformats-officedocument.themeOverride+xml"/>
  <Override PartName="/word/theme/themeOverride103.xml" ContentType="application/vnd.openxmlformats-officedocument.themeOverride+xml"/>
  <Override PartName="/word/charts/chart23.xml" ContentType="application/vnd.openxmlformats-officedocument.drawingml.chart+xml"/>
  <Override PartName="/word/theme/themeOverride39.xml" ContentType="application/vnd.openxmlformats-officedocument.themeOverride+xml"/>
  <Override PartName="/word/charts/chart70.xml" ContentType="application/vnd.openxmlformats-officedocument.drawingml.chart+xml"/>
  <Override PartName="/word/theme/themeOverride86.xml" ContentType="application/vnd.openxmlformats-officedocument.themeOverride+xml"/>
  <Override PartName="/word/charts/chart102.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8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theme/themeOverride108.xml" ContentType="application/vnd.openxmlformats-officedocument.themeOverride+xml"/>
  <Override PartName="/word/charts/chart14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drawings/drawing4.xml" ContentType="application/vnd.openxmlformats-officedocument.drawingml.chartshapes+xml"/>
  <Override PartName="/word/charts/chart13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theme/themeOverride104.xml" ContentType="application/vnd.openxmlformats-officedocument.themeOverride+xml"/>
  <Override PartName="/word/charts/chart14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theme/themeOverride69.xml" ContentType="application/vnd.openxmlformats-officedocument.themeOverride+xml"/>
  <Override PartName="/word/charts/chart82.xml" ContentType="application/vnd.openxmlformats-officedocument.drawingml.chart+xml"/>
  <Override PartName="/word/theme/themeOverride87.xml" ContentType="application/vnd.openxmlformats-officedocument.themeOverride+xml"/>
  <Override PartName="/word/charts/chart103.xml" ContentType="application/vnd.openxmlformats-officedocument.drawingml.chart+xml"/>
  <Override PartName="/word/theme/themeOverride98.xml" ContentType="application/vnd.openxmlformats-officedocument.themeOverride+xml"/>
  <Override PartName="/word/charts/chart132.xml" ContentType="application/vnd.openxmlformats-officedocument.drawingml.chart+xml"/>
  <Override PartName="/word/charts/chart150.xml" ContentType="application/vnd.openxmlformats-officedocument.drawingml.chart+xml"/>
  <Override PartName="/word/theme/themeOverride111.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theme/themeOverride76.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theme/themeOverride100.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94.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90.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charts/chart98.xml" ContentType="application/vnd.openxmlformats-officedocument.drawingml.chart+xml"/>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charts/chart137.xml" ContentType="application/vnd.openxmlformats-officedocument.drawingml.chart+xml"/>
  <Override PartName="/word/theme/themeOverride109.xml" ContentType="application/vnd.openxmlformats-officedocument.themeOverride+xml"/>
  <Override PartName="/word/charts/chart14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drawings/drawing5.xml" ContentType="application/vnd.openxmlformats-officedocument.drawingml.chartshapes+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theme/themeOverride99.xml" ContentType="application/vnd.openxmlformats-officedocument.themeOverride+xml"/>
  <Override PartName="/word/drawings/drawing1.xml" ContentType="application/vnd.openxmlformats-officedocument.drawingml.chartshapes+xml"/>
  <Override PartName="/word/charts/chart133.xml" ContentType="application/vnd.openxmlformats-officedocument.drawingml.chart+xml"/>
  <Override PartName="/word/theme/themeOverride105.xml" ContentType="application/vnd.openxmlformats-officedocument.themeOverride+xml"/>
  <Override PartName="/word/charts/chart144.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charts/chart90.xml" ContentType="application/vnd.openxmlformats-officedocument.drawingml.chart+xml"/>
  <Override PartName="/word/theme/themeOverride88.xml" ContentType="application/vnd.openxmlformats-officedocument.themeOverride+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charts/chart111.xml" ContentType="application/vnd.openxmlformats-officedocument.drawingml.chart+xml"/>
  <Override PartName="/word/theme/themeOverride95.xml" ContentType="application/vnd.openxmlformats-officedocument.themeOverride+xml"/>
  <Override PartName="/word/theme/themeOverride101.xml" ContentType="application/vnd.openxmlformats-officedocument.themeOverride+xml"/>
  <Override PartName="/word/charts/chart140.xml" ContentType="application/vnd.openxmlformats-officedocument.drawingml.chart+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theme/themeOverride84.xml" ContentType="application/vnd.openxmlformats-officedocument.themeOverride+xml"/>
  <Override PartName="/word/charts/chart100.xml" ContentType="application/vnd.openxmlformats-officedocument.drawingml.chart+xml"/>
  <Override PartName="/word/theme/themeOverride44.xml" ContentType="application/vnd.openxmlformats-officedocument.themeOverride+xml"/>
  <Override PartName="/word/theme/themeOverride91.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80.xml" ContentType="application/vnd.openxmlformats-officedocument.themeOverride+xml"/>
  <Override PartName="/word/charts/chart99.xml" ContentType="application/vnd.openxmlformats-officedocument.drawingml.chart+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drawings/drawing6.xml" ContentType="application/vnd.openxmlformats-officedocument.drawingml.chartshapes+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Override PartName="/word/charts/chart55.xml" ContentType="application/vnd.openxmlformats-officedocument.drawingml.chart+xml"/>
  <Override PartName="/word/charts/chart134.xml" ContentType="application/vnd.openxmlformats-officedocument.drawingml.chart+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theme/themeOverride102.xml" ContentType="application/vnd.openxmlformats-officedocument.themeOverride+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80.xml" ContentType="application/vnd.openxmlformats-officedocument.drawingml.chart+xml"/>
  <Override PartName="/word/theme/themeOverride85.xml" ContentType="application/vnd.openxmlformats-officedocument.themeOverride+xml"/>
  <Override PartName="/word/charts/chart101.xml" ContentType="application/vnd.openxmlformats-officedocument.drawingml.chart+xml"/>
  <Override PartName="/word/theme/themeOverride96.xml" ContentType="application/vnd.openxmlformats-officedocument.themeOverride+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theme/themeOverride74.xml" ContentType="application/vnd.openxmlformats-officedocument.themeOverride+xml"/>
  <Override PartName="/word/theme/themeOverride16.xml" ContentType="application/vnd.openxmlformats-officedocument.themeOverride+xml"/>
  <Override PartName="/word/theme/themeOverride6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charts/chart38.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drawings/drawing3.xml" ContentType="application/vnd.openxmlformats-officedocument.drawingml.chartshapes+xml"/>
  <Override PartName="/word/theme/themeOverride107.xml" ContentType="application/vnd.openxmlformats-officedocument.themeOverride+xml"/>
  <Override PartName="/word/charts/chart27.xml" ContentType="application/vnd.openxmlformats-officedocument.drawingml.chart+xml"/>
  <Override PartName="/word/charts/chart74.xml" ContentType="application/vnd.openxmlformats-officedocument.drawingml.chart+xml"/>
  <Override PartName="/word/charts/chart106.xml" ContentType="application/vnd.openxmlformats-officedocument.drawingml.chart+xml"/>
  <Override PartName="/word/charts/chart16.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theme/themeOverride79.xml" ContentType="application/vnd.openxmlformats-officedocument.themeOverride+xml"/>
  <Override PartName="/word/charts/chart131.xml" ContentType="application/vnd.openxmlformats-officedocument.drawingml.chart+xml"/>
  <Override PartName="/word/charts/chart142.xml" ContentType="application/vnd.openxmlformats-officedocument.drawingml.chart+xml"/>
  <Override PartName="/word/charts/chart2.xml" ContentType="application/vnd.openxmlformats-officedocument.drawingml.chart+xml"/>
  <Override PartName="/word/charts/chart41.xml" ContentType="application/vnd.openxmlformats-officedocument.drawingml.chart+xml"/>
  <Override PartName="/word/theme/themeOverride57.xml" ContentType="application/vnd.openxmlformats-officedocument.themeOverride+xml"/>
  <Override PartName="/word/charts/chart120.xml" ContentType="application/vnd.openxmlformats-officedocument.drawingml.chart+xml"/>
  <Override PartName="/word/theme/themeOverride110.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30.xml" ContentType="application/vnd.openxmlformats-officedocument.drawingml.chart+xml"/>
  <Override PartName="/word/theme/themeOverride46.xml" ContentType="application/vnd.openxmlformats-officedocument.themeOverride+xml"/>
  <Override PartName="/word/theme/themeOverride93.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4"/>
          <w:szCs w:val="40"/>
        </w:rPr>
      </w:pPr>
      <w:r w:rsidRPr="009F6E8E">
        <w:rPr>
          <w:b/>
          <w:sz w:val="44"/>
          <w:szCs w:val="40"/>
        </w:rPr>
        <w:t>Informatīvais ziņojums</w:t>
      </w:r>
    </w:p>
    <w:p w:rsidR="00BE41C7" w:rsidRPr="009F6E8E" w:rsidRDefault="00BE41C7" w:rsidP="00BE41C7">
      <w:pPr>
        <w:jc w:val="center"/>
        <w:rPr>
          <w:b/>
          <w:sz w:val="44"/>
          <w:szCs w:val="40"/>
        </w:rPr>
      </w:pPr>
      <w:r w:rsidRPr="009F6E8E">
        <w:rPr>
          <w:b/>
          <w:sz w:val="44"/>
          <w:szCs w:val="40"/>
        </w:rPr>
        <w:t>Par makroekonomisko situāciju valstī</w:t>
      </w: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r w:rsidRPr="009F6E8E">
        <w:rPr>
          <w:sz w:val="28"/>
        </w:rPr>
        <w:t>RĪGA</w:t>
      </w:r>
    </w:p>
    <w:p w:rsidR="00BE41C7" w:rsidRPr="009F6E8E" w:rsidRDefault="004A062D" w:rsidP="00BE41C7">
      <w:pPr>
        <w:jc w:val="center"/>
        <w:rPr>
          <w:sz w:val="28"/>
        </w:rPr>
      </w:pPr>
      <w:r>
        <w:rPr>
          <w:sz w:val="28"/>
        </w:rPr>
        <w:t>201</w:t>
      </w:r>
      <w:r w:rsidR="009A7B5F">
        <w:rPr>
          <w:sz w:val="28"/>
        </w:rPr>
        <w:t>1</w:t>
      </w:r>
      <w:r w:rsidR="00BE41C7" w:rsidRPr="009F6E8E">
        <w:rPr>
          <w:sz w:val="28"/>
        </w:rPr>
        <w:t xml:space="preserve">.gada </w:t>
      </w:r>
      <w:r w:rsidR="005F734C">
        <w:rPr>
          <w:sz w:val="28"/>
        </w:rPr>
        <w:t>aprīlis</w:t>
      </w:r>
      <w:r w:rsidR="00BE41C7" w:rsidRPr="009F6E8E">
        <w:rPr>
          <w:sz w:val="28"/>
        </w:rPr>
        <w:br w:type="page"/>
      </w:r>
    </w:p>
    <w:p w:rsidR="00BE41C7" w:rsidRPr="009F6E8E" w:rsidRDefault="00BE41C7" w:rsidP="00BE41C7">
      <w:pPr>
        <w:jc w:val="center"/>
        <w:rPr>
          <w:bCs/>
          <w:sz w:val="28"/>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r w:rsidRPr="009F6E8E">
        <w:rPr>
          <w:b/>
          <w:bCs/>
          <w:sz w:val="36"/>
          <w:szCs w:val="36"/>
        </w:rPr>
        <w:t>Ievads</w:t>
      </w:r>
    </w:p>
    <w:p w:rsidR="00BE41C7" w:rsidRPr="009F6E8E" w:rsidRDefault="00BE41C7" w:rsidP="00BE41C7">
      <w:pPr>
        <w:ind w:firstLine="567"/>
        <w:jc w:val="both"/>
        <w:rPr>
          <w:color w:val="000000" w:themeColor="text1"/>
          <w:sz w:val="28"/>
        </w:rPr>
      </w:pPr>
    </w:p>
    <w:p w:rsidR="00BE41C7" w:rsidRPr="009F6E8E" w:rsidRDefault="00BE41C7" w:rsidP="00BE41C7">
      <w:pPr>
        <w:ind w:firstLine="567"/>
        <w:jc w:val="both"/>
        <w:rPr>
          <w:color w:val="000000" w:themeColor="text1"/>
          <w:sz w:val="28"/>
        </w:rPr>
      </w:pPr>
    </w:p>
    <w:p w:rsidR="007E172B" w:rsidRPr="005F734C" w:rsidRDefault="007E172B" w:rsidP="007E172B">
      <w:pPr>
        <w:ind w:firstLine="567"/>
        <w:jc w:val="both"/>
        <w:rPr>
          <w:rFonts w:eastAsia="Times New Roman"/>
          <w:sz w:val="28"/>
          <w:lang w:eastAsia="lv-LV"/>
        </w:rPr>
      </w:pPr>
      <w:r w:rsidRPr="005F734C">
        <w:rPr>
          <w:sz w:val="28"/>
        </w:rPr>
        <w:t xml:space="preserve">Ekonomikas ministrija sadarbībā ar Finanšu ministriju ir sagatavojusi </w:t>
      </w:r>
      <w:r w:rsidR="00B9297B" w:rsidRPr="005F734C">
        <w:rPr>
          <w:sz w:val="28"/>
        </w:rPr>
        <w:t>div</w:t>
      </w:r>
      <w:r w:rsidR="00F53018" w:rsidRPr="005F734C">
        <w:rPr>
          <w:sz w:val="28"/>
        </w:rPr>
        <w:t>padsmito</w:t>
      </w:r>
      <w:r w:rsidRPr="005F734C">
        <w:rPr>
          <w:sz w:val="28"/>
        </w:rPr>
        <w:t xml:space="preserve"> informatīvo ziņojumu par makroekonomisko situāciju valstī</w:t>
      </w:r>
      <w:r w:rsidRPr="005F734C">
        <w:rPr>
          <w:rFonts w:eastAsia="Times New Roman"/>
          <w:sz w:val="28"/>
          <w:lang w:eastAsia="lv-LV"/>
        </w:rPr>
        <w:t>.</w:t>
      </w:r>
    </w:p>
    <w:p w:rsidR="007E172B" w:rsidRPr="005F734C" w:rsidRDefault="007E172B" w:rsidP="007E172B">
      <w:pPr>
        <w:ind w:firstLine="567"/>
        <w:jc w:val="both"/>
        <w:rPr>
          <w:sz w:val="28"/>
        </w:rPr>
      </w:pPr>
      <w:r w:rsidRPr="005F734C">
        <w:rPr>
          <w:rFonts w:eastAsia="Times New Roman"/>
          <w:sz w:val="28"/>
          <w:lang w:eastAsia="lv-LV"/>
        </w:rPr>
        <w:t xml:space="preserve">Ziņojums sagatavots, pamatojoties uz </w:t>
      </w:r>
      <w:r w:rsidRPr="005F734C">
        <w:rPr>
          <w:sz w:val="28"/>
        </w:rPr>
        <w:t>Ministru kabineta 2008.gada 15.aprīļa sēdes protokola 43</w:t>
      </w:r>
      <w:r w:rsidR="00DF3A37" w:rsidRPr="005F734C">
        <w:rPr>
          <w:sz w:val="28"/>
        </w:rPr>
        <w:t>.</w:t>
      </w:r>
      <w:r w:rsidRPr="005F734C">
        <w:rPr>
          <w:sz w:val="28"/>
        </w:rPr>
        <w:t xml:space="preserve">§ 6.punktu, kas uzdod Ekonomikas ministrijai sadarbībā ar Finanšu ministriju līdz 2008.gada 15.jūnijam un turpmāk reizi divos mēnešos iesniegt kārtējo ziņojumu Ministru kabinetā par makroekonomisko situāciju valstī. Ziņojuma iesniegšanas termiņi ir precizēti Ministru prezidenta Valda </w:t>
      </w:r>
      <w:proofErr w:type="spellStart"/>
      <w:r w:rsidRPr="005F734C">
        <w:rPr>
          <w:sz w:val="28"/>
        </w:rPr>
        <w:t>Dombrovska</w:t>
      </w:r>
      <w:proofErr w:type="spellEnd"/>
      <w:r w:rsidRPr="005F734C">
        <w:rPr>
          <w:sz w:val="28"/>
        </w:rPr>
        <w:t xml:space="preserve"> 2009.gada 16.oktobra rezolūcijā Nr. 12/SAN-1005/21380, kas uzdod sagatavot</w:t>
      </w:r>
      <w:r w:rsidR="001B6E11" w:rsidRPr="005F734C">
        <w:rPr>
          <w:sz w:val="28"/>
        </w:rPr>
        <w:t xml:space="preserve"> kārtējo</w:t>
      </w:r>
      <w:r w:rsidRPr="005F734C">
        <w:rPr>
          <w:sz w:val="28"/>
        </w:rPr>
        <w:t xml:space="preserve"> informatīvo ziņojumu līdz 2009.gada 29.decembrim un </w:t>
      </w:r>
      <w:r w:rsidR="001B6E11" w:rsidRPr="005F734C">
        <w:rPr>
          <w:sz w:val="28"/>
        </w:rPr>
        <w:t>nākamos</w:t>
      </w:r>
      <w:r w:rsidRPr="005F734C">
        <w:rPr>
          <w:sz w:val="28"/>
        </w:rPr>
        <w:t xml:space="preserve"> reizi trīs mēnešos.</w:t>
      </w:r>
    </w:p>
    <w:p w:rsidR="007E172B" w:rsidRPr="005F734C" w:rsidRDefault="007E172B" w:rsidP="007E172B">
      <w:pPr>
        <w:ind w:firstLine="567"/>
        <w:jc w:val="both"/>
        <w:rPr>
          <w:sz w:val="28"/>
        </w:rPr>
      </w:pPr>
      <w:r w:rsidRPr="005F734C">
        <w:rPr>
          <w:sz w:val="28"/>
        </w:rPr>
        <w:t>Saskaņā ar 2008.gada 12.decembra sēdes protokola Nr.94 88</w:t>
      </w:r>
      <w:r w:rsidR="00DF3A37" w:rsidRPr="005F734C">
        <w:rPr>
          <w:sz w:val="28"/>
        </w:rPr>
        <w:t>.</w:t>
      </w:r>
      <w:r w:rsidRPr="005F734C">
        <w:rPr>
          <w:sz w:val="28"/>
        </w:rPr>
        <w:t>§ 2.punktu,</w:t>
      </w:r>
      <w:r w:rsidR="004F0186" w:rsidRPr="005F734C">
        <w:rPr>
          <w:sz w:val="28"/>
        </w:rPr>
        <w:t xml:space="preserve"> </w:t>
      </w:r>
      <w:r w:rsidRPr="005F734C">
        <w:rPr>
          <w:sz w:val="28"/>
        </w:rPr>
        <w:t>Ekonomikas ministrija, sagatavojot kārtējo ziņojumu, ir iekļāvusi arī nozares ražotāju un pakalpojumu sniedzēju asociāciju prognozes, kā arī</w:t>
      </w:r>
      <w:r w:rsidR="00C7190A" w:rsidRPr="005F734C">
        <w:rPr>
          <w:sz w:val="28"/>
        </w:rPr>
        <w:t>,</w:t>
      </w:r>
      <w:r w:rsidRPr="005F734C">
        <w:rPr>
          <w:sz w:val="28"/>
        </w:rPr>
        <w:t xml:space="preserve"> atbilstoši 2009.gada 31.marta sēdes protokola Nr.22 29</w:t>
      </w:r>
      <w:r w:rsidR="00DF3A37" w:rsidRPr="005F734C">
        <w:rPr>
          <w:sz w:val="28"/>
        </w:rPr>
        <w:t>.</w:t>
      </w:r>
      <w:r w:rsidRPr="005F734C">
        <w:rPr>
          <w:sz w:val="28"/>
        </w:rPr>
        <w:t>§ 2.punktam</w:t>
      </w:r>
      <w:r w:rsidR="00C7190A" w:rsidRPr="005F734C">
        <w:rPr>
          <w:sz w:val="28"/>
        </w:rPr>
        <w:t>,</w:t>
      </w:r>
      <w:r w:rsidRPr="005F734C">
        <w:rPr>
          <w:sz w:val="28"/>
        </w:rPr>
        <w:t xml:space="preserve"> Ekonomikas ministrija sadarbībā ar iesaistītajām institūcijām ir papildinājusi ziņojumu ar ekonomikas attīstības prognozēm 2011.gadam.</w:t>
      </w:r>
    </w:p>
    <w:p w:rsidR="007E172B" w:rsidRPr="005F734C" w:rsidRDefault="00C6408C" w:rsidP="007E172B">
      <w:pPr>
        <w:ind w:firstLine="567"/>
        <w:jc w:val="both"/>
        <w:rPr>
          <w:sz w:val="28"/>
          <w:szCs w:val="32"/>
        </w:rPr>
      </w:pPr>
      <w:r w:rsidRPr="005F734C">
        <w:rPr>
          <w:sz w:val="28"/>
        </w:rPr>
        <w:t xml:space="preserve">Ziņojums ietver kopsavilkumu un </w:t>
      </w:r>
      <w:r w:rsidR="001B6E11" w:rsidRPr="005F734C">
        <w:rPr>
          <w:sz w:val="28"/>
        </w:rPr>
        <w:t>8</w:t>
      </w:r>
      <w:r w:rsidR="007E172B" w:rsidRPr="005F734C">
        <w:rPr>
          <w:sz w:val="28"/>
        </w:rPr>
        <w:t xml:space="preserve"> nodaļas –</w:t>
      </w:r>
      <w:r w:rsidR="001B6E11" w:rsidRPr="005F734C">
        <w:rPr>
          <w:sz w:val="28"/>
        </w:rPr>
        <w:t xml:space="preserve"> ārējā ekonomiskā vide, </w:t>
      </w:r>
      <w:r w:rsidR="007E172B" w:rsidRPr="005F734C">
        <w:rPr>
          <w:sz w:val="28"/>
        </w:rPr>
        <w:t xml:space="preserve">tekošās situācijas raksturojums reālajā, ārējā un finanšu sektorā, tendences darba tirgū, </w:t>
      </w:r>
      <w:r w:rsidRPr="005F734C">
        <w:rPr>
          <w:sz w:val="28"/>
        </w:rPr>
        <w:t>cenu izmaiņas</w:t>
      </w:r>
      <w:r w:rsidR="007E172B" w:rsidRPr="005F734C">
        <w:rPr>
          <w:sz w:val="28"/>
        </w:rPr>
        <w:t>, kā arī ekonomiskās attīstības prognozes.</w:t>
      </w:r>
    </w:p>
    <w:p w:rsidR="007E172B" w:rsidRPr="00850001" w:rsidRDefault="007E172B" w:rsidP="007E172B">
      <w:pPr>
        <w:ind w:firstLine="567"/>
        <w:jc w:val="both"/>
        <w:rPr>
          <w:sz w:val="28"/>
        </w:rPr>
      </w:pPr>
      <w:r w:rsidRPr="005F734C">
        <w:rPr>
          <w:sz w:val="28"/>
        </w:rPr>
        <w:t xml:space="preserve">Visa skaitliskā informācija un dati, izņemot īpaši norādītajos gadījumos, ir ņemti no Latvijas Republikas Centrālās statistikas pārvaldes vai Eurostat datu bāzes. Latvijas Bankas un Finanšu un kapitāla tirgus komisijas dati ir izmantoti maksājumu bilances un monetāro rādītāju </w:t>
      </w:r>
      <w:r w:rsidR="008839B1" w:rsidRPr="005F734C">
        <w:rPr>
          <w:sz w:val="28"/>
        </w:rPr>
        <w:t>aprakstā</w:t>
      </w:r>
      <w:r w:rsidRPr="005F734C">
        <w:rPr>
          <w:sz w:val="28"/>
        </w:rPr>
        <w:t>.</w:t>
      </w:r>
      <w:r w:rsidR="00F52009" w:rsidRPr="005F734C">
        <w:rPr>
          <w:sz w:val="28"/>
        </w:rPr>
        <w:t xml:space="preserve"> Finanšu ministrijas un Valsts kases dati izmantoti </w:t>
      </w:r>
      <w:r w:rsidR="008839B1" w:rsidRPr="005F734C">
        <w:rPr>
          <w:sz w:val="28"/>
        </w:rPr>
        <w:t>valdības finanšu raksturojumā.</w:t>
      </w:r>
    </w:p>
    <w:p w:rsidR="00BE41C7" w:rsidRPr="009F6E8E" w:rsidRDefault="00BE41C7" w:rsidP="00BE41C7">
      <w:pPr>
        <w:rPr>
          <w:b/>
          <w:bCs/>
          <w:sz w:val="36"/>
          <w:szCs w:val="36"/>
        </w:rPr>
      </w:pPr>
      <w:r w:rsidRPr="009F6E8E">
        <w:rPr>
          <w:b/>
          <w:bCs/>
          <w:sz w:val="36"/>
          <w:szCs w:val="36"/>
        </w:rPr>
        <w:br w:type="page"/>
      </w: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r w:rsidRPr="009F6E8E">
        <w:rPr>
          <w:b/>
          <w:bCs/>
          <w:sz w:val="36"/>
          <w:szCs w:val="36"/>
        </w:rPr>
        <w:t>Saturs</w:t>
      </w:r>
    </w:p>
    <w:p w:rsidR="00BE41C7" w:rsidRPr="009F6E8E" w:rsidRDefault="00BE41C7" w:rsidP="00BE41C7">
      <w:pPr>
        <w:jc w:val="center"/>
        <w:rPr>
          <w:sz w:val="8"/>
          <w:szCs w:val="32"/>
        </w:rPr>
      </w:pPr>
    </w:p>
    <w:p w:rsidR="00BE41C7" w:rsidRPr="009F6E8E" w:rsidRDefault="00BE41C7" w:rsidP="00BE41C7">
      <w:pPr>
        <w:jc w:val="center"/>
        <w:rPr>
          <w:sz w:val="28"/>
          <w:szCs w:val="32"/>
        </w:rPr>
      </w:pPr>
    </w:p>
    <w:p w:rsidR="00BE41C7" w:rsidRPr="009F6E8E" w:rsidRDefault="00BE41C7" w:rsidP="00BE41C7">
      <w:pPr>
        <w:jc w:val="center"/>
        <w:rPr>
          <w:sz w:val="28"/>
          <w:szCs w:val="32"/>
        </w:rPr>
      </w:pPr>
    </w:p>
    <w:p w:rsidR="00B10C02" w:rsidRPr="00B10C02" w:rsidRDefault="00EE29C9">
      <w:pPr>
        <w:pStyle w:val="TOC1"/>
        <w:rPr>
          <w:rFonts w:asciiTheme="minorHAnsi" w:eastAsiaTheme="minorEastAsia" w:hAnsiTheme="minorHAnsi" w:cstheme="minorBidi"/>
          <w:b w:val="0"/>
          <w:sz w:val="28"/>
          <w:lang w:eastAsia="lv-LV"/>
        </w:rPr>
      </w:pPr>
      <w:r w:rsidRPr="00EE29C9">
        <w:rPr>
          <w:rFonts w:eastAsiaTheme="minorEastAsia" w:cstheme="minorBidi"/>
          <w:b w:val="0"/>
          <w:noProof w:val="0"/>
          <w:sz w:val="28"/>
        </w:rPr>
        <w:fldChar w:fldCharType="begin"/>
      </w:r>
      <w:r w:rsidR="00BE41C7" w:rsidRPr="00B10C02">
        <w:rPr>
          <w:rFonts w:eastAsiaTheme="minorEastAsia" w:cstheme="minorBidi"/>
          <w:b w:val="0"/>
          <w:noProof w:val="0"/>
          <w:sz w:val="28"/>
        </w:rPr>
        <w:instrText xml:space="preserve"> TOC \o "1-1" \h \z \u </w:instrText>
      </w:r>
      <w:r w:rsidRPr="00EE29C9">
        <w:rPr>
          <w:rFonts w:eastAsiaTheme="minorEastAsia" w:cstheme="minorBidi"/>
          <w:b w:val="0"/>
          <w:noProof w:val="0"/>
          <w:sz w:val="28"/>
        </w:rPr>
        <w:fldChar w:fldCharType="separate"/>
      </w:r>
      <w:hyperlink w:anchor="_Toc274580543" w:history="1">
        <w:r w:rsidR="00B10C02" w:rsidRPr="00B10C02">
          <w:rPr>
            <w:rStyle w:val="Hyperlink"/>
            <w:b w:val="0"/>
            <w:sz w:val="28"/>
          </w:rPr>
          <w:t>Attēlu un tabulu saraksts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_Toc274580543 \h </w:instrText>
        </w:r>
        <w:r w:rsidRPr="00B10C02">
          <w:rPr>
            <w:b w:val="0"/>
            <w:webHidden/>
            <w:sz w:val="28"/>
          </w:rPr>
        </w:r>
        <w:r w:rsidRPr="00B10C02">
          <w:rPr>
            <w:b w:val="0"/>
            <w:webHidden/>
            <w:sz w:val="28"/>
          </w:rPr>
          <w:fldChar w:fldCharType="separate"/>
        </w:r>
        <w:r w:rsidR="00A05057">
          <w:rPr>
            <w:b w:val="0"/>
            <w:webHidden/>
            <w:sz w:val="28"/>
          </w:rPr>
          <w:t>5</w:t>
        </w:r>
        <w:r w:rsidRPr="00B10C02">
          <w:rPr>
            <w:b w:val="0"/>
            <w:webHidden/>
            <w:sz w:val="28"/>
          </w:rPr>
          <w:fldChar w:fldCharType="end"/>
        </w:r>
      </w:hyperlink>
    </w:p>
    <w:p w:rsidR="00B10C02" w:rsidRPr="00B10C02" w:rsidRDefault="00EE29C9">
      <w:pPr>
        <w:pStyle w:val="TOC1"/>
        <w:rPr>
          <w:rFonts w:asciiTheme="minorHAnsi" w:eastAsiaTheme="minorEastAsia" w:hAnsiTheme="minorHAnsi" w:cstheme="minorBidi"/>
          <w:b w:val="0"/>
          <w:sz w:val="28"/>
          <w:lang w:eastAsia="lv-LV"/>
        </w:rPr>
      </w:pPr>
      <w:hyperlink w:anchor="_Toc274580544" w:history="1">
        <w:r w:rsidR="00B10C02" w:rsidRPr="00B10C02">
          <w:rPr>
            <w:rStyle w:val="Hyperlink"/>
            <w:b w:val="0"/>
            <w:sz w:val="28"/>
          </w:rPr>
          <w:t>Ekonomiskais stāvoklis: īss kopsavilkums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_Toc274580544 \h </w:instrText>
        </w:r>
        <w:r w:rsidRPr="00B10C02">
          <w:rPr>
            <w:b w:val="0"/>
            <w:webHidden/>
            <w:sz w:val="28"/>
          </w:rPr>
        </w:r>
        <w:r w:rsidRPr="00B10C02">
          <w:rPr>
            <w:b w:val="0"/>
            <w:webHidden/>
            <w:sz w:val="28"/>
          </w:rPr>
          <w:fldChar w:fldCharType="separate"/>
        </w:r>
        <w:r w:rsidR="00A05057">
          <w:rPr>
            <w:b w:val="0"/>
            <w:webHidden/>
            <w:sz w:val="28"/>
          </w:rPr>
          <w:t>7</w:t>
        </w:r>
        <w:r w:rsidRPr="00B10C02">
          <w:rPr>
            <w:b w:val="0"/>
            <w:webHidden/>
            <w:sz w:val="28"/>
          </w:rPr>
          <w:fldChar w:fldCharType="end"/>
        </w:r>
      </w:hyperlink>
    </w:p>
    <w:p w:rsidR="00B10C02" w:rsidRPr="00B10C02" w:rsidRDefault="00EE29C9">
      <w:pPr>
        <w:pStyle w:val="TOC1"/>
        <w:rPr>
          <w:rFonts w:asciiTheme="minorHAnsi" w:eastAsiaTheme="minorEastAsia" w:hAnsiTheme="minorHAnsi" w:cstheme="minorBidi"/>
          <w:b w:val="0"/>
          <w:sz w:val="28"/>
          <w:lang w:eastAsia="lv-LV"/>
        </w:rPr>
      </w:pPr>
      <w:hyperlink w:anchor="_Toc274580545" w:history="1">
        <w:r w:rsidR="00B10C02" w:rsidRPr="00B10C02">
          <w:rPr>
            <w:rStyle w:val="Hyperlink"/>
            <w:b w:val="0"/>
            <w:sz w:val="28"/>
          </w:rPr>
          <w:t>1. Ārējā ekonomiskā vide</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_Toc274580545 \h </w:instrText>
        </w:r>
        <w:r w:rsidRPr="00B10C02">
          <w:rPr>
            <w:b w:val="0"/>
            <w:webHidden/>
            <w:sz w:val="28"/>
          </w:rPr>
        </w:r>
        <w:r w:rsidRPr="00B10C02">
          <w:rPr>
            <w:b w:val="0"/>
            <w:webHidden/>
            <w:sz w:val="28"/>
          </w:rPr>
          <w:fldChar w:fldCharType="separate"/>
        </w:r>
        <w:r w:rsidR="00A05057">
          <w:rPr>
            <w:b w:val="0"/>
            <w:webHidden/>
            <w:sz w:val="28"/>
          </w:rPr>
          <w:t>7</w:t>
        </w:r>
        <w:r w:rsidRPr="00B10C02">
          <w:rPr>
            <w:b w:val="0"/>
            <w:webHidden/>
            <w:sz w:val="28"/>
          </w:rPr>
          <w:fldChar w:fldCharType="end"/>
        </w:r>
      </w:hyperlink>
    </w:p>
    <w:p w:rsidR="00B10C02" w:rsidRPr="00B10C02" w:rsidRDefault="00EE29C9">
      <w:pPr>
        <w:pStyle w:val="TOC1"/>
        <w:rPr>
          <w:rFonts w:asciiTheme="minorHAnsi" w:eastAsiaTheme="minorEastAsia" w:hAnsiTheme="minorHAnsi" w:cstheme="minorBidi"/>
          <w:b w:val="0"/>
          <w:sz w:val="28"/>
          <w:lang w:eastAsia="lv-LV"/>
        </w:rPr>
      </w:pPr>
      <w:hyperlink w:anchor="_Toc274580546" w:history="1">
        <w:r w:rsidR="00B10C02" w:rsidRPr="00B10C02">
          <w:rPr>
            <w:rStyle w:val="Hyperlink"/>
            <w:b w:val="0"/>
            <w:sz w:val="28"/>
          </w:rPr>
          <w:t>2. Produ</w:t>
        </w:r>
        <w:r w:rsidR="00B10C02" w:rsidRPr="00B10C02">
          <w:rPr>
            <w:rStyle w:val="Hyperlink"/>
            <w:b w:val="0"/>
            <w:sz w:val="28"/>
          </w:rPr>
          <w:t>k</w:t>
        </w:r>
        <w:r w:rsidR="00B10C02" w:rsidRPr="00B10C02">
          <w:rPr>
            <w:rStyle w:val="Hyperlink"/>
            <w:b w:val="0"/>
            <w:sz w:val="28"/>
          </w:rPr>
          <w:t>cijas izlaide</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_Toc274580546 \h </w:instrText>
        </w:r>
        <w:r w:rsidRPr="00B10C02">
          <w:rPr>
            <w:b w:val="0"/>
            <w:webHidden/>
            <w:sz w:val="28"/>
          </w:rPr>
        </w:r>
        <w:r w:rsidRPr="00B10C02">
          <w:rPr>
            <w:b w:val="0"/>
            <w:webHidden/>
            <w:sz w:val="28"/>
          </w:rPr>
          <w:fldChar w:fldCharType="separate"/>
        </w:r>
        <w:r w:rsidR="00A05057">
          <w:rPr>
            <w:b w:val="0"/>
            <w:webHidden/>
            <w:sz w:val="28"/>
          </w:rPr>
          <w:t>10</w:t>
        </w:r>
        <w:r w:rsidRPr="00B10C02">
          <w:rPr>
            <w:b w:val="0"/>
            <w:webHidden/>
            <w:sz w:val="28"/>
          </w:rPr>
          <w:fldChar w:fldCharType="end"/>
        </w:r>
      </w:hyperlink>
    </w:p>
    <w:p w:rsidR="00B10C02" w:rsidRPr="00B10C02" w:rsidRDefault="00EE29C9">
      <w:pPr>
        <w:pStyle w:val="TOC1"/>
        <w:rPr>
          <w:rFonts w:asciiTheme="minorHAnsi" w:eastAsiaTheme="minorEastAsia" w:hAnsiTheme="minorHAnsi" w:cstheme="minorBidi"/>
          <w:b w:val="0"/>
          <w:sz w:val="28"/>
          <w:lang w:eastAsia="lv-LV"/>
        </w:rPr>
      </w:pPr>
      <w:hyperlink w:anchor="_Toc274580547" w:history="1">
        <w:r w:rsidR="00B10C02" w:rsidRPr="00B10C02">
          <w:rPr>
            <w:rStyle w:val="Hyperlink"/>
            <w:b w:val="0"/>
            <w:sz w:val="28"/>
          </w:rPr>
          <w:t>3. Pieprasījums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_Toc274580547 \h </w:instrText>
        </w:r>
        <w:r w:rsidRPr="00B10C02">
          <w:rPr>
            <w:b w:val="0"/>
            <w:webHidden/>
            <w:sz w:val="28"/>
          </w:rPr>
        </w:r>
        <w:r w:rsidRPr="00B10C02">
          <w:rPr>
            <w:b w:val="0"/>
            <w:webHidden/>
            <w:sz w:val="28"/>
          </w:rPr>
          <w:fldChar w:fldCharType="separate"/>
        </w:r>
        <w:r w:rsidR="00A05057">
          <w:rPr>
            <w:b w:val="0"/>
            <w:webHidden/>
            <w:sz w:val="28"/>
          </w:rPr>
          <w:t>25</w:t>
        </w:r>
        <w:r w:rsidRPr="00B10C02">
          <w:rPr>
            <w:b w:val="0"/>
            <w:webHidden/>
            <w:sz w:val="28"/>
          </w:rPr>
          <w:fldChar w:fldCharType="end"/>
        </w:r>
      </w:hyperlink>
    </w:p>
    <w:p w:rsidR="00B10C02" w:rsidRPr="00B10C02" w:rsidRDefault="00EE29C9">
      <w:pPr>
        <w:pStyle w:val="TOC1"/>
        <w:rPr>
          <w:rFonts w:asciiTheme="minorHAnsi" w:eastAsiaTheme="minorEastAsia" w:hAnsiTheme="minorHAnsi" w:cstheme="minorBidi"/>
          <w:b w:val="0"/>
          <w:sz w:val="28"/>
          <w:lang w:eastAsia="lv-LV"/>
        </w:rPr>
      </w:pPr>
      <w:hyperlink w:anchor="_Toc274580548" w:history="1">
        <w:r w:rsidR="00B10C02" w:rsidRPr="00B10C02">
          <w:rPr>
            <w:rStyle w:val="Hyperlink"/>
            <w:b w:val="0"/>
            <w:sz w:val="28"/>
          </w:rPr>
          <w:t>4. Ārējais sektors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_Toc274580548 \h </w:instrText>
        </w:r>
        <w:r w:rsidRPr="00B10C02">
          <w:rPr>
            <w:b w:val="0"/>
            <w:webHidden/>
            <w:sz w:val="28"/>
          </w:rPr>
        </w:r>
        <w:r w:rsidRPr="00B10C02">
          <w:rPr>
            <w:b w:val="0"/>
            <w:webHidden/>
            <w:sz w:val="28"/>
          </w:rPr>
          <w:fldChar w:fldCharType="separate"/>
        </w:r>
        <w:r w:rsidR="00A05057">
          <w:rPr>
            <w:b w:val="0"/>
            <w:webHidden/>
            <w:sz w:val="28"/>
          </w:rPr>
          <w:t>30</w:t>
        </w:r>
        <w:r w:rsidRPr="00B10C02">
          <w:rPr>
            <w:b w:val="0"/>
            <w:webHidden/>
            <w:sz w:val="28"/>
          </w:rPr>
          <w:fldChar w:fldCharType="end"/>
        </w:r>
      </w:hyperlink>
    </w:p>
    <w:p w:rsidR="00B10C02" w:rsidRPr="00B10C02" w:rsidRDefault="00EE29C9">
      <w:pPr>
        <w:pStyle w:val="TOC1"/>
        <w:rPr>
          <w:rFonts w:asciiTheme="minorHAnsi" w:eastAsiaTheme="minorEastAsia" w:hAnsiTheme="minorHAnsi" w:cstheme="minorBidi"/>
          <w:b w:val="0"/>
          <w:sz w:val="28"/>
          <w:lang w:eastAsia="lv-LV"/>
        </w:rPr>
      </w:pPr>
      <w:hyperlink w:anchor="_Toc274580549" w:history="1">
        <w:r w:rsidR="00B10C02" w:rsidRPr="00B10C02">
          <w:rPr>
            <w:rStyle w:val="Hyperlink"/>
            <w:b w:val="0"/>
            <w:sz w:val="28"/>
          </w:rPr>
          <w:t>5. Finanšu sektors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_Toc274580549 \h </w:instrText>
        </w:r>
        <w:r w:rsidRPr="00B10C02">
          <w:rPr>
            <w:b w:val="0"/>
            <w:webHidden/>
            <w:sz w:val="28"/>
          </w:rPr>
        </w:r>
        <w:r w:rsidRPr="00B10C02">
          <w:rPr>
            <w:b w:val="0"/>
            <w:webHidden/>
            <w:sz w:val="28"/>
          </w:rPr>
          <w:fldChar w:fldCharType="separate"/>
        </w:r>
        <w:r w:rsidR="00A05057">
          <w:rPr>
            <w:b w:val="0"/>
            <w:webHidden/>
            <w:sz w:val="28"/>
          </w:rPr>
          <w:t>34</w:t>
        </w:r>
        <w:r w:rsidRPr="00B10C02">
          <w:rPr>
            <w:b w:val="0"/>
            <w:webHidden/>
            <w:sz w:val="28"/>
          </w:rPr>
          <w:fldChar w:fldCharType="end"/>
        </w:r>
      </w:hyperlink>
    </w:p>
    <w:p w:rsidR="00B10C02" w:rsidRPr="00B10C02" w:rsidRDefault="00EE29C9">
      <w:pPr>
        <w:pStyle w:val="TOC1"/>
        <w:rPr>
          <w:rFonts w:asciiTheme="minorHAnsi" w:eastAsiaTheme="minorEastAsia" w:hAnsiTheme="minorHAnsi" w:cstheme="minorBidi"/>
          <w:b w:val="0"/>
          <w:sz w:val="28"/>
          <w:lang w:eastAsia="lv-LV"/>
        </w:rPr>
      </w:pPr>
      <w:hyperlink w:anchor="_Toc274580550" w:history="1">
        <w:r w:rsidR="00B10C02" w:rsidRPr="00B10C02">
          <w:rPr>
            <w:rStyle w:val="Hyperlink"/>
            <w:b w:val="0"/>
            <w:sz w:val="28"/>
          </w:rPr>
          <w:t>6. Darba tirgus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_Toc274580550 \h </w:instrText>
        </w:r>
        <w:r w:rsidRPr="00B10C02">
          <w:rPr>
            <w:b w:val="0"/>
            <w:webHidden/>
            <w:sz w:val="28"/>
          </w:rPr>
        </w:r>
        <w:r w:rsidRPr="00B10C02">
          <w:rPr>
            <w:b w:val="0"/>
            <w:webHidden/>
            <w:sz w:val="28"/>
          </w:rPr>
          <w:fldChar w:fldCharType="separate"/>
        </w:r>
        <w:r w:rsidR="00A05057">
          <w:rPr>
            <w:b w:val="0"/>
            <w:webHidden/>
            <w:sz w:val="28"/>
          </w:rPr>
          <w:t>42</w:t>
        </w:r>
        <w:r w:rsidRPr="00B10C02">
          <w:rPr>
            <w:b w:val="0"/>
            <w:webHidden/>
            <w:sz w:val="28"/>
          </w:rPr>
          <w:fldChar w:fldCharType="end"/>
        </w:r>
      </w:hyperlink>
    </w:p>
    <w:p w:rsidR="00B10C02" w:rsidRPr="00B10C02" w:rsidRDefault="00EE29C9">
      <w:pPr>
        <w:pStyle w:val="TOC1"/>
        <w:rPr>
          <w:rFonts w:asciiTheme="minorHAnsi" w:eastAsiaTheme="minorEastAsia" w:hAnsiTheme="minorHAnsi" w:cstheme="minorBidi"/>
          <w:b w:val="0"/>
          <w:sz w:val="28"/>
          <w:lang w:eastAsia="lv-LV"/>
        </w:rPr>
      </w:pPr>
      <w:hyperlink w:anchor="_Toc274580551" w:history="1">
        <w:r w:rsidR="00B10C02" w:rsidRPr="00B10C02">
          <w:rPr>
            <w:rStyle w:val="Hyperlink"/>
            <w:b w:val="0"/>
            <w:sz w:val="28"/>
          </w:rPr>
          <w:t>7. Cenas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_Toc274580551 \h </w:instrText>
        </w:r>
        <w:r w:rsidRPr="00B10C02">
          <w:rPr>
            <w:b w:val="0"/>
            <w:webHidden/>
            <w:sz w:val="28"/>
          </w:rPr>
        </w:r>
        <w:r w:rsidRPr="00B10C02">
          <w:rPr>
            <w:b w:val="0"/>
            <w:webHidden/>
            <w:sz w:val="28"/>
          </w:rPr>
          <w:fldChar w:fldCharType="separate"/>
        </w:r>
        <w:r w:rsidR="00A05057">
          <w:rPr>
            <w:b w:val="0"/>
            <w:webHidden/>
            <w:sz w:val="28"/>
          </w:rPr>
          <w:t>44</w:t>
        </w:r>
        <w:r w:rsidRPr="00B10C02">
          <w:rPr>
            <w:b w:val="0"/>
            <w:webHidden/>
            <w:sz w:val="28"/>
          </w:rPr>
          <w:fldChar w:fldCharType="end"/>
        </w:r>
      </w:hyperlink>
    </w:p>
    <w:p w:rsidR="00B10C02" w:rsidRPr="00B10C02" w:rsidRDefault="00EE29C9">
      <w:pPr>
        <w:pStyle w:val="TOC1"/>
        <w:rPr>
          <w:rFonts w:asciiTheme="minorHAnsi" w:eastAsiaTheme="minorEastAsia" w:hAnsiTheme="minorHAnsi" w:cstheme="minorBidi"/>
          <w:b w:val="0"/>
          <w:sz w:val="28"/>
          <w:lang w:eastAsia="lv-LV"/>
        </w:rPr>
      </w:pPr>
      <w:hyperlink w:anchor="_Toc274580552" w:history="1">
        <w:r w:rsidR="00B10C02" w:rsidRPr="00B10C02">
          <w:rPr>
            <w:rStyle w:val="Hyperlink"/>
            <w:b w:val="0"/>
            <w:sz w:val="28"/>
          </w:rPr>
          <w:t>8. Prognozes</w:t>
        </w:r>
        <w:r w:rsidR="00B10C02" w:rsidRPr="00B10C02">
          <w:rPr>
            <w:b w:val="0"/>
            <w:webHidden/>
            <w:sz w:val="28"/>
          </w:rPr>
          <w:tab/>
        </w:r>
        <w:r w:rsidRPr="00B10C02">
          <w:rPr>
            <w:b w:val="0"/>
            <w:webHidden/>
            <w:sz w:val="28"/>
          </w:rPr>
          <w:fldChar w:fldCharType="begin"/>
        </w:r>
        <w:r w:rsidR="00B10C02" w:rsidRPr="00B10C02">
          <w:rPr>
            <w:b w:val="0"/>
            <w:webHidden/>
            <w:sz w:val="28"/>
          </w:rPr>
          <w:instrText xml:space="preserve"> PAGEREF _Toc274580552 \h </w:instrText>
        </w:r>
        <w:r w:rsidRPr="00B10C02">
          <w:rPr>
            <w:b w:val="0"/>
            <w:webHidden/>
            <w:sz w:val="28"/>
          </w:rPr>
        </w:r>
        <w:r w:rsidRPr="00B10C02">
          <w:rPr>
            <w:b w:val="0"/>
            <w:webHidden/>
            <w:sz w:val="28"/>
          </w:rPr>
          <w:fldChar w:fldCharType="separate"/>
        </w:r>
        <w:r w:rsidR="00A05057">
          <w:rPr>
            <w:b w:val="0"/>
            <w:webHidden/>
            <w:sz w:val="28"/>
          </w:rPr>
          <w:t>44</w:t>
        </w:r>
        <w:r w:rsidRPr="00B10C02">
          <w:rPr>
            <w:b w:val="0"/>
            <w:webHidden/>
            <w:sz w:val="28"/>
          </w:rPr>
          <w:fldChar w:fldCharType="end"/>
        </w:r>
      </w:hyperlink>
    </w:p>
    <w:p w:rsidR="00BE41C7" w:rsidRPr="00F77E00" w:rsidRDefault="00EE29C9" w:rsidP="00BE41C7">
      <w:pPr>
        <w:pStyle w:val="Heading1"/>
        <w:tabs>
          <w:tab w:val="right" w:leader="dot" w:pos="8789"/>
          <w:tab w:val="right" w:leader="dot" w:pos="9072"/>
          <w:tab w:val="right" w:leader="dot" w:pos="9356"/>
        </w:tabs>
        <w:spacing w:before="120" w:after="120"/>
        <w:ind w:left="1134"/>
      </w:pPr>
      <w:r w:rsidRPr="00B10C02">
        <w:rPr>
          <w:rFonts w:eastAsiaTheme="minorEastAsia" w:cstheme="minorBidi"/>
          <w:b w:val="0"/>
          <w:sz w:val="28"/>
        </w:rPr>
        <w:fldChar w:fldCharType="end"/>
      </w:r>
      <w:r w:rsidR="00BE41C7" w:rsidRPr="00F77E00">
        <w:br w:type="page"/>
      </w:r>
    </w:p>
    <w:p w:rsidR="00BE41C7" w:rsidRPr="009F6E8E" w:rsidRDefault="00BE41C7" w:rsidP="00BE41C7">
      <w:pPr>
        <w:pStyle w:val="Heading1"/>
      </w:pPr>
      <w:bookmarkStart w:id="0" w:name="_Toc216077028"/>
      <w:bookmarkStart w:id="1" w:name="_Toc216077732"/>
      <w:bookmarkStart w:id="2" w:name="_Toc216077836"/>
      <w:bookmarkStart w:id="3" w:name="_Toc216077916"/>
      <w:bookmarkStart w:id="4" w:name="_Toc216078658"/>
      <w:bookmarkStart w:id="5" w:name="_Toc216079262"/>
      <w:bookmarkStart w:id="6" w:name="_Toc216079505"/>
      <w:bookmarkStart w:id="7" w:name="_Toc216079573"/>
      <w:bookmarkStart w:id="8" w:name="_Toc216079635"/>
      <w:bookmarkStart w:id="9" w:name="_Toc216079691"/>
      <w:bookmarkStart w:id="10" w:name="_Toc216079747"/>
      <w:bookmarkStart w:id="11" w:name="_Toc216079803"/>
      <w:bookmarkStart w:id="12" w:name="_Toc216080160"/>
    </w:p>
    <w:p w:rsidR="00BE41C7" w:rsidRPr="009F6E8E" w:rsidRDefault="00BE41C7" w:rsidP="00BE41C7">
      <w:pPr>
        <w:pStyle w:val="Heading1"/>
      </w:pPr>
    </w:p>
    <w:p w:rsidR="00BE41C7" w:rsidRPr="00A34A6E" w:rsidRDefault="00BE41C7" w:rsidP="00BE41C7">
      <w:pPr>
        <w:jc w:val="center"/>
        <w:rPr>
          <w:b/>
          <w:sz w:val="32"/>
        </w:rPr>
      </w:pPr>
      <w:bookmarkStart w:id="13" w:name="_Toc216083814"/>
      <w:r w:rsidRPr="00A34A6E">
        <w:rPr>
          <w:b/>
          <w:sz w:val="32"/>
        </w:rPr>
        <w:t>Saīsinājumi</w:t>
      </w:r>
      <w:bookmarkEnd w:id="0"/>
      <w:bookmarkEnd w:id="1"/>
      <w:bookmarkEnd w:id="2"/>
      <w:bookmarkEnd w:id="3"/>
      <w:bookmarkEnd w:id="4"/>
      <w:bookmarkEnd w:id="5"/>
      <w:bookmarkEnd w:id="6"/>
      <w:bookmarkEnd w:id="7"/>
      <w:bookmarkEnd w:id="8"/>
      <w:bookmarkEnd w:id="9"/>
      <w:bookmarkEnd w:id="10"/>
      <w:bookmarkEnd w:id="11"/>
      <w:bookmarkEnd w:id="12"/>
      <w:bookmarkEnd w:id="13"/>
    </w:p>
    <w:p w:rsidR="00BE41C7" w:rsidRPr="009F6E8E" w:rsidRDefault="00BE41C7" w:rsidP="00BE41C7">
      <w:pPr>
        <w:jc w:val="center"/>
        <w:rPr>
          <w:sz w:val="28"/>
          <w:szCs w:val="32"/>
        </w:rPr>
      </w:pPr>
    </w:p>
    <w:p w:rsidR="00BE41C7" w:rsidRPr="009F6E8E" w:rsidRDefault="00BE41C7" w:rsidP="00BE41C7">
      <w:pPr>
        <w:jc w:val="center"/>
        <w:rPr>
          <w:sz w:val="28"/>
          <w:szCs w:val="32"/>
        </w:rPr>
      </w:pPr>
    </w:p>
    <w:tbl>
      <w:tblPr>
        <w:tblW w:w="0" w:type="auto"/>
        <w:jc w:val="right"/>
        <w:tblInd w:w="-1154" w:type="dxa"/>
        <w:tblLayout w:type="fixed"/>
        <w:tblCellMar>
          <w:left w:w="107" w:type="dxa"/>
          <w:right w:w="107" w:type="dxa"/>
        </w:tblCellMar>
        <w:tblLook w:val="0000"/>
      </w:tblPr>
      <w:tblGrid>
        <w:gridCol w:w="1468"/>
        <w:gridCol w:w="7599"/>
      </w:tblGrid>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ASV</w:t>
            </w:r>
          </w:p>
        </w:tc>
        <w:tc>
          <w:tcPr>
            <w:tcW w:w="7599" w:type="dxa"/>
            <w:shd w:val="clear" w:color="auto" w:fill="auto"/>
          </w:tcPr>
          <w:p w:rsidR="00BE41C7" w:rsidRPr="00E82732" w:rsidRDefault="00BE41C7" w:rsidP="009A2453">
            <w:pPr>
              <w:spacing w:before="40"/>
              <w:rPr>
                <w:sz w:val="28"/>
              </w:rPr>
            </w:pPr>
            <w:r w:rsidRPr="00E82732">
              <w:rPr>
                <w:sz w:val="28"/>
              </w:rPr>
              <w:t>Amerikas</w:t>
            </w:r>
            <w:r>
              <w:rPr>
                <w:sz w:val="28"/>
              </w:rPr>
              <w:t xml:space="preserve"> </w:t>
            </w:r>
            <w:r w:rsidRPr="00E82732">
              <w:rPr>
                <w:sz w:val="28"/>
              </w:rPr>
              <w:t>Savienotās</w:t>
            </w:r>
            <w:r>
              <w:rPr>
                <w:sz w:val="28"/>
              </w:rPr>
              <w:t xml:space="preserve"> </w:t>
            </w:r>
            <w:r w:rsidRPr="00E82732">
              <w:rPr>
                <w:sz w:val="28"/>
              </w:rPr>
              <w:t>Valstis</w:t>
            </w:r>
          </w:p>
        </w:tc>
      </w:tr>
      <w:tr w:rsidR="00832DE5" w:rsidRPr="00E82732" w:rsidTr="009A2453">
        <w:trPr>
          <w:jc w:val="right"/>
        </w:trPr>
        <w:tc>
          <w:tcPr>
            <w:tcW w:w="1468" w:type="dxa"/>
          </w:tcPr>
          <w:p w:rsidR="00832DE5" w:rsidRPr="00E82732" w:rsidRDefault="00832DE5" w:rsidP="009A2453">
            <w:pPr>
              <w:spacing w:before="40"/>
              <w:rPr>
                <w:sz w:val="28"/>
              </w:rPr>
            </w:pPr>
            <w:r>
              <w:rPr>
                <w:sz w:val="28"/>
              </w:rPr>
              <w:t>ĀTI</w:t>
            </w:r>
          </w:p>
        </w:tc>
        <w:tc>
          <w:tcPr>
            <w:tcW w:w="7599" w:type="dxa"/>
            <w:shd w:val="clear" w:color="auto" w:fill="auto"/>
          </w:tcPr>
          <w:p w:rsidR="00832DE5" w:rsidRPr="00E82732" w:rsidRDefault="00832DE5" w:rsidP="009A2453">
            <w:pPr>
              <w:spacing w:before="40"/>
              <w:rPr>
                <w:sz w:val="28"/>
              </w:rPr>
            </w:pPr>
            <w:r>
              <w:rPr>
                <w:sz w:val="28"/>
              </w:rPr>
              <w:t>Ārvalstu tiešās investīcijas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CSP</w:t>
            </w:r>
          </w:p>
        </w:tc>
        <w:tc>
          <w:tcPr>
            <w:tcW w:w="7599" w:type="dxa"/>
            <w:shd w:val="clear" w:color="auto" w:fill="auto"/>
          </w:tcPr>
          <w:p w:rsidR="00BE41C7" w:rsidRPr="00E82732" w:rsidRDefault="00BE41C7" w:rsidP="009A2453">
            <w:pPr>
              <w:spacing w:before="40"/>
              <w:rPr>
                <w:sz w:val="28"/>
              </w:rPr>
            </w:pPr>
            <w:r w:rsidRPr="00E82732">
              <w:rPr>
                <w:sz w:val="28"/>
              </w:rPr>
              <w:t>Centrālā</w:t>
            </w:r>
            <w:r>
              <w:rPr>
                <w:sz w:val="28"/>
              </w:rPr>
              <w:t xml:space="preserve"> </w:t>
            </w:r>
            <w:r w:rsidRPr="00E82732">
              <w:rPr>
                <w:sz w:val="28"/>
              </w:rPr>
              <w:t>statistikas</w:t>
            </w:r>
            <w:r>
              <w:rPr>
                <w:sz w:val="28"/>
              </w:rPr>
              <w:t xml:space="preserve"> </w:t>
            </w:r>
            <w:r w:rsidRPr="00E82732">
              <w:rPr>
                <w:sz w:val="28"/>
              </w:rPr>
              <w:t>pārvalde</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EE</w:t>
            </w:r>
          </w:p>
        </w:tc>
        <w:tc>
          <w:tcPr>
            <w:tcW w:w="7599" w:type="dxa"/>
          </w:tcPr>
          <w:p w:rsidR="00BE41C7" w:rsidRPr="00E82732" w:rsidRDefault="00BE41C7" w:rsidP="009A2453">
            <w:pPr>
              <w:spacing w:before="40"/>
              <w:rPr>
                <w:sz w:val="28"/>
              </w:rPr>
            </w:pPr>
            <w:r w:rsidRPr="00E82732">
              <w:rPr>
                <w:sz w:val="28"/>
              </w:rPr>
              <w:t>Igaunija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EM</w:t>
            </w:r>
          </w:p>
        </w:tc>
        <w:tc>
          <w:tcPr>
            <w:tcW w:w="7599" w:type="dxa"/>
          </w:tcPr>
          <w:p w:rsidR="00BE41C7" w:rsidRPr="00E82732" w:rsidRDefault="00BE41C7" w:rsidP="009A2453">
            <w:pPr>
              <w:spacing w:before="40"/>
              <w:rPr>
                <w:sz w:val="28"/>
              </w:rPr>
            </w:pPr>
            <w:r w:rsidRPr="00E82732">
              <w:rPr>
                <w:sz w:val="28"/>
              </w:rPr>
              <w:t>Ekonomikas</w:t>
            </w:r>
            <w:r>
              <w:rPr>
                <w:sz w:val="28"/>
              </w:rPr>
              <w:t xml:space="preserve"> </w:t>
            </w:r>
            <w:r w:rsidRPr="00E82732">
              <w:rPr>
                <w:sz w:val="28"/>
              </w:rPr>
              <w:t>ministrija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ES</w:t>
            </w:r>
          </w:p>
        </w:tc>
        <w:tc>
          <w:tcPr>
            <w:tcW w:w="7599" w:type="dxa"/>
          </w:tcPr>
          <w:p w:rsidR="00BE41C7" w:rsidRPr="00E82732" w:rsidRDefault="00BE41C7" w:rsidP="009A2453">
            <w:pPr>
              <w:spacing w:before="40"/>
              <w:rPr>
                <w:sz w:val="28"/>
              </w:rPr>
            </w:pPr>
            <w:r w:rsidRPr="00E82732">
              <w:rPr>
                <w:sz w:val="28"/>
              </w:rPr>
              <w:t>Eiropas</w:t>
            </w:r>
            <w:r>
              <w:rPr>
                <w:sz w:val="28"/>
              </w:rPr>
              <w:t xml:space="preserve"> </w:t>
            </w:r>
            <w:r w:rsidRPr="00E82732">
              <w:rPr>
                <w:sz w:val="28"/>
              </w:rPr>
              <w:t>Savienība</w:t>
            </w:r>
          </w:p>
        </w:tc>
      </w:tr>
      <w:tr w:rsidR="00BE41C7" w:rsidRPr="00E82732" w:rsidTr="009A2453">
        <w:trPr>
          <w:jc w:val="right"/>
        </w:trPr>
        <w:tc>
          <w:tcPr>
            <w:tcW w:w="1468" w:type="dxa"/>
          </w:tcPr>
          <w:p w:rsidR="00BE41C7" w:rsidRPr="00E82732" w:rsidRDefault="00BE41C7" w:rsidP="009A2453">
            <w:pPr>
              <w:spacing w:before="40"/>
              <w:rPr>
                <w:sz w:val="28"/>
              </w:rPr>
            </w:pPr>
            <w:smartTag w:uri="schemas-tilde-lv/tildestengine" w:element="currency2">
              <w:smartTagPr>
                <w:attr w:name="currency_id" w:val="16"/>
                <w:attr w:name="currency_key" w:val="EUR"/>
                <w:attr w:name="currency_value" w:val="1"/>
                <w:attr w:name="currency_text" w:val="EUR"/>
              </w:smartTagPr>
              <w:r w:rsidRPr="00E82732">
                <w:rPr>
                  <w:sz w:val="28"/>
                </w:rPr>
                <w:t>EUR</w:t>
              </w:r>
            </w:smartTag>
          </w:p>
        </w:tc>
        <w:tc>
          <w:tcPr>
            <w:tcW w:w="7599" w:type="dxa"/>
          </w:tcPr>
          <w:p w:rsidR="00BE41C7" w:rsidRPr="00E82732" w:rsidRDefault="00BE41C7" w:rsidP="009A2453">
            <w:pPr>
              <w:spacing w:before="40"/>
              <w:rPr>
                <w:color w:val="000000"/>
                <w:sz w:val="28"/>
              </w:rPr>
            </w:pPr>
            <w:r w:rsidRPr="00E82732">
              <w:rPr>
                <w:color w:val="000000"/>
                <w:sz w:val="28"/>
              </w:rPr>
              <w:t>eiro, oficiālā Eiropas</w:t>
            </w:r>
            <w:r>
              <w:rPr>
                <w:color w:val="000000"/>
                <w:sz w:val="28"/>
              </w:rPr>
              <w:t xml:space="preserve"> </w:t>
            </w:r>
            <w:r w:rsidRPr="00E82732">
              <w:rPr>
                <w:color w:val="000000"/>
                <w:sz w:val="28"/>
              </w:rPr>
              <w:t>Savienības</w:t>
            </w:r>
            <w:r>
              <w:rPr>
                <w:color w:val="000000"/>
                <w:sz w:val="28"/>
              </w:rPr>
              <w:t xml:space="preserve"> </w:t>
            </w:r>
            <w:r w:rsidRPr="00E82732">
              <w:rPr>
                <w:color w:val="000000"/>
                <w:sz w:val="28"/>
              </w:rPr>
              <w:t>naudas</w:t>
            </w:r>
            <w:r>
              <w:rPr>
                <w:color w:val="000000"/>
                <w:sz w:val="28"/>
              </w:rPr>
              <w:t xml:space="preserve"> </w:t>
            </w:r>
            <w:r w:rsidRPr="00E82732">
              <w:rPr>
                <w:color w:val="000000"/>
                <w:sz w:val="28"/>
              </w:rPr>
              <w:t>vienība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EU27</w:t>
            </w:r>
          </w:p>
        </w:tc>
        <w:tc>
          <w:tcPr>
            <w:tcW w:w="7599" w:type="dxa"/>
          </w:tcPr>
          <w:p w:rsidR="00BE41C7" w:rsidRPr="00E82732" w:rsidRDefault="00BE41C7" w:rsidP="009A2453">
            <w:pPr>
              <w:spacing w:before="40"/>
              <w:rPr>
                <w:color w:val="000000"/>
                <w:sz w:val="28"/>
              </w:rPr>
            </w:pPr>
            <w:r w:rsidRPr="00E82732">
              <w:rPr>
                <w:sz w:val="28"/>
              </w:rPr>
              <w:t>Eiropas</w:t>
            </w:r>
            <w:r>
              <w:rPr>
                <w:sz w:val="28"/>
              </w:rPr>
              <w:t xml:space="preserve"> </w:t>
            </w:r>
            <w:r w:rsidRPr="00E82732">
              <w:rPr>
                <w:sz w:val="28"/>
              </w:rPr>
              <w:t>Savienība (visas 27 dalībvalstis)</w:t>
            </w:r>
          </w:p>
        </w:tc>
      </w:tr>
      <w:tr w:rsidR="002109E8" w:rsidRPr="00E82732" w:rsidTr="0043108A">
        <w:trPr>
          <w:jc w:val="right"/>
        </w:trPr>
        <w:tc>
          <w:tcPr>
            <w:tcW w:w="1468" w:type="dxa"/>
          </w:tcPr>
          <w:p w:rsidR="002109E8" w:rsidRPr="00E82732" w:rsidRDefault="002109E8" w:rsidP="0043108A">
            <w:pPr>
              <w:spacing w:before="40"/>
              <w:rPr>
                <w:rFonts w:eastAsia="Times New Roman"/>
                <w:sz w:val="28"/>
              </w:rPr>
            </w:pPr>
            <w:r>
              <w:rPr>
                <w:rFonts w:eastAsia="Times New Roman"/>
                <w:sz w:val="28"/>
              </w:rPr>
              <w:t>IIN</w:t>
            </w:r>
          </w:p>
        </w:tc>
        <w:tc>
          <w:tcPr>
            <w:tcW w:w="7599" w:type="dxa"/>
          </w:tcPr>
          <w:p w:rsidR="002109E8" w:rsidRDefault="002109E8" w:rsidP="0043108A">
            <w:pPr>
              <w:spacing w:before="40"/>
              <w:rPr>
                <w:rFonts w:eastAsia="Times New Roman"/>
                <w:sz w:val="28"/>
              </w:rPr>
            </w:pPr>
            <w:r>
              <w:rPr>
                <w:rFonts w:eastAsia="Times New Roman"/>
                <w:sz w:val="28"/>
              </w:rPr>
              <w:t>iedzīvotāju ienākuma nodoklis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IKP</w:t>
            </w:r>
          </w:p>
        </w:tc>
        <w:tc>
          <w:tcPr>
            <w:tcW w:w="7599" w:type="dxa"/>
          </w:tcPr>
          <w:p w:rsidR="00BE41C7" w:rsidRPr="00E82732" w:rsidRDefault="00BE41C7" w:rsidP="009A2453">
            <w:pPr>
              <w:spacing w:before="40"/>
              <w:rPr>
                <w:sz w:val="28"/>
              </w:rPr>
            </w:pPr>
            <w:r>
              <w:rPr>
                <w:sz w:val="28"/>
              </w:rPr>
              <w:t>i</w:t>
            </w:r>
            <w:r w:rsidRPr="00E82732">
              <w:rPr>
                <w:sz w:val="28"/>
              </w:rPr>
              <w:t>ekšzemes</w:t>
            </w:r>
            <w:r>
              <w:rPr>
                <w:sz w:val="28"/>
              </w:rPr>
              <w:t xml:space="preserve"> </w:t>
            </w:r>
            <w:r w:rsidRPr="00E82732">
              <w:rPr>
                <w:sz w:val="28"/>
              </w:rPr>
              <w:t>kopprodukts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rFonts w:eastAsia="Times New Roman"/>
                <w:sz w:val="28"/>
              </w:rPr>
              <w:t>HICP</w:t>
            </w:r>
          </w:p>
        </w:tc>
        <w:tc>
          <w:tcPr>
            <w:tcW w:w="7599" w:type="dxa"/>
          </w:tcPr>
          <w:p w:rsidR="00BE41C7" w:rsidRPr="00E82732" w:rsidRDefault="00BE41C7" w:rsidP="009A2453">
            <w:pPr>
              <w:spacing w:before="40"/>
              <w:rPr>
                <w:sz w:val="28"/>
              </w:rPr>
            </w:pPr>
            <w:r>
              <w:rPr>
                <w:rFonts w:eastAsia="Times New Roman"/>
                <w:sz w:val="28"/>
              </w:rPr>
              <w:t>s</w:t>
            </w:r>
            <w:r w:rsidRPr="00E82732">
              <w:rPr>
                <w:rFonts w:eastAsia="Times New Roman"/>
                <w:sz w:val="28"/>
              </w:rPr>
              <w:t>askaņotais</w:t>
            </w:r>
            <w:r>
              <w:rPr>
                <w:rFonts w:eastAsia="Times New Roman"/>
                <w:sz w:val="28"/>
              </w:rPr>
              <w:t xml:space="preserve"> </w:t>
            </w:r>
            <w:r w:rsidRPr="00E82732">
              <w:rPr>
                <w:rFonts w:eastAsia="Times New Roman"/>
                <w:sz w:val="28"/>
              </w:rPr>
              <w:t>patēriņa</w:t>
            </w:r>
            <w:r>
              <w:rPr>
                <w:rFonts w:eastAsia="Times New Roman"/>
                <w:sz w:val="28"/>
              </w:rPr>
              <w:t xml:space="preserve"> </w:t>
            </w:r>
            <w:r w:rsidRPr="00E82732">
              <w:rPr>
                <w:rFonts w:eastAsia="Times New Roman"/>
                <w:sz w:val="28"/>
              </w:rPr>
              <w:t>cenu</w:t>
            </w:r>
            <w:r>
              <w:rPr>
                <w:rFonts w:eastAsia="Times New Roman"/>
                <w:sz w:val="28"/>
              </w:rPr>
              <w:t xml:space="preserve"> </w:t>
            </w:r>
            <w:r w:rsidRPr="00E82732">
              <w:rPr>
                <w:rFonts w:eastAsia="Times New Roman"/>
                <w:sz w:val="28"/>
              </w:rPr>
              <w:t>indekss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Ls</w:t>
            </w:r>
          </w:p>
        </w:tc>
        <w:tc>
          <w:tcPr>
            <w:tcW w:w="7599" w:type="dxa"/>
          </w:tcPr>
          <w:p w:rsidR="00BE41C7" w:rsidRPr="00E82732" w:rsidRDefault="002109E8" w:rsidP="009A2453">
            <w:pPr>
              <w:spacing w:before="40"/>
              <w:rPr>
                <w:sz w:val="28"/>
              </w:rPr>
            </w:pPr>
            <w:r>
              <w:rPr>
                <w:color w:val="000000"/>
                <w:sz w:val="28"/>
              </w:rPr>
              <w:t>L</w:t>
            </w:r>
            <w:r w:rsidR="00BE41C7" w:rsidRPr="00E82732">
              <w:rPr>
                <w:color w:val="000000"/>
                <w:sz w:val="28"/>
              </w:rPr>
              <w:t>ats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LT</w:t>
            </w:r>
          </w:p>
        </w:tc>
        <w:tc>
          <w:tcPr>
            <w:tcW w:w="7599" w:type="dxa"/>
          </w:tcPr>
          <w:p w:rsidR="00BE41C7" w:rsidRPr="00E82732" w:rsidRDefault="00BE41C7" w:rsidP="009A2453">
            <w:pPr>
              <w:spacing w:before="40"/>
              <w:rPr>
                <w:sz w:val="28"/>
              </w:rPr>
            </w:pPr>
            <w:r w:rsidRPr="00E82732">
              <w:rPr>
                <w:sz w:val="28"/>
              </w:rPr>
              <w:t>Lietuva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LV</w:t>
            </w:r>
          </w:p>
        </w:tc>
        <w:tc>
          <w:tcPr>
            <w:tcW w:w="7599" w:type="dxa"/>
          </w:tcPr>
          <w:p w:rsidR="00BE41C7" w:rsidRPr="00E82732" w:rsidRDefault="00BE41C7" w:rsidP="009A2453">
            <w:pPr>
              <w:spacing w:before="40"/>
              <w:rPr>
                <w:sz w:val="28"/>
              </w:rPr>
            </w:pPr>
            <w:r w:rsidRPr="00E82732">
              <w:rPr>
                <w:sz w:val="28"/>
              </w:rPr>
              <w:t>Latvija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MK</w:t>
            </w:r>
          </w:p>
        </w:tc>
        <w:tc>
          <w:tcPr>
            <w:tcW w:w="7599" w:type="dxa"/>
          </w:tcPr>
          <w:p w:rsidR="00BE41C7" w:rsidRPr="00E82732" w:rsidRDefault="00BE41C7" w:rsidP="009A2453">
            <w:pPr>
              <w:spacing w:before="40"/>
              <w:rPr>
                <w:sz w:val="28"/>
              </w:rPr>
            </w:pPr>
            <w:r w:rsidRPr="00E82732">
              <w:rPr>
                <w:sz w:val="28"/>
              </w:rPr>
              <w:t>Ministru</w:t>
            </w:r>
            <w:r>
              <w:rPr>
                <w:sz w:val="28"/>
              </w:rPr>
              <w:t xml:space="preserve"> </w:t>
            </w:r>
            <w:r w:rsidRPr="00E82732">
              <w:rPr>
                <w:sz w:val="28"/>
              </w:rPr>
              <w:t>kabinets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NVA</w:t>
            </w:r>
          </w:p>
        </w:tc>
        <w:tc>
          <w:tcPr>
            <w:tcW w:w="7599" w:type="dxa"/>
          </w:tcPr>
          <w:p w:rsidR="00BE41C7" w:rsidRPr="00E82732" w:rsidRDefault="00BE41C7" w:rsidP="009A2453">
            <w:pPr>
              <w:spacing w:before="40"/>
              <w:rPr>
                <w:sz w:val="28"/>
              </w:rPr>
            </w:pPr>
            <w:r w:rsidRPr="00E82732">
              <w:rPr>
                <w:sz w:val="28"/>
              </w:rPr>
              <w:t>Nodarbinātības Valsts aģentūra</w:t>
            </w:r>
          </w:p>
        </w:tc>
      </w:tr>
      <w:tr w:rsidR="00EA7E80" w:rsidRPr="00E82732" w:rsidTr="009A2453">
        <w:trPr>
          <w:jc w:val="right"/>
        </w:trPr>
        <w:tc>
          <w:tcPr>
            <w:tcW w:w="1468" w:type="dxa"/>
          </w:tcPr>
          <w:p w:rsidR="00EA7E80" w:rsidRPr="00E82732" w:rsidRDefault="00EA7E80" w:rsidP="009A2453">
            <w:pPr>
              <w:spacing w:before="40"/>
              <w:rPr>
                <w:sz w:val="28"/>
              </w:rPr>
            </w:pPr>
            <w:r>
              <w:rPr>
                <w:sz w:val="28"/>
              </w:rPr>
              <w:t>NVS</w:t>
            </w:r>
          </w:p>
        </w:tc>
        <w:tc>
          <w:tcPr>
            <w:tcW w:w="7599" w:type="dxa"/>
          </w:tcPr>
          <w:p w:rsidR="00EA7E80" w:rsidRDefault="00EA7E80" w:rsidP="009A2453">
            <w:pPr>
              <w:spacing w:before="40"/>
              <w:rPr>
                <w:sz w:val="28"/>
              </w:rPr>
            </w:pPr>
            <w:r>
              <w:rPr>
                <w:sz w:val="28"/>
              </w:rPr>
              <w:t xml:space="preserve">Neatkarīga </w:t>
            </w:r>
            <w:r w:rsidR="002F4DE4">
              <w:rPr>
                <w:sz w:val="28"/>
              </w:rPr>
              <w:t>V</w:t>
            </w:r>
            <w:r>
              <w:rPr>
                <w:sz w:val="28"/>
              </w:rPr>
              <w:t xml:space="preserve">alstu </w:t>
            </w:r>
            <w:r w:rsidR="002F4DE4">
              <w:rPr>
                <w:sz w:val="28"/>
              </w:rPr>
              <w:t>S</w:t>
            </w:r>
            <w:r>
              <w:rPr>
                <w:sz w:val="28"/>
              </w:rPr>
              <w:t>adraudzība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PCI</w:t>
            </w:r>
          </w:p>
        </w:tc>
        <w:tc>
          <w:tcPr>
            <w:tcW w:w="7599" w:type="dxa"/>
          </w:tcPr>
          <w:p w:rsidR="00BE41C7" w:rsidRPr="00E82732" w:rsidRDefault="00BE41C7" w:rsidP="009A2453">
            <w:pPr>
              <w:spacing w:before="40"/>
              <w:rPr>
                <w:sz w:val="28"/>
              </w:rPr>
            </w:pPr>
            <w:r>
              <w:rPr>
                <w:sz w:val="28"/>
              </w:rPr>
              <w:t>p</w:t>
            </w:r>
            <w:r w:rsidRPr="00E82732">
              <w:rPr>
                <w:sz w:val="28"/>
              </w:rPr>
              <w:t>atēriņa</w:t>
            </w:r>
            <w:r>
              <w:rPr>
                <w:sz w:val="28"/>
              </w:rPr>
              <w:t xml:space="preserve"> </w:t>
            </w:r>
            <w:r w:rsidRPr="00E82732">
              <w:rPr>
                <w:sz w:val="28"/>
              </w:rPr>
              <w:t>cenu</w:t>
            </w:r>
            <w:r>
              <w:rPr>
                <w:sz w:val="28"/>
              </w:rPr>
              <w:t xml:space="preserve"> </w:t>
            </w:r>
            <w:r w:rsidRPr="00E82732">
              <w:rPr>
                <w:sz w:val="28"/>
              </w:rPr>
              <w:t>indekss</w:t>
            </w:r>
          </w:p>
        </w:tc>
      </w:tr>
      <w:tr w:rsidR="003B03DF" w:rsidRPr="00E82732" w:rsidTr="009A2453">
        <w:trPr>
          <w:jc w:val="right"/>
        </w:trPr>
        <w:tc>
          <w:tcPr>
            <w:tcW w:w="1468" w:type="dxa"/>
          </w:tcPr>
          <w:p w:rsidR="003B03DF" w:rsidRPr="00E82732" w:rsidRDefault="003B03DF" w:rsidP="009A2453">
            <w:pPr>
              <w:spacing w:before="40"/>
              <w:rPr>
                <w:sz w:val="28"/>
              </w:rPr>
            </w:pPr>
            <w:r>
              <w:rPr>
                <w:sz w:val="28"/>
              </w:rPr>
              <w:t>PVN</w:t>
            </w:r>
          </w:p>
        </w:tc>
        <w:tc>
          <w:tcPr>
            <w:tcW w:w="7599" w:type="dxa"/>
          </w:tcPr>
          <w:p w:rsidR="003B03DF" w:rsidRDefault="003B03DF" w:rsidP="009A2453">
            <w:pPr>
              <w:spacing w:before="40"/>
              <w:rPr>
                <w:sz w:val="28"/>
              </w:rPr>
            </w:pPr>
            <w:r>
              <w:rPr>
                <w:sz w:val="28"/>
              </w:rPr>
              <w:t>pievienotās vērtības nodoklis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RCI</w:t>
            </w:r>
          </w:p>
        </w:tc>
        <w:tc>
          <w:tcPr>
            <w:tcW w:w="7599" w:type="dxa"/>
          </w:tcPr>
          <w:p w:rsidR="00BE41C7" w:rsidRPr="00E82732" w:rsidRDefault="00BE41C7" w:rsidP="009A2453">
            <w:pPr>
              <w:spacing w:before="40"/>
              <w:rPr>
                <w:sz w:val="28"/>
              </w:rPr>
            </w:pPr>
            <w:r>
              <w:rPr>
                <w:sz w:val="28"/>
              </w:rPr>
              <w:t>r</w:t>
            </w:r>
            <w:r w:rsidRPr="00E82732">
              <w:rPr>
                <w:sz w:val="28"/>
              </w:rPr>
              <w:t>ažotāju</w:t>
            </w:r>
            <w:r>
              <w:rPr>
                <w:sz w:val="28"/>
              </w:rPr>
              <w:t xml:space="preserve"> </w:t>
            </w:r>
            <w:r w:rsidRPr="00E82732">
              <w:rPr>
                <w:sz w:val="28"/>
              </w:rPr>
              <w:t>cenu</w:t>
            </w:r>
            <w:r>
              <w:rPr>
                <w:sz w:val="28"/>
              </w:rPr>
              <w:t xml:space="preserve"> </w:t>
            </w:r>
            <w:r w:rsidRPr="00E82732">
              <w:rPr>
                <w:sz w:val="28"/>
              </w:rPr>
              <w:t>indekss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VCI</w:t>
            </w:r>
          </w:p>
        </w:tc>
        <w:tc>
          <w:tcPr>
            <w:tcW w:w="7599" w:type="dxa"/>
          </w:tcPr>
          <w:p w:rsidR="00BE41C7" w:rsidRPr="00E82732" w:rsidRDefault="00BE41C7" w:rsidP="009A2453">
            <w:pPr>
              <w:spacing w:before="40"/>
              <w:rPr>
                <w:sz w:val="28"/>
              </w:rPr>
            </w:pPr>
            <w:r w:rsidRPr="00E82732">
              <w:rPr>
                <w:sz w:val="28"/>
              </w:rPr>
              <w:t>ražotāju cenu indekss vietējā tirgū realizētajai produkcijai</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XCI</w:t>
            </w:r>
          </w:p>
        </w:tc>
        <w:tc>
          <w:tcPr>
            <w:tcW w:w="7599" w:type="dxa"/>
          </w:tcPr>
          <w:p w:rsidR="00BE41C7" w:rsidRPr="00E82732" w:rsidRDefault="00BE41C7" w:rsidP="009A2453">
            <w:pPr>
              <w:spacing w:before="40"/>
              <w:rPr>
                <w:sz w:val="28"/>
              </w:rPr>
            </w:pPr>
            <w:r w:rsidRPr="00E82732">
              <w:rPr>
                <w:sz w:val="28"/>
              </w:rPr>
              <w:t>ražotāju</w:t>
            </w:r>
            <w:r w:rsidRPr="00E82732">
              <w:rPr>
                <w:color w:val="FFFFFF" w:themeColor="background1"/>
                <w:sz w:val="28"/>
                <w:shd w:val="clear" w:color="auto" w:fill="FFFFFF" w:themeFill="background1"/>
              </w:rPr>
              <w:t>_</w:t>
            </w:r>
            <w:r w:rsidRPr="00E82732">
              <w:rPr>
                <w:sz w:val="28"/>
              </w:rPr>
              <w:t>cenu</w:t>
            </w:r>
            <w:r w:rsidRPr="00E82732">
              <w:rPr>
                <w:color w:val="FFFFFF" w:themeColor="background1"/>
                <w:sz w:val="28"/>
                <w:shd w:val="clear" w:color="auto" w:fill="FFFFFF" w:themeFill="background1"/>
              </w:rPr>
              <w:t>_</w:t>
            </w:r>
            <w:r w:rsidRPr="00E82732">
              <w:rPr>
                <w:sz w:val="28"/>
              </w:rPr>
              <w:t>indekss</w:t>
            </w:r>
            <w:r w:rsidRPr="00E82732">
              <w:rPr>
                <w:color w:val="FFFFFF" w:themeColor="background1"/>
                <w:sz w:val="28"/>
                <w:shd w:val="clear" w:color="auto" w:fill="FFFFFF" w:themeFill="background1"/>
              </w:rPr>
              <w:t>_</w:t>
            </w:r>
            <w:r w:rsidRPr="00E82732">
              <w:rPr>
                <w:sz w:val="28"/>
              </w:rPr>
              <w:t>eksportētajai</w:t>
            </w:r>
            <w:r w:rsidRPr="00E82732">
              <w:rPr>
                <w:color w:val="FFFFFF" w:themeColor="background1"/>
                <w:sz w:val="28"/>
                <w:shd w:val="clear" w:color="auto" w:fill="FFFFFF" w:themeFill="background1"/>
              </w:rPr>
              <w:t>_</w:t>
            </w:r>
            <w:r w:rsidRPr="00E82732">
              <w:rPr>
                <w:sz w:val="28"/>
              </w:rPr>
              <w:t>produkcijai</w:t>
            </w:r>
          </w:p>
        </w:tc>
      </w:tr>
    </w:tbl>
    <w:p w:rsidR="00BE41C7" w:rsidRPr="00E82732" w:rsidRDefault="00BE41C7" w:rsidP="00BE41C7">
      <w:pPr>
        <w:pStyle w:val="Heading1"/>
        <w:tabs>
          <w:tab w:val="right" w:leader="dot" w:pos="9356"/>
        </w:tabs>
        <w:spacing w:before="120" w:after="120"/>
        <w:rPr>
          <w:sz w:val="28"/>
          <w:szCs w:val="32"/>
        </w:rPr>
      </w:pPr>
      <w:r w:rsidRPr="00E82732">
        <w:rPr>
          <w:sz w:val="28"/>
          <w:szCs w:val="32"/>
        </w:rPr>
        <w:br w:type="page"/>
      </w:r>
      <w:bookmarkStart w:id="14" w:name="_Toc206815978"/>
    </w:p>
    <w:p w:rsidR="00BE41C7" w:rsidRPr="009F6E8E" w:rsidRDefault="00BE41C7" w:rsidP="00CD3CE6">
      <w:pPr>
        <w:pStyle w:val="Heading1"/>
        <w:jc w:val="center"/>
      </w:pPr>
      <w:bookmarkStart w:id="15" w:name="_Toc216077027"/>
      <w:bookmarkStart w:id="16" w:name="_Toc216077731"/>
      <w:bookmarkStart w:id="17" w:name="_Toc216077835"/>
      <w:bookmarkStart w:id="18" w:name="_Toc216077915"/>
      <w:bookmarkStart w:id="19" w:name="_Toc216078657"/>
      <w:bookmarkStart w:id="20" w:name="_Toc216079261"/>
      <w:bookmarkStart w:id="21" w:name="_Toc216079504"/>
      <w:bookmarkStart w:id="22" w:name="_Toc216079572"/>
      <w:bookmarkStart w:id="23" w:name="_Toc216079634"/>
      <w:bookmarkStart w:id="24" w:name="_Toc216079690"/>
      <w:bookmarkStart w:id="25" w:name="_Toc216079746"/>
      <w:bookmarkStart w:id="26" w:name="_Toc216079802"/>
      <w:bookmarkStart w:id="27" w:name="_Toc216080159"/>
      <w:bookmarkStart w:id="28" w:name="_Toc216083815"/>
      <w:bookmarkStart w:id="29" w:name="_Toc274580543"/>
      <w:bookmarkStart w:id="30" w:name="_Toc282413163"/>
      <w:r w:rsidRPr="009F6E8E">
        <w:lastRenderedPageBreak/>
        <w:t>Attēlu un tabulu saraksts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BE41C7" w:rsidRPr="009F6E8E" w:rsidRDefault="00BE41C7" w:rsidP="00BE41C7">
      <w:pPr>
        <w:rPr>
          <w:sz w:val="18"/>
        </w:rPr>
      </w:pPr>
    </w:p>
    <w:p w:rsidR="008968DA" w:rsidRDefault="00EE29C9">
      <w:pPr>
        <w:pStyle w:val="TOC1"/>
        <w:rPr>
          <w:rFonts w:asciiTheme="minorHAnsi" w:eastAsiaTheme="minorEastAsia" w:hAnsiTheme="minorHAnsi" w:cstheme="minorBidi"/>
          <w:b w:val="0"/>
          <w:szCs w:val="22"/>
          <w:lang w:eastAsia="lv-LV"/>
        </w:rPr>
      </w:pPr>
      <w:r w:rsidRPr="00EE29C9">
        <w:rPr>
          <w:noProof w:val="0"/>
          <w:szCs w:val="24"/>
        </w:rPr>
        <w:fldChar w:fldCharType="begin"/>
      </w:r>
      <w:r w:rsidR="00BE41C7" w:rsidRPr="00CD3CE6">
        <w:rPr>
          <w:noProof w:val="0"/>
          <w:szCs w:val="24"/>
        </w:rPr>
        <w:instrText xml:space="preserve"> TOC \o "1-2" \h \z \u </w:instrText>
      </w:r>
      <w:r w:rsidRPr="00EE29C9">
        <w:rPr>
          <w:noProof w:val="0"/>
          <w:szCs w:val="24"/>
        </w:rPr>
        <w:fldChar w:fldCharType="separate"/>
      </w:r>
      <w:hyperlink w:anchor="_Toc282413163" w:history="1">
        <w:r w:rsidR="008968DA" w:rsidRPr="00DF1F29">
          <w:rPr>
            <w:rStyle w:val="Hyperlink"/>
          </w:rPr>
          <w:t>Attēlu un tabulu saraksts</w:t>
        </w:r>
        <w:r w:rsidR="008968DA">
          <w:rPr>
            <w:webHidden/>
          </w:rPr>
          <w:tab/>
        </w:r>
        <w:r>
          <w:rPr>
            <w:webHidden/>
          </w:rPr>
          <w:fldChar w:fldCharType="begin"/>
        </w:r>
        <w:r w:rsidR="008968DA">
          <w:rPr>
            <w:webHidden/>
          </w:rPr>
          <w:instrText xml:space="preserve"> PAGEREF _Toc282413163 \h </w:instrText>
        </w:r>
        <w:r>
          <w:rPr>
            <w:webHidden/>
          </w:rPr>
        </w:r>
        <w:r>
          <w:rPr>
            <w:webHidden/>
          </w:rPr>
          <w:fldChar w:fldCharType="separate"/>
        </w:r>
        <w:r w:rsidR="00A05057">
          <w:rPr>
            <w:webHidden/>
          </w:rPr>
          <w:t>5</w:t>
        </w:r>
        <w:r>
          <w:rPr>
            <w:webHidden/>
          </w:rPr>
          <w:fldChar w:fldCharType="end"/>
        </w:r>
      </w:hyperlink>
    </w:p>
    <w:p w:rsidR="008968DA" w:rsidRDefault="00EE29C9">
      <w:pPr>
        <w:pStyle w:val="TOC1"/>
        <w:rPr>
          <w:rFonts w:asciiTheme="minorHAnsi" w:eastAsiaTheme="minorEastAsia" w:hAnsiTheme="minorHAnsi" w:cstheme="minorBidi"/>
          <w:b w:val="0"/>
          <w:szCs w:val="22"/>
          <w:lang w:eastAsia="lv-LV"/>
        </w:rPr>
      </w:pPr>
      <w:hyperlink w:anchor="_Toc282413164" w:history="1">
        <w:r w:rsidR="008968DA" w:rsidRPr="00DF1F29">
          <w:rPr>
            <w:rStyle w:val="Hyperlink"/>
          </w:rPr>
          <w:t>Ekonomiskais stāvoklis: īss kopsavilkums</w:t>
        </w:r>
        <w:r w:rsidR="008968DA">
          <w:rPr>
            <w:webHidden/>
          </w:rPr>
          <w:tab/>
        </w:r>
        <w:r>
          <w:rPr>
            <w:webHidden/>
          </w:rPr>
          <w:fldChar w:fldCharType="begin"/>
        </w:r>
        <w:r w:rsidR="008968DA">
          <w:rPr>
            <w:webHidden/>
          </w:rPr>
          <w:instrText xml:space="preserve"> PAGEREF _Toc282413164 \h </w:instrText>
        </w:r>
        <w:r>
          <w:rPr>
            <w:webHidden/>
          </w:rPr>
        </w:r>
        <w:r>
          <w:rPr>
            <w:webHidden/>
          </w:rPr>
          <w:fldChar w:fldCharType="separate"/>
        </w:r>
        <w:r w:rsidR="00A05057">
          <w:rPr>
            <w:webHidden/>
          </w:rPr>
          <w:t>7</w:t>
        </w:r>
        <w:r>
          <w:rPr>
            <w:webHidden/>
          </w:rPr>
          <w:fldChar w:fldCharType="end"/>
        </w:r>
      </w:hyperlink>
    </w:p>
    <w:p w:rsidR="008968DA" w:rsidRDefault="00EE29C9">
      <w:pPr>
        <w:pStyle w:val="TOC1"/>
        <w:rPr>
          <w:rFonts w:asciiTheme="minorHAnsi" w:eastAsiaTheme="minorEastAsia" w:hAnsiTheme="minorHAnsi" w:cstheme="minorBidi"/>
          <w:b w:val="0"/>
          <w:szCs w:val="22"/>
          <w:lang w:eastAsia="lv-LV"/>
        </w:rPr>
      </w:pPr>
      <w:hyperlink w:anchor="_Toc282413165" w:history="1">
        <w:r w:rsidR="008968DA" w:rsidRPr="00DF1F29">
          <w:rPr>
            <w:rStyle w:val="Hyperlink"/>
          </w:rPr>
          <w:t>1. Ārējā ekonomiskā vide</w:t>
        </w:r>
        <w:r w:rsidR="008968DA">
          <w:rPr>
            <w:webHidden/>
          </w:rPr>
          <w:tab/>
        </w:r>
        <w:r>
          <w:rPr>
            <w:webHidden/>
          </w:rPr>
          <w:fldChar w:fldCharType="begin"/>
        </w:r>
        <w:r w:rsidR="008968DA">
          <w:rPr>
            <w:webHidden/>
          </w:rPr>
          <w:instrText xml:space="preserve"> PAGEREF _Toc282413165 \h </w:instrText>
        </w:r>
        <w:r>
          <w:rPr>
            <w:webHidden/>
          </w:rPr>
        </w:r>
        <w:r>
          <w:rPr>
            <w:webHidden/>
          </w:rPr>
          <w:fldChar w:fldCharType="separate"/>
        </w:r>
        <w:r w:rsidR="00A05057">
          <w:rPr>
            <w:webHidden/>
          </w:rPr>
          <w:t>8</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66" w:history="1">
        <w:r w:rsidR="008968DA" w:rsidRPr="00DF1F29">
          <w:rPr>
            <w:rStyle w:val="Hyperlink"/>
          </w:rPr>
          <w:t>1.1.tabula. IKP dinamika valstīs</w:t>
        </w:r>
        <w:r w:rsidR="008968DA">
          <w:rPr>
            <w:webHidden/>
          </w:rPr>
          <w:tab/>
        </w:r>
        <w:r>
          <w:rPr>
            <w:webHidden/>
          </w:rPr>
          <w:fldChar w:fldCharType="begin"/>
        </w:r>
        <w:r w:rsidR="008968DA">
          <w:rPr>
            <w:webHidden/>
          </w:rPr>
          <w:instrText xml:space="preserve"> PAGEREF _Toc282413166 \h </w:instrText>
        </w:r>
        <w:r>
          <w:rPr>
            <w:webHidden/>
          </w:rPr>
        </w:r>
        <w:r>
          <w:rPr>
            <w:webHidden/>
          </w:rPr>
          <w:fldChar w:fldCharType="separate"/>
        </w:r>
        <w:r w:rsidR="00A05057">
          <w:rPr>
            <w:webHidden/>
          </w:rPr>
          <w:t>10</w:t>
        </w:r>
        <w:r>
          <w:rPr>
            <w:webHidden/>
          </w:rPr>
          <w:fldChar w:fldCharType="end"/>
        </w:r>
      </w:hyperlink>
    </w:p>
    <w:p w:rsidR="008968DA" w:rsidRDefault="00EE29C9">
      <w:pPr>
        <w:pStyle w:val="TOC1"/>
        <w:rPr>
          <w:rFonts w:asciiTheme="minorHAnsi" w:eastAsiaTheme="minorEastAsia" w:hAnsiTheme="minorHAnsi" w:cstheme="minorBidi"/>
          <w:b w:val="0"/>
          <w:szCs w:val="22"/>
          <w:lang w:eastAsia="lv-LV"/>
        </w:rPr>
      </w:pPr>
      <w:hyperlink w:anchor="_Toc282413167" w:history="1">
        <w:r w:rsidR="008968DA" w:rsidRPr="00DF1F29">
          <w:rPr>
            <w:rStyle w:val="Hyperlink"/>
          </w:rPr>
          <w:t>2. Produkcijas izlaide</w:t>
        </w:r>
        <w:r w:rsidR="008968DA">
          <w:rPr>
            <w:webHidden/>
          </w:rPr>
          <w:tab/>
        </w:r>
        <w:r>
          <w:rPr>
            <w:webHidden/>
          </w:rPr>
          <w:fldChar w:fldCharType="begin"/>
        </w:r>
        <w:r w:rsidR="008968DA">
          <w:rPr>
            <w:webHidden/>
          </w:rPr>
          <w:instrText xml:space="preserve"> PAGEREF _Toc282413167 \h </w:instrText>
        </w:r>
        <w:r>
          <w:rPr>
            <w:webHidden/>
          </w:rPr>
        </w:r>
        <w:r>
          <w:rPr>
            <w:webHidden/>
          </w:rPr>
          <w:fldChar w:fldCharType="separate"/>
        </w:r>
        <w:r w:rsidR="00A05057">
          <w:rPr>
            <w:webHidden/>
          </w:rPr>
          <w:t>10</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68" w:history="1">
        <w:r w:rsidR="008968DA" w:rsidRPr="00DF1F29">
          <w:rPr>
            <w:rStyle w:val="Hyperlink"/>
          </w:rPr>
          <w:t>2.1.tabula. IKP dinamika</w:t>
        </w:r>
        <w:r w:rsidR="008968DA">
          <w:rPr>
            <w:webHidden/>
          </w:rPr>
          <w:tab/>
        </w:r>
        <w:r>
          <w:rPr>
            <w:webHidden/>
          </w:rPr>
          <w:fldChar w:fldCharType="begin"/>
        </w:r>
        <w:r w:rsidR="008968DA">
          <w:rPr>
            <w:webHidden/>
          </w:rPr>
          <w:instrText xml:space="preserve"> PAGEREF _Toc282413168 \h </w:instrText>
        </w:r>
        <w:r>
          <w:rPr>
            <w:webHidden/>
          </w:rPr>
        </w:r>
        <w:r>
          <w:rPr>
            <w:webHidden/>
          </w:rPr>
          <w:fldChar w:fldCharType="separate"/>
        </w:r>
        <w:r w:rsidR="00A05057">
          <w:rPr>
            <w:webHidden/>
          </w:rPr>
          <w:t>8</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69" w:history="1">
        <w:r w:rsidR="008968DA" w:rsidRPr="00DF1F29">
          <w:rPr>
            <w:rStyle w:val="Hyperlink"/>
          </w:rPr>
          <w:t>2.1.attēls. IKP dinamika pa ceturkšņiem</w:t>
        </w:r>
        <w:r w:rsidR="008968DA">
          <w:rPr>
            <w:webHidden/>
          </w:rPr>
          <w:tab/>
        </w:r>
        <w:r>
          <w:rPr>
            <w:webHidden/>
          </w:rPr>
          <w:fldChar w:fldCharType="begin"/>
        </w:r>
        <w:r w:rsidR="008968DA">
          <w:rPr>
            <w:webHidden/>
          </w:rPr>
          <w:instrText xml:space="preserve"> PAGEREF _Toc282413169 \h </w:instrText>
        </w:r>
        <w:r>
          <w:rPr>
            <w:webHidden/>
          </w:rPr>
        </w:r>
        <w:r>
          <w:rPr>
            <w:webHidden/>
          </w:rPr>
          <w:fldChar w:fldCharType="separate"/>
        </w:r>
        <w:r w:rsidR="00A05057">
          <w:rPr>
            <w:webHidden/>
          </w:rPr>
          <w:t>14</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0" w:history="1">
        <w:r w:rsidR="008968DA" w:rsidRPr="00DF1F29">
          <w:rPr>
            <w:rStyle w:val="Hyperlink"/>
          </w:rPr>
          <w:t>2.2. attēls. Ekonomikas sentimenta indekss</w:t>
        </w:r>
        <w:r w:rsidR="008968DA">
          <w:rPr>
            <w:webHidden/>
          </w:rPr>
          <w:tab/>
        </w:r>
        <w:r>
          <w:rPr>
            <w:webHidden/>
          </w:rPr>
          <w:fldChar w:fldCharType="begin"/>
        </w:r>
        <w:r w:rsidR="008968DA">
          <w:rPr>
            <w:webHidden/>
          </w:rPr>
          <w:instrText xml:space="preserve"> PAGEREF _Toc282413170 \h </w:instrText>
        </w:r>
        <w:r>
          <w:rPr>
            <w:webHidden/>
          </w:rPr>
        </w:r>
        <w:r>
          <w:rPr>
            <w:webHidden/>
          </w:rPr>
          <w:fldChar w:fldCharType="separate"/>
        </w:r>
        <w:r w:rsidR="00A05057">
          <w:rPr>
            <w:webHidden/>
          </w:rPr>
          <w:t>14</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1" w:history="1">
        <w:r w:rsidR="008968DA" w:rsidRPr="00DF1F29">
          <w:rPr>
            <w:rStyle w:val="Hyperlink"/>
          </w:rPr>
          <w:t>2.3.attēls. Mazumtirdzniecība</w:t>
        </w:r>
        <w:r w:rsidR="008968DA">
          <w:rPr>
            <w:webHidden/>
          </w:rPr>
          <w:tab/>
        </w:r>
        <w:r>
          <w:rPr>
            <w:webHidden/>
          </w:rPr>
          <w:fldChar w:fldCharType="begin"/>
        </w:r>
        <w:r w:rsidR="008968DA">
          <w:rPr>
            <w:webHidden/>
          </w:rPr>
          <w:instrText xml:space="preserve"> PAGEREF _Toc282413171 \h </w:instrText>
        </w:r>
        <w:r>
          <w:rPr>
            <w:webHidden/>
          </w:rPr>
        </w:r>
        <w:r>
          <w:rPr>
            <w:webHidden/>
          </w:rPr>
          <w:fldChar w:fldCharType="separate"/>
        </w:r>
        <w:r w:rsidR="00A05057">
          <w:rPr>
            <w:webHidden/>
          </w:rPr>
          <w:t>15</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2" w:history="1">
        <w:r w:rsidR="008968DA" w:rsidRPr="00DF1F29">
          <w:rPr>
            <w:rStyle w:val="Hyperlink"/>
          </w:rPr>
          <w:t>2.4.attēls. Mazumtirdzniecības konfidences rādītājs</w:t>
        </w:r>
        <w:r w:rsidR="008968DA">
          <w:rPr>
            <w:webHidden/>
          </w:rPr>
          <w:tab/>
        </w:r>
        <w:r>
          <w:rPr>
            <w:webHidden/>
          </w:rPr>
          <w:fldChar w:fldCharType="begin"/>
        </w:r>
        <w:r w:rsidR="008968DA">
          <w:rPr>
            <w:webHidden/>
          </w:rPr>
          <w:instrText xml:space="preserve"> PAGEREF _Toc282413172 \h </w:instrText>
        </w:r>
        <w:r>
          <w:rPr>
            <w:webHidden/>
          </w:rPr>
        </w:r>
        <w:r>
          <w:rPr>
            <w:webHidden/>
          </w:rPr>
          <w:fldChar w:fldCharType="separate"/>
        </w:r>
        <w:r w:rsidR="00A05057">
          <w:rPr>
            <w:webHidden/>
          </w:rPr>
          <w:t>15</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3" w:history="1">
        <w:r w:rsidR="008968DA" w:rsidRPr="00DF1F29">
          <w:rPr>
            <w:rStyle w:val="Hyperlink"/>
          </w:rPr>
          <w:t>2.5.attēls. Būvniecību raksturojošie rādītāji</w:t>
        </w:r>
        <w:r w:rsidR="008968DA">
          <w:rPr>
            <w:webHidden/>
          </w:rPr>
          <w:tab/>
        </w:r>
        <w:r>
          <w:rPr>
            <w:webHidden/>
          </w:rPr>
          <w:fldChar w:fldCharType="begin"/>
        </w:r>
        <w:r w:rsidR="008968DA">
          <w:rPr>
            <w:webHidden/>
          </w:rPr>
          <w:instrText xml:space="preserve"> PAGEREF _Toc282413173 \h </w:instrText>
        </w:r>
        <w:r>
          <w:rPr>
            <w:webHidden/>
          </w:rPr>
        </w:r>
        <w:r>
          <w:rPr>
            <w:webHidden/>
          </w:rPr>
          <w:fldChar w:fldCharType="separate"/>
        </w:r>
        <w:r w:rsidR="00A05057">
          <w:rPr>
            <w:webHidden/>
          </w:rPr>
          <w:t>16</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4" w:history="1">
        <w:r w:rsidR="008968DA" w:rsidRPr="00DF1F29">
          <w:rPr>
            <w:rStyle w:val="Hyperlink"/>
          </w:rPr>
          <w:t>2.6.attēls. Kravu apgrozījums</w:t>
        </w:r>
        <w:r w:rsidR="008968DA">
          <w:rPr>
            <w:webHidden/>
          </w:rPr>
          <w:tab/>
        </w:r>
        <w:r>
          <w:rPr>
            <w:webHidden/>
          </w:rPr>
          <w:fldChar w:fldCharType="begin"/>
        </w:r>
        <w:r w:rsidR="008968DA">
          <w:rPr>
            <w:webHidden/>
          </w:rPr>
          <w:instrText xml:space="preserve"> PAGEREF _Toc282413174 \h </w:instrText>
        </w:r>
        <w:r>
          <w:rPr>
            <w:webHidden/>
          </w:rPr>
        </w:r>
        <w:r>
          <w:rPr>
            <w:webHidden/>
          </w:rPr>
          <w:fldChar w:fldCharType="separate"/>
        </w:r>
        <w:r w:rsidR="00A05057">
          <w:rPr>
            <w:webHidden/>
          </w:rPr>
          <w:t>16</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5" w:history="1">
        <w:r w:rsidR="008968DA" w:rsidRPr="00DF1F29">
          <w:rPr>
            <w:rStyle w:val="Hyperlink"/>
          </w:rPr>
          <w:t>2.7.attēls. Apstrādes rūpniecības produkcijas fiziskā apjoma indekss</w:t>
        </w:r>
        <w:r w:rsidR="008968DA">
          <w:rPr>
            <w:webHidden/>
          </w:rPr>
          <w:tab/>
        </w:r>
        <w:r>
          <w:rPr>
            <w:webHidden/>
          </w:rPr>
          <w:fldChar w:fldCharType="begin"/>
        </w:r>
        <w:r w:rsidR="008968DA">
          <w:rPr>
            <w:webHidden/>
          </w:rPr>
          <w:instrText xml:space="preserve"> PAGEREF _Toc282413175 \h </w:instrText>
        </w:r>
        <w:r>
          <w:rPr>
            <w:webHidden/>
          </w:rPr>
        </w:r>
        <w:r>
          <w:rPr>
            <w:webHidden/>
          </w:rPr>
          <w:fldChar w:fldCharType="separate"/>
        </w:r>
        <w:r w:rsidR="00A05057">
          <w:rPr>
            <w:webHidden/>
          </w:rPr>
          <w:t>17</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6" w:history="1">
        <w:r w:rsidR="008968DA" w:rsidRPr="00DF1F29">
          <w:rPr>
            <w:rStyle w:val="Hyperlink"/>
          </w:rPr>
          <w:t>2.8.attēls. Rūpniecības konfidences rādītājs un ražošanas jaudu noslodze</w:t>
        </w:r>
        <w:r w:rsidR="008968DA">
          <w:rPr>
            <w:webHidden/>
          </w:rPr>
          <w:tab/>
        </w:r>
        <w:r>
          <w:rPr>
            <w:webHidden/>
          </w:rPr>
          <w:fldChar w:fldCharType="begin"/>
        </w:r>
        <w:r w:rsidR="008968DA">
          <w:rPr>
            <w:webHidden/>
          </w:rPr>
          <w:instrText xml:space="preserve"> PAGEREF _Toc282413176 \h </w:instrText>
        </w:r>
        <w:r>
          <w:rPr>
            <w:webHidden/>
          </w:rPr>
        </w:r>
        <w:r>
          <w:rPr>
            <w:webHidden/>
          </w:rPr>
          <w:fldChar w:fldCharType="separate"/>
        </w:r>
        <w:r w:rsidR="00A05057">
          <w:rPr>
            <w:webHidden/>
          </w:rPr>
          <w:t>17</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7" w:history="1">
        <w:r w:rsidR="008968DA" w:rsidRPr="00DF1F29">
          <w:rPr>
            <w:rStyle w:val="Hyperlink"/>
          </w:rPr>
          <w:t>2.9.attēls. Jaunie pasūtījumi apstrādes rūpniecībā</w:t>
        </w:r>
        <w:r w:rsidR="008968DA">
          <w:rPr>
            <w:webHidden/>
          </w:rPr>
          <w:tab/>
        </w:r>
        <w:r>
          <w:rPr>
            <w:webHidden/>
          </w:rPr>
          <w:fldChar w:fldCharType="begin"/>
        </w:r>
        <w:r w:rsidR="008968DA">
          <w:rPr>
            <w:webHidden/>
          </w:rPr>
          <w:instrText xml:space="preserve"> PAGEREF _Toc282413177 \h </w:instrText>
        </w:r>
        <w:r>
          <w:rPr>
            <w:webHidden/>
          </w:rPr>
        </w:r>
        <w:r>
          <w:rPr>
            <w:webHidden/>
          </w:rPr>
          <w:fldChar w:fldCharType="separate"/>
        </w:r>
        <w:r w:rsidR="00A05057">
          <w:rPr>
            <w:webHidden/>
          </w:rPr>
          <w:t>18</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8" w:history="1">
        <w:r w:rsidR="008968DA" w:rsidRPr="00DF1F29">
          <w:rPr>
            <w:rStyle w:val="Hyperlink"/>
          </w:rPr>
          <w:t>2.10.attēls. Apstrādes rūpniecību raksturojošie rādītāji</w:t>
        </w:r>
        <w:r w:rsidR="008968DA">
          <w:rPr>
            <w:webHidden/>
          </w:rPr>
          <w:tab/>
        </w:r>
        <w:r>
          <w:rPr>
            <w:webHidden/>
          </w:rPr>
          <w:fldChar w:fldCharType="begin"/>
        </w:r>
        <w:r w:rsidR="008968DA">
          <w:rPr>
            <w:webHidden/>
          </w:rPr>
          <w:instrText xml:space="preserve"> PAGEREF _Toc282413178 \h </w:instrText>
        </w:r>
        <w:r>
          <w:rPr>
            <w:webHidden/>
          </w:rPr>
        </w:r>
        <w:r>
          <w:rPr>
            <w:webHidden/>
          </w:rPr>
          <w:fldChar w:fldCharType="separate"/>
        </w:r>
        <w:r w:rsidR="00A05057">
          <w:rPr>
            <w:webHidden/>
          </w:rPr>
          <w:t>19</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79" w:history="1">
        <w:r w:rsidR="008968DA" w:rsidRPr="00DF1F29">
          <w:rPr>
            <w:rStyle w:val="Hyperlink"/>
          </w:rPr>
          <w:t>2.11.attēls. Pārtikas un dzērienu ražošanu raksturojošie rādītāji</w:t>
        </w:r>
        <w:r w:rsidR="008968DA">
          <w:rPr>
            <w:webHidden/>
          </w:rPr>
          <w:tab/>
        </w:r>
        <w:r>
          <w:rPr>
            <w:webHidden/>
          </w:rPr>
          <w:fldChar w:fldCharType="begin"/>
        </w:r>
        <w:r w:rsidR="008968DA">
          <w:rPr>
            <w:webHidden/>
          </w:rPr>
          <w:instrText xml:space="preserve"> PAGEREF _Toc282413179 \h </w:instrText>
        </w:r>
        <w:r>
          <w:rPr>
            <w:webHidden/>
          </w:rPr>
        </w:r>
        <w:r>
          <w:rPr>
            <w:webHidden/>
          </w:rPr>
          <w:fldChar w:fldCharType="separate"/>
        </w:r>
        <w:r w:rsidR="00A05057">
          <w:rPr>
            <w:webHidden/>
          </w:rPr>
          <w:t>19</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80" w:history="1">
        <w:r w:rsidR="008968DA" w:rsidRPr="00DF1F29">
          <w:rPr>
            <w:rStyle w:val="Hyperlink"/>
          </w:rPr>
          <w:t>2.12.attēls. Vieglo rūpniecību raksturojoši rādītāji</w:t>
        </w:r>
        <w:r w:rsidR="008968DA">
          <w:rPr>
            <w:webHidden/>
          </w:rPr>
          <w:tab/>
        </w:r>
        <w:r>
          <w:rPr>
            <w:webHidden/>
          </w:rPr>
          <w:fldChar w:fldCharType="begin"/>
        </w:r>
        <w:r w:rsidR="008968DA">
          <w:rPr>
            <w:webHidden/>
          </w:rPr>
          <w:instrText xml:space="preserve"> PAGEREF _Toc282413180 \h </w:instrText>
        </w:r>
        <w:r>
          <w:rPr>
            <w:webHidden/>
          </w:rPr>
        </w:r>
        <w:r>
          <w:rPr>
            <w:webHidden/>
          </w:rPr>
          <w:fldChar w:fldCharType="separate"/>
        </w:r>
        <w:r w:rsidR="00A05057">
          <w:rPr>
            <w:webHidden/>
          </w:rPr>
          <w:t>20</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81" w:history="1">
        <w:r w:rsidR="008968DA" w:rsidRPr="00DF1F29">
          <w:rPr>
            <w:rStyle w:val="Hyperlink"/>
          </w:rPr>
          <w:t>2.13.attēls. Kokapstrādi raksturojoši rādītāji</w:t>
        </w:r>
        <w:r w:rsidR="008968DA">
          <w:rPr>
            <w:webHidden/>
          </w:rPr>
          <w:tab/>
        </w:r>
        <w:r>
          <w:rPr>
            <w:webHidden/>
          </w:rPr>
          <w:fldChar w:fldCharType="begin"/>
        </w:r>
        <w:r w:rsidR="008968DA">
          <w:rPr>
            <w:webHidden/>
          </w:rPr>
          <w:instrText xml:space="preserve"> PAGEREF _Toc282413181 \h </w:instrText>
        </w:r>
        <w:r>
          <w:rPr>
            <w:webHidden/>
          </w:rPr>
        </w:r>
        <w:r>
          <w:rPr>
            <w:webHidden/>
          </w:rPr>
          <w:fldChar w:fldCharType="separate"/>
        </w:r>
        <w:r w:rsidR="00A05057">
          <w:rPr>
            <w:webHidden/>
          </w:rPr>
          <w:t>20</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82" w:history="1">
        <w:r w:rsidR="008968DA" w:rsidRPr="00DF1F29">
          <w:rPr>
            <w:rStyle w:val="Hyperlink"/>
          </w:rPr>
          <w:t>2.14.attēls. Papīra ražošanu un izdevējdarbību raksturojoši rādītāji</w:t>
        </w:r>
        <w:r w:rsidR="008968DA">
          <w:rPr>
            <w:webHidden/>
          </w:rPr>
          <w:tab/>
        </w:r>
        <w:r>
          <w:rPr>
            <w:webHidden/>
          </w:rPr>
          <w:fldChar w:fldCharType="begin"/>
        </w:r>
        <w:r w:rsidR="008968DA">
          <w:rPr>
            <w:webHidden/>
          </w:rPr>
          <w:instrText xml:space="preserve"> PAGEREF _Toc282413182 \h </w:instrText>
        </w:r>
        <w:r>
          <w:rPr>
            <w:webHidden/>
          </w:rPr>
        </w:r>
        <w:r>
          <w:rPr>
            <w:webHidden/>
          </w:rPr>
          <w:fldChar w:fldCharType="separate"/>
        </w:r>
        <w:r w:rsidR="00A05057">
          <w:rPr>
            <w:webHidden/>
          </w:rPr>
          <w:t>21</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83" w:history="1">
        <w:r w:rsidR="008968DA" w:rsidRPr="00DF1F29">
          <w:rPr>
            <w:rStyle w:val="Hyperlink"/>
          </w:rPr>
          <w:t>2.15.attēls. Ķīmisko rūpniecību un tās saskarnozares raksturojoši rādītāji</w:t>
        </w:r>
        <w:r w:rsidR="008968DA">
          <w:rPr>
            <w:webHidden/>
          </w:rPr>
          <w:tab/>
        </w:r>
        <w:r>
          <w:rPr>
            <w:webHidden/>
          </w:rPr>
          <w:fldChar w:fldCharType="begin"/>
        </w:r>
        <w:r w:rsidR="008968DA">
          <w:rPr>
            <w:webHidden/>
          </w:rPr>
          <w:instrText xml:space="preserve"> PAGEREF _Toc282413183 \h </w:instrText>
        </w:r>
        <w:r>
          <w:rPr>
            <w:webHidden/>
          </w:rPr>
        </w:r>
        <w:r>
          <w:rPr>
            <w:webHidden/>
          </w:rPr>
          <w:fldChar w:fldCharType="separate"/>
        </w:r>
        <w:r w:rsidR="00A05057">
          <w:rPr>
            <w:webHidden/>
          </w:rPr>
          <w:t>21</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84" w:history="1">
        <w:r w:rsidR="008968DA" w:rsidRPr="00DF1F29">
          <w:rPr>
            <w:rStyle w:val="Hyperlink"/>
          </w:rPr>
          <w:t>2.16.attēls. Nemetālisko minerālu izstrādājumu ražošanu raksturojoši rādītāji</w:t>
        </w:r>
        <w:r w:rsidR="008968DA">
          <w:rPr>
            <w:webHidden/>
          </w:rPr>
          <w:tab/>
        </w:r>
        <w:r>
          <w:rPr>
            <w:webHidden/>
          </w:rPr>
          <w:fldChar w:fldCharType="begin"/>
        </w:r>
        <w:r w:rsidR="008968DA">
          <w:rPr>
            <w:webHidden/>
          </w:rPr>
          <w:instrText xml:space="preserve"> PAGEREF _Toc282413184 \h </w:instrText>
        </w:r>
        <w:r>
          <w:rPr>
            <w:webHidden/>
          </w:rPr>
        </w:r>
        <w:r>
          <w:rPr>
            <w:webHidden/>
          </w:rPr>
          <w:fldChar w:fldCharType="separate"/>
        </w:r>
        <w:r w:rsidR="00A05057">
          <w:rPr>
            <w:webHidden/>
          </w:rPr>
          <w:t>22</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85" w:history="1">
        <w:r w:rsidR="008968DA" w:rsidRPr="00DF1F29">
          <w:rPr>
            <w:rStyle w:val="Hyperlink"/>
          </w:rPr>
          <w:t>2.17.attēls. Metāla un gatavo metāla izstrādājumu ražošanu raksturojoši rādītāji</w:t>
        </w:r>
        <w:r w:rsidR="008968DA">
          <w:rPr>
            <w:webHidden/>
          </w:rPr>
          <w:tab/>
        </w:r>
        <w:r>
          <w:rPr>
            <w:webHidden/>
          </w:rPr>
          <w:fldChar w:fldCharType="begin"/>
        </w:r>
        <w:r w:rsidR="008968DA">
          <w:rPr>
            <w:webHidden/>
          </w:rPr>
          <w:instrText xml:space="preserve"> PAGEREF _Toc282413185 \h </w:instrText>
        </w:r>
        <w:r>
          <w:rPr>
            <w:webHidden/>
          </w:rPr>
        </w:r>
        <w:r>
          <w:rPr>
            <w:webHidden/>
          </w:rPr>
          <w:fldChar w:fldCharType="separate"/>
        </w:r>
        <w:r w:rsidR="00A05057">
          <w:rPr>
            <w:webHidden/>
          </w:rPr>
          <w:t>22</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86" w:history="1">
        <w:r w:rsidR="008968DA" w:rsidRPr="00DF1F29">
          <w:rPr>
            <w:rStyle w:val="Hyperlink"/>
          </w:rPr>
          <w:t>2.18.attēls. Elektrisko un optisko iekārtu ražošanu raksturojoši rādītāji</w:t>
        </w:r>
        <w:r w:rsidR="008968DA">
          <w:rPr>
            <w:webHidden/>
          </w:rPr>
          <w:tab/>
        </w:r>
        <w:r>
          <w:rPr>
            <w:webHidden/>
          </w:rPr>
          <w:fldChar w:fldCharType="begin"/>
        </w:r>
        <w:r w:rsidR="008968DA">
          <w:rPr>
            <w:webHidden/>
          </w:rPr>
          <w:instrText xml:space="preserve"> PAGEREF _Toc282413186 \h </w:instrText>
        </w:r>
        <w:r>
          <w:rPr>
            <w:webHidden/>
          </w:rPr>
        </w:r>
        <w:r>
          <w:rPr>
            <w:webHidden/>
          </w:rPr>
          <w:fldChar w:fldCharType="separate"/>
        </w:r>
        <w:r w:rsidR="00A05057">
          <w:rPr>
            <w:webHidden/>
          </w:rPr>
          <w:t>23</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87" w:history="1">
        <w:r w:rsidR="008968DA" w:rsidRPr="00DF1F29">
          <w:rPr>
            <w:rStyle w:val="Hyperlink"/>
          </w:rPr>
          <w:t>2.19.attēls. Mašīnu un iekārtu ražošanu raksturojoši rādītāji</w:t>
        </w:r>
        <w:r w:rsidR="008968DA">
          <w:rPr>
            <w:webHidden/>
          </w:rPr>
          <w:tab/>
        </w:r>
        <w:r>
          <w:rPr>
            <w:webHidden/>
          </w:rPr>
          <w:fldChar w:fldCharType="begin"/>
        </w:r>
        <w:r w:rsidR="008968DA">
          <w:rPr>
            <w:webHidden/>
          </w:rPr>
          <w:instrText xml:space="preserve"> PAGEREF _Toc282413187 \h </w:instrText>
        </w:r>
        <w:r>
          <w:rPr>
            <w:webHidden/>
          </w:rPr>
        </w:r>
        <w:r>
          <w:rPr>
            <w:webHidden/>
          </w:rPr>
          <w:fldChar w:fldCharType="separate"/>
        </w:r>
        <w:r w:rsidR="00A05057">
          <w:rPr>
            <w:webHidden/>
          </w:rPr>
          <w:t>23</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88" w:history="1">
        <w:r w:rsidR="008968DA" w:rsidRPr="00DF1F29">
          <w:rPr>
            <w:rStyle w:val="Hyperlink"/>
          </w:rPr>
          <w:t>2.20.attēls. Transporta līdzekļu ražošanu raksturojoši rādītāji</w:t>
        </w:r>
        <w:r w:rsidR="008968DA">
          <w:rPr>
            <w:webHidden/>
          </w:rPr>
          <w:tab/>
        </w:r>
        <w:r>
          <w:rPr>
            <w:webHidden/>
          </w:rPr>
          <w:fldChar w:fldCharType="begin"/>
        </w:r>
        <w:r w:rsidR="008968DA">
          <w:rPr>
            <w:webHidden/>
          </w:rPr>
          <w:instrText xml:space="preserve"> PAGEREF _Toc282413188 \h </w:instrText>
        </w:r>
        <w:r>
          <w:rPr>
            <w:webHidden/>
          </w:rPr>
        </w:r>
        <w:r>
          <w:rPr>
            <w:webHidden/>
          </w:rPr>
          <w:fldChar w:fldCharType="separate"/>
        </w:r>
        <w:r w:rsidR="00A05057">
          <w:rPr>
            <w:webHidden/>
          </w:rPr>
          <w:t>24</w:t>
        </w:r>
        <w:r>
          <w:rPr>
            <w:webHidden/>
          </w:rPr>
          <w:fldChar w:fldCharType="end"/>
        </w:r>
      </w:hyperlink>
    </w:p>
    <w:p w:rsidR="008968DA" w:rsidRDefault="00EE29C9">
      <w:pPr>
        <w:pStyle w:val="TOC1"/>
        <w:rPr>
          <w:rFonts w:asciiTheme="minorHAnsi" w:eastAsiaTheme="minorEastAsia" w:hAnsiTheme="minorHAnsi" w:cstheme="minorBidi"/>
          <w:b w:val="0"/>
          <w:szCs w:val="22"/>
          <w:lang w:eastAsia="lv-LV"/>
        </w:rPr>
      </w:pPr>
      <w:hyperlink w:anchor="_Toc282413189" w:history="1">
        <w:r w:rsidR="008968DA" w:rsidRPr="00DF1F29">
          <w:rPr>
            <w:rStyle w:val="Hyperlink"/>
          </w:rPr>
          <w:t>3. Pieprasījums</w:t>
        </w:r>
        <w:r w:rsidR="008968DA">
          <w:rPr>
            <w:webHidden/>
          </w:rPr>
          <w:tab/>
        </w:r>
        <w:r>
          <w:rPr>
            <w:webHidden/>
          </w:rPr>
          <w:fldChar w:fldCharType="begin"/>
        </w:r>
        <w:r w:rsidR="008968DA">
          <w:rPr>
            <w:webHidden/>
          </w:rPr>
          <w:instrText xml:space="preserve"> PAGEREF _Toc282413189 \h </w:instrText>
        </w:r>
        <w:r>
          <w:rPr>
            <w:webHidden/>
          </w:rPr>
        </w:r>
        <w:r>
          <w:rPr>
            <w:webHidden/>
          </w:rPr>
          <w:fldChar w:fldCharType="separate"/>
        </w:r>
        <w:r w:rsidR="00A05057">
          <w:rPr>
            <w:webHidden/>
          </w:rPr>
          <w:t>25</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90" w:history="1">
        <w:r w:rsidR="008968DA" w:rsidRPr="00DF1F29">
          <w:rPr>
            <w:rStyle w:val="Hyperlink"/>
          </w:rPr>
          <w:t>3.1.tabula. IKP no izlietojuma puses</w:t>
        </w:r>
        <w:r w:rsidR="008968DA">
          <w:rPr>
            <w:webHidden/>
          </w:rPr>
          <w:tab/>
        </w:r>
        <w:r>
          <w:rPr>
            <w:webHidden/>
          </w:rPr>
          <w:fldChar w:fldCharType="begin"/>
        </w:r>
        <w:r w:rsidR="008968DA">
          <w:rPr>
            <w:webHidden/>
          </w:rPr>
          <w:instrText xml:space="preserve"> PAGEREF _Toc282413190 \h </w:instrText>
        </w:r>
        <w:r>
          <w:rPr>
            <w:webHidden/>
          </w:rPr>
        </w:r>
        <w:r>
          <w:rPr>
            <w:webHidden/>
          </w:rPr>
          <w:fldChar w:fldCharType="separate"/>
        </w:r>
        <w:r w:rsidR="00A05057">
          <w:rPr>
            <w:webHidden/>
          </w:rPr>
          <w:t>27</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91" w:history="1">
        <w:r w:rsidR="008968DA" w:rsidRPr="00DF1F29">
          <w:rPr>
            <w:rStyle w:val="Hyperlink"/>
          </w:rPr>
          <w:t>3.1.attēls. Privātā patēriņa izmaiņas pa ceturkšņiem</w:t>
        </w:r>
        <w:r w:rsidR="008968DA">
          <w:rPr>
            <w:webHidden/>
          </w:rPr>
          <w:tab/>
        </w:r>
        <w:r>
          <w:rPr>
            <w:webHidden/>
          </w:rPr>
          <w:fldChar w:fldCharType="begin"/>
        </w:r>
        <w:r w:rsidR="008968DA">
          <w:rPr>
            <w:webHidden/>
          </w:rPr>
          <w:instrText xml:space="preserve"> PAGEREF _Toc282413191 \h </w:instrText>
        </w:r>
        <w:r>
          <w:rPr>
            <w:webHidden/>
          </w:rPr>
        </w:r>
        <w:r>
          <w:rPr>
            <w:webHidden/>
          </w:rPr>
          <w:fldChar w:fldCharType="separate"/>
        </w:r>
        <w:r w:rsidR="00A05057">
          <w:rPr>
            <w:webHidden/>
          </w:rPr>
          <w:t>28</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92" w:history="1">
        <w:r w:rsidR="008968DA" w:rsidRPr="00DF1F29">
          <w:rPr>
            <w:rStyle w:val="Hyperlink"/>
          </w:rPr>
          <w:t>3.2.attēls. Sabiedriskā patēriņa izmaiņas pa ceturkšņiem</w:t>
        </w:r>
        <w:r w:rsidR="008968DA">
          <w:rPr>
            <w:webHidden/>
          </w:rPr>
          <w:tab/>
        </w:r>
        <w:r>
          <w:rPr>
            <w:webHidden/>
          </w:rPr>
          <w:fldChar w:fldCharType="begin"/>
        </w:r>
        <w:r w:rsidR="008968DA">
          <w:rPr>
            <w:webHidden/>
          </w:rPr>
          <w:instrText xml:space="preserve"> PAGEREF _Toc282413192 \h </w:instrText>
        </w:r>
        <w:r>
          <w:rPr>
            <w:webHidden/>
          </w:rPr>
        </w:r>
        <w:r>
          <w:rPr>
            <w:webHidden/>
          </w:rPr>
          <w:fldChar w:fldCharType="separate"/>
        </w:r>
        <w:r w:rsidR="00A05057">
          <w:rPr>
            <w:webHidden/>
          </w:rPr>
          <w:t>28</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93" w:history="1">
        <w:r w:rsidR="008968DA" w:rsidRPr="00DF1F29">
          <w:rPr>
            <w:rStyle w:val="Hyperlink"/>
          </w:rPr>
          <w:t>3.3.attēls. Investīcijas pamatlīdzekļos pa ceturkšņiem</w:t>
        </w:r>
        <w:r w:rsidR="008968DA">
          <w:rPr>
            <w:webHidden/>
          </w:rPr>
          <w:tab/>
        </w:r>
        <w:r>
          <w:rPr>
            <w:webHidden/>
          </w:rPr>
          <w:fldChar w:fldCharType="begin"/>
        </w:r>
        <w:r w:rsidR="008968DA">
          <w:rPr>
            <w:webHidden/>
          </w:rPr>
          <w:instrText xml:space="preserve"> PAGEREF _Toc282413193 \h </w:instrText>
        </w:r>
        <w:r>
          <w:rPr>
            <w:webHidden/>
          </w:rPr>
        </w:r>
        <w:r>
          <w:rPr>
            <w:webHidden/>
          </w:rPr>
          <w:fldChar w:fldCharType="separate"/>
        </w:r>
        <w:r w:rsidR="00A05057">
          <w:rPr>
            <w:webHidden/>
          </w:rPr>
          <w:t>28</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94" w:history="1">
        <w:r w:rsidR="008968DA" w:rsidRPr="00DF1F29">
          <w:rPr>
            <w:rStyle w:val="Hyperlink"/>
          </w:rPr>
          <w:t>3.4.attēls. Preču un pakalpojumu eksports pa ceturkšņiem</w:t>
        </w:r>
        <w:r w:rsidR="008968DA">
          <w:rPr>
            <w:webHidden/>
          </w:rPr>
          <w:tab/>
        </w:r>
        <w:r>
          <w:rPr>
            <w:webHidden/>
          </w:rPr>
          <w:fldChar w:fldCharType="begin"/>
        </w:r>
        <w:r w:rsidR="008968DA">
          <w:rPr>
            <w:webHidden/>
          </w:rPr>
          <w:instrText xml:space="preserve"> PAGEREF _Toc282413194 \h </w:instrText>
        </w:r>
        <w:r>
          <w:rPr>
            <w:webHidden/>
          </w:rPr>
        </w:r>
        <w:r>
          <w:rPr>
            <w:webHidden/>
          </w:rPr>
          <w:fldChar w:fldCharType="separate"/>
        </w:r>
        <w:r w:rsidR="00A05057">
          <w:rPr>
            <w:webHidden/>
          </w:rPr>
          <w:t>29</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95" w:history="1">
        <w:r w:rsidR="008968DA" w:rsidRPr="00DF1F29">
          <w:rPr>
            <w:rStyle w:val="Hyperlink"/>
          </w:rPr>
          <w:t>3.5.attēls. Preču un pakalpojumu imports pa ceturkšņiem</w:t>
        </w:r>
        <w:r w:rsidR="008968DA">
          <w:rPr>
            <w:webHidden/>
          </w:rPr>
          <w:tab/>
        </w:r>
        <w:r>
          <w:rPr>
            <w:webHidden/>
          </w:rPr>
          <w:fldChar w:fldCharType="begin"/>
        </w:r>
        <w:r w:rsidR="008968DA">
          <w:rPr>
            <w:webHidden/>
          </w:rPr>
          <w:instrText xml:space="preserve"> PAGEREF _Toc282413195 \h </w:instrText>
        </w:r>
        <w:r>
          <w:rPr>
            <w:webHidden/>
          </w:rPr>
        </w:r>
        <w:r>
          <w:rPr>
            <w:webHidden/>
          </w:rPr>
          <w:fldChar w:fldCharType="separate"/>
        </w:r>
        <w:r w:rsidR="00A05057">
          <w:rPr>
            <w:webHidden/>
          </w:rPr>
          <w:t>29</w:t>
        </w:r>
        <w:r>
          <w:rPr>
            <w:webHidden/>
          </w:rPr>
          <w:fldChar w:fldCharType="end"/>
        </w:r>
      </w:hyperlink>
    </w:p>
    <w:p w:rsidR="008968DA" w:rsidRDefault="00EE29C9">
      <w:pPr>
        <w:pStyle w:val="TOC1"/>
        <w:rPr>
          <w:rFonts w:asciiTheme="minorHAnsi" w:eastAsiaTheme="minorEastAsia" w:hAnsiTheme="minorHAnsi" w:cstheme="minorBidi"/>
          <w:b w:val="0"/>
          <w:szCs w:val="22"/>
          <w:lang w:eastAsia="lv-LV"/>
        </w:rPr>
      </w:pPr>
      <w:hyperlink w:anchor="_Toc282413196" w:history="1">
        <w:r w:rsidR="008968DA" w:rsidRPr="00DF1F29">
          <w:rPr>
            <w:rStyle w:val="Hyperlink"/>
          </w:rPr>
          <w:t>4. Ārējais sektors</w:t>
        </w:r>
        <w:r w:rsidR="008968DA">
          <w:rPr>
            <w:webHidden/>
          </w:rPr>
          <w:tab/>
        </w:r>
        <w:r>
          <w:rPr>
            <w:webHidden/>
          </w:rPr>
          <w:fldChar w:fldCharType="begin"/>
        </w:r>
        <w:r w:rsidR="008968DA">
          <w:rPr>
            <w:webHidden/>
          </w:rPr>
          <w:instrText xml:space="preserve"> PAGEREF _Toc282413196 \h </w:instrText>
        </w:r>
        <w:r>
          <w:rPr>
            <w:webHidden/>
          </w:rPr>
        </w:r>
        <w:r>
          <w:rPr>
            <w:webHidden/>
          </w:rPr>
          <w:fldChar w:fldCharType="separate"/>
        </w:r>
        <w:r w:rsidR="00A05057">
          <w:rPr>
            <w:webHidden/>
          </w:rPr>
          <w:t>30</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97" w:history="1">
        <w:r w:rsidR="008968DA" w:rsidRPr="00DF1F29">
          <w:rPr>
            <w:rStyle w:val="Hyperlink"/>
          </w:rPr>
          <w:t>4.1.attēls. Preču eksports un imports pa mēnešiem</w:t>
        </w:r>
        <w:r w:rsidR="008968DA">
          <w:rPr>
            <w:webHidden/>
          </w:rPr>
          <w:tab/>
        </w:r>
        <w:r>
          <w:rPr>
            <w:webHidden/>
          </w:rPr>
          <w:fldChar w:fldCharType="begin"/>
        </w:r>
        <w:r w:rsidR="008968DA">
          <w:rPr>
            <w:webHidden/>
          </w:rPr>
          <w:instrText xml:space="preserve"> PAGEREF _Toc282413197 \h </w:instrText>
        </w:r>
        <w:r>
          <w:rPr>
            <w:webHidden/>
          </w:rPr>
        </w:r>
        <w:r>
          <w:rPr>
            <w:webHidden/>
          </w:rPr>
          <w:fldChar w:fldCharType="separate"/>
        </w:r>
        <w:r w:rsidR="00A05057">
          <w:rPr>
            <w:webHidden/>
          </w:rPr>
          <w:t>32</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98" w:history="1">
        <w:r w:rsidR="008968DA" w:rsidRPr="00DF1F29">
          <w:rPr>
            <w:rStyle w:val="Hyperlink"/>
          </w:rPr>
          <w:t>4.2.attēls. Pakalpojumu eksports un imports pa mēnešiem</w:t>
        </w:r>
        <w:r w:rsidR="008968DA">
          <w:rPr>
            <w:webHidden/>
          </w:rPr>
          <w:tab/>
        </w:r>
        <w:r>
          <w:rPr>
            <w:webHidden/>
          </w:rPr>
          <w:fldChar w:fldCharType="begin"/>
        </w:r>
        <w:r w:rsidR="008968DA">
          <w:rPr>
            <w:webHidden/>
          </w:rPr>
          <w:instrText xml:space="preserve"> PAGEREF _Toc282413198 \h </w:instrText>
        </w:r>
        <w:r>
          <w:rPr>
            <w:webHidden/>
          </w:rPr>
        </w:r>
        <w:r>
          <w:rPr>
            <w:webHidden/>
          </w:rPr>
          <w:fldChar w:fldCharType="separate"/>
        </w:r>
        <w:r w:rsidR="00A05057">
          <w:rPr>
            <w:webHidden/>
          </w:rPr>
          <w:t>32</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199" w:history="1">
        <w:r w:rsidR="008968DA" w:rsidRPr="00DF1F29">
          <w:rPr>
            <w:rStyle w:val="Hyperlink"/>
          </w:rPr>
          <w:t>4.3.attēls. Maksājumu bilance pa ceturkšņiem</w:t>
        </w:r>
        <w:r w:rsidR="008968DA">
          <w:rPr>
            <w:webHidden/>
          </w:rPr>
          <w:tab/>
        </w:r>
        <w:r>
          <w:rPr>
            <w:webHidden/>
          </w:rPr>
          <w:fldChar w:fldCharType="begin"/>
        </w:r>
        <w:r w:rsidR="008968DA">
          <w:rPr>
            <w:webHidden/>
          </w:rPr>
          <w:instrText xml:space="preserve"> PAGEREF _Toc282413199 \h </w:instrText>
        </w:r>
        <w:r>
          <w:rPr>
            <w:webHidden/>
          </w:rPr>
        </w:r>
        <w:r>
          <w:rPr>
            <w:webHidden/>
          </w:rPr>
          <w:fldChar w:fldCharType="separate"/>
        </w:r>
        <w:r w:rsidR="00A05057">
          <w:rPr>
            <w:webHidden/>
          </w:rPr>
          <w:t>33</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00" w:history="1">
        <w:r w:rsidR="008968DA" w:rsidRPr="00DF1F29">
          <w:rPr>
            <w:rStyle w:val="Hyperlink"/>
          </w:rPr>
          <w:t>4.4.attēls. Lata reālā efektīvā kursa indekss</w:t>
        </w:r>
        <w:r w:rsidR="008968DA">
          <w:rPr>
            <w:webHidden/>
          </w:rPr>
          <w:tab/>
        </w:r>
        <w:r>
          <w:rPr>
            <w:webHidden/>
          </w:rPr>
          <w:fldChar w:fldCharType="begin"/>
        </w:r>
        <w:r w:rsidR="008968DA">
          <w:rPr>
            <w:webHidden/>
          </w:rPr>
          <w:instrText xml:space="preserve"> PAGEREF _Toc282413200 \h </w:instrText>
        </w:r>
        <w:r>
          <w:rPr>
            <w:webHidden/>
          </w:rPr>
        </w:r>
        <w:r>
          <w:rPr>
            <w:webHidden/>
          </w:rPr>
          <w:fldChar w:fldCharType="separate"/>
        </w:r>
        <w:r w:rsidR="00A05057">
          <w:rPr>
            <w:webHidden/>
          </w:rPr>
          <w:t>33</w:t>
        </w:r>
        <w:r>
          <w:rPr>
            <w:webHidden/>
          </w:rPr>
          <w:fldChar w:fldCharType="end"/>
        </w:r>
      </w:hyperlink>
    </w:p>
    <w:p w:rsidR="008968DA" w:rsidRDefault="00EE29C9">
      <w:pPr>
        <w:pStyle w:val="TOC1"/>
        <w:rPr>
          <w:rFonts w:asciiTheme="minorHAnsi" w:eastAsiaTheme="minorEastAsia" w:hAnsiTheme="minorHAnsi" w:cstheme="minorBidi"/>
          <w:b w:val="0"/>
          <w:szCs w:val="22"/>
          <w:lang w:eastAsia="lv-LV"/>
        </w:rPr>
      </w:pPr>
      <w:hyperlink w:anchor="_Toc282413201" w:history="1">
        <w:r w:rsidR="008968DA" w:rsidRPr="00DF1F29">
          <w:rPr>
            <w:rStyle w:val="Hyperlink"/>
          </w:rPr>
          <w:t>5. Finanšu sektors</w:t>
        </w:r>
        <w:r w:rsidR="008968DA">
          <w:rPr>
            <w:webHidden/>
          </w:rPr>
          <w:tab/>
        </w:r>
        <w:r>
          <w:rPr>
            <w:webHidden/>
          </w:rPr>
          <w:fldChar w:fldCharType="begin"/>
        </w:r>
        <w:r w:rsidR="008968DA">
          <w:rPr>
            <w:webHidden/>
          </w:rPr>
          <w:instrText xml:space="preserve"> PAGEREF _Toc282413201 \h </w:instrText>
        </w:r>
        <w:r>
          <w:rPr>
            <w:webHidden/>
          </w:rPr>
        </w:r>
        <w:r>
          <w:rPr>
            <w:webHidden/>
          </w:rPr>
          <w:fldChar w:fldCharType="separate"/>
        </w:r>
        <w:r w:rsidR="00A05057">
          <w:rPr>
            <w:webHidden/>
          </w:rPr>
          <w:t>34</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02" w:history="1">
        <w:r w:rsidR="008968DA" w:rsidRPr="00DF1F29">
          <w:rPr>
            <w:rStyle w:val="Hyperlink"/>
          </w:rPr>
          <w:t>5.1.attēls. Valsts konsolidētā kopbudžeta finansiālie rādītāji</w:t>
        </w:r>
        <w:r w:rsidR="008968DA">
          <w:rPr>
            <w:webHidden/>
          </w:rPr>
          <w:tab/>
        </w:r>
        <w:r>
          <w:rPr>
            <w:webHidden/>
          </w:rPr>
          <w:fldChar w:fldCharType="begin"/>
        </w:r>
        <w:r w:rsidR="008968DA">
          <w:rPr>
            <w:webHidden/>
          </w:rPr>
          <w:instrText xml:space="preserve"> PAGEREF _Toc282413202 \h </w:instrText>
        </w:r>
        <w:r>
          <w:rPr>
            <w:webHidden/>
          </w:rPr>
        </w:r>
        <w:r>
          <w:rPr>
            <w:webHidden/>
          </w:rPr>
          <w:fldChar w:fldCharType="separate"/>
        </w:r>
        <w:r w:rsidR="00A05057">
          <w:rPr>
            <w:webHidden/>
          </w:rPr>
          <w:t>40</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03" w:history="1">
        <w:r w:rsidR="008968DA" w:rsidRPr="00DF1F29">
          <w:rPr>
            <w:rStyle w:val="Hyperlink"/>
          </w:rPr>
          <w:t>5.2.attēls. Nodokļu ieņēmumi</w:t>
        </w:r>
        <w:r w:rsidR="008968DA">
          <w:rPr>
            <w:webHidden/>
          </w:rPr>
          <w:tab/>
        </w:r>
        <w:r>
          <w:rPr>
            <w:webHidden/>
          </w:rPr>
          <w:fldChar w:fldCharType="begin"/>
        </w:r>
        <w:r w:rsidR="008968DA">
          <w:rPr>
            <w:webHidden/>
          </w:rPr>
          <w:instrText xml:space="preserve"> PAGEREF _Toc282413203 \h </w:instrText>
        </w:r>
        <w:r>
          <w:rPr>
            <w:webHidden/>
          </w:rPr>
        </w:r>
        <w:r>
          <w:rPr>
            <w:webHidden/>
          </w:rPr>
          <w:fldChar w:fldCharType="separate"/>
        </w:r>
        <w:r w:rsidR="00A05057">
          <w:rPr>
            <w:webHidden/>
          </w:rPr>
          <w:t>40</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04" w:history="1">
        <w:r w:rsidR="008968DA" w:rsidRPr="00DF1F29">
          <w:rPr>
            <w:rStyle w:val="Hyperlink"/>
          </w:rPr>
          <w:t xml:space="preserve">5.3.attēls. </w:t>
        </w:r>
        <w:r w:rsidR="008968DA" w:rsidRPr="00DF1F29">
          <w:rPr>
            <w:rStyle w:val="Hyperlink"/>
            <w:rFonts w:eastAsia="Times New Roman"/>
          </w:rPr>
          <w:t>Rezidentu finanšu iestādēm, nefinanšu sabiedrībām un mājsaimniecībām izsniegtie kredīti</w:t>
        </w:r>
        <w:r w:rsidR="008968DA">
          <w:rPr>
            <w:webHidden/>
          </w:rPr>
          <w:tab/>
        </w:r>
        <w:r>
          <w:rPr>
            <w:webHidden/>
          </w:rPr>
          <w:fldChar w:fldCharType="begin"/>
        </w:r>
        <w:r w:rsidR="008968DA">
          <w:rPr>
            <w:webHidden/>
          </w:rPr>
          <w:instrText xml:space="preserve"> PAGEREF _Toc282413204 \h </w:instrText>
        </w:r>
        <w:r>
          <w:rPr>
            <w:webHidden/>
          </w:rPr>
        </w:r>
        <w:r>
          <w:rPr>
            <w:webHidden/>
          </w:rPr>
          <w:fldChar w:fldCharType="separate"/>
        </w:r>
        <w:r w:rsidR="00A05057">
          <w:rPr>
            <w:webHidden/>
          </w:rPr>
          <w:t>41</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05" w:history="1">
        <w:r w:rsidR="008968DA" w:rsidRPr="00DF1F29">
          <w:rPr>
            <w:rStyle w:val="Hyperlink"/>
          </w:rPr>
          <w:t>5.4.attēls. Vidējās svērtās % likmes izsniegtajiem kredītiem, (Ls; EUR)</w:t>
        </w:r>
        <w:r w:rsidR="008968DA">
          <w:rPr>
            <w:webHidden/>
          </w:rPr>
          <w:tab/>
        </w:r>
        <w:r>
          <w:rPr>
            <w:webHidden/>
          </w:rPr>
          <w:fldChar w:fldCharType="begin"/>
        </w:r>
        <w:r w:rsidR="008968DA">
          <w:rPr>
            <w:webHidden/>
          </w:rPr>
          <w:instrText xml:space="preserve"> PAGEREF _Toc282413205 \h </w:instrText>
        </w:r>
        <w:r>
          <w:rPr>
            <w:webHidden/>
          </w:rPr>
        </w:r>
        <w:r>
          <w:rPr>
            <w:webHidden/>
          </w:rPr>
          <w:fldChar w:fldCharType="separate"/>
        </w:r>
        <w:r w:rsidR="00A05057">
          <w:rPr>
            <w:webHidden/>
          </w:rPr>
          <w:t>41</w:t>
        </w:r>
        <w:r>
          <w:rPr>
            <w:webHidden/>
          </w:rPr>
          <w:fldChar w:fldCharType="end"/>
        </w:r>
      </w:hyperlink>
    </w:p>
    <w:p w:rsidR="008968DA" w:rsidRDefault="00EE29C9">
      <w:pPr>
        <w:pStyle w:val="TOC1"/>
        <w:rPr>
          <w:rFonts w:asciiTheme="minorHAnsi" w:eastAsiaTheme="minorEastAsia" w:hAnsiTheme="minorHAnsi" w:cstheme="minorBidi"/>
          <w:b w:val="0"/>
          <w:szCs w:val="22"/>
          <w:lang w:eastAsia="lv-LV"/>
        </w:rPr>
      </w:pPr>
      <w:hyperlink w:anchor="_Toc282413206" w:history="1">
        <w:r w:rsidR="008968DA" w:rsidRPr="00DF1F29">
          <w:rPr>
            <w:rStyle w:val="Hyperlink"/>
          </w:rPr>
          <w:t>6. Darba tirgus</w:t>
        </w:r>
        <w:r w:rsidR="008968DA">
          <w:rPr>
            <w:webHidden/>
          </w:rPr>
          <w:tab/>
        </w:r>
        <w:r>
          <w:rPr>
            <w:webHidden/>
          </w:rPr>
          <w:fldChar w:fldCharType="begin"/>
        </w:r>
        <w:r w:rsidR="008968DA">
          <w:rPr>
            <w:webHidden/>
          </w:rPr>
          <w:instrText xml:space="preserve"> PAGEREF _Toc282413206 \h </w:instrText>
        </w:r>
        <w:r>
          <w:rPr>
            <w:webHidden/>
          </w:rPr>
        </w:r>
        <w:r>
          <w:rPr>
            <w:webHidden/>
          </w:rPr>
          <w:fldChar w:fldCharType="separate"/>
        </w:r>
        <w:r w:rsidR="00A05057">
          <w:rPr>
            <w:webHidden/>
          </w:rPr>
          <w:t>42</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07" w:history="1">
        <w:r w:rsidR="008968DA" w:rsidRPr="00DF1F29">
          <w:rPr>
            <w:rStyle w:val="Hyperlink"/>
          </w:rPr>
          <w:t>6.1.attēls. Darba tirgu raksturojoši rādītāji</w:t>
        </w:r>
        <w:r w:rsidR="008968DA">
          <w:rPr>
            <w:webHidden/>
          </w:rPr>
          <w:tab/>
        </w:r>
        <w:r>
          <w:rPr>
            <w:webHidden/>
          </w:rPr>
          <w:fldChar w:fldCharType="begin"/>
        </w:r>
        <w:r w:rsidR="008968DA">
          <w:rPr>
            <w:webHidden/>
          </w:rPr>
          <w:instrText xml:space="preserve"> PAGEREF _Toc282413207 \h </w:instrText>
        </w:r>
        <w:r>
          <w:rPr>
            <w:webHidden/>
          </w:rPr>
        </w:r>
        <w:r>
          <w:rPr>
            <w:webHidden/>
          </w:rPr>
          <w:fldChar w:fldCharType="separate"/>
        </w:r>
        <w:r w:rsidR="00A05057">
          <w:rPr>
            <w:webHidden/>
          </w:rPr>
          <w:t>43</w:t>
        </w:r>
        <w:r>
          <w:rPr>
            <w:webHidden/>
          </w:rPr>
          <w:fldChar w:fldCharType="end"/>
        </w:r>
      </w:hyperlink>
    </w:p>
    <w:p w:rsidR="008968DA" w:rsidRDefault="00EE29C9">
      <w:pPr>
        <w:pStyle w:val="TOC1"/>
        <w:rPr>
          <w:rFonts w:asciiTheme="minorHAnsi" w:eastAsiaTheme="minorEastAsia" w:hAnsiTheme="minorHAnsi" w:cstheme="minorBidi"/>
          <w:b w:val="0"/>
          <w:szCs w:val="22"/>
          <w:lang w:eastAsia="lv-LV"/>
        </w:rPr>
      </w:pPr>
      <w:hyperlink w:anchor="_Toc282413208" w:history="1">
        <w:r w:rsidR="008968DA" w:rsidRPr="00DF1F29">
          <w:rPr>
            <w:rStyle w:val="Hyperlink"/>
          </w:rPr>
          <w:t>7. Cenas</w:t>
        </w:r>
        <w:r w:rsidR="008968DA">
          <w:rPr>
            <w:webHidden/>
          </w:rPr>
          <w:tab/>
        </w:r>
        <w:r>
          <w:rPr>
            <w:webHidden/>
          </w:rPr>
          <w:fldChar w:fldCharType="begin"/>
        </w:r>
        <w:r w:rsidR="008968DA">
          <w:rPr>
            <w:webHidden/>
          </w:rPr>
          <w:instrText xml:space="preserve"> PAGEREF _Toc282413208 \h </w:instrText>
        </w:r>
        <w:r>
          <w:rPr>
            <w:webHidden/>
          </w:rPr>
        </w:r>
        <w:r>
          <w:rPr>
            <w:webHidden/>
          </w:rPr>
          <w:fldChar w:fldCharType="separate"/>
        </w:r>
        <w:r w:rsidR="00A05057">
          <w:rPr>
            <w:webHidden/>
          </w:rPr>
          <w:t>44</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09" w:history="1">
        <w:r w:rsidR="008968DA" w:rsidRPr="00DF1F29">
          <w:rPr>
            <w:rStyle w:val="Hyperlink"/>
          </w:rPr>
          <w:t>7.1.attēls. Patēriņa cenu pārmaiņas</w:t>
        </w:r>
        <w:r w:rsidR="008968DA">
          <w:rPr>
            <w:webHidden/>
          </w:rPr>
          <w:tab/>
        </w:r>
        <w:r>
          <w:rPr>
            <w:webHidden/>
          </w:rPr>
          <w:fldChar w:fldCharType="begin"/>
        </w:r>
        <w:r w:rsidR="008968DA">
          <w:rPr>
            <w:webHidden/>
          </w:rPr>
          <w:instrText xml:space="preserve"> PAGEREF _Toc282413209 \h </w:instrText>
        </w:r>
        <w:r>
          <w:rPr>
            <w:webHidden/>
          </w:rPr>
        </w:r>
        <w:r>
          <w:rPr>
            <w:webHidden/>
          </w:rPr>
          <w:fldChar w:fldCharType="separate"/>
        </w:r>
        <w:r w:rsidR="00A05057">
          <w:rPr>
            <w:webHidden/>
          </w:rPr>
          <w:t>45</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10" w:history="1">
        <w:r w:rsidR="008968DA" w:rsidRPr="00DF1F29">
          <w:rPr>
            <w:rStyle w:val="Hyperlink"/>
          </w:rPr>
          <w:t>7.1.tabula. Patēriņa cenu pārmaiņas pa mēnešiem</w:t>
        </w:r>
        <w:r w:rsidR="008968DA">
          <w:rPr>
            <w:webHidden/>
          </w:rPr>
          <w:tab/>
        </w:r>
        <w:r>
          <w:rPr>
            <w:webHidden/>
          </w:rPr>
          <w:fldChar w:fldCharType="begin"/>
        </w:r>
        <w:r w:rsidR="008968DA">
          <w:rPr>
            <w:webHidden/>
          </w:rPr>
          <w:instrText xml:space="preserve"> PAGEREF _Toc282413210 \h </w:instrText>
        </w:r>
        <w:r>
          <w:rPr>
            <w:webHidden/>
          </w:rPr>
        </w:r>
        <w:r>
          <w:rPr>
            <w:webHidden/>
          </w:rPr>
          <w:fldChar w:fldCharType="separate"/>
        </w:r>
        <w:r w:rsidR="00A05057">
          <w:rPr>
            <w:webHidden/>
          </w:rPr>
          <w:t>45</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11" w:history="1">
        <w:r w:rsidR="008968DA" w:rsidRPr="00DF1F29">
          <w:rPr>
            <w:rStyle w:val="Hyperlink"/>
          </w:rPr>
          <w:t>7.2.attēls. Patēriņa cenu indekss grupās un apakšgrupās</w:t>
        </w:r>
        <w:r w:rsidR="008968DA">
          <w:rPr>
            <w:webHidden/>
          </w:rPr>
          <w:tab/>
        </w:r>
        <w:r>
          <w:rPr>
            <w:webHidden/>
          </w:rPr>
          <w:fldChar w:fldCharType="begin"/>
        </w:r>
        <w:r w:rsidR="008968DA">
          <w:rPr>
            <w:webHidden/>
          </w:rPr>
          <w:instrText xml:space="preserve"> PAGEREF _Toc282413211 \h </w:instrText>
        </w:r>
        <w:r>
          <w:rPr>
            <w:webHidden/>
          </w:rPr>
        </w:r>
        <w:r>
          <w:rPr>
            <w:webHidden/>
          </w:rPr>
          <w:fldChar w:fldCharType="separate"/>
        </w:r>
        <w:r w:rsidR="00A05057">
          <w:rPr>
            <w:webHidden/>
          </w:rPr>
          <w:t>46</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12" w:history="1">
        <w:r w:rsidR="008968DA" w:rsidRPr="00DF1F29">
          <w:rPr>
            <w:rStyle w:val="Hyperlink"/>
          </w:rPr>
          <w:t>7.3.attēls. Atsevišķu preču un pakalpojumu grupu ietekme uz kopējo patēriņa cenu indeksu</w:t>
        </w:r>
        <w:r w:rsidR="008968DA">
          <w:rPr>
            <w:webHidden/>
          </w:rPr>
          <w:tab/>
        </w:r>
        <w:r>
          <w:rPr>
            <w:webHidden/>
          </w:rPr>
          <w:fldChar w:fldCharType="begin"/>
        </w:r>
        <w:r w:rsidR="008968DA">
          <w:rPr>
            <w:webHidden/>
          </w:rPr>
          <w:instrText xml:space="preserve"> PAGEREF _Toc282413212 \h </w:instrText>
        </w:r>
        <w:r>
          <w:rPr>
            <w:webHidden/>
          </w:rPr>
        </w:r>
        <w:r>
          <w:rPr>
            <w:webHidden/>
          </w:rPr>
          <w:fldChar w:fldCharType="separate"/>
        </w:r>
        <w:r w:rsidR="00A05057">
          <w:rPr>
            <w:webHidden/>
          </w:rPr>
          <w:t>47</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13" w:history="1">
        <w:r w:rsidR="008968DA" w:rsidRPr="00DF1F29">
          <w:rPr>
            <w:rStyle w:val="Hyperlink"/>
          </w:rPr>
          <w:t>7.4.attēls. Saskaņotais patēriņa cenu indekss pa mēnešiem</w:t>
        </w:r>
        <w:r w:rsidR="008968DA">
          <w:rPr>
            <w:webHidden/>
          </w:rPr>
          <w:tab/>
        </w:r>
        <w:r>
          <w:rPr>
            <w:webHidden/>
          </w:rPr>
          <w:fldChar w:fldCharType="begin"/>
        </w:r>
        <w:r w:rsidR="008968DA">
          <w:rPr>
            <w:webHidden/>
          </w:rPr>
          <w:instrText xml:space="preserve"> PAGEREF _Toc282413213 \h </w:instrText>
        </w:r>
        <w:r>
          <w:rPr>
            <w:webHidden/>
          </w:rPr>
        </w:r>
        <w:r>
          <w:rPr>
            <w:webHidden/>
          </w:rPr>
          <w:fldChar w:fldCharType="separate"/>
        </w:r>
        <w:r w:rsidR="00A05057">
          <w:rPr>
            <w:webHidden/>
          </w:rPr>
          <w:t>48</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14" w:history="1">
        <w:r w:rsidR="008968DA" w:rsidRPr="00DF1F29">
          <w:rPr>
            <w:rStyle w:val="Hyperlink"/>
          </w:rPr>
          <w:t xml:space="preserve">7.5.attēls. </w:t>
        </w:r>
        <w:r w:rsidR="008968DA" w:rsidRPr="00DF1F29">
          <w:rPr>
            <w:rStyle w:val="Hyperlink"/>
            <w:rFonts w:eastAsia="Times New Roman"/>
          </w:rPr>
          <w:t>Ražotāju cenu pārmaiņas</w:t>
        </w:r>
        <w:r w:rsidR="008968DA">
          <w:rPr>
            <w:webHidden/>
          </w:rPr>
          <w:tab/>
        </w:r>
        <w:r>
          <w:rPr>
            <w:webHidden/>
          </w:rPr>
          <w:fldChar w:fldCharType="begin"/>
        </w:r>
        <w:r w:rsidR="008968DA">
          <w:rPr>
            <w:webHidden/>
          </w:rPr>
          <w:instrText xml:space="preserve"> PAGEREF _Toc282413214 \h </w:instrText>
        </w:r>
        <w:r>
          <w:rPr>
            <w:webHidden/>
          </w:rPr>
        </w:r>
        <w:r>
          <w:rPr>
            <w:webHidden/>
          </w:rPr>
          <w:fldChar w:fldCharType="separate"/>
        </w:r>
        <w:r w:rsidR="00A05057">
          <w:rPr>
            <w:webHidden/>
          </w:rPr>
          <w:t>48</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15" w:history="1">
        <w:r w:rsidR="008968DA" w:rsidRPr="00DF1F29">
          <w:rPr>
            <w:rStyle w:val="Hyperlink"/>
          </w:rPr>
          <w:t>7.6.attēls. Ražotāju cenu dinamika apstrādes rūpniecībā</w:t>
        </w:r>
        <w:r w:rsidR="008968DA">
          <w:rPr>
            <w:webHidden/>
          </w:rPr>
          <w:tab/>
        </w:r>
        <w:r>
          <w:rPr>
            <w:webHidden/>
          </w:rPr>
          <w:fldChar w:fldCharType="begin"/>
        </w:r>
        <w:r w:rsidR="008968DA">
          <w:rPr>
            <w:webHidden/>
          </w:rPr>
          <w:instrText xml:space="preserve"> PAGEREF _Toc282413215 \h </w:instrText>
        </w:r>
        <w:r>
          <w:rPr>
            <w:webHidden/>
          </w:rPr>
        </w:r>
        <w:r>
          <w:rPr>
            <w:webHidden/>
          </w:rPr>
          <w:fldChar w:fldCharType="separate"/>
        </w:r>
        <w:r w:rsidR="00A05057">
          <w:rPr>
            <w:webHidden/>
          </w:rPr>
          <w:t>49</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16" w:history="1">
        <w:r w:rsidR="008968DA" w:rsidRPr="00DF1F29">
          <w:rPr>
            <w:rStyle w:val="Hyperlink"/>
          </w:rPr>
          <w:t>7.7.attēls. Patēriņa cenu, ražotāju cenu un tirgus pakalpojumu pievienotās vērtības deflatora izmaiņas</w:t>
        </w:r>
        <w:r w:rsidR="008968DA">
          <w:rPr>
            <w:webHidden/>
          </w:rPr>
          <w:tab/>
        </w:r>
        <w:r>
          <w:rPr>
            <w:webHidden/>
          </w:rPr>
          <w:fldChar w:fldCharType="begin"/>
        </w:r>
        <w:r w:rsidR="008968DA">
          <w:rPr>
            <w:webHidden/>
          </w:rPr>
          <w:instrText xml:space="preserve"> PAGEREF _Toc282413216 \h </w:instrText>
        </w:r>
        <w:r>
          <w:rPr>
            <w:webHidden/>
          </w:rPr>
        </w:r>
        <w:r>
          <w:rPr>
            <w:webHidden/>
          </w:rPr>
          <w:fldChar w:fldCharType="separate"/>
        </w:r>
        <w:r w:rsidR="00A05057">
          <w:rPr>
            <w:webHidden/>
          </w:rPr>
          <w:t>49</w:t>
        </w:r>
        <w:r>
          <w:rPr>
            <w:webHidden/>
          </w:rPr>
          <w:fldChar w:fldCharType="end"/>
        </w:r>
      </w:hyperlink>
    </w:p>
    <w:p w:rsidR="008968DA" w:rsidRDefault="00EE29C9">
      <w:pPr>
        <w:pStyle w:val="TOC1"/>
        <w:rPr>
          <w:rFonts w:asciiTheme="minorHAnsi" w:eastAsiaTheme="minorEastAsia" w:hAnsiTheme="minorHAnsi" w:cstheme="minorBidi"/>
          <w:b w:val="0"/>
          <w:szCs w:val="22"/>
          <w:lang w:eastAsia="lv-LV"/>
        </w:rPr>
      </w:pPr>
      <w:hyperlink w:anchor="_Toc282413217" w:history="1">
        <w:r w:rsidR="008968DA" w:rsidRPr="00DF1F29">
          <w:rPr>
            <w:rStyle w:val="Hyperlink"/>
          </w:rPr>
          <w:t>8. Prognozes</w:t>
        </w:r>
        <w:r w:rsidR="008968DA">
          <w:rPr>
            <w:webHidden/>
          </w:rPr>
          <w:tab/>
        </w:r>
        <w:r>
          <w:rPr>
            <w:webHidden/>
          </w:rPr>
          <w:fldChar w:fldCharType="begin"/>
        </w:r>
        <w:r w:rsidR="008968DA">
          <w:rPr>
            <w:webHidden/>
          </w:rPr>
          <w:instrText xml:space="preserve"> PAGEREF _Toc282413217 \h </w:instrText>
        </w:r>
        <w:r>
          <w:rPr>
            <w:webHidden/>
          </w:rPr>
        </w:r>
        <w:r>
          <w:rPr>
            <w:webHidden/>
          </w:rPr>
          <w:fldChar w:fldCharType="separate"/>
        </w:r>
        <w:r w:rsidR="00A05057">
          <w:rPr>
            <w:webHidden/>
          </w:rPr>
          <w:t>44</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18" w:history="1">
        <w:r w:rsidR="008968DA" w:rsidRPr="00DF1F29">
          <w:rPr>
            <w:rStyle w:val="Hyperlink"/>
          </w:rPr>
          <w:t>8.1.attēls. IKP no izlietojuma puses</w:t>
        </w:r>
        <w:r w:rsidR="008968DA">
          <w:rPr>
            <w:webHidden/>
          </w:rPr>
          <w:tab/>
        </w:r>
        <w:r>
          <w:rPr>
            <w:webHidden/>
          </w:rPr>
          <w:fldChar w:fldCharType="begin"/>
        </w:r>
        <w:r w:rsidR="008968DA">
          <w:rPr>
            <w:webHidden/>
          </w:rPr>
          <w:instrText xml:space="preserve"> PAGEREF _Toc282413218 \h </w:instrText>
        </w:r>
        <w:r>
          <w:rPr>
            <w:webHidden/>
          </w:rPr>
        </w:r>
        <w:r>
          <w:rPr>
            <w:webHidden/>
          </w:rPr>
          <w:fldChar w:fldCharType="separate"/>
        </w:r>
        <w:r w:rsidR="00A05057">
          <w:rPr>
            <w:webHidden/>
          </w:rPr>
          <w:t>50</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19" w:history="1">
        <w:r w:rsidR="008968DA" w:rsidRPr="00DF1F29">
          <w:rPr>
            <w:rStyle w:val="Hyperlink"/>
          </w:rPr>
          <w:t>8.2.attēls. Nozaru attīstības tendences</w:t>
        </w:r>
        <w:r w:rsidR="008968DA">
          <w:rPr>
            <w:webHidden/>
          </w:rPr>
          <w:tab/>
        </w:r>
        <w:r>
          <w:rPr>
            <w:webHidden/>
          </w:rPr>
          <w:fldChar w:fldCharType="begin"/>
        </w:r>
        <w:r w:rsidR="008968DA">
          <w:rPr>
            <w:webHidden/>
          </w:rPr>
          <w:instrText xml:space="preserve"> PAGEREF _Toc282413219 \h </w:instrText>
        </w:r>
        <w:r>
          <w:rPr>
            <w:webHidden/>
          </w:rPr>
        </w:r>
        <w:r>
          <w:rPr>
            <w:webHidden/>
          </w:rPr>
          <w:fldChar w:fldCharType="separate"/>
        </w:r>
        <w:r w:rsidR="00A05057">
          <w:rPr>
            <w:webHidden/>
          </w:rPr>
          <w:t>51</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20" w:history="1">
        <w:r w:rsidR="008968DA" w:rsidRPr="00DF1F29">
          <w:rPr>
            <w:rStyle w:val="Hyperlink"/>
          </w:rPr>
          <w:t>8.1.tabula. IKP dinamika, % pret iepriekšējo gadu</w:t>
        </w:r>
        <w:r w:rsidR="008968DA">
          <w:rPr>
            <w:webHidden/>
          </w:rPr>
          <w:tab/>
        </w:r>
        <w:r>
          <w:rPr>
            <w:webHidden/>
          </w:rPr>
          <w:fldChar w:fldCharType="begin"/>
        </w:r>
        <w:r w:rsidR="008968DA">
          <w:rPr>
            <w:webHidden/>
          </w:rPr>
          <w:instrText xml:space="preserve"> PAGEREF _Toc282413220 \h </w:instrText>
        </w:r>
        <w:r>
          <w:rPr>
            <w:webHidden/>
          </w:rPr>
        </w:r>
        <w:r>
          <w:rPr>
            <w:webHidden/>
          </w:rPr>
          <w:fldChar w:fldCharType="separate"/>
        </w:r>
        <w:r w:rsidR="00A05057">
          <w:rPr>
            <w:webHidden/>
          </w:rPr>
          <w:t>52</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21" w:history="1">
        <w:r w:rsidR="008968DA" w:rsidRPr="00DF1F29">
          <w:rPr>
            <w:rStyle w:val="Hyperlink"/>
          </w:rPr>
          <w:t>8.3.attēls. Darba tirgus attīstības tendences</w:t>
        </w:r>
        <w:r w:rsidR="008968DA">
          <w:rPr>
            <w:webHidden/>
          </w:rPr>
          <w:tab/>
        </w:r>
        <w:r>
          <w:rPr>
            <w:webHidden/>
          </w:rPr>
          <w:fldChar w:fldCharType="begin"/>
        </w:r>
        <w:r w:rsidR="008968DA">
          <w:rPr>
            <w:webHidden/>
          </w:rPr>
          <w:instrText xml:space="preserve"> PAGEREF _Toc282413221 \h </w:instrText>
        </w:r>
        <w:r>
          <w:rPr>
            <w:webHidden/>
          </w:rPr>
        </w:r>
        <w:r>
          <w:rPr>
            <w:webHidden/>
          </w:rPr>
          <w:fldChar w:fldCharType="separate"/>
        </w:r>
        <w:r w:rsidR="00A05057">
          <w:rPr>
            <w:webHidden/>
          </w:rPr>
          <w:t>53</w:t>
        </w:r>
        <w:r>
          <w:rPr>
            <w:webHidden/>
          </w:rPr>
          <w:fldChar w:fldCharType="end"/>
        </w:r>
      </w:hyperlink>
    </w:p>
    <w:p w:rsidR="008968DA" w:rsidRDefault="00EE29C9">
      <w:pPr>
        <w:pStyle w:val="TOC2"/>
        <w:rPr>
          <w:rFonts w:asciiTheme="minorHAnsi" w:hAnsiTheme="minorHAnsi" w:cstheme="minorBidi"/>
          <w:sz w:val="22"/>
          <w:szCs w:val="22"/>
          <w:lang w:val="lv-LV" w:eastAsia="lv-LV"/>
        </w:rPr>
      </w:pPr>
      <w:hyperlink w:anchor="_Toc282413222" w:history="1">
        <w:r w:rsidR="008968DA" w:rsidRPr="00DF1F29">
          <w:rPr>
            <w:rStyle w:val="Hyperlink"/>
          </w:rPr>
          <w:t>8.4.attēls. 12 mēnešu inflācija</w:t>
        </w:r>
        <w:r w:rsidR="008968DA">
          <w:rPr>
            <w:webHidden/>
          </w:rPr>
          <w:tab/>
        </w:r>
        <w:r>
          <w:rPr>
            <w:webHidden/>
          </w:rPr>
          <w:fldChar w:fldCharType="begin"/>
        </w:r>
        <w:r w:rsidR="008968DA">
          <w:rPr>
            <w:webHidden/>
          </w:rPr>
          <w:instrText xml:space="preserve"> PAGEREF _Toc282413222 \h </w:instrText>
        </w:r>
        <w:r>
          <w:rPr>
            <w:webHidden/>
          </w:rPr>
        </w:r>
        <w:r>
          <w:rPr>
            <w:webHidden/>
          </w:rPr>
          <w:fldChar w:fldCharType="separate"/>
        </w:r>
        <w:r w:rsidR="00A05057">
          <w:rPr>
            <w:webHidden/>
          </w:rPr>
          <w:t>54</w:t>
        </w:r>
        <w:r>
          <w:rPr>
            <w:webHidden/>
          </w:rPr>
          <w:fldChar w:fldCharType="end"/>
        </w:r>
      </w:hyperlink>
    </w:p>
    <w:p w:rsidR="00BE41C7" w:rsidRPr="009F6E8E" w:rsidRDefault="00EE29C9" w:rsidP="00BE41C7">
      <w:pPr>
        <w:rPr>
          <w:rFonts w:eastAsiaTheme="majorEastAsia" w:cstheme="majorBidi"/>
          <w:b/>
          <w:bCs/>
          <w:sz w:val="32"/>
        </w:rPr>
      </w:pPr>
      <w:r w:rsidRPr="00CD3CE6">
        <w:rPr>
          <w:sz w:val="22"/>
          <w:szCs w:val="24"/>
        </w:rPr>
        <w:fldChar w:fldCharType="end"/>
      </w:r>
      <w:r w:rsidR="00BE41C7" w:rsidRPr="009F6E8E">
        <w:br w:type="page"/>
      </w:r>
    </w:p>
    <w:p w:rsidR="00A3615D" w:rsidRDefault="006338DA" w:rsidP="00A3615D">
      <w:pPr>
        <w:pStyle w:val="Heading1"/>
      </w:pPr>
      <w:bookmarkStart w:id="31" w:name="_Toc274580544"/>
      <w:bookmarkStart w:id="32" w:name="_Toc282413164"/>
      <w:bookmarkStart w:id="33" w:name="_Toc206815979"/>
      <w:bookmarkStart w:id="34" w:name="_Toc216077837"/>
      <w:bookmarkStart w:id="35" w:name="_Toc216079506"/>
      <w:bookmarkStart w:id="36" w:name="_Toc216079574"/>
      <w:bookmarkStart w:id="37" w:name="_Toc216079636"/>
      <w:bookmarkStart w:id="38" w:name="_Toc216079692"/>
      <w:bookmarkStart w:id="39" w:name="_Toc216079748"/>
      <w:bookmarkStart w:id="40" w:name="_Toc216079804"/>
      <w:bookmarkEnd w:id="14"/>
      <w:r>
        <w:lastRenderedPageBreak/>
        <w:t>Ekonomiskais stāvoklis: īss k</w:t>
      </w:r>
      <w:r w:rsidR="00A3615D">
        <w:t>opsavilkums</w:t>
      </w:r>
      <w:bookmarkEnd w:id="31"/>
      <w:bookmarkEnd w:id="32"/>
    </w:p>
    <w:p w:rsidR="00D64827" w:rsidRPr="00E82974" w:rsidRDefault="00D64827" w:rsidP="00473F77">
      <w:pPr>
        <w:spacing w:after="80"/>
        <w:ind w:firstLine="567"/>
        <w:jc w:val="both"/>
        <w:rPr>
          <w:sz w:val="20"/>
        </w:rPr>
      </w:pPr>
      <w:bookmarkStart w:id="41" w:name="_Toc274580545"/>
    </w:p>
    <w:p w:rsidR="00E82974" w:rsidRDefault="00E82974" w:rsidP="00E82974">
      <w:pPr>
        <w:spacing w:after="80"/>
        <w:ind w:firstLine="284"/>
        <w:jc w:val="both"/>
        <w:rPr>
          <w:sz w:val="28"/>
        </w:rPr>
      </w:pPr>
      <w:r>
        <w:rPr>
          <w:sz w:val="28"/>
        </w:rPr>
        <w:t>J</w:t>
      </w:r>
      <w:r w:rsidRPr="00CB6FDB">
        <w:rPr>
          <w:sz w:val="28"/>
        </w:rPr>
        <w:t>au piecus ceturkšņus pēc kārtas IKP apjomi</w:t>
      </w:r>
      <w:r w:rsidR="00E94551">
        <w:rPr>
          <w:sz w:val="28"/>
        </w:rPr>
        <w:t>, lai arī lēni, tomēr</w:t>
      </w:r>
      <w:r w:rsidRPr="00CB6FDB">
        <w:rPr>
          <w:sz w:val="28"/>
        </w:rPr>
        <w:t xml:space="preserve"> pakāpeniski pieaug. 2010.gada 4.ceturksnī IKP par 3,6% pārsniedza iepriekšējā gada 4.ceturkšņa līmeni.</w:t>
      </w:r>
      <w:r>
        <w:rPr>
          <w:sz w:val="28"/>
        </w:rPr>
        <w:t xml:space="preserve"> </w:t>
      </w:r>
    </w:p>
    <w:p w:rsidR="00E82974" w:rsidRPr="00E82974" w:rsidRDefault="00E82974" w:rsidP="00E82974">
      <w:pPr>
        <w:spacing w:after="80"/>
        <w:ind w:firstLine="284"/>
        <w:jc w:val="both"/>
        <w:rPr>
          <w:sz w:val="28"/>
        </w:rPr>
      </w:pPr>
      <w:r w:rsidRPr="00E82974">
        <w:rPr>
          <w:sz w:val="28"/>
        </w:rPr>
        <w:t>Ļoti liela loma Latvijas tautsaimniecības atveseļošanās procesā ir eksportam</w:t>
      </w:r>
      <w:r w:rsidR="00E94551">
        <w:rPr>
          <w:sz w:val="28"/>
        </w:rPr>
        <w:t>, tādēļ pozitīvās tendences ekonomikā pārsvarā izjūt nozares</w:t>
      </w:r>
      <w:r w:rsidR="00E94551" w:rsidRPr="00E82974">
        <w:rPr>
          <w:sz w:val="28"/>
        </w:rPr>
        <w:t>, kurās ir reālas eksporta iespējas.</w:t>
      </w:r>
      <w:r w:rsidR="00E94551" w:rsidRPr="00E94551">
        <w:rPr>
          <w:sz w:val="28"/>
        </w:rPr>
        <w:t xml:space="preserve"> </w:t>
      </w:r>
      <w:r w:rsidR="00E94551" w:rsidRPr="00E82974">
        <w:rPr>
          <w:sz w:val="28"/>
        </w:rPr>
        <w:t>Latvijas eksporta pieaugumu nosaka ne tikai situācijas uzlabošanās ārvalstu tirgos un pieprasījuma pieaugums, bet arī</w:t>
      </w:r>
      <w:r w:rsidR="00501F5E">
        <w:rPr>
          <w:sz w:val="28"/>
        </w:rPr>
        <w:t xml:space="preserve"> krīzes laikā atgūtā Latvijas ražotāju</w:t>
      </w:r>
      <w:r w:rsidR="00E94551" w:rsidRPr="00E82974">
        <w:rPr>
          <w:sz w:val="28"/>
        </w:rPr>
        <w:t xml:space="preserve"> konkurētspēja.</w:t>
      </w:r>
      <w:r w:rsidR="00220780">
        <w:rPr>
          <w:sz w:val="28"/>
        </w:rPr>
        <w:t xml:space="preserve"> </w:t>
      </w:r>
    </w:p>
    <w:p w:rsidR="00E82974" w:rsidRPr="00E82974" w:rsidRDefault="00E94551" w:rsidP="00E82974">
      <w:pPr>
        <w:spacing w:after="80"/>
        <w:ind w:firstLine="284"/>
        <w:jc w:val="both"/>
        <w:rPr>
          <w:sz w:val="28"/>
        </w:rPr>
      </w:pPr>
      <w:r w:rsidRPr="00766382">
        <w:rPr>
          <w:sz w:val="28"/>
        </w:rPr>
        <w:t xml:space="preserve">2010.gadā eksporta pieauguma tempi bija ievērojami un, sākot ar 3.ceturksni, eksporta apjomi jau pārsniedza pirmskrīzes līmeni. 2010.gadā preču eksports faktiskajās cenās pieauga par </w:t>
      </w:r>
      <w:r w:rsidR="00501F5E">
        <w:rPr>
          <w:sz w:val="28"/>
        </w:rPr>
        <w:t>30</w:t>
      </w:r>
      <w:r>
        <w:rPr>
          <w:sz w:val="28"/>
        </w:rPr>
        <w:t>%</w:t>
      </w:r>
      <w:r w:rsidRPr="00766382">
        <w:rPr>
          <w:sz w:val="28"/>
        </w:rPr>
        <w:t>.</w:t>
      </w:r>
      <w:r>
        <w:rPr>
          <w:sz w:val="28"/>
        </w:rPr>
        <w:t xml:space="preserve"> Eksporta pieaugums turpinās </w:t>
      </w:r>
      <w:r w:rsidR="00501F5E">
        <w:rPr>
          <w:sz w:val="28"/>
        </w:rPr>
        <w:t xml:space="preserve">arī šogad – gada pirmajos divos mēnešos </w:t>
      </w:r>
      <w:r>
        <w:rPr>
          <w:sz w:val="28"/>
        </w:rPr>
        <w:t>preču eksports par 43,2% pārsniedz iepriekšējā gada atbilstošā perioda līmeni.</w:t>
      </w:r>
      <w:r w:rsidR="00501F5E">
        <w:rPr>
          <w:sz w:val="28"/>
        </w:rPr>
        <w:t xml:space="preserve"> </w:t>
      </w:r>
      <w:r w:rsidR="00E82974" w:rsidRPr="00E82974">
        <w:rPr>
          <w:sz w:val="28"/>
        </w:rPr>
        <w:t>Eksporta</w:t>
      </w:r>
      <w:r>
        <w:rPr>
          <w:sz w:val="28"/>
        </w:rPr>
        <w:t xml:space="preserve"> iespēju paplašināšana</w:t>
      </w:r>
      <w:r w:rsidR="00E82974" w:rsidRPr="00E82974">
        <w:rPr>
          <w:sz w:val="28"/>
        </w:rPr>
        <w:t xml:space="preserve"> ir veids, kā nodrošināt </w:t>
      </w:r>
      <w:r>
        <w:rPr>
          <w:sz w:val="28"/>
        </w:rPr>
        <w:t>ienākumu palielināšanu tautsaimniecībā</w:t>
      </w:r>
      <w:r w:rsidR="00E82974" w:rsidRPr="00E82974">
        <w:rPr>
          <w:sz w:val="28"/>
        </w:rPr>
        <w:t xml:space="preserve"> un </w:t>
      </w:r>
      <w:r>
        <w:rPr>
          <w:sz w:val="28"/>
        </w:rPr>
        <w:t xml:space="preserve">ilgtspējīgu </w:t>
      </w:r>
      <w:r w:rsidR="00E82974" w:rsidRPr="00E82974">
        <w:rPr>
          <w:sz w:val="28"/>
        </w:rPr>
        <w:t xml:space="preserve">ekonomikas izaugsmi </w:t>
      </w:r>
      <w:r w:rsidR="00E82974">
        <w:rPr>
          <w:sz w:val="28"/>
        </w:rPr>
        <w:t>nākotnē</w:t>
      </w:r>
      <w:r w:rsidR="00E82974" w:rsidRPr="00E82974">
        <w:rPr>
          <w:sz w:val="28"/>
        </w:rPr>
        <w:t>.</w:t>
      </w:r>
    </w:p>
    <w:p w:rsidR="00501F5E" w:rsidRDefault="00501F5E" w:rsidP="00E82974">
      <w:pPr>
        <w:spacing w:after="80"/>
        <w:ind w:firstLine="284"/>
        <w:jc w:val="both"/>
        <w:rPr>
          <w:sz w:val="28"/>
        </w:rPr>
      </w:pPr>
      <w:r w:rsidRPr="00766382">
        <w:rPr>
          <w:sz w:val="28"/>
        </w:rPr>
        <w:t>Eksportu iespēju paplašināšanās ir pamats</w:t>
      </w:r>
      <w:r>
        <w:rPr>
          <w:sz w:val="28"/>
        </w:rPr>
        <w:t xml:space="preserve"> tirgojamo nozaru – īpaši </w:t>
      </w:r>
      <w:r w:rsidRPr="00766382">
        <w:rPr>
          <w:sz w:val="28"/>
        </w:rPr>
        <w:t xml:space="preserve">apstrādes rūpniecības </w:t>
      </w:r>
      <w:r>
        <w:rPr>
          <w:sz w:val="28"/>
        </w:rPr>
        <w:t xml:space="preserve">nozares izaugsmei, </w:t>
      </w:r>
      <w:r w:rsidR="00421996" w:rsidRPr="00766382">
        <w:rPr>
          <w:sz w:val="28"/>
        </w:rPr>
        <w:t xml:space="preserve">kas 2010.gadā </w:t>
      </w:r>
      <w:r>
        <w:rPr>
          <w:sz w:val="28"/>
        </w:rPr>
        <w:t xml:space="preserve">pieauga </w:t>
      </w:r>
      <w:r w:rsidR="00421996" w:rsidRPr="00766382">
        <w:rPr>
          <w:sz w:val="28"/>
        </w:rPr>
        <w:t>par 1</w:t>
      </w:r>
      <w:r w:rsidR="00CF303A" w:rsidRPr="00766382">
        <w:rPr>
          <w:sz w:val="28"/>
        </w:rPr>
        <w:t>5</w:t>
      </w:r>
      <w:r w:rsidR="00421996" w:rsidRPr="00766382">
        <w:rPr>
          <w:sz w:val="28"/>
        </w:rPr>
        <w:t>,</w:t>
      </w:r>
      <w:r w:rsidR="00CF303A" w:rsidRPr="00766382">
        <w:rPr>
          <w:sz w:val="28"/>
        </w:rPr>
        <w:t>4</w:t>
      </w:r>
      <w:r>
        <w:rPr>
          <w:sz w:val="28"/>
        </w:rPr>
        <w:t>%</w:t>
      </w:r>
      <w:r w:rsidR="00F75A5E">
        <w:rPr>
          <w:sz w:val="28"/>
        </w:rPr>
        <w:t>.</w:t>
      </w:r>
      <w:r w:rsidR="00F75A5E" w:rsidRPr="00F75A5E">
        <w:rPr>
          <w:sz w:val="28"/>
        </w:rPr>
        <w:t xml:space="preserve"> </w:t>
      </w:r>
      <w:r w:rsidR="00F75A5E">
        <w:rPr>
          <w:sz w:val="28"/>
        </w:rPr>
        <w:t>Vislielākais ieguldījums</w:t>
      </w:r>
      <w:r w:rsidR="00A92CC4">
        <w:rPr>
          <w:sz w:val="28"/>
        </w:rPr>
        <w:t xml:space="preserve"> apstrādes rūpniecības izaugsmē </w:t>
      </w:r>
      <w:r w:rsidR="00F75A5E">
        <w:rPr>
          <w:sz w:val="28"/>
        </w:rPr>
        <w:t xml:space="preserve">bija kokapstrādei, metālapstrādei, kā arī elektrisko un optisko iekārtu ražošanas nozarei. </w:t>
      </w:r>
      <w:r w:rsidR="00220780">
        <w:rPr>
          <w:sz w:val="28"/>
        </w:rPr>
        <w:t>Š</w:t>
      </w:r>
      <w:r w:rsidR="00F75A5E">
        <w:rPr>
          <w:sz w:val="28"/>
        </w:rPr>
        <w:t xml:space="preserve">ī gada pirmajos mēnešos pozitīvās tendences </w:t>
      </w:r>
      <w:r>
        <w:rPr>
          <w:sz w:val="28"/>
        </w:rPr>
        <w:t>apstrādes rūpniecībā</w:t>
      </w:r>
      <w:r w:rsidR="00F75A5E">
        <w:rPr>
          <w:sz w:val="28"/>
        </w:rPr>
        <w:t xml:space="preserve"> turpinās</w:t>
      </w:r>
      <w:r>
        <w:rPr>
          <w:sz w:val="28"/>
        </w:rPr>
        <w:t>.</w:t>
      </w:r>
    </w:p>
    <w:p w:rsidR="00CF303A" w:rsidRDefault="00CF303A" w:rsidP="00E82974">
      <w:pPr>
        <w:spacing w:after="80"/>
        <w:ind w:firstLine="284"/>
        <w:jc w:val="both"/>
        <w:rPr>
          <w:sz w:val="28"/>
        </w:rPr>
      </w:pPr>
      <w:r w:rsidRPr="00766382">
        <w:rPr>
          <w:sz w:val="28"/>
        </w:rPr>
        <w:t xml:space="preserve">Pakāpeniski </w:t>
      </w:r>
      <w:r w:rsidR="00A92CC4">
        <w:rPr>
          <w:sz w:val="28"/>
        </w:rPr>
        <w:t xml:space="preserve">stabilizējas arī privātais patēriņš. To pamatā nosaka </w:t>
      </w:r>
      <w:r w:rsidRPr="00766382">
        <w:rPr>
          <w:sz w:val="28"/>
        </w:rPr>
        <w:t xml:space="preserve">situācijas uzlabošanās darba tirgū. </w:t>
      </w:r>
      <w:r w:rsidR="00A92CC4">
        <w:rPr>
          <w:sz w:val="28"/>
        </w:rPr>
        <w:t xml:space="preserve">Kopš </w:t>
      </w:r>
      <w:r w:rsidRPr="00766382">
        <w:rPr>
          <w:sz w:val="28"/>
        </w:rPr>
        <w:t>2010.gada</w:t>
      </w:r>
      <w:r w:rsidR="00F75A5E">
        <w:rPr>
          <w:sz w:val="28"/>
        </w:rPr>
        <w:t xml:space="preserve"> </w:t>
      </w:r>
      <w:r w:rsidR="00A92CC4">
        <w:rPr>
          <w:sz w:val="28"/>
        </w:rPr>
        <w:t>sākuma</w:t>
      </w:r>
      <w:r w:rsidR="00F75A5E">
        <w:rPr>
          <w:sz w:val="28"/>
        </w:rPr>
        <w:t xml:space="preserve"> </w:t>
      </w:r>
      <w:r w:rsidRPr="00766382">
        <w:rPr>
          <w:sz w:val="28"/>
        </w:rPr>
        <w:t>nodarbināto skaits</w:t>
      </w:r>
      <w:r w:rsidR="00F75A5E">
        <w:rPr>
          <w:sz w:val="28"/>
        </w:rPr>
        <w:t xml:space="preserve"> </w:t>
      </w:r>
      <w:r w:rsidR="00220780">
        <w:rPr>
          <w:sz w:val="28"/>
        </w:rPr>
        <w:t xml:space="preserve">ir pieaudzis par vairāk kā </w:t>
      </w:r>
      <w:r w:rsidR="00A92CC4">
        <w:rPr>
          <w:sz w:val="28"/>
        </w:rPr>
        <w:t>3</w:t>
      </w:r>
      <w:r w:rsidR="00220780">
        <w:rPr>
          <w:sz w:val="28"/>
        </w:rPr>
        <w:t>0</w:t>
      </w:r>
      <w:r w:rsidR="00A92CC4">
        <w:rPr>
          <w:sz w:val="28"/>
        </w:rPr>
        <w:t> </w:t>
      </w:r>
      <w:r w:rsidRPr="00766382">
        <w:rPr>
          <w:sz w:val="28"/>
        </w:rPr>
        <w:t>tūkstošiem,</w:t>
      </w:r>
      <w:r w:rsidR="00A92CC4">
        <w:rPr>
          <w:sz w:val="28"/>
        </w:rPr>
        <w:t xml:space="preserve"> </w:t>
      </w:r>
      <w:r w:rsidR="00220780">
        <w:rPr>
          <w:sz w:val="28"/>
        </w:rPr>
        <w:t xml:space="preserve">atbilstoši ir samazinājies </w:t>
      </w:r>
      <w:r w:rsidR="00F75A5E">
        <w:rPr>
          <w:sz w:val="28"/>
        </w:rPr>
        <w:t>b</w:t>
      </w:r>
      <w:r w:rsidRPr="00766382">
        <w:rPr>
          <w:sz w:val="28"/>
        </w:rPr>
        <w:t>ezdarba līmenis</w:t>
      </w:r>
      <w:r w:rsidR="00A92CC4">
        <w:rPr>
          <w:sz w:val="28"/>
        </w:rPr>
        <w:t>.</w:t>
      </w:r>
      <w:r w:rsidR="00220780">
        <w:rPr>
          <w:sz w:val="28"/>
        </w:rPr>
        <w:t xml:space="preserve"> Šī gada martā vērojamās tendences, liecina, ka, līdz ar sezonas darbu parādīšanos, bezdarba līmenis sarūk un pieaug brīvo darba vietu skaits. </w:t>
      </w:r>
    </w:p>
    <w:p w:rsidR="00421996" w:rsidRPr="00766382" w:rsidRDefault="00220780" w:rsidP="00E82974">
      <w:pPr>
        <w:spacing w:after="80"/>
        <w:ind w:firstLine="284"/>
        <w:jc w:val="both"/>
        <w:rPr>
          <w:sz w:val="28"/>
        </w:rPr>
      </w:pPr>
      <w:r>
        <w:rPr>
          <w:sz w:val="28"/>
        </w:rPr>
        <w:t xml:space="preserve">Īstenoto budžeta konsolidācijas pasākumu ietekmē 2010.gadā turpināja </w:t>
      </w:r>
      <w:r w:rsidR="00A92CC4">
        <w:rPr>
          <w:sz w:val="28"/>
        </w:rPr>
        <w:t xml:space="preserve">samazināties </w:t>
      </w:r>
      <w:r w:rsidR="00421996" w:rsidRPr="00766382">
        <w:rPr>
          <w:sz w:val="28"/>
        </w:rPr>
        <w:t>sabiedriskais</w:t>
      </w:r>
      <w:r>
        <w:rPr>
          <w:sz w:val="28"/>
        </w:rPr>
        <w:t xml:space="preserve"> jeb valsts pārvaldes iestāžu</w:t>
      </w:r>
      <w:r w:rsidR="00421996" w:rsidRPr="00766382">
        <w:rPr>
          <w:sz w:val="28"/>
        </w:rPr>
        <w:t xml:space="preserve"> patēriņš. Arī investīciju aktivitātes aizvadītajā gadā bija ļoti zemā līmenī un to atjaunošanās norit lēni. 2010.gadā investīcijas Latvijas tautsaimniecībā bija par gandrīz 20% mazākas nekā 2009.gadā.</w:t>
      </w:r>
    </w:p>
    <w:p w:rsidR="00421996" w:rsidRPr="00766382" w:rsidRDefault="00A92CC4" w:rsidP="00E82974">
      <w:pPr>
        <w:spacing w:after="80"/>
        <w:ind w:firstLine="284"/>
        <w:jc w:val="both"/>
        <w:rPr>
          <w:sz w:val="28"/>
        </w:rPr>
      </w:pPr>
      <w:r>
        <w:rPr>
          <w:sz w:val="28"/>
        </w:rPr>
        <w:t>P</w:t>
      </w:r>
      <w:r w:rsidRPr="00766382">
        <w:rPr>
          <w:sz w:val="28"/>
        </w:rPr>
        <w:t>asaules cenu pieaugums pā</w:t>
      </w:r>
      <w:r>
        <w:rPr>
          <w:sz w:val="28"/>
        </w:rPr>
        <w:t xml:space="preserve">rtikas precēm un enerģētikas resursiem, kā arī patēriņa nodokļu palielināšana no 2011.gada janvāra ir veicinājusi cenu pieaugumu. </w:t>
      </w:r>
      <w:r w:rsidR="00421996" w:rsidRPr="00766382">
        <w:rPr>
          <w:sz w:val="28"/>
        </w:rPr>
        <w:t xml:space="preserve">2011.gada </w:t>
      </w:r>
      <w:r w:rsidR="00CF303A" w:rsidRPr="00766382">
        <w:rPr>
          <w:sz w:val="28"/>
        </w:rPr>
        <w:t>martā</w:t>
      </w:r>
      <w:r w:rsidR="00421996" w:rsidRPr="00766382">
        <w:rPr>
          <w:sz w:val="28"/>
        </w:rPr>
        <w:t xml:space="preserve"> 12-mēnešu inflācija bija 4</w:t>
      </w:r>
      <w:r w:rsidR="00473F77">
        <w:rPr>
          <w:sz w:val="28"/>
        </w:rPr>
        <w:t>,2</w:t>
      </w:r>
      <w:r w:rsidR="00421996" w:rsidRPr="00766382">
        <w:rPr>
          <w:sz w:val="28"/>
        </w:rPr>
        <w:t xml:space="preserve">%. </w:t>
      </w:r>
      <w:r>
        <w:rPr>
          <w:sz w:val="28"/>
        </w:rPr>
        <w:t>G</w:t>
      </w:r>
      <w:r w:rsidR="00421996" w:rsidRPr="00766382">
        <w:rPr>
          <w:sz w:val="28"/>
        </w:rPr>
        <w:t>ada otrajā pusē, palielinoties iekšējam pieprasījumam, var atsākt palielināties</w:t>
      </w:r>
      <w:r>
        <w:rPr>
          <w:sz w:val="28"/>
        </w:rPr>
        <w:t xml:space="preserve"> arī</w:t>
      </w:r>
      <w:r w:rsidR="00421996" w:rsidRPr="00766382">
        <w:rPr>
          <w:sz w:val="28"/>
        </w:rPr>
        <w:t xml:space="preserve"> pakalpojumu cenas. Šāda cenu dinamika kopējo cenu līmeni 2011.gadā var palielināt par 3,5% salīdzinājumā ar iepriekšējo gadu.</w:t>
      </w:r>
    </w:p>
    <w:p w:rsidR="00421996" w:rsidRPr="00766382" w:rsidRDefault="00421996" w:rsidP="00E82974">
      <w:pPr>
        <w:spacing w:after="80"/>
        <w:ind w:firstLine="284"/>
        <w:jc w:val="both"/>
        <w:rPr>
          <w:sz w:val="28"/>
        </w:rPr>
      </w:pPr>
      <w:r w:rsidRPr="00766382">
        <w:rPr>
          <w:sz w:val="28"/>
        </w:rPr>
        <w:t xml:space="preserve">Tautsaimniecībā vērojamās </w:t>
      </w:r>
      <w:r w:rsidR="00A92CC4">
        <w:rPr>
          <w:sz w:val="28"/>
        </w:rPr>
        <w:t>t</w:t>
      </w:r>
      <w:r w:rsidRPr="00766382">
        <w:rPr>
          <w:sz w:val="28"/>
        </w:rPr>
        <w:t xml:space="preserve">endences dod pamatu prognozēm, ka arī nākamajos ceturkšņos IKP turpinās </w:t>
      </w:r>
      <w:r w:rsidR="00A92CC4">
        <w:rPr>
          <w:sz w:val="28"/>
        </w:rPr>
        <w:t xml:space="preserve">pakāpeniski </w:t>
      </w:r>
      <w:r w:rsidRPr="00766382">
        <w:rPr>
          <w:sz w:val="28"/>
        </w:rPr>
        <w:t xml:space="preserve">palielināties. </w:t>
      </w:r>
      <w:r w:rsidR="00990A28" w:rsidRPr="00766382">
        <w:rPr>
          <w:sz w:val="28"/>
        </w:rPr>
        <w:t>2011.</w:t>
      </w:r>
      <w:r w:rsidRPr="00766382">
        <w:rPr>
          <w:sz w:val="28"/>
        </w:rPr>
        <w:t>gada kopējā izaugsme jau būs pozitīva un IKP apjo</w:t>
      </w:r>
      <w:r w:rsidR="00990A28" w:rsidRPr="00766382">
        <w:rPr>
          <w:sz w:val="28"/>
        </w:rPr>
        <w:t>ms var par 3,5% pārsniegt 2010.</w:t>
      </w:r>
      <w:r w:rsidRPr="00766382">
        <w:rPr>
          <w:sz w:val="28"/>
        </w:rPr>
        <w:t>gada līmeni. Arī 2011.gadā galvenais e</w:t>
      </w:r>
      <w:r w:rsidR="00990A28" w:rsidRPr="00766382">
        <w:rPr>
          <w:sz w:val="28"/>
        </w:rPr>
        <w:t>konomikas dzinulis būs eksports</w:t>
      </w:r>
      <w:r w:rsidRPr="00766382">
        <w:rPr>
          <w:sz w:val="28"/>
        </w:rPr>
        <w:t>.</w:t>
      </w:r>
    </w:p>
    <w:p w:rsidR="00235749" w:rsidRDefault="00235749" w:rsidP="007A5582">
      <w:pPr>
        <w:ind w:firstLine="426"/>
      </w:pPr>
    </w:p>
    <w:p w:rsidR="00070D22" w:rsidRDefault="00070D22" w:rsidP="007A5582">
      <w:pPr>
        <w:ind w:firstLine="426"/>
        <w:rPr>
          <w:rFonts w:eastAsiaTheme="majorEastAsia" w:cstheme="majorBidi"/>
          <w:b/>
          <w:bCs/>
          <w:sz w:val="32"/>
        </w:rPr>
      </w:pPr>
      <w:r>
        <w:br w:type="page"/>
      </w:r>
    </w:p>
    <w:p w:rsidR="002E5313" w:rsidRDefault="002E5313" w:rsidP="002E5313">
      <w:pPr>
        <w:pStyle w:val="Heading1"/>
      </w:pPr>
      <w:bookmarkStart w:id="42" w:name="_Toc282413165"/>
      <w:r w:rsidRPr="009F6E8E">
        <w:lastRenderedPageBreak/>
        <w:t xml:space="preserve">1. </w:t>
      </w:r>
      <w:r>
        <w:t>Ārējā ekonomiskā vide</w:t>
      </w:r>
      <w:bookmarkEnd w:id="41"/>
      <w:bookmarkEnd w:id="42"/>
    </w:p>
    <w:p w:rsidR="002E5313" w:rsidRPr="00CB6FDB" w:rsidRDefault="002E5313" w:rsidP="002E5313">
      <w:pPr>
        <w:spacing w:after="80"/>
        <w:ind w:firstLine="567"/>
        <w:jc w:val="both"/>
        <w:rPr>
          <w:sz w:val="14"/>
        </w:rPr>
      </w:pPr>
    </w:p>
    <w:p w:rsidR="0049318A" w:rsidRDefault="001D51EC" w:rsidP="005D5DF1">
      <w:pPr>
        <w:autoSpaceDE w:val="0"/>
        <w:autoSpaceDN w:val="0"/>
        <w:adjustRightInd w:val="0"/>
        <w:ind w:firstLine="426"/>
        <w:jc w:val="both"/>
        <w:rPr>
          <w:sz w:val="28"/>
        </w:rPr>
      </w:pPr>
      <w:bookmarkStart w:id="43" w:name="_Toc249189471"/>
      <w:bookmarkStart w:id="44" w:name="_Toc216079507"/>
      <w:bookmarkStart w:id="45" w:name="_Toc216079575"/>
      <w:bookmarkStart w:id="46" w:name="_Toc216079637"/>
      <w:bookmarkStart w:id="47" w:name="_Toc216079693"/>
      <w:bookmarkStart w:id="48" w:name="_Toc216079749"/>
      <w:bookmarkStart w:id="49" w:name="_Toc216079805"/>
      <w:bookmarkStart w:id="50" w:name="_Toc282413168"/>
      <w:bookmarkStart w:id="51" w:name="_Ref216075281"/>
      <w:bookmarkStart w:id="52" w:name="_Toc216077838"/>
      <w:bookmarkEnd w:id="33"/>
      <w:bookmarkEnd w:id="34"/>
      <w:bookmarkEnd w:id="35"/>
      <w:bookmarkEnd w:id="36"/>
      <w:bookmarkEnd w:id="37"/>
      <w:bookmarkEnd w:id="38"/>
      <w:bookmarkEnd w:id="39"/>
      <w:bookmarkEnd w:id="40"/>
      <w:r>
        <w:rPr>
          <w:sz w:val="28"/>
        </w:rPr>
        <w:t>P</w:t>
      </w:r>
      <w:r w:rsidR="005D5DF1" w:rsidRPr="00C920ED">
        <w:rPr>
          <w:sz w:val="28"/>
        </w:rPr>
        <w:t>asaules</w:t>
      </w:r>
      <w:r w:rsidR="005D5DF1">
        <w:rPr>
          <w:sz w:val="28"/>
        </w:rPr>
        <w:t xml:space="preserve"> ekonomik</w:t>
      </w:r>
      <w:r>
        <w:rPr>
          <w:sz w:val="28"/>
        </w:rPr>
        <w:t>as izaugsme t</w:t>
      </w:r>
      <w:r w:rsidR="00E95102">
        <w:rPr>
          <w:sz w:val="28"/>
        </w:rPr>
        <w:t>urpinās.</w:t>
      </w:r>
      <w:r w:rsidR="006A4F4C">
        <w:rPr>
          <w:sz w:val="28"/>
        </w:rPr>
        <w:t xml:space="preserve"> Kā norāda starptautisko institūciju eksperti</w:t>
      </w:r>
      <w:r w:rsidR="0049318A">
        <w:rPr>
          <w:rStyle w:val="FootnoteReference"/>
          <w:sz w:val="28"/>
        </w:rPr>
        <w:footnoteReference w:id="1"/>
      </w:r>
      <w:r w:rsidR="006A4F4C">
        <w:rPr>
          <w:sz w:val="28"/>
        </w:rPr>
        <w:t>, tad nav piepildījušās bažas par iespēj</w:t>
      </w:r>
      <w:r w:rsidR="004C4ABD">
        <w:rPr>
          <w:sz w:val="28"/>
        </w:rPr>
        <w:t>am</w:t>
      </w:r>
      <w:r w:rsidR="006A4F4C">
        <w:rPr>
          <w:sz w:val="28"/>
        </w:rPr>
        <w:t>o pasaules ekonomikas ieslīgšanu atkārtotā recesijā.</w:t>
      </w:r>
      <w:r w:rsidR="0049318A">
        <w:rPr>
          <w:sz w:val="28"/>
        </w:rPr>
        <w:t xml:space="preserve"> Pēckrīzes periodā izaugsmi pamatā uzturēja krājumu atjaunošana un apjomīgi fiskālie stimuli. Pašlaik krājumu atjaunošanas cikls ir noslēdzies un vairumam valstu nākas saskarties ar budžeta konsolidācijas pasākumiem, bet par galveno izaugsmes faktoru ir kļuvis pieaugošais privātais patēriņš. Jāatzīmē, ka ekonomikas </w:t>
      </w:r>
      <w:r w:rsidR="0049318A" w:rsidRPr="00C920ED">
        <w:rPr>
          <w:sz w:val="28"/>
        </w:rPr>
        <w:t>izaugsm</w:t>
      </w:r>
      <w:r w:rsidR="0049318A">
        <w:rPr>
          <w:sz w:val="28"/>
        </w:rPr>
        <w:t xml:space="preserve">i pavada </w:t>
      </w:r>
      <w:r w:rsidR="0049318A" w:rsidRPr="00C920ED">
        <w:rPr>
          <w:sz w:val="28"/>
        </w:rPr>
        <w:t xml:space="preserve">inflācijas </w:t>
      </w:r>
      <w:r w:rsidR="0049318A">
        <w:rPr>
          <w:sz w:val="28"/>
        </w:rPr>
        <w:t>kāpums, kas ir sa</w:t>
      </w:r>
      <w:r w:rsidR="00633C06">
        <w:rPr>
          <w:sz w:val="28"/>
        </w:rPr>
        <w:t>i</w:t>
      </w:r>
      <w:r w:rsidR="0049318A">
        <w:rPr>
          <w:sz w:val="28"/>
        </w:rPr>
        <w:t xml:space="preserve">stīts gan ar strauji augošo pieprasījumu, gan ar </w:t>
      </w:r>
      <w:r w:rsidR="00633C06">
        <w:rPr>
          <w:sz w:val="28"/>
        </w:rPr>
        <w:t>piedāvājuma puses faktoriem, piemēram, pārtikas cenu kāpums bija saistīts ar klimatiskajiem apstākļiem, bet energoresursu cenu pieaugumu ietekmēja nestabilā politiskā situācija naftas ieguves valstīs Tuvajos Austrumos.</w:t>
      </w:r>
    </w:p>
    <w:p w:rsidR="00633C06" w:rsidRDefault="0049318A" w:rsidP="005D5DF1">
      <w:pPr>
        <w:autoSpaceDE w:val="0"/>
        <w:autoSpaceDN w:val="0"/>
        <w:adjustRightInd w:val="0"/>
        <w:ind w:firstLine="426"/>
        <w:jc w:val="both"/>
        <w:rPr>
          <w:sz w:val="28"/>
        </w:rPr>
      </w:pPr>
      <w:r>
        <w:rPr>
          <w:sz w:val="28"/>
        </w:rPr>
        <w:t>P</w:t>
      </w:r>
      <w:r w:rsidR="005D5DF1">
        <w:rPr>
          <w:sz w:val="28"/>
        </w:rPr>
        <w:t>asaules valstu ekonomiku atkopšanās tempi ir nevienmērīgi. Attīstītajās valstīs</w:t>
      </w:r>
      <w:r w:rsidR="00633C06">
        <w:rPr>
          <w:sz w:val="28"/>
        </w:rPr>
        <w:t xml:space="preserve"> izaugsme joprojām ir zem tās potenciālā līmeņa. Pie tam </w:t>
      </w:r>
      <w:r w:rsidR="005D5DF1">
        <w:rPr>
          <w:sz w:val="28"/>
        </w:rPr>
        <w:t>2010.gada beigās izaugsme</w:t>
      </w:r>
      <w:r w:rsidR="00633C06">
        <w:rPr>
          <w:sz w:val="28"/>
        </w:rPr>
        <w:t>s tempi</w:t>
      </w:r>
      <w:r w:rsidR="005D5DF1">
        <w:rPr>
          <w:sz w:val="28"/>
        </w:rPr>
        <w:t xml:space="preserve"> nedaudz palēninājās, tomēr joprojām bija augstāk</w:t>
      </w:r>
      <w:r w:rsidR="00E95102">
        <w:rPr>
          <w:sz w:val="28"/>
        </w:rPr>
        <w:t>a</w:t>
      </w:r>
      <w:r w:rsidR="005D5DF1">
        <w:rPr>
          <w:sz w:val="28"/>
        </w:rPr>
        <w:t xml:space="preserve"> nekā tika prognozēts </w:t>
      </w:r>
      <w:r w:rsidR="00633C06">
        <w:rPr>
          <w:sz w:val="28"/>
        </w:rPr>
        <w:t xml:space="preserve">pirms gada. Izaugsmi nodrošina aizvien pieaugošais </w:t>
      </w:r>
      <w:r w:rsidR="005D5DF1">
        <w:rPr>
          <w:sz w:val="28"/>
        </w:rPr>
        <w:t>iekšēj</w:t>
      </w:r>
      <w:r w:rsidR="00633C06">
        <w:rPr>
          <w:sz w:val="28"/>
        </w:rPr>
        <w:t>ais pieprasījums. Bez salīdzinoši lēniem izaugsmes tempiem attīstītajās valstīs saglabājas arī augsts bezdarba līmenis, kas nozīmē, ka tuvāko gadu laikā ļoti būtiski uzlabojum</w:t>
      </w:r>
      <w:r w:rsidR="004C4ABD">
        <w:rPr>
          <w:sz w:val="28"/>
        </w:rPr>
        <w:t>i</w:t>
      </w:r>
      <w:r w:rsidR="00633C06">
        <w:rPr>
          <w:sz w:val="28"/>
        </w:rPr>
        <w:t xml:space="preserve"> dar</w:t>
      </w:r>
      <w:r w:rsidR="004C4ABD">
        <w:rPr>
          <w:sz w:val="28"/>
        </w:rPr>
        <w:t>b</w:t>
      </w:r>
      <w:r w:rsidR="00633C06">
        <w:rPr>
          <w:sz w:val="28"/>
        </w:rPr>
        <w:t>a tirgū nav gaidāmi.</w:t>
      </w:r>
    </w:p>
    <w:p w:rsidR="005D5DF1" w:rsidRDefault="005D5DF1" w:rsidP="005D5DF1">
      <w:pPr>
        <w:autoSpaceDE w:val="0"/>
        <w:autoSpaceDN w:val="0"/>
        <w:adjustRightInd w:val="0"/>
        <w:ind w:firstLine="426"/>
        <w:jc w:val="both"/>
        <w:rPr>
          <w:sz w:val="28"/>
        </w:rPr>
      </w:pPr>
      <w:r>
        <w:rPr>
          <w:sz w:val="28"/>
        </w:rPr>
        <w:t>Savukārt attīstības valstīs ir vērojami strauj</w:t>
      </w:r>
      <w:r w:rsidR="00905E79">
        <w:rPr>
          <w:sz w:val="28"/>
        </w:rPr>
        <w:t>i</w:t>
      </w:r>
      <w:r>
        <w:rPr>
          <w:sz w:val="28"/>
        </w:rPr>
        <w:t xml:space="preserve"> pieauguma tempi, ko pamatā nodrošina </w:t>
      </w:r>
      <w:r w:rsidR="00633C06">
        <w:rPr>
          <w:sz w:val="28"/>
        </w:rPr>
        <w:t>kapitāla ieplūdes atjaunošanās, kā arī privātā patēriņa pieaugums</w:t>
      </w:r>
      <w:r>
        <w:rPr>
          <w:sz w:val="28"/>
        </w:rPr>
        <w:t xml:space="preserve">. </w:t>
      </w:r>
    </w:p>
    <w:p w:rsidR="005D5DF1" w:rsidRPr="00CB6FDB" w:rsidRDefault="005D5DF1" w:rsidP="005D5DF1">
      <w:pPr>
        <w:autoSpaceDE w:val="0"/>
        <w:autoSpaceDN w:val="0"/>
        <w:adjustRightInd w:val="0"/>
        <w:ind w:firstLine="426"/>
        <w:jc w:val="both"/>
        <w:rPr>
          <w:sz w:val="6"/>
          <w:szCs w:val="8"/>
        </w:rPr>
      </w:pPr>
    </w:p>
    <w:p w:rsidR="005D5DF1" w:rsidRDefault="005D5DF1" w:rsidP="005D5DF1">
      <w:pPr>
        <w:autoSpaceDE w:val="0"/>
        <w:autoSpaceDN w:val="0"/>
        <w:adjustRightInd w:val="0"/>
        <w:ind w:firstLine="426"/>
        <w:jc w:val="both"/>
        <w:rPr>
          <w:b/>
          <w:sz w:val="28"/>
        </w:rPr>
      </w:pPr>
      <w:r>
        <w:rPr>
          <w:b/>
          <w:sz w:val="28"/>
        </w:rPr>
        <w:t>Eiropas Savienībā</w:t>
      </w:r>
      <w:r w:rsidRPr="00007A5B">
        <w:rPr>
          <w:sz w:val="28"/>
        </w:rPr>
        <w:t xml:space="preserve"> </w:t>
      </w:r>
      <w:r>
        <w:rPr>
          <w:sz w:val="28"/>
        </w:rPr>
        <w:t xml:space="preserve">(ES-27) 2010.gada 4.ceturksnī, salīdzinot ar 3.ceturksni, IKP pieauga par 0,2% (pēc </w:t>
      </w:r>
      <w:r w:rsidR="00633C06">
        <w:rPr>
          <w:sz w:val="28"/>
        </w:rPr>
        <w:t>sezonāli izlīdzinātiem datiem)</w:t>
      </w:r>
      <w:r>
        <w:rPr>
          <w:sz w:val="28"/>
        </w:rPr>
        <w:t xml:space="preserve">. Kopumā 2010.gadā IKP līmenis bija par 1,8% augstāks nekā 2009.gadā. </w:t>
      </w:r>
      <w:r w:rsidR="00B26BD1">
        <w:rPr>
          <w:sz w:val="28"/>
        </w:rPr>
        <w:t xml:space="preserve">Kā jau iepriekš minēts vairumā </w:t>
      </w:r>
      <w:r>
        <w:rPr>
          <w:sz w:val="28"/>
        </w:rPr>
        <w:t>ES</w:t>
      </w:r>
      <w:r w:rsidR="00B26BD1">
        <w:rPr>
          <w:sz w:val="28"/>
        </w:rPr>
        <w:t xml:space="preserve"> valstu izeju no krīzes sekmēja dažādi budžetu stimuli, bet pašlaik izaugsmi nodrošina</w:t>
      </w:r>
      <w:r>
        <w:rPr>
          <w:sz w:val="28"/>
        </w:rPr>
        <w:t xml:space="preserve"> pasaules ekonomikas atveseļošanās un līdz ar to arī ārējā pieprasījuma palielinājums. </w:t>
      </w:r>
    </w:p>
    <w:p w:rsidR="005D5DF1" w:rsidRDefault="005D5DF1" w:rsidP="005D5DF1">
      <w:pPr>
        <w:autoSpaceDE w:val="0"/>
        <w:autoSpaceDN w:val="0"/>
        <w:adjustRightInd w:val="0"/>
        <w:ind w:firstLine="426"/>
        <w:jc w:val="both"/>
        <w:rPr>
          <w:sz w:val="28"/>
        </w:rPr>
      </w:pPr>
      <w:r>
        <w:rPr>
          <w:sz w:val="28"/>
        </w:rPr>
        <w:t xml:space="preserve">Ekonomikas attīstības tendences ES dalībvalstīs ir atšķirīgas. Stabila ekonomikas izaugsme 2010.gadā bija vērojama Vācijā, kur </w:t>
      </w:r>
      <w:r w:rsidR="00905E79">
        <w:rPr>
          <w:sz w:val="28"/>
        </w:rPr>
        <w:t xml:space="preserve">arī </w:t>
      </w:r>
      <w:r>
        <w:rPr>
          <w:sz w:val="28"/>
        </w:rPr>
        <w:t>4.ceturksnī IKP pieauga</w:t>
      </w:r>
      <w:r w:rsidR="00905E79">
        <w:rPr>
          <w:sz w:val="28"/>
        </w:rPr>
        <w:t xml:space="preserve"> (</w:t>
      </w:r>
      <w:r>
        <w:rPr>
          <w:sz w:val="28"/>
        </w:rPr>
        <w:t>par 0,4%</w:t>
      </w:r>
      <w:r w:rsidR="00905E79">
        <w:rPr>
          <w:sz w:val="28"/>
        </w:rPr>
        <w:t xml:space="preserve">, </w:t>
      </w:r>
      <w:r>
        <w:rPr>
          <w:sz w:val="28"/>
        </w:rPr>
        <w:t>pēc sezonāli izlīdzinātiem datiem) un par 4% pārsniedza iepriekšējā gada attiecīgā perioda līmeni. Strauja ekonomikas izaugsme 2010.gada 4.ceturksnī turpinājās arī Somijā, Zviedrijā un Francijā, kur IKP ceturkšņa laikā pieauga par attiecīgi 1,7%, 1,</w:t>
      </w:r>
      <w:r w:rsidR="00905E79">
        <w:rPr>
          <w:sz w:val="28"/>
        </w:rPr>
        <w:t>2</w:t>
      </w:r>
      <w:r>
        <w:rPr>
          <w:sz w:val="28"/>
        </w:rPr>
        <w:t>% un 0,4% (pēc sezonāli izlīdzinātiem datiem).</w:t>
      </w:r>
      <w:r w:rsidR="00633C06" w:rsidRPr="00633C06">
        <w:rPr>
          <w:sz w:val="28"/>
        </w:rPr>
        <w:t xml:space="preserve"> </w:t>
      </w:r>
      <w:r w:rsidR="00633C06">
        <w:rPr>
          <w:sz w:val="28"/>
        </w:rPr>
        <w:t>Lielbritānijā, pēc salīdzinoši strauja IKP pieauguma 2010.gada pirmajā pusē, 2010.gada 4.ceturksnī, salīdzinot ar iepriekšējo ceturksni, IKP saruka (par 0,5%, pēc sezonāli izlīdzinātiem datiem).</w:t>
      </w:r>
    </w:p>
    <w:p w:rsidR="005D5DF1" w:rsidRDefault="005D5DF1" w:rsidP="005D5DF1">
      <w:pPr>
        <w:autoSpaceDE w:val="0"/>
        <w:autoSpaceDN w:val="0"/>
        <w:adjustRightInd w:val="0"/>
        <w:ind w:firstLine="426"/>
        <w:jc w:val="both"/>
        <w:rPr>
          <w:sz w:val="28"/>
        </w:rPr>
      </w:pPr>
      <w:r>
        <w:rPr>
          <w:sz w:val="28"/>
        </w:rPr>
        <w:t xml:space="preserve">Savukārt Grieķijā, Īrijā, Rumānijā un Portugālē IKP 2010.gada 4.ceturksnī saruka vai saglabājās iepriekšējā ceturkšņa līmenī. Šajās valstīs IKP, salīdzinot ar 2009.gada 4.ceturksni, ir samazinājies. </w:t>
      </w:r>
      <w:r w:rsidR="00B26BD1">
        <w:rPr>
          <w:sz w:val="28"/>
        </w:rPr>
        <w:t>Ņemot vērā vājos ekonomikas izaugsmes rādītāju</w:t>
      </w:r>
      <w:r w:rsidR="004C4ABD">
        <w:rPr>
          <w:sz w:val="28"/>
        </w:rPr>
        <w:t>s</w:t>
      </w:r>
      <w:r w:rsidR="00B26BD1">
        <w:rPr>
          <w:sz w:val="28"/>
        </w:rPr>
        <w:t xml:space="preserve"> šajās valstīs, nepieciešamība nodrošināt valstu budžetu un finanšu sektoru ilgtspēju ir ļoti sarežģīts uzdevums.</w:t>
      </w:r>
    </w:p>
    <w:p w:rsidR="005D5DF1" w:rsidRPr="00CB6FDB" w:rsidRDefault="005D5DF1" w:rsidP="005D5DF1">
      <w:pPr>
        <w:autoSpaceDE w:val="0"/>
        <w:autoSpaceDN w:val="0"/>
        <w:adjustRightInd w:val="0"/>
        <w:ind w:firstLine="426"/>
        <w:jc w:val="both"/>
        <w:rPr>
          <w:sz w:val="6"/>
          <w:szCs w:val="8"/>
        </w:rPr>
      </w:pPr>
    </w:p>
    <w:p w:rsidR="005D5DF1" w:rsidRDefault="005D5DF1" w:rsidP="005D5DF1">
      <w:pPr>
        <w:autoSpaceDE w:val="0"/>
        <w:autoSpaceDN w:val="0"/>
        <w:adjustRightInd w:val="0"/>
        <w:ind w:firstLine="426"/>
        <w:jc w:val="both"/>
        <w:rPr>
          <w:sz w:val="28"/>
        </w:rPr>
      </w:pPr>
      <w:r>
        <w:rPr>
          <w:sz w:val="28"/>
        </w:rPr>
        <w:t>Pēc dziļās ekonomiskās</w:t>
      </w:r>
      <w:r w:rsidRPr="009A0DFE">
        <w:rPr>
          <w:sz w:val="28"/>
        </w:rPr>
        <w:t xml:space="preserve"> krīz</w:t>
      </w:r>
      <w:r>
        <w:rPr>
          <w:sz w:val="28"/>
        </w:rPr>
        <w:t xml:space="preserve">es pakāpeniski atkopjas </w:t>
      </w:r>
      <w:r w:rsidRPr="009A0DFE">
        <w:rPr>
          <w:b/>
          <w:sz w:val="28"/>
        </w:rPr>
        <w:t>Baltijas valstis</w:t>
      </w:r>
      <w:r>
        <w:rPr>
          <w:sz w:val="28"/>
        </w:rPr>
        <w:t>, kurās iz</w:t>
      </w:r>
      <w:r w:rsidRPr="009A0DFE">
        <w:rPr>
          <w:sz w:val="28"/>
        </w:rPr>
        <w:t>augsm</w:t>
      </w:r>
      <w:r>
        <w:rPr>
          <w:sz w:val="28"/>
        </w:rPr>
        <w:t xml:space="preserve">e pamatā balstās uz krīzes laikā veikto </w:t>
      </w:r>
      <w:r w:rsidRPr="009A0DFE">
        <w:rPr>
          <w:sz w:val="28"/>
        </w:rPr>
        <w:t>izmaksu samazināšan</w:t>
      </w:r>
      <w:r>
        <w:rPr>
          <w:sz w:val="28"/>
        </w:rPr>
        <w:t>u</w:t>
      </w:r>
      <w:r w:rsidRPr="009A0DFE">
        <w:rPr>
          <w:sz w:val="28"/>
        </w:rPr>
        <w:t>, k</w:t>
      </w:r>
      <w:r>
        <w:rPr>
          <w:sz w:val="28"/>
        </w:rPr>
        <w:t xml:space="preserve">ā rezultātā ir uzlabojusies valstu </w:t>
      </w:r>
      <w:r w:rsidRPr="009A0DFE">
        <w:rPr>
          <w:sz w:val="28"/>
        </w:rPr>
        <w:t>konkurētspēj</w:t>
      </w:r>
      <w:r>
        <w:rPr>
          <w:sz w:val="28"/>
        </w:rPr>
        <w:t xml:space="preserve">a, </w:t>
      </w:r>
      <w:r w:rsidRPr="009A0DFE">
        <w:rPr>
          <w:sz w:val="28"/>
        </w:rPr>
        <w:t xml:space="preserve">veicinot eksporta </w:t>
      </w:r>
      <w:r>
        <w:rPr>
          <w:sz w:val="28"/>
        </w:rPr>
        <w:t>pieaugumu</w:t>
      </w:r>
      <w:r w:rsidRPr="009A0DFE">
        <w:rPr>
          <w:sz w:val="28"/>
        </w:rPr>
        <w:t>.</w:t>
      </w:r>
      <w:r>
        <w:rPr>
          <w:sz w:val="28"/>
        </w:rPr>
        <w:t xml:space="preserve"> Savukārt</w:t>
      </w:r>
      <w:r w:rsidRPr="009A0DFE">
        <w:rPr>
          <w:sz w:val="28"/>
        </w:rPr>
        <w:t xml:space="preserve"> privātais patēriņš</w:t>
      </w:r>
      <w:r>
        <w:rPr>
          <w:sz w:val="28"/>
        </w:rPr>
        <w:t xml:space="preserve"> joprojām saglabājas vājš</w:t>
      </w:r>
      <w:r w:rsidRPr="009A0DFE">
        <w:rPr>
          <w:sz w:val="28"/>
        </w:rPr>
        <w:t>.</w:t>
      </w:r>
      <w:r>
        <w:rPr>
          <w:sz w:val="28"/>
        </w:rPr>
        <w:t xml:space="preserve"> 2010.gada 4.ceturksnī, salīdzinot ar 3.ceturksni, Baltijas valstīs bija vērojami vieni no straujākajiem IKP pieauguma tempiem ES. </w:t>
      </w:r>
      <w:r>
        <w:rPr>
          <w:sz w:val="28"/>
        </w:rPr>
        <w:lastRenderedPageBreak/>
        <w:t>Ceturkšņa laikā IKP Igaunijā pieauga par 2,3%, Lietuvā – par 1,8% un Latvijā par 1,1%. Jāatzīmē, ka e</w:t>
      </w:r>
      <w:r w:rsidRPr="009A0DFE">
        <w:rPr>
          <w:sz w:val="28"/>
        </w:rPr>
        <w:t>iro ieviešanas rezultātā Igaunijā ir uzlabojusies</w:t>
      </w:r>
      <w:r>
        <w:rPr>
          <w:sz w:val="28"/>
        </w:rPr>
        <w:t xml:space="preserve"> gan ražotāju, gan patērētāju</w:t>
      </w:r>
      <w:r w:rsidRPr="009A0DFE">
        <w:rPr>
          <w:sz w:val="28"/>
        </w:rPr>
        <w:t xml:space="preserve"> konfidence.</w:t>
      </w:r>
    </w:p>
    <w:p w:rsidR="005D5DF1" w:rsidRPr="00CB6FDB" w:rsidRDefault="005D5DF1" w:rsidP="005D5DF1">
      <w:pPr>
        <w:autoSpaceDE w:val="0"/>
        <w:autoSpaceDN w:val="0"/>
        <w:adjustRightInd w:val="0"/>
        <w:ind w:firstLine="426"/>
        <w:jc w:val="both"/>
        <w:rPr>
          <w:sz w:val="6"/>
          <w:szCs w:val="8"/>
        </w:rPr>
      </w:pPr>
    </w:p>
    <w:p w:rsidR="005D5DF1" w:rsidRDefault="005D5DF1" w:rsidP="005D5DF1">
      <w:pPr>
        <w:ind w:firstLine="426"/>
        <w:jc w:val="both"/>
        <w:rPr>
          <w:sz w:val="28"/>
        </w:rPr>
      </w:pPr>
      <w:r>
        <w:rPr>
          <w:sz w:val="28"/>
        </w:rPr>
        <w:t>P</w:t>
      </w:r>
      <w:r w:rsidRPr="009A0DFE">
        <w:rPr>
          <w:sz w:val="28"/>
        </w:rPr>
        <w:t>ateicoties spēcīgiem makroekonomiskās politikas stimuliem un finanšu stabilizācijas pasākumiem</w:t>
      </w:r>
      <w:r w:rsidRPr="009A0DFE">
        <w:rPr>
          <w:b/>
          <w:sz w:val="28"/>
        </w:rPr>
        <w:t xml:space="preserve"> ASV</w:t>
      </w:r>
      <w:r>
        <w:rPr>
          <w:sz w:val="28"/>
        </w:rPr>
        <w:t xml:space="preserve"> </w:t>
      </w:r>
      <w:r w:rsidRPr="00D81D09">
        <w:rPr>
          <w:sz w:val="28"/>
        </w:rPr>
        <w:t>ekonomikas atveseļošanās </w:t>
      </w:r>
      <w:r>
        <w:rPr>
          <w:sz w:val="28"/>
        </w:rPr>
        <w:t xml:space="preserve">2010.gada otrajā pusē </w:t>
      </w:r>
      <w:r w:rsidRPr="00D81D09">
        <w:rPr>
          <w:sz w:val="28"/>
        </w:rPr>
        <w:t>turpinājās</w:t>
      </w:r>
      <w:r>
        <w:rPr>
          <w:sz w:val="28"/>
        </w:rPr>
        <w:t xml:space="preserve">. 2010.gada 4.ceturksnī, salīdzinot ar iepriekšējo ceturksni, IKP apjomi pieauga par 0,8% (pēc sezonāli izlīdzinātiem datiem). Salīdzinot ar 2009.gada 4.ceturksni, IKP </w:t>
      </w:r>
      <w:r w:rsidR="00D009DD">
        <w:rPr>
          <w:sz w:val="28"/>
        </w:rPr>
        <w:t xml:space="preserve">pieauga </w:t>
      </w:r>
      <w:r>
        <w:rPr>
          <w:sz w:val="28"/>
        </w:rPr>
        <w:t>par 2,8%</w:t>
      </w:r>
      <w:r w:rsidRPr="009A0DFE">
        <w:rPr>
          <w:sz w:val="28"/>
        </w:rPr>
        <w:t>.</w:t>
      </w:r>
      <w:r w:rsidRPr="00D81D09">
        <w:rPr>
          <w:sz w:val="28"/>
        </w:rPr>
        <w:t xml:space="preserve"> </w:t>
      </w:r>
      <w:r>
        <w:rPr>
          <w:sz w:val="28"/>
        </w:rPr>
        <w:t xml:space="preserve">Ekonomisko aktivitāšu palielināšanos gada nogalē pamatā noteica </w:t>
      </w:r>
      <w:r w:rsidRPr="00D81D09">
        <w:rPr>
          <w:sz w:val="28"/>
        </w:rPr>
        <w:t>privātā patēriņa pieaugums un ārējās tirdzniecības pozitīvais devums, jo eksports turpināja pieaugt, savukārt imports samazinājās</w:t>
      </w:r>
      <w:r w:rsidRPr="00FA1A71">
        <w:rPr>
          <w:sz w:val="28"/>
        </w:rPr>
        <w:t>.</w:t>
      </w:r>
      <w:r>
        <w:rPr>
          <w:sz w:val="28"/>
        </w:rPr>
        <w:t xml:space="preserve"> Straujāku ekonomikas pieaugumu kavē būtiski sarukusī</w:t>
      </w:r>
      <w:r w:rsidRPr="009A0DFE">
        <w:rPr>
          <w:sz w:val="28"/>
        </w:rPr>
        <w:t xml:space="preserve"> mājsaimniecību aktīvu tīrā vērtība</w:t>
      </w:r>
      <w:r>
        <w:rPr>
          <w:sz w:val="28"/>
        </w:rPr>
        <w:t xml:space="preserve">, </w:t>
      </w:r>
      <w:r w:rsidRPr="009A0DFE">
        <w:rPr>
          <w:sz w:val="28"/>
        </w:rPr>
        <w:t>augst</w:t>
      </w:r>
      <w:r>
        <w:rPr>
          <w:sz w:val="28"/>
        </w:rPr>
        <w:t>ai</w:t>
      </w:r>
      <w:r w:rsidRPr="009A0DFE">
        <w:rPr>
          <w:sz w:val="28"/>
        </w:rPr>
        <w:t>s bezdarba līmenis</w:t>
      </w:r>
      <w:r>
        <w:rPr>
          <w:sz w:val="28"/>
        </w:rPr>
        <w:t xml:space="preserve">, kā arī </w:t>
      </w:r>
      <w:r w:rsidRPr="009A0DFE">
        <w:rPr>
          <w:sz w:val="28"/>
        </w:rPr>
        <w:t xml:space="preserve">banku </w:t>
      </w:r>
      <w:r>
        <w:rPr>
          <w:sz w:val="28"/>
        </w:rPr>
        <w:t>piesardzīgā kreditēšana</w:t>
      </w:r>
      <w:r w:rsidRPr="009A0DFE">
        <w:rPr>
          <w:sz w:val="28"/>
        </w:rPr>
        <w:t>.</w:t>
      </w:r>
    </w:p>
    <w:p w:rsidR="005D5DF1" w:rsidRPr="00B26BD1" w:rsidRDefault="005D5DF1" w:rsidP="005D5DF1">
      <w:pPr>
        <w:autoSpaceDE w:val="0"/>
        <w:autoSpaceDN w:val="0"/>
        <w:adjustRightInd w:val="0"/>
        <w:ind w:firstLine="426"/>
        <w:jc w:val="both"/>
        <w:rPr>
          <w:sz w:val="4"/>
          <w:szCs w:val="6"/>
        </w:rPr>
      </w:pPr>
    </w:p>
    <w:p w:rsidR="005D5DF1" w:rsidRDefault="005D5DF1" w:rsidP="005D5DF1">
      <w:pPr>
        <w:ind w:firstLine="426"/>
        <w:jc w:val="both"/>
        <w:rPr>
          <w:sz w:val="28"/>
        </w:rPr>
      </w:pPr>
      <w:r w:rsidRPr="009A0DFE">
        <w:rPr>
          <w:b/>
          <w:sz w:val="28"/>
        </w:rPr>
        <w:t>Āzijas valstis</w:t>
      </w:r>
      <w:r w:rsidRPr="009A0DFE">
        <w:rPr>
          <w:sz w:val="28"/>
        </w:rPr>
        <w:t xml:space="preserve"> globālo krīzi ir pārvarējušas veiksmīgāk nekā citu reģionu valstis. Lielākajā daļā reģiona valstu ir noturīgs iekšējais pieprasījums, kas, pateicoties aktīviem politikas stimuliem, ir kompensējis ieņēmumu sarukumu no eksporta samazinājuma.</w:t>
      </w:r>
      <w:r>
        <w:rPr>
          <w:sz w:val="28"/>
        </w:rPr>
        <w:t xml:space="preserve"> </w:t>
      </w:r>
      <w:r w:rsidRPr="00D81D09">
        <w:rPr>
          <w:sz w:val="28"/>
        </w:rPr>
        <w:t>J</w:t>
      </w:r>
      <w:r>
        <w:rPr>
          <w:sz w:val="28"/>
        </w:rPr>
        <w:t xml:space="preserve">apānā 2010.gada laikā bija vērojama salīdzinoši strauja ekonomikas izaugsme. Tomēr 2010.gada 4.ceturksnī ekonomiskās aktivitātes nedaudz saruka (ceturkšņa laikā par 0,3%). To ietekmēja </w:t>
      </w:r>
      <w:r w:rsidRPr="00D81D09">
        <w:rPr>
          <w:sz w:val="28"/>
        </w:rPr>
        <w:t xml:space="preserve">privātā patēriņa samazinājums, kas </w:t>
      </w:r>
      <w:r>
        <w:rPr>
          <w:sz w:val="28"/>
        </w:rPr>
        <w:t xml:space="preserve">bija </w:t>
      </w:r>
      <w:r w:rsidRPr="00D81D09">
        <w:rPr>
          <w:sz w:val="28"/>
        </w:rPr>
        <w:t xml:space="preserve">saistīts ar </w:t>
      </w:r>
      <w:r>
        <w:rPr>
          <w:sz w:val="28"/>
        </w:rPr>
        <w:t xml:space="preserve">vairāku </w:t>
      </w:r>
      <w:r w:rsidRPr="00D81D09">
        <w:rPr>
          <w:sz w:val="28"/>
        </w:rPr>
        <w:t>stimulu atcelšanu</w:t>
      </w:r>
      <w:r>
        <w:rPr>
          <w:sz w:val="28"/>
        </w:rPr>
        <w:t>, kā arī neliels eksporta apjomu kritums.</w:t>
      </w:r>
    </w:p>
    <w:p w:rsidR="005D5DF1" w:rsidRDefault="005D5DF1" w:rsidP="005D5DF1">
      <w:pPr>
        <w:autoSpaceDE w:val="0"/>
        <w:autoSpaceDN w:val="0"/>
        <w:adjustRightInd w:val="0"/>
        <w:ind w:firstLine="426"/>
        <w:jc w:val="both"/>
        <w:rPr>
          <w:sz w:val="28"/>
        </w:rPr>
      </w:pPr>
      <w:r w:rsidRPr="009A0DFE">
        <w:rPr>
          <w:sz w:val="28"/>
        </w:rPr>
        <w:t xml:space="preserve">Salīdzinot ar citām reģiona valstīm, rūpniecības un mazumtirdzniecības izaugsme Ķīnā un Indijā ir bijusi īpaši spēcīga, kas ir palīdzējis reģiona attīstībai kopumā. Ķīnas spēcīgā un stabilā izaugsme pēdējo gadu laikā ir virzījusi globālo tirdzniecību, kas īpaši izdevīgi ir bijis valstīm, kuras eksportē uz Ķīnu gan patēriņa preces, gan arī </w:t>
      </w:r>
      <w:proofErr w:type="spellStart"/>
      <w:r w:rsidRPr="009A0DFE">
        <w:rPr>
          <w:sz w:val="28"/>
        </w:rPr>
        <w:t>kapitālpreces</w:t>
      </w:r>
      <w:proofErr w:type="spellEnd"/>
      <w:r w:rsidRPr="009A0DFE">
        <w:rPr>
          <w:sz w:val="28"/>
        </w:rPr>
        <w:t>. Tāpat atšķirībā no iepriekšējiem pēckrīzes periodiem ievērojamā privātā kapitāla ieplūde stiprina iekšējo pieprasījumu, nodrošinot piekļuvi ārējam finansējumam.</w:t>
      </w:r>
      <w:r>
        <w:rPr>
          <w:sz w:val="28"/>
        </w:rPr>
        <w:t xml:space="preserve"> Ķ</w:t>
      </w:r>
      <w:r w:rsidRPr="00D81D09">
        <w:rPr>
          <w:sz w:val="28"/>
        </w:rPr>
        <w:t>īnā</w:t>
      </w:r>
      <w:r>
        <w:rPr>
          <w:sz w:val="28"/>
        </w:rPr>
        <w:t xml:space="preserve"> </w:t>
      </w:r>
      <w:r w:rsidRPr="00D81D09">
        <w:rPr>
          <w:sz w:val="28"/>
        </w:rPr>
        <w:t>I</w:t>
      </w:r>
      <w:r>
        <w:rPr>
          <w:sz w:val="28"/>
        </w:rPr>
        <w:t>KP 2010.gadā pieauga par 10,3 procentiem.</w:t>
      </w:r>
    </w:p>
    <w:p w:rsidR="005D5DF1" w:rsidRPr="00B26BD1" w:rsidRDefault="005D5DF1" w:rsidP="005D5DF1">
      <w:pPr>
        <w:rPr>
          <w:sz w:val="4"/>
          <w:szCs w:val="8"/>
        </w:rPr>
      </w:pPr>
    </w:p>
    <w:p w:rsidR="005D5DF1" w:rsidRDefault="005D5DF1" w:rsidP="005D5DF1">
      <w:pPr>
        <w:autoSpaceDE w:val="0"/>
        <w:autoSpaceDN w:val="0"/>
        <w:adjustRightInd w:val="0"/>
        <w:ind w:firstLine="426"/>
        <w:jc w:val="both"/>
        <w:rPr>
          <w:sz w:val="28"/>
        </w:rPr>
      </w:pPr>
      <w:r w:rsidRPr="009A0DFE">
        <w:rPr>
          <w:b/>
          <w:sz w:val="28"/>
        </w:rPr>
        <w:t>NVS</w:t>
      </w:r>
      <w:r w:rsidRPr="009A0DFE">
        <w:rPr>
          <w:sz w:val="28"/>
        </w:rPr>
        <w:t xml:space="preserve"> reģiona atgūšan</w:t>
      </w:r>
      <w:r>
        <w:rPr>
          <w:sz w:val="28"/>
        </w:rPr>
        <w:t>ā</w:t>
      </w:r>
      <w:r w:rsidRPr="009A0DFE">
        <w:rPr>
          <w:sz w:val="28"/>
        </w:rPr>
        <w:t>s</w:t>
      </w:r>
      <w:r>
        <w:rPr>
          <w:sz w:val="28"/>
        </w:rPr>
        <w:t xml:space="preserve"> pēckrīzes periodā balstās uz </w:t>
      </w:r>
      <w:r w:rsidRPr="009A0DFE">
        <w:rPr>
          <w:sz w:val="28"/>
        </w:rPr>
        <w:t>augst</w:t>
      </w:r>
      <w:r>
        <w:rPr>
          <w:sz w:val="28"/>
        </w:rPr>
        <w:t xml:space="preserve">ajām </w:t>
      </w:r>
      <w:r w:rsidRPr="009A0DFE">
        <w:rPr>
          <w:sz w:val="28"/>
        </w:rPr>
        <w:t>resursu cen</w:t>
      </w:r>
      <w:r>
        <w:rPr>
          <w:sz w:val="28"/>
        </w:rPr>
        <w:t>ām</w:t>
      </w:r>
      <w:r w:rsidRPr="009A0DFE">
        <w:rPr>
          <w:sz w:val="28"/>
        </w:rPr>
        <w:t xml:space="preserve"> </w:t>
      </w:r>
      <w:r>
        <w:rPr>
          <w:sz w:val="28"/>
        </w:rPr>
        <w:t>un kapitāla plūsmu atjaunošano</w:t>
      </w:r>
      <w:r w:rsidRPr="009A0DFE">
        <w:rPr>
          <w:sz w:val="28"/>
        </w:rPr>
        <w:t xml:space="preserve">s. Tāpat kā citos reģionos </w:t>
      </w:r>
      <w:r>
        <w:rPr>
          <w:sz w:val="28"/>
        </w:rPr>
        <w:t xml:space="preserve">arī </w:t>
      </w:r>
      <w:r w:rsidRPr="009A0DFE">
        <w:rPr>
          <w:sz w:val="28"/>
        </w:rPr>
        <w:t>NVS valstu izaugsme n</w:t>
      </w:r>
      <w:r>
        <w:rPr>
          <w:sz w:val="28"/>
        </w:rPr>
        <w:t xml:space="preserve">av </w:t>
      </w:r>
      <w:r w:rsidRPr="009A0DFE">
        <w:rPr>
          <w:sz w:val="28"/>
        </w:rPr>
        <w:t>vienmērīga</w:t>
      </w:r>
      <w:r>
        <w:rPr>
          <w:sz w:val="28"/>
        </w:rPr>
        <w:t xml:space="preserve"> – r</w:t>
      </w:r>
      <w:r w:rsidRPr="009A0DFE">
        <w:rPr>
          <w:sz w:val="28"/>
        </w:rPr>
        <w:t>eģiona attīstību</w:t>
      </w:r>
      <w:r>
        <w:rPr>
          <w:sz w:val="28"/>
        </w:rPr>
        <w:t xml:space="preserve"> galvenokārt</w:t>
      </w:r>
      <w:r w:rsidRPr="009A0DFE">
        <w:rPr>
          <w:sz w:val="28"/>
        </w:rPr>
        <w:t xml:space="preserve"> veicina Krievijas ekonomikas pakāpeniska atgūšanās.</w:t>
      </w:r>
      <w:r>
        <w:rPr>
          <w:sz w:val="28"/>
        </w:rPr>
        <w:t xml:space="preserve"> </w:t>
      </w:r>
      <w:r w:rsidRPr="009A0DFE">
        <w:rPr>
          <w:sz w:val="28"/>
        </w:rPr>
        <w:t xml:space="preserve">Krievijā, neskatoties uz samērā augsto naftas cenu, izaugsme </w:t>
      </w:r>
      <w:r>
        <w:rPr>
          <w:sz w:val="28"/>
        </w:rPr>
        <w:t xml:space="preserve">ir mērena. Pie tam 2010.gada 3.ceturksnī bija vērojams pat neliels ekonomisko aktivitāšu samazinājums, kas bija saistīts ar nepieredzēto karstumu vasarā. Šī ietekme bija jūtama tikai īstermiņā un jau 2010.gada nogalē ekonomikā bija vērojama izaugsme. Pēc </w:t>
      </w:r>
      <w:r w:rsidRPr="00D81D09">
        <w:rPr>
          <w:sz w:val="28"/>
        </w:rPr>
        <w:t>provizoriskiem </w:t>
      </w:r>
      <w:r>
        <w:rPr>
          <w:sz w:val="28"/>
        </w:rPr>
        <w:t>datiem IKP Krievijā 2010.gadā pieauga par 4 procentiem.</w:t>
      </w:r>
    </w:p>
    <w:p w:rsidR="005D5DF1" w:rsidRPr="00421996" w:rsidRDefault="005D5DF1" w:rsidP="005D5DF1">
      <w:pPr>
        <w:autoSpaceDE w:val="0"/>
        <w:autoSpaceDN w:val="0"/>
        <w:adjustRightInd w:val="0"/>
        <w:ind w:firstLine="426"/>
        <w:jc w:val="both"/>
        <w:rPr>
          <w:sz w:val="8"/>
          <w:szCs w:val="8"/>
        </w:rPr>
      </w:pPr>
    </w:p>
    <w:p w:rsidR="00207B62" w:rsidRDefault="00207B62" w:rsidP="00207B62">
      <w:pPr>
        <w:autoSpaceDE w:val="0"/>
        <w:autoSpaceDN w:val="0"/>
        <w:adjustRightInd w:val="0"/>
        <w:ind w:firstLine="426"/>
        <w:jc w:val="both"/>
        <w:rPr>
          <w:sz w:val="28"/>
        </w:rPr>
      </w:pPr>
    </w:p>
    <w:p w:rsidR="00207B62" w:rsidRDefault="00207B62" w:rsidP="00207B62">
      <w:pPr>
        <w:autoSpaceDE w:val="0"/>
        <w:autoSpaceDN w:val="0"/>
        <w:adjustRightInd w:val="0"/>
        <w:ind w:firstLine="426"/>
        <w:jc w:val="both"/>
        <w:rPr>
          <w:sz w:val="28"/>
        </w:rPr>
      </w:pPr>
      <w:r>
        <w:rPr>
          <w:sz w:val="28"/>
        </w:rPr>
        <w:t>P</w:t>
      </w:r>
      <w:r w:rsidRPr="00C920ED">
        <w:rPr>
          <w:sz w:val="28"/>
        </w:rPr>
        <w:t>aredzams, ka tautsaimniecības atveseļošanās turpināsies</w:t>
      </w:r>
      <w:r>
        <w:rPr>
          <w:sz w:val="28"/>
        </w:rPr>
        <w:t xml:space="preserve"> un </w:t>
      </w:r>
      <w:r w:rsidRPr="00C920ED">
        <w:rPr>
          <w:sz w:val="28"/>
        </w:rPr>
        <w:t>par izaugsmes galveno virzītājspēku arvien lielākā mērā kļūs iekš</w:t>
      </w:r>
      <w:r>
        <w:rPr>
          <w:sz w:val="28"/>
        </w:rPr>
        <w:t>zemes pieprasījums</w:t>
      </w:r>
      <w:r w:rsidRPr="00712778">
        <w:rPr>
          <w:sz w:val="28"/>
        </w:rPr>
        <w:t xml:space="preserve">. </w:t>
      </w:r>
      <w:r>
        <w:rPr>
          <w:sz w:val="28"/>
        </w:rPr>
        <w:t>Arī p</w:t>
      </w:r>
      <w:r w:rsidRPr="00307D49">
        <w:rPr>
          <w:sz w:val="28"/>
        </w:rPr>
        <w:t>asaules tirdzniecība turpinās</w:t>
      </w:r>
      <w:r>
        <w:rPr>
          <w:sz w:val="28"/>
        </w:rPr>
        <w:t xml:space="preserve"> strauji</w:t>
      </w:r>
      <w:r w:rsidRPr="00307D49">
        <w:rPr>
          <w:sz w:val="28"/>
        </w:rPr>
        <w:t xml:space="preserve"> attīstīties, tādējādi veicinot eksportu.</w:t>
      </w:r>
    </w:p>
    <w:p w:rsidR="00207B62" w:rsidRPr="00307D49" w:rsidRDefault="00207B62" w:rsidP="00207B62">
      <w:pPr>
        <w:autoSpaceDE w:val="0"/>
        <w:autoSpaceDN w:val="0"/>
        <w:adjustRightInd w:val="0"/>
        <w:ind w:firstLine="426"/>
        <w:jc w:val="both"/>
        <w:rPr>
          <w:sz w:val="28"/>
        </w:rPr>
      </w:pPr>
      <w:r>
        <w:rPr>
          <w:sz w:val="28"/>
        </w:rPr>
        <w:t xml:space="preserve">Galvenie izaugsmes riski joprojām ir saistīti </w:t>
      </w:r>
      <w:r w:rsidR="004C4ABD">
        <w:rPr>
          <w:sz w:val="28"/>
        </w:rPr>
        <w:t xml:space="preserve">ar </w:t>
      </w:r>
      <w:r w:rsidRPr="00307D49">
        <w:rPr>
          <w:sz w:val="28"/>
        </w:rPr>
        <w:t>spriedz</w:t>
      </w:r>
      <w:r>
        <w:rPr>
          <w:sz w:val="28"/>
        </w:rPr>
        <w:t>es saglabāšanos</w:t>
      </w:r>
      <w:r w:rsidRPr="00307D49">
        <w:rPr>
          <w:sz w:val="28"/>
        </w:rPr>
        <w:t xml:space="preserve"> </w:t>
      </w:r>
      <w:r>
        <w:rPr>
          <w:sz w:val="28"/>
        </w:rPr>
        <w:t>atsevišķos finanšu tirgus segmentos un to</w:t>
      </w:r>
      <w:r w:rsidRPr="00307D49">
        <w:rPr>
          <w:sz w:val="28"/>
        </w:rPr>
        <w:t xml:space="preserve"> iespējamo </w:t>
      </w:r>
      <w:r>
        <w:rPr>
          <w:sz w:val="28"/>
        </w:rPr>
        <w:t>atgriezenisko ietekmi uz r</w:t>
      </w:r>
      <w:r w:rsidRPr="00307D49">
        <w:rPr>
          <w:sz w:val="28"/>
        </w:rPr>
        <w:t>eāl</w:t>
      </w:r>
      <w:r>
        <w:rPr>
          <w:sz w:val="28"/>
        </w:rPr>
        <w:t>o</w:t>
      </w:r>
      <w:r w:rsidRPr="00307D49">
        <w:rPr>
          <w:sz w:val="28"/>
        </w:rPr>
        <w:t xml:space="preserve"> </w:t>
      </w:r>
      <w:r>
        <w:rPr>
          <w:sz w:val="28"/>
        </w:rPr>
        <w:t xml:space="preserve">sektoru. Tāpat ekonomikas atveseļošanos var kavēt </w:t>
      </w:r>
      <w:r w:rsidRPr="00307D49">
        <w:rPr>
          <w:sz w:val="28"/>
        </w:rPr>
        <w:t>enerģijas cenu pieaugum</w:t>
      </w:r>
      <w:r w:rsidR="004C4ABD">
        <w:rPr>
          <w:sz w:val="28"/>
        </w:rPr>
        <w:t>a turpināšanās</w:t>
      </w:r>
      <w:r w:rsidRPr="00307D49">
        <w:rPr>
          <w:sz w:val="28"/>
        </w:rPr>
        <w:t>,</w:t>
      </w:r>
      <w:r w:rsidR="00220780">
        <w:rPr>
          <w:sz w:val="28"/>
        </w:rPr>
        <w:t xml:space="preserve"> </w:t>
      </w:r>
      <w:r w:rsidRPr="00307D49">
        <w:rPr>
          <w:sz w:val="28"/>
        </w:rPr>
        <w:t>īpaši</w:t>
      </w:r>
      <w:r w:rsidR="00220780">
        <w:rPr>
          <w:sz w:val="28"/>
        </w:rPr>
        <w:t xml:space="preserve"> </w:t>
      </w:r>
      <w:r w:rsidRPr="00307D49">
        <w:rPr>
          <w:sz w:val="28"/>
        </w:rPr>
        <w:t>ņemot vērā pastāvošo ģeopolitisko spriedzi</w:t>
      </w:r>
      <w:r>
        <w:rPr>
          <w:sz w:val="28"/>
        </w:rPr>
        <w:t xml:space="preserve"> un </w:t>
      </w:r>
      <w:r w:rsidRPr="00307D49">
        <w:rPr>
          <w:sz w:val="28"/>
        </w:rPr>
        <w:t>protekcionisma spiedienu.</w:t>
      </w:r>
    </w:p>
    <w:p w:rsidR="00207B62" w:rsidRDefault="00207B62" w:rsidP="005D5DF1">
      <w:pPr>
        <w:autoSpaceDE w:val="0"/>
        <w:autoSpaceDN w:val="0"/>
        <w:adjustRightInd w:val="0"/>
        <w:ind w:firstLine="426"/>
        <w:jc w:val="both"/>
        <w:rPr>
          <w:sz w:val="28"/>
        </w:rPr>
      </w:pPr>
    </w:p>
    <w:p w:rsidR="00307D49" w:rsidRDefault="00307D49">
      <w:pPr>
        <w:rPr>
          <w:rFonts w:eastAsiaTheme="majorEastAsia" w:cstheme="majorBidi"/>
          <w:bCs/>
          <w:sz w:val="28"/>
          <w:szCs w:val="26"/>
        </w:rPr>
      </w:pPr>
      <w:bookmarkStart w:id="53" w:name="_Toc282413166"/>
      <w:r>
        <w:rPr>
          <w:b/>
        </w:rPr>
        <w:br w:type="page"/>
      </w:r>
    </w:p>
    <w:p w:rsidR="005D5DF1" w:rsidRPr="00EC307E" w:rsidRDefault="005D5DF1" w:rsidP="005D5DF1">
      <w:pPr>
        <w:pStyle w:val="Heading2"/>
        <w:rPr>
          <w:b w:val="0"/>
        </w:rPr>
      </w:pPr>
      <w:r w:rsidRPr="00C6300E">
        <w:rPr>
          <w:b w:val="0"/>
        </w:rPr>
        <w:lastRenderedPageBreak/>
        <w:t>1.</w:t>
      </w:r>
      <w:r>
        <w:rPr>
          <w:b w:val="0"/>
        </w:rPr>
        <w:t>1</w:t>
      </w:r>
      <w:r w:rsidRPr="00C6300E">
        <w:rPr>
          <w:b w:val="0"/>
        </w:rPr>
        <w:t>.tabula.</w:t>
      </w:r>
      <w:r w:rsidRPr="00C6300E">
        <w:t xml:space="preserve"> IKP dinamika valstīs</w:t>
      </w:r>
      <w:bookmarkEnd w:id="43"/>
      <w:bookmarkEnd w:id="53"/>
    </w:p>
    <w:p w:rsidR="005D5DF1" w:rsidRPr="001F318C" w:rsidRDefault="005D5DF1" w:rsidP="005D5DF1">
      <w:pPr>
        <w:rPr>
          <w:sz w:val="8"/>
        </w:rPr>
      </w:pPr>
    </w:p>
    <w:tbl>
      <w:tblPr>
        <w:tblStyle w:val="LightShading1"/>
        <w:tblW w:w="5113" w:type="pct"/>
        <w:jc w:val="center"/>
        <w:tblLayout w:type="fixed"/>
        <w:tblLook w:val="04A0"/>
      </w:tblPr>
      <w:tblGrid>
        <w:gridCol w:w="1325"/>
        <w:gridCol w:w="533"/>
        <w:gridCol w:w="532"/>
        <w:gridCol w:w="532"/>
        <w:gridCol w:w="536"/>
        <w:gridCol w:w="532"/>
        <w:gridCol w:w="532"/>
        <w:gridCol w:w="532"/>
        <w:gridCol w:w="79"/>
        <w:gridCol w:w="647"/>
        <w:gridCol w:w="532"/>
        <w:gridCol w:w="532"/>
        <w:gridCol w:w="532"/>
        <w:gridCol w:w="536"/>
        <w:gridCol w:w="532"/>
        <w:gridCol w:w="532"/>
        <w:gridCol w:w="532"/>
        <w:gridCol w:w="538"/>
        <w:gridCol w:w="32"/>
      </w:tblGrid>
      <w:tr w:rsidR="005D5DF1" w:rsidRPr="001F318C" w:rsidTr="00F021A7">
        <w:trPr>
          <w:cnfStyle w:val="100000000000"/>
          <w:jc w:val="center"/>
        </w:trPr>
        <w:tc>
          <w:tcPr>
            <w:cnfStyle w:val="001000000000"/>
            <w:tcW w:w="657" w:type="pct"/>
            <w:tcBorders>
              <w:top w:val="single" w:sz="8" w:space="0" w:color="0070C0"/>
              <w:bottom w:val="nil"/>
            </w:tcBorders>
          </w:tcPr>
          <w:p w:rsidR="005D5DF1" w:rsidRPr="001F318C" w:rsidRDefault="005D5DF1" w:rsidP="005D5DF1">
            <w:pPr>
              <w:spacing w:before="60" w:after="60"/>
              <w:rPr>
                <w:b w:val="0"/>
                <w:color w:val="auto"/>
                <w:sz w:val="20"/>
                <w:szCs w:val="20"/>
              </w:rPr>
            </w:pPr>
          </w:p>
        </w:tc>
        <w:tc>
          <w:tcPr>
            <w:tcW w:w="1889" w:type="pct"/>
            <w:gridSpan w:val="8"/>
            <w:tcBorders>
              <w:top w:val="single" w:sz="8" w:space="0" w:color="0070C0"/>
              <w:bottom w:val="nil"/>
            </w:tcBorders>
          </w:tcPr>
          <w:p w:rsidR="005D5DF1" w:rsidRPr="001F318C" w:rsidRDefault="005D5DF1" w:rsidP="005D5DF1">
            <w:pPr>
              <w:spacing w:before="60"/>
              <w:jc w:val="center"/>
              <w:cnfStyle w:val="100000000000"/>
              <w:rPr>
                <w:b w:val="0"/>
                <w:color w:val="auto"/>
                <w:sz w:val="20"/>
                <w:szCs w:val="20"/>
              </w:rPr>
            </w:pPr>
            <w:r w:rsidRPr="001F318C">
              <w:rPr>
                <w:b w:val="0"/>
                <w:color w:val="auto"/>
                <w:sz w:val="20"/>
              </w:rPr>
              <w:t>% pret iepriekšējā gada atbilstošo ceturksni (t/t-4),</w:t>
            </w:r>
            <w:r>
              <w:rPr>
                <w:b w:val="0"/>
                <w:color w:val="auto"/>
                <w:sz w:val="20"/>
              </w:rPr>
              <w:t xml:space="preserve"> </w:t>
            </w:r>
            <w:r w:rsidRPr="001F318C">
              <w:rPr>
                <w:b w:val="0"/>
                <w:color w:val="auto"/>
                <w:sz w:val="20"/>
              </w:rPr>
              <w:t>sezonāli neizlīdzināti dati</w:t>
            </w:r>
          </w:p>
        </w:tc>
        <w:tc>
          <w:tcPr>
            <w:tcW w:w="321" w:type="pct"/>
            <w:tcBorders>
              <w:top w:val="single" w:sz="8" w:space="0" w:color="0070C0"/>
              <w:bottom w:val="nil"/>
            </w:tcBorders>
          </w:tcPr>
          <w:p w:rsidR="005D5DF1" w:rsidRPr="001F318C" w:rsidRDefault="005D5DF1" w:rsidP="005D5DF1">
            <w:pPr>
              <w:spacing w:before="60" w:after="60"/>
              <w:jc w:val="center"/>
              <w:cnfStyle w:val="100000000000"/>
              <w:rPr>
                <w:sz w:val="20"/>
              </w:rPr>
            </w:pPr>
          </w:p>
        </w:tc>
        <w:tc>
          <w:tcPr>
            <w:tcW w:w="2132" w:type="pct"/>
            <w:gridSpan w:val="9"/>
            <w:tcBorders>
              <w:top w:val="single" w:sz="8" w:space="0" w:color="0070C0"/>
              <w:bottom w:val="nil"/>
            </w:tcBorders>
          </w:tcPr>
          <w:p w:rsidR="005D5DF1" w:rsidRDefault="005D5DF1" w:rsidP="005D5DF1">
            <w:pPr>
              <w:spacing w:before="60"/>
              <w:jc w:val="center"/>
              <w:cnfStyle w:val="100000000000"/>
              <w:rPr>
                <w:b w:val="0"/>
                <w:color w:val="auto"/>
                <w:sz w:val="20"/>
              </w:rPr>
            </w:pPr>
            <w:r w:rsidRPr="001F318C">
              <w:rPr>
                <w:b w:val="0"/>
                <w:color w:val="auto"/>
                <w:sz w:val="20"/>
              </w:rPr>
              <w:t>% pret iepriekšējo ceturksni (t/t-1),</w:t>
            </w:r>
            <w:r>
              <w:rPr>
                <w:b w:val="0"/>
                <w:color w:val="auto"/>
                <w:sz w:val="20"/>
              </w:rPr>
              <w:t xml:space="preserve"> </w:t>
            </w:r>
          </w:p>
          <w:p w:rsidR="005D5DF1" w:rsidRPr="001F318C" w:rsidRDefault="005D5DF1" w:rsidP="005D5DF1">
            <w:pPr>
              <w:spacing w:after="60"/>
              <w:jc w:val="center"/>
              <w:cnfStyle w:val="100000000000"/>
              <w:rPr>
                <w:b w:val="0"/>
                <w:bCs w:val="0"/>
                <w:color w:val="E36C0A" w:themeColor="accent6" w:themeShade="BF"/>
                <w:sz w:val="20"/>
              </w:rPr>
            </w:pPr>
            <w:r w:rsidRPr="001F318C">
              <w:rPr>
                <w:b w:val="0"/>
                <w:color w:val="auto"/>
                <w:sz w:val="20"/>
              </w:rPr>
              <w:t>sezonāli izlīdzināti dati</w:t>
            </w:r>
          </w:p>
        </w:tc>
      </w:tr>
      <w:tr w:rsidR="005D5DF1" w:rsidRPr="00827E30" w:rsidTr="00F021A7">
        <w:trPr>
          <w:gridAfter w:val="1"/>
          <w:cnfStyle w:val="000000100000"/>
          <w:wAfter w:w="16" w:type="pct"/>
          <w:jc w:val="center"/>
        </w:trPr>
        <w:tc>
          <w:tcPr>
            <w:cnfStyle w:val="001000000000"/>
            <w:tcW w:w="657" w:type="pct"/>
            <w:tcBorders>
              <w:top w:val="single" w:sz="4" w:space="0" w:color="0070C0"/>
              <w:bottom w:val="nil"/>
            </w:tcBorders>
          </w:tcPr>
          <w:p w:rsidR="005D5DF1" w:rsidRPr="00827E30" w:rsidRDefault="005D5DF1" w:rsidP="005D5DF1">
            <w:pPr>
              <w:spacing w:before="40" w:after="60"/>
              <w:rPr>
                <w:color w:val="auto"/>
                <w:sz w:val="20"/>
                <w:szCs w:val="20"/>
              </w:rPr>
            </w:pPr>
          </w:p>
        </w:tc>
        <w:tc>
          <w:tcPr>
            <w:tcW w:w="1058" w:type="pct"/>
            <w:gridSpan w:val="4"/>
            <w:tcBorders>
              <w:top w:val="single" w:sz="4" w:space="0" w:color="0070C0"/>
              <w:bottom w:val="nil"/>
            </w:tcBorders>
          </w:tcPr>
          <w:p w:rsidR="005D5DF1" w:rsidRPr="00827E30" w:rsidRDefault="005D5DF1" w:rsidP="005D5DF1">
            <w:pPr>
              <w:spacing w:before="40" w:after="60"/>
              <w:ind w:right="-103"/>
              <w:cnfStyle w:val="000000100000"/>
              <w:rPr>
                <w:b/>
                <w:sz w:val="20"/>
                <w:szCs w:val="20"/>
              </w:rPr>
            </w:pPr>
            <w:r w:rsidRPr="00827E30">
              <w:rPr>
                <w:b/>
                <w:color w:val="auto"/>
                <w:sz w:val="20"/>
                <w:szCs w:val="20"/>
              </w:rPr>
              <w:t>2009</w:t>
            </w:r>
          </w:p>
        </w:tc>
        <w:tc>
          <w:tcPr>
            <w:tcW w:w="1152" w:type="pct"/>
            <w:gridSpan w:val="5"/>
            <w:tcBorders>
              <w:top w:val="single" w:sz="4" w:space="0" w:color="0070C0"/>
              <w:bottom w:val="nil"/>
            </w:tcBorders>
          </w:tcPr>
          <w:p w:rsidR="005D5DF1" w:rsidRPr="00827E30" w:rsidRDefault="005D5DF1" w:rsidP="005D5DF1">
            <w:pPr>
              <w:spacing w:before="40" w:after="60"/>
              <w:ind w:left="-107" w:right="-103"/>
              <w:cnfStyle w:val="000000100000"/>
              <w:rPr>
                <w:b/>
                <w:sz w:val="20"/>
                <w:szCs w:val="20"/>
              </w:rPr>
            </w:pPr>
            <w:r w:rsidRPr="00827E30">
              <w:rPr>
                <w:b/>
                <w:color w:val="auto"/>
                <w:sz w:val="20"/>
                <w:szCs w:val="20"/>
              </w:rPr>
              <w:t>2010</w:t>
            </w:r>
          </w:p>
        </w:tc>
        <w:tc>
          <w:tcPr>
            <w:tcW w:w="1058" w:type="pct"/>
            <w:gridSpan w:val="4"/>
            <w:tcBorders>
              <w:top w:val="single" w:sz="4" w:space="0" w:color="0070C0"/>
              <w:bottom w:val="nil"/>
            </w:tcBorders>
          </w:tcPr>
          <w:p w:rsidR="005D5DF1" w:rsidRPr="00827E30" w:rsidRDefault="005D5DF1" w:rsidP="005D5DF1">
            <w:pPr>
              <w:spacing w:before="40" w:after="60"/>
              <w:ind w:left="-107" w:right="-103"/>
              <w:cnfStyle w:val="000000100000"/>
              <w:rPr>
                <w:b/>
                <w:color w:val="auto"/>
                <w:sz w:val="20"/>
                <w:szCs w:val="20"/>
              </w:rPr>
            </w:pPr>
            <w:r w:rsidRPr="00827E30">
              <w:rPr>
                <w:b/>
                <w:color w:val="auto"/>
                <w:sz w:val="20"/>
                <w:szCs w:val="20"/>
              </w:rPr>
              <w:t>2009</w:t>
            </w:r>
          </w:p>
        </w:tc>
        <w:tc>
          <w:tcPr>
            <w:tcW w:w="1059" w:type="pct"/>
            <w:gridSpan w:val="4"/>
            <w:tcBorders>
              <w:top w:val="single" w:sz="4" w:space="0" w:color="0070C0"/>
              <w:bottom w:val="nil"/>
            </w:tcBorders>
          </w:tcPr>
          <w:p w:rsidR="005D5DF1" w:rsidRPr="00827E30" w:rsidRDefault="005D5DF1" w:rsidP="005D5DF1">
            <w:pPr>
              <w:spacing w:before="40" w:after="60"/>
              <w:ind w:left="-107" w:right="-103"/>
              <w:cnfStyle w:val="000000100000"/>
              <w:rPr>
                <w:b/>
                <w:sz w:val="20"/>
                <w:szCs w:val="20"/>
              </w:rPr>
            </w:pPr>
            <w:r w:rsidRPr="00827E30">
              <w:rPr>
                <w:b/>
                <w:color w:val="auto"/>
                <w:sz w:val="20"/>
                <w:szCs w:val="20"/>
              </w:rPr>
              <w:t>2010</w:t>
            </w:r>
          </w:p>
        </w:tc>
      </w:tr>
      <w:tr w:rsidR="005D5DF1" w:rsidRPr="008F2C5A" w:rsidTr="00F021A7">
        <w:trPr>
          <w:gridAfter w:val="1"/>
          <w:wAfter w:w="16" w:type="pct"/>
          <w:jc w:val="center"/>
        </w:trPr>
        <w:tc>
          <w:tcPr>
            <w:cnfStyle w:val="001000000000"/>
            <w:tcW w:w="657" w:type="pct"/>
            <w:tcBorders>
              <w:top w:val="nil"/>
              <w:bottom w:val="single" w:sz="8" w:space="0" w:color="0070C0"/>
            </w:tcBorders>
          </w:tcPr>
          <w:p w:rsidR="005D5DF1" w:rsidRPr="008F2C5A" w:rsidRDefault="005D5DF1" w:rsidP="005D5DF1">
            <w:pPr>
              <w:spacing w:before="40" w:after="60"/>
              <w:rPr>
                <w:color w:val="auto"/>
                <w:sz w:val="20"/>
                <w:szCs w:val="20"/>
              </w:rPr>
            </w:pP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II</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III</w:t>
            </w:r>
          </w:p>
        </w:tc>
        <w:tc>
          <w:tcPr>
            <w:tcW w:w="266"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IV</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II</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III</w:t>
            </w:r>
          </w:p>
        </w:tc>
        <w:tc>
          <w:tcPr>
            <w:tcW w:w="360" w:type="pct"/>
            <w:gridSpan w:val="2"/>
            <w:tcBorders>
              <w:top w:val="nil"/>
              <w:bottom w:val="single" w:sz="8" w:space="0" w:color="0070C0"/>
            </w:tcBorders>
            <w:vAlign w:val="bottom"/>
          </w:tcPr>
          <w:p w:rsidR="005D5DF1" w:rsidRPr="008F2C5A" w:rsidRDefault="005D5DF1" w:rsidP="005D5DF1">
            <w:pPr>
              <w:tabs>
                <w:tab w:val="decimal" w:pos="191"/>
              </w:tabs>
              <w:spacing w:before="40" w:after="40"/>
              <w:ind w:left="-107" w:right="-103"/>
              <w:cnfStyle w:val="000000000000"/>
              <w:rPr>
                <w:b/>
                <w:color w:val="auto"/>
                <w:sz w:val="20"/>
                <w:szCs w:val="20"/>
              </w:rPr>
            </w:pPr>
            <w:r>
              <w:rPr>
                <w:b/>
                <w:color w:val="auto"/>
                <w:sz w:val="20"/>
                <w:szCs w:val="20"/>
              </w:rPr>
              <w:t>IV</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II</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III</w:t>
            </w:r>
          </w:p>
        </w:tc>
        <w:tc>
          <w:tcPr>
            <w:tcW w:w="266"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IV</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w:t>
            </w:r>
          </w:p>
        </w:tc>
        <w:tc>
          <w:tcPr>
            <w:tcW w:w="264" w:type="pct"/>
            <w:tcBorders>
              <w:top w:val="nil"/>
              <w:bottom w:val="single" w:sz="8" w:space="0" w:color="0070C0"/>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II</w:t>
            </w:r>
          </w:p>
        </w:tc>
        <w:tc>
          <w:tcPr>
            <w:tcW w:w="264" w:type="pct"/>
            <w:tcBorders>
              <w:top w:val="nil"/>
              <w:bottom w:val="single" w:sz="8" w:space="0" w:color="0070C0"/>
              <w:right w:val="nil"/>
            </w:tcBorders>
            <w:vAlign w:val="bottom"/>
          </w:tcPr>
          <w:p w:rsidR="005D5DF1" w:rsidRPr="008F2C5A" w:rsidRDefault="005D5DF1" w:rsidP="005D5DF1">
            <w:pPr>
              <w:spacing w:before="40" w:after="40"/>
              <w:ind w:left="-107" w:right="-103"/>
              <w:jc w:val="center"/>
              <w:cnfStyle w:val="000000000000"/>
              <w:rPr>
                <w:b/>
                <w:color w:val="auto"/>
                <w:sz w:val="20"/>
                <w:szCs w:val="20"/>
              </w:rPr>
            </w:pPr>
            <w:r w:rsidRPr="008F2C5A">
              <w:rPr>
                <w:b/>
                <w:color w:val="auto"/>
                <w:sz w:val="20"/>
                <w:szCs w:val="20"/>
              </w:rPr>
              <w:t>III</w:t>
            </w:r>
          </w:p>
        </w:tc>
        <w:tc>
          <w:tcPr>
            <w:tcW w:w="267" w:type="pct"/>
            <w:tcBorders>
              <w:top w:val="nil"/>
              <w:left w:val="nil"/>
              <w:bottom w:val="single" w:sz="8" w:space="0" w:color="0070C0"/>
            </w:tcBorders>
            <w:vAlign w:val="bottom"/>
          </w:tcPr>
          <w:p w:rsidR="005D5DF1" w:rsidRPr="008F2C5A" w:rsidRDefault="005D5DF1" w:rsidP="005D5DF1">
            <w:pPr>
              <w:spacing w:before="40" w:after="40"/>
              <w:ind w:left="-107" w:right="-103"/>
              <w:jc w:val="center"/>
              <w:cnfStyle w:val="000000000000"/>
              <w:rPr>
                <w:b/>
                <w:sz w:val="20"/>
                <w:szCs w:val="20"/>
              </w:rPr>
            </w:pPr>
            <w:r>
              <w:rPr>
                <w:b/>
                <w:sz w:val="20"/>
                <w:szCs w:val="20"/>
              </w:rPr>
              <w:t>IV</w:t>
            </w:r>
          </w:p>
        </w:tc>
      </w:tr>
      <w:tr w:rsidR="005D5DF1" w:rsidRPr="00827E30" w:rsidTr="00F021A7">
        <w:trPr>
          <w:gridAfter w:val="1"/>
          <w:cnfStyle w:val="000000100000"/>
          <w:wAfter w:w="16" w:type="pct"/>
          <w:jc w:val="center"/>
        </w:trPr>
        <w:tc>
          <w:tcPr>
            <w:cnfStyle w:val="001000000000"/>
            <w:tcW w:w="657" w:type="pct"/>
            <w:tcBorders>
              <w:top w:val="single" w:sz="8" w:space="0" w:color="0070C0"/>
              <w:bottom w:val="nil"/>
            </w:tcBorders>
          </w:tcPr>
          <w:p w:rsidR="005D5DF1" w:rsidRPr="001F318C" w:rsidRDefault="005D5DF1" w:rsidP="005D5DF1">
            <w:pPr>
              <w:spacing w:before="40" w:after="60"/>
              <w:rPr>
                <w:b w:val="0"/>
                <w:color w:val="auto"/>
                <w:sz w:val="20"/>
                <w:szCs w:val="20"/>
              </w:rPr>
            </w:pPr>
            <w:r w:rsidRPr="001F318C">
              <w:rPr>
                <w:b w:val="0"/>
                <w:color w:val="auto"/>
                <w:sz w:val="20"/>
                <w:szCs w:val="20"/>
              </w:rPr>
              <w:t>ES-27</w:t>
            </w:r>
          </w:p>
        </w:tc>
        <w:tc>
          <w:tcPr>
            <w:tcW w:w="264" w:type="pct"/>
            <w:tcBorders>
              <w:top w:val="single" w:sz="8" w:space="0" w:color="0070C0"/>
              <w:bottom w:val="nil"/>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-5,4</w:t>
            </w:r>
          </w:p>
        </w:tc>
        <w:tc>
          <w:tcPr>
            <w:tcW w:w="264" w:type="pct"/>
            <w:tcBorders>
              <w:top w:val="single" w:sz="8" w:space="0" w:color="0070C0"/>
              <w:bottom w:val="nil"/>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-5,6</w:t>
            </w:r>
          </w:p>
        </w:tc>
        <w:tc>
          <w:tcPr>
            <w:tcW w:w="264" w:type="pct"/>
            <w:tcBorders>
              <w:top w:val="single" w:sz="8" w:space="0" w:color="0070C0"/>
              <w:bottom w:val="nil"/>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-4,1</w:t>
            </w:r>
          </w:p>
        </w:tc>
        <w:tc>
          <w:tcPr>
            <w:tcW w:w="266" w:type="pct"/>
            <w:tcBorders>
              <w:top w:val="single" w:sz="8" w:space="0" w:color="0070C0"/>
              <w:bottom w:val="nil"/>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-1,9</w:t>
            </w:r>
          </w:p>
        </w:tc>
        <w:tc>
          <w:tcPr>
            <w:tcW w:w="264" w:type="pct"/>
            <w:tcBorders>
              <w:top w:val="single" w:sz="8" w:space="0" w:color="0070C0"/>
              <w:bottom w:val="nil"/>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0,8</w:t>
            </w:r>
          </w:p>
        </w:tc>
        <w:tc>
          <w:tcPr>
            <w:tcW w:w="264" w:type="pct"/>
            <w:tcBorders>
              <w:top w:val="single" w:sz="8" w:space="0" w:color="0070C0"/>
              <w:bottom w:val="nil"/>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2,3</w:t>
            </w:r>
          </w:p>
        </w:tc>
        <w:tc>
          <w:tcPr>
            <w:tcW w:w="264" w:type="pct"/>
            <w:tcBorders>
              <w:top w:val="single" w:sz="8" w:space="0" w:color="0070C0"/>
              <w:bottom w:val="nil"/>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2,1</w:t>
            </w:r>
          </w:p>
        </w:tc>
        <w:tc>
          <w:tcPr>
            <w:tcW w:w="360" w:type="pct"/>
            <w:gridSpan w:val="2"/>
            <w:tcBorders>
              <w:top w:val="single" w:sz="8" w:space="0" w:color="0070C0"/>
              <w:bottom w:val="nil"/>
            </w:tcBorders>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2,0</w:t>
            </w:r>
          </w:p>
        </w:tc>
        <w:tc>
          <w:tcPr>
            <w:tcW w:w="264" w:type="pct"/>
            <w:tcBorders>
              <w:top w:val="single" w:sz="8" w:space="0" w:color="0070C0"/>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-2,4</w:t>
            </w:r>
          </w:p>
        </w:tc>
        <w:tc>
          <w:tcPr>
            <w:tcW w:w="264" w:type="pct"/>
            <w:tcBorders>
              <w:top w:val="single" w:sz="8" w:space="0" w:color="0070C0"/>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4" w:type="pct"/>
            <w:tcBorders>
              <w:top w:val="single" w:sz="8" w:space="0" w:color="0070C0"/>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6" w:type="pct"/>
            <w:tcBorders>
              <w:top w:val="single" w:sz="8" w:space="0" w:color="0070C0"/>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4" w:type="pct"/>
            <w:tcBorders>
              <w:top w:val="single" w:sz="8" w:space="0" w:color="0070C0"/>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0,4</w:t>
            </w:r>
          </w:p>
        </w:tc>
        <w:tc>
          <w:tcPr>
            <w:tcW w:w="264" w:type="pct"/>
            <w:tcBorders>
              <w:top w:val="single" w:sz="8" w:space="0" w:color="0070C0"/>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1,0</w:t>
            </w:r>
          </w:p>
        </w:tc>
        <w:tc>
          <w:tcPr>
            <w:tcW w:w="264" w:type="pct"/>
            <w:tcBorders>
              <w:top w:val="single" w:sz="8" w:space="0" w:color="0070C0"/>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7" w:type="pct"/>
            <w:tcBorders>
              <w:top w:val="single" w:sz="8" w:space="0" w:color="0070C0"/>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0,2</w:t>
            </w:r>
          </w:p>
        </w:tc>
      </w:tr>
      <w:tr w:rsidR="005D5DF1" w:rsidRPr="00827E30" w:rsidTr="00F021A7">
        <w:trPr>
          <w:gridAfter w:val="1"/>
          <w:wAfter w:w="16" w:type="pct"/>
          <w:jc w:val="center"/>
        </w:trPr>
        <w:tc>
          <w:tcPr>
            <w:cnfStyle w:val="001000000000"/>
            <w:tcW w:w="657" w:type="pct"/>
            <w:tcBorders>
              <w:top w:val="nil"/>
            </w:tcBorders>
          </w:tcPr>
          <w:p w:rsidR="005D5DF1" w:rsidRPr="001F318C" w:rsidRDefault="005D5DF1" w:rsidP="005D5DF1">
            <w:pPr>
              <w:spacing w:before="40" w:after="60"/>
              <w:rPr>
                <w:b w:val="0"/>
                <w:color w:val="auto"/>
                <w:sz w:val="20"/>
                <w:szCs w:val="20"/>
              </w:rPr>
            </w:pPr>
            <w:r w:rsidRPr="001F318C">
              <w:rPr>
                <w:b w:val="0"/>
                <w:color w:val="auto"/>
                <w:sz w:val="20"/>
                <w:szCs w:val="20"/>
              </w:rPr>
              <w:t>ES-15</w:t>
            </w:r>
          </w:p>
        </w:tc>
        <w:tc>
          <w:tcPr>
            <w:tcW w:w="264" w:type="pct"/>
            <w:tcBorders>
              <w:top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-5,5</w:t>
            </w:r>
          </w:p>
        </w:tc>
        <w:tc>
          <w:tcPr>
            <w:tcW w:w="264" w:type="pct"/>
            <w:tcBorders>
              <w:top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-5,6</w:t>
            </w:r>
          </w:p>
        </w:tc>
        <w:tc>
          <w:tcPr>
            <w:tcW w:w="264" w:type="pct"/>
            <w:tcBorders>
              <w:top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-4,0</w:t>
            </w:r>
          </w:p>
        </w:tc>
        <w:tc>
          <w:tcPr>
            <w:tcW w:w="266" w:type="pct"/>
            <w:tcBorders>
              <w:top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-1,9</w:t>
            </w:r>
          </w:p>
        </w:tc>
        <w:tc>
          <w:tcPr>
            <w:tcW w:w="264" w:type="pct"/>
            <w:tcBorders>
              <w:top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0,8</w:t>
            </w:r>
          </w:p>
        </w:tc>
        <w:tc>
          <w:tcPr>
            <w:tcW w:w="264" w:type="pct"/>
            <w:tcBorders>
              <w:top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2,3</w:t>
            </w:r>
          </w:p>
        </w:tc>
        <w:tc>
          <w:tcPr>
            <w:tcW w:w="264" w:type="pct"/>
            <w:tcBorders>
              <w:top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2,1</w:t>
            </w:r>
          </w:p>
        </w:tc>
        <w:tc>
          <w:tcPr>
            <w:tcW w:w="360" w:type="pct"/>
            <w:gridSpan w:val="2"/>
            <w:tcBorders>
              <w:top w:val="nil"/>
            </w:tcBorders>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2,0</w:t>
            </w:r>
          </w:p>
        </w:tc>
        <w:tc>
          <w:tcPr>
            <w:tcW w:w="264" w:type="pct"/>
            <w:tcBorders>
              <w:top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-2,4</w:t>
            </w:r>
          </w:p>
        </w:tc>
        <w:tc>
          <w:tcPr>
            <w:tcW w:w="264" w:type="pct"/>
            <w:tcBorders>
              <w:top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4" w:type="pct"/>
            <w:tcBorders>
              <w:top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6" w:type="pct"/>
            <w:tcBorders>
              <w:top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4" w:type="pct"/>
            <w:tcBorders>
              <w:top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4" w:type="pct"/>
            <w:tcBorders>
              <w:top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1,0</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0,5</w:t>
            </w:r>
          </w:p>
        </w:tc>
        <w:tc>
          <w:tcPr>
            <w:tcW w:w="267" w:type="pct"/>
            <w:tcBorders>
              <w:top w:val="nil"/>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r>
      <w:tr w:rsidR="005D5DF1" w:rsidRPr="00D24AFF" w:rsidTr="005D5DF1">
        <w:trPr>
          <w:gridAfter w:val="1"/>
          <w:cnfStyle w:val="000000100000"/>
          <w:wAfter w:w="16" w:type="pct"/>
          <w:jc w:val="center"/>
        </w:trPr>
        <w:tc>
          <w:tcPr>
            <w:cnfStyle w:val="001000000000"/>
            <w:tcW w:w="657" w:type="pct"/>
          </w:tcPr>
          <w:p w:rsidR="005D5DF1" w:rsidRPr="00D24AFF" w:rsidRDefault="005D5DF1" w:rsidP="005D5DF1">
            <w:pPr>
              <w:spacing w:before="40" w:after="60"/>
              <w:jc w:val="center"/>
              <w:rPr>
                <w:b w:val="0"/>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8"/>
                <w:szCs w:val="8"/>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r>
      <w:tr w:rsidR="005D5DF1" w:rsidRPr="003378B1" w:rsidTr="005D5DF1">
        <w:trPr>
          <w:gridAfter w:val="1"/>
          <w:wAfter w:w="16" w:type="pct"/>
          <w:jc w:val="center"/>
        </w:trPr>
        <w:tc>
          <w:tcPr>
            <w:cnfStyle w:val="001000000000"/>
            <w:tcW w:w="657" w:type="pct"/>
          </w:tcPr>
          <w:p w:rsidR="005D5DF1" w:rsidRPr="003378B1" w:rsidRDefault="005D5DF1" w:rsidP="005D5DF1">
            <w:pPr>
              <w:spacing w:before="40" w:after="60"/>
              <w:rPr>
                <w:color w:val="auto"/>
                <w:sz w:val="20"/>
                <w:szCs w:val="20"/>
              </w:rPr>
            </w:pPr>
            <w:r w:rsidRPr="003378B1">
              <w:rPr>
                <w:color w:val="auto"/>
                <w:sz w:val="20"/>
                <w:szCs w:val="20"/>
              </w:rPr>
              <w:t>Latvija</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-17,8</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-18,1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-19,1</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-16,8</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-6,1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-2,6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2,8</w:t>
            </w:r>
          </w:p>
        </w:tc>
        <w:tc>
          <w:tcPr>
            <w:tcW w:w="360" w:type="pct"/>
            <w:gridSpan w:val="2"/>
            <w:vAlign w:val="bottom"/>
          </w:tcPr>
          <w:p w:rsidR="005D5DF1" w:rsidRPr="003378B1" w:rsidRDefault="005D5DF1" w:rsidP="005D5DF1">
            <w:pPr>
              <w:tabs>
                <w:tab w:val="decimal" w:pos="35"/>
              </w:tabs>
              <w:spacing w:before="40" w:after="40"/>
              <w:ind w:left="-107" w:right="-103"/>
              <w:cnfStyle w:val="000000000000"/>
              <w:rPr>
                <w:b/>
                <w:color w:val="auto"/>
                <w:sz w:val="20"/>
                <w:szCs w:val="20"/>
              </w:rPr>
            </w:pPr>
            <w:r w:rsidRPr="003378B1">
              <w:rPr>
                <w:b/>
                <w:color w:val="auto"/>
                <w:sz w:val="20"/>
                <w:szCs w:val="20"/>
              </w:rPr>
              <w:t>3,6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-12,0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-2,0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-3,7</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0,1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0,6</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1,6</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b/>
                <w:color w:val="auto"/>
                <w:sz w:val="20"/>
                <w:szCs w:val="20"/>
              </w:rPr>
            </w:pPr>
            <w:r w:rsidRPr="003378B1">
              <w:rPr>
                <w:b/>
                <w:color w:val="auto"/>
                <w:sz w:val="20"/>
                <w:szCs w:val="20"/>
              </w:rPr>
              <w:t>1,1</w:t>
            </w:r>
          </w:p>
        </w:tc>
      </w:tr>
      <w:tr w:rsidR="005D5DF1" w:rsidRPr="00827E30" w:rsidTr="005D5DF1">
        <w:trPr>
          <w:gridAfter w:val="1"/>
          <w:cnfStyle w:val="000000100000"/>
          <w:wAfter w:w="16" w:type="pct"/>
          <w:jc w:val="center"/>
        </w:trPr>
        <w:tc>
          <w:tcPr>
            <w:cnfStyle w:val="001000000000"/>
            <w:tcW w:w="657" w:type="pct"/>
          </w:tcPr>
          <w:p w:rsidR="005D5DF1" w:rsidRPr="001F318C" w:rsidRDefault="005D5DF1" w:rsidP="005D5DF1">
            <w:pPr>
              <w:spacing w:before="40" w:after="60"/>
              <w:rPr>
                <w:b w:val="0"/>
                <w:color w:val="auto"/>
                <w:sz w:val="20"/>
                <w:szCs w:val="20"/>
              </w:rPr>
            </w:pPr>
            <w:r w:rsidRPr="001F318C">
              <w:rPr>
                <w:b w:val="0"/>
                <w:color w:val="auto"/>
                <w:sz w:val="20"/>
                <w:szCs w:val="20"/>
              </w:rPr>
              <w:t>Lietuva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-14,0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-15,9</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-14,5</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-14,5</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1,2</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4,8</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-11,5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1,4</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1,0</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1,8</w:t>
            </w:r>
          </w:p>
        </w:tc>
      </w:tr>
      <w:tr w:rsidR="005D5DF1" w:rsidRPr="00827E30" w:rsidTr="005D5DF1">
        <w:trPr>
          <w:gridAfter w:val="1"/>
          <w:wAfter w:w="16" w:type="pct"/>
          <w:jc w:val="center"/>
        </w:trPr>
        <w:tc>
          <w:tcPr>
            <w:cnfStyle w:val="001000000000"/>
            <w:tcW w:w="657" w:type="pct"/>
          </w:tcPr>
          <w:p w:rsidR="005D5DF1" w:rsidRPr="001F318C" w:rsidRDefault="005D5DF1" w:rsidP="005D5DF1">
            <w:pPr>
              <w:spacing w:before="40" w:after="60"/>
              <w:rPr>
                <w:b w:val="0"/>
                <w:color w:val="auto"/>
                <w:sz w:val="20"/>
                <w:szCs w:val="20"/>
              </w:rPr>
            </w:pPr>
            <w:r w:rsidRPr="001F318C">
              <w:rPr>
                <w:b w:val="0"/>
                <w:color w:val="auto"/>
                <w:sz w:val="20"/>
                <w:szCs w:val="20"/>
              </w:rPr>
              <w:t>Igaunija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-14,6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-16,6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-15,4</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-8,8</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3,1</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5,0</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6,7</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-5,6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-3,6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2,1</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2,3</w:t>
            </w:r>
          </w:p>
        </w:tc>
      </w:tr>
      <w:tr w:rsidR="005D5DF1" w:rsidRPr="00D24AFF" w:rsidTr="005D5DF1">
        <w:trPr>
          <w:gridAfter w:val="1"/>
          <w:cnfStyle w:val="000000100000"/>
          <w:wAfter w:w="16" w:type="pct"/>
          <w:jc w:val="center"/>
        </w:trPr>
        <w:tc>
          <w:tcPr>
            <w:cnfStyle w:val="001000000000"/>
            <w:tcW w:w="657" w:type="pct"/>
          </w:tcPr>
          <w:p w:rsidR="005D5DF1" w:rsidRPr="00D24AFF" w:rsidRDefault="005D5DF1" w:rsidP="005D5DF1">
            <w:pPr>
              <w:spacing w:before="40" w:after="60"/>
              <w:rPr>
                <w:b w:val="0"/>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8"/>
                <w:szCs w:val="8"/>
              </w:rPr>
            </w:pP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8"/>
                <w:szCs w:val="8"/>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Austrija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-5,4</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-5,7</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-3,6</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-0,9</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0,1</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2,4</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2,6</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2,7</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-0,8</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0,7</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1,0</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0,8</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Beļģija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-4,3</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-2,5</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-0,2</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1,6</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2,8</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1,9</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2,2</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-1,7</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1,0</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0,4</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1,1</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0,4</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Bulgārija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-4,9</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-4,1</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-5,0</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-7,6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-4,8</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1,0</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0,3</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3,1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-6,3</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-0,1</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-0,5</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0,5</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0,7</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2,1</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Čehija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-3,5</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-5,0</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-2,9</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2,9</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2,4</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2,9</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-3,6</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0,4</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0,7</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0,7</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0,9</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Dānija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-4,2</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-7,4</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-5,9</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-3,3</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-0,7</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2,5</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3,5</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3,0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-2,9</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1,7</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Francija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-3,6</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-3,7</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-2,5</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-0,6</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1,7</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1,5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-1,4</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0,2</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0,6</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0,2</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0,4</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Grieķija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-4,0</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-3,0</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-0,7</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-0,7</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-5,0</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-5,1</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-6,6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-0,7</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-1,7</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-1,3</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Pr>
                <w:b w:val="0"/>
                <w:color w:val="auto"/>
                <w:sz w:val="20"/>
                <w:szCs w:val="20"/>
              </w:rPr>
              <w:t>Itālija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-7,0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-6,7</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-4,3</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-2,8</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0,9</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1,8</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1,3</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1,1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-3,0</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0,4</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0,0</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Pr>
                <w:b w:val="0"/>
                <w:color w:val="auto"/>
                <w:sz w:val="20"/>
                <w:szCs w:val="20"/>
              </w:rPr>
              <w:t>Īrija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-9,2</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-7,8</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-7,4</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-5,8</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-1,3</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-1,8</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-0,3</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-0,7</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-2,8</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-0,8</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1,7</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-1,6</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Kipra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0,7</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-1,7</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-2,7</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-2,8</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-0,9</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0,7</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1,9</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2,5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-1,0</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-0,9</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-0,7</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0,7</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0,7</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0,6</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Lielbritānija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-6,0</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-6,5</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-4,3</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-2,7</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0,0</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1,8</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2,1</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1,2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-0,8</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0,5</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0,7</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-0,5</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ind w:right="-35"/>
              <w:rPr>
                <w:b w:val="0"/>
                <w:color w:val="auto"/>
                <w:sz w:val="20"/>
                <w:szCs w:val="20"/>
              </w:rPr>
            </w:pPr>
            <w:r w:rsidRPr="00166E50">
              <w:rPr>
                <w:b w:val="0"/>
                <w:color w:val="auto"/>
                <w:sz w:val="20"/>
                <w:szCs w:val="20"/>
              </w:rPr>
              <w:t>Luksemburga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-5,7</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-7,9</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-2,9</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1,2</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5,5</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3,8</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-3,0</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3,3</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1,3</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0,9</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1,5</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Malta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-4,3</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-3,4</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-1,4</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4,1</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3,4</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3,1</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3,9</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-2,7</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0,7</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0,5</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2,5</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0,5</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Nīderlande</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-4,5</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-5,3</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-3,7</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-2,2</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0,5</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2,2</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1,8</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2,5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-2,3</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-1,3</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0,8</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0,4</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1,0</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0,6</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Polija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1,1</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1,2</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3,5</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2,7</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4,8</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4,0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1,5</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1,2</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0,8</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Portugāle</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-1,9</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1,7</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1,6</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1,0</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1,0</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-2,0</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0,8</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0,7</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Rumānija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-6,1</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-8,7</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-7,1</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-6,5</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-2,2</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-0,4</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-2,2</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-4,8</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-1,4</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0,9</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-1,4</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-0,7</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0,1</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Slovākija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-5,4</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-5,0</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-3,6</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4,7</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4,2</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3,8</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3,5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-7,6</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1,2</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1,4</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0,7</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0,9</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0,9</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0,9</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Slovēnija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-8,4</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-9,4</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-8,8</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-5,7</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-1,2</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2,1</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1,7</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2,1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-6,0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Somija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-9,2</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-9,9</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-8,3</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-5,5</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-0,6</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4,6</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3,0</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5,2</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-5,5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-1,2</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1,4</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2,7</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0,4</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1,7</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Spānija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-3,8</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-4,5</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-4,0</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-1,4</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0,2</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0,0</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0,1</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0,0</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Ungārija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-7,1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-8,0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-7,5</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-4,3</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1,7</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1,9</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-3,2</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-1,3</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-0,8</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1,4</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0,2</w:t>
            </w:r>
          </w:p>
        </w:tc>
      </w:tr>
      <w:tr w:rsidR="005D5DF1" w:rsidRPr="00827E30" w:rsidTr="005D5DF1">
        <w:trPr>
          <w:gridAfter w:val="1"/>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Vācija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-6,3</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-6,8</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-4,4</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-1,3</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2,3</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4,3</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3,9</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4,0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-3,4</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0,5</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0,7</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0,3</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2,2</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0,7</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r>
      <w:tr w:rsidR="005D5DF1" w:rsidRPr="00827E30" w:rsidTr="005D5DF1">
        <w:trPr>
          <w:gridAfter w:val="1"/>
          <w:cnfStyle w:val="000000100000"/>
          <w:wAfter w:w="16" w:type="pct"/>
          <w:jc w:val="center"/>
        </w:trPr>
        <w:tc>
          <w:tcPr>
            <w:cnfStyle w:val="001000000000"/>
            <w:tcW w:w="657" w:type="pct"/>
          </w:tcPr>
          <w:p w:rsidR="005D5DF1" w:rsidRPr="00166E50" w:rsidRDefault="005D5DF1" w:rsidP="005D5DF1">
            <w:pPr>
              <w:spacing w:before="40" w:after="60"/>
              <w:rPr>
                <w:b w:val="0"/>
                <w:color w:val="auto"/>
                <w:sz w:val="20"/>
                <w:szCs w:val="20"/>
              </w:rPr>
            </w:pPr>
            <w:r w:rsidRPr="00166E50">
              <w:rPr>
                <w:b w:val="0"/>
                <w:color w:val="auto"/>
                <w:sz w:val="20"/>
                <w:szCs w:val="20"/>
              </w:rPr>
              <w:t>Zviedrija</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-6,6</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-7,1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-6,4</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-1,3</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2,5</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6,9</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7,7</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-2,6</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0,8</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1,6</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2,1</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2,1</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1,2</w:t>
            </w:r>
          </w:p>
        </w:tc>
      </w:tr>
      <w:tr w:rsidR="005D5DF1" w:rsidRPr="00D24AFF" w:rsidTr="005D5DF1">
        <w:trPr>
          <w:gridAfter w:val="1"/>
          <w:wAfter w:w="16" w:type="pct"/>
          <w:jc w:val="center"/>
        </w:trPr>
        <w:tc>
          <w:tcPr>
            <w:cnfStyle w:val="001000000000"/>
            <w:tcW w:w="657" w:type="pct"/>
          </w:tcPr>
          <w:p w:rsidR="005D5DF1" w:rsidRPr="00D24AFF" w:rsidRDefault="005D5DF1" w:rsidP="005D5DF1">
            <w:pPr>
              <w:spacing w:before="40" w:after="60"/>
              <w:rPr>
                <w:b w:val="0"/>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8"/>
                <w:szCs w:val="8"/>
              </w:rPr>
            </w:pP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8"/>
                <w:szCs w:val="8"/>
              </w:rPr>
            </w:pP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8"/>
                <w:szCs w:val="8"/>
              </w:rPr>
            </w:pP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8"/>
                <w:szCs w:val="8"/>
              </w:rPr>
            </w:pP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p>
        </w:tc>
      </w:tr>
      <w:tr w:rsidR="005D5DF1" w:rsidRPr="00827E30" w:rsidTr="005D5DF1">
        <w:trPr>
          <w:gridAfter w:val="1"/>
          <w:cnfStyle w:val="000000100000"/>
          <w:wAfter w:w="16" w:type="pct"/>
          <w:jc w:val="center"/>
        </w:trPr>
        <w:tc>
          <w:tcPr>
            <w:cnfStyle w:val="001000000000"/>
            <w:tcW w:w="657" w:type="pct"/>
          </w:tcPr>
          <w:p w:rsidR="005D5DF1" w:rsidRPr="001F318C" w:rsidRDefault="005D5DF1" w:rsidP="005D5DF1">
            <w:pPr>
              <w:spacing w:before="40" w:after="60"/>
              <w:rPr>
                <w:b w:val="0"/>
                <w:color w:val="auto"/>
                <w:sz w:val="20"/>
                <w:szCs w:val="20"/>
              </w:rPr>
            </w:pPr>
            <w:r>
              <w:rPr>
                <w:b w:val="0"/>
                <w:color w:val="auto"/>
                <w:sz w:val="20"/>
                <w:szCs w:val="20"/>
              </w:rPr>
              <w:t>Ī</w:t>
            </w:r>
            <w:r w:rsidRPr="001F318C">
              <w:rPr>
                <w:b w:val="0"/>
                <w:color w:val="auto"/>
                <w:sz w:val="20"/>
                <w:szCs w:val="20"/>
              </w:rPr>
              <w:t>slande</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-5,9</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-5,8</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-6,9</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-9,0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-6,1</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-6,7</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-1,0</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0,0</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-2,7</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-3,0</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-3,1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-0,4</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2,2</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-1,5</w:t>
            </w:r>
          </w:p>
        </w:tc>
      </w:tr>
      <w:tr w:rsidR="005D5DF1" w:rsidRPr="00827E30" w:rsidTr="005D5DF1">
        <w:trPr>
          <w:gridAfter w:val="1"/>
          <w:wAfter w:w="16" w:type="pct"/>
          <w:jc w:val="center"/>
        </w:trPr>
        <w:tc>
          <w:tcPr>
            <w:cnfStyle w:val="001000000000"/>
            <w:tcW w:w="657" w:type="pct"/>
          </w:tcPr>
          <w:p w:rsidR="005D5DF1" w:rsidRPr="001F318C" w:rsidRDefault="005D5DF1" w:rsidP="005D5DF1">
            <w:pPr>
              <w:spacing w:before="40" w:after="60"/>
              <w:rPr>
                <w:b w:val="0"/>
                <w:color w:val="auto"/>
                <w:sz w:val="20"/>
                <w:szCs w:val="20"/>
              </w:rPr>
            </w:pPr>
            <w:r w:rsidRPr="001F318C">
              <w:rPr>
                <w:b w:val="0"/>
                <w:color w:val="auto"/>
                <w:sz w:val="20"/>
                <w:szCs w:val="20"/>
              </w:rPr>
              <w:t>Norvēģija</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1,3</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-5,0</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-0,9</w:t>
            </w:r>
          </w:p>
        </w:tc>
        <w:tc>
          <w:tcPr>
            <w:tcW w:w="266"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-1,1</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-0,6</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1,7</w:t>
            </w:r>
          </w:p>
        </w:tc>
        <w:tc>
          <w:tcPr>
            <w:tcW w:w="264" w:type="pct"/>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-1,0</w:t>
            </w:r>
          </w:p>
        </w:tc>
        <w:tc>
          <w:tcPr>
            <w:tcW w:w="360" w:type="pct"/>
            <w:gridSpan w:val="2"/>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1,6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-1,0</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6"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4" w:type="pct"/>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0,0</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-1,5</w:t>
            </w:r>
          </w:p>
        </w:tc>
        <w:tc>
          <w:tcPr>
            <w:tcW w:w="267" w:type="pct"/>
            <w:tcBorders>
              <w:lef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2,4</w:t>
            </w:r>
          </w:p>
        </w:tc>
      </w:tr>
      <w:tr w:rsidR="005D5DF1" w:rsidRPr="00827E30" w:rsidTr="005D5DF1">
        <w:trPr>
          <w:gridAfter w:val="1"/>
          <w:cnfStyle w:val="000000100000"/>
          <w:wAfter w:w="16" w:type="pct"/>
          <w:jc w:val="center"/>
        </w:trPr>
        <w:tc>
          <w:tcPr>
            <w:cnfStyle w:val="001000000000"/>
            <w:tcW w:w="657" w:type="pct"/>
          </w:tcPr>
          <w:p w:rsidR="005D5DF1" w:rsidRPr="001F318C" w:rsidRDefault="005D5DF1" w:rsidP="005D5DF1">
            <w:pPr>
              <w:spacing w:before="40" w:after="60"/>
              <w:rPr>
                <w:b w:val="0"/>
                <w:color w:val="auto"/>
                <w:sz w:val="20"/>
                <w:szCs w:val="20"/>
              </w:rPr>
            </w:pPr>
            <w:r w:rsidRPr="001F318C">
              <w:rPr>
                <w:b w:val="0"/>
                <w:color w:val="auto"/>
                <w:sz w:val="20"/>
                <w:szCs w:val="20"/>
              </w:rPr>
              <w:t>Šveice</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-3,0</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-3,3</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-1,7</w:t>
            </w:r>
          </w:p>
        </w:tc>
        <w:tc>
          <w:tcPr>
            <w:tcW w:w="266"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0,3</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1,9</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2,6</w:t>
            </w:r>
          </w:p>
        </w:tc>
        <w:tc>
          <w:tcPr>
            <w:tcW w:w="264" w:type="pct"/>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2,6</w:t>
            </w:r>
          </w:p>
        </w:tc>
        <w:tc>
          <w:tcPr>
            <w:tcW w:w="360" w:type="pct"/>
            <w:gridSpan w:val="2"/>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3,1</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-0,9</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0,7</w:t>
            </w:r>
          </w:p>
        </w:tc>
        <w:tc>
          <w:tcPr>
            <w:tcW w:w="266"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0,8</w:t>
            </w:r>
          </w:p>
        </w:tc>
        <w:tc>
          <w:tcPr>
            <w:tcW w:w="264"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0,7</w:t>
            </w:r>
          </w:p>
        </w:tc>
        <w:tc>
          <w:tcPr>
            <w:tcW w:w="264" w:type="pct"/>
            <w:tcBorders>
              <w:top w:val="nil"/>
              <w:bottom w:val="nil"/>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0,8</w:t>
            </w:r>
          </w:p>
        </w:tc>
        <w:tc>
          <w:tcPr>
            <w:tcW w:w="267" w:type="pct"/>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0,9</w:t>
            </w:r>
          </w:p>
        </w:tc>
      </w:tr>
      <w:tr w:rsidR="005D5DF1" w:rsidRPr="00827E30" w:rsidTr="00F021A7">
        <w:trPr>
          <w:gridAfter w:val="1"/>
          <w:wAfter w:w="16" w:type="pct"/>
          <w:jc w:val="center"/>
        </w:trPr>
        <w:tc>
          <w:tcPr>
            <w:cnfStyle w:val="001000000000"/>
            <w:tcW w:w="657" w:type="pct"/>
            <w:tcBorders>
              <w:bottom w:val="nil"/>
            </w:tcBorders>
          </w:tcPr>
          <w:p w:rsidR="005D5DF1" w:rsidRPr="001F318C" w:rsidRDefault="005D5DF1" w:rsidP="005D5DF1">
            <w:pPr>
              <w:spacing w:before="40" w:after="60"/>
              <w:rPr>
                <w:b w:val="0"/>
                <w:color w:val="auto"/>
                <w:sz w:val="20"/>
                <w:szCs w:val="20"/>
              </w:rPr>
            </w:pPr>
            <w:r w:rsidRPr="001F318C">
              <w:rPr>
                <w:b w:val="0"/>
                <w:color w:val="auto"/>
                <w:sz w:val="20"/>
                <w:szCs w:val="20"/>
              </w:rPr>
              <w:t>ASV</w:t>
            </w:r>
          </w:p>
        </w:tc>
        <w:tc>
          <w:tcPr>
            <w:tcW w:w="264" w:type="pct"/>
            <w:tcBorders>
              <w:bottom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-3,8</w:t>
            </w:r>
          </w:p>
        </w:tc>
        <w:tc>
          <w:tcPr>
            <w:tcW w:w="264" w:type="pct"/>
            <w:tcBorders>
              <w:bottom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-4,1</w:t>
            </w:r>
          </w:p>
        </w:tc>
        <w:tc>
          <w:tcPr>
            <w:tcW w:w="264" w:type="pct"/>
            <w:tcBorders>
              <w:bottom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-2,7</w:t>
            </w:r>
          </w:p>
        </w:tc>
        <w:tc>
          <w:tcPr>
            <w:tcW w:w="266" w:type="pct"/>
            <w:tcBorders>
              <w:bottom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0,2</w:t>
            </w:r>
          </w:p>
        </w:tc>
        <w:tc>
          <w:tcPr>
            <w:tcW w:w="264" w:type="pct"/>
            <w:tcBorders>
              <w:bottom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2,4</w:t>
            </w:r>
          </w:p>
        </w:tc>
        <w:tc>
          <w:tcPr>
            <w:tcW w:w="264" w:type="pct"/>
            <w:tcBorders>
              <w:bottom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3,0</w:t>
            </w:r>
          </w:p>
        </w:tc>
        <w:tc>
          <w:tcPr>
            <w:tcW w:w="264" w:type="pct"/>
            <w:tcBorders>
              <w:bottom w:val="nil"/>
            </w:tcBorders>
            <w:vAlign w:val="bottom"/>
          </w:tcPr>
          <w:p w:rsidR="005D5DF1" w:rsidRPr="00D24AFF" w:rsidRDefault="005D5DF1" w:rsidP="005D5DF1">
            <w:pPr>
              <w:tabs>
                <w:tab w:val="decimal" w:pos="35"/>
              </w:tabs>
              <w:spacing w:before="40" w:after="40"/>
              <w:ind w:left="-107" w:right="-103"/>
              <w:jc w:val="center"/>
              <w:cnfStyle w:val="000000000000"/>
              <w:rPr>
                <w:color w:val="auto"/>
                <w:sz w:val="20"/>
                <w:szCs w:val="20"/>
              </w:rPr>
            </w:pPr>
            <w:r w:rsidRPr="00D24AFF">
              <w:rPr>
                <w:color w:val="auto"/>
                <w:sz w:val="20"/>
                <w:szCs w:val="20"/>
              </w:rPr>
              <w:t>3,2</w:t>
            </w:r>
          </w:p>
        </w:tc>
        <w:tc>
          <w:tcPr>
            <w:tcW w:w="360" w:type="pct"/>
            <w:gridSpan w:val="2"/>
            <w:tcBorders>
              <w:bottom w:val="nil"/>
            </w:tcBorders>
            <w:vAlign w:val="bottom"/>
          </w:tcPr>
          <w:p w:rsidR="005D5DF1" w:rsidRPr="00D24AFF" w:rsidRDefault="005D5DF1" w:rsidP="005D5DF1">
            <w:pPr>
              <w:tabs>
                <w:tab w:val="decimal" w:pos="35"/>
              </w:tabs>
              <w:spacing w:before="40" w:after="40"/>
              <w:ind w:left="-107" w:right="-103"/>
              <w:cnfStyle w:val="000000000000"/>
              <w:rPr>
                <w:color w:val="auto"/>
                <w:sz w:val="20"/>
                <w:szCs w:val="20"/>
              </w:rPr>
            </w:pPr>
            <w:r w:rsidRPr="00D24AFF">
              <w:rPr>
                <w:color w:val="auto"/>
                <w:sz w:val="20"/>
                <w:szCs w:val="20"/>
              </w:rPr>
              <w:t>2,8</w:t>
            </w:r>
          </w:p>
        </w:tc>
        <w:tc>
          <w:tcPr>
            <w:tcW w:w="264" w:type="pct"/>
            <w:tcBorders>
              <w:bottom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-1,2</w:t>
            </w:r>
          </w:p>
        </w:tc>
        <w:tc>
          <w:tcPr>
            <w:tcW w:w="264" w:type="pct"/>
            <w:tcBorders>
              <w:bottom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-0,2</w:t>
            </w:r>
          </w:p>
        </w:tc>
        <w:tc>
          <w:tcPr>
            <w:tcW w:w="264" w:type="pct"/>
            <w:tcBorders>
              <w:bottom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6" w:type="pct"/>
            <w:tcBorders>
              <w:bottom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1,2</w:t>
            </w:r>
          </w:p>
        </w:tc>
        <w:tc>
          <w:tcPr>
            <w:tcW w:w="264" w:type="pct"/>
            <w:tcBorders>
              <w:bottom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0,9</w:t>
            </w:r>
          </w:p>
        </w:tc>
        <w:tc>
          <w:tcPr>
            <w:tcW w:w="264" w:type="pct"/>
            <w:tcBorders>
              <w:bottom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0,4</w:t>
            </w:r>
          </w:p>
        </w:tc>
        <w:tc>
          <w:tcPr>
            <w:tcW w:w="264" w:type="pct"/>
            <w:tcBorders>
              <w:top w:val="nil"/>
              <w:bottom w:val="nil"/>
              <w:right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0,6</w:t>
            </w:r>
          </w:p>
        </w:tc>
        <w:tc>
          <w:tcPr>
            <w:tcW w:w="267" w:type="pct"/>
            <w:tcBorders>
              <w:left w:val="nil"/>
              <w:bottom w:val="nil"/>
            </w:tcBorders>
            <w:vAlign w:val="bottom"/>
          </w:tcPr>
          <w:p w:rsidR="005D5DF1" w:rsidRPr="003378B1" w:rsidRDefault="005D5DF1" w:rsidP="005D5DF1">
            <w:pPr>
              <w:tabs>
                <w:tab w:val="decimal" w:pos="35"/>
              </w:tabs>
              <w:spacing w:before="40" w:after="40"/>
              <w:ind w:left="-107" w:right="-103"/>
              <w:jc w:val="center"/>
              <w:cnfStyle w:val="000000000000"/>
              <w:rPr>
                <w:color w:val="auto"/>
                <w:sz w:val="20"/>
                <w:szCs w:val="20"/>
              </w:rPr>
            </w:pPr>
            <w:r w:rsidRPr="003378B1">
              <w:rPr>
                <w:color w:val="auto"/>
                <w:sz w:val="20"/>
                <w:szCs w:val="20"/>
              </w:rPr>
              <w:t>0,8</w:t>
            </w:r>
          </w:p>
        </w:tc>
      </w:tr>
      <w:tr w:rsidR="005D5DF1" w:rsidRPr="00827E30" w:rsidTr="00F021A7">
        <w:trPr>
          <w:gridAfter w:val="1"/>
          <w:cnfStyle w:val="000000100000"/>
          <w:wAfter w:w="16" w:type="pct"/>
          <w:jc w:val="center"/>
        </w:trPr>
        <w:tc>
          <w:tcPr>
            <w:cnfStyle w:val="001000000000"/>
            <w:tcW w:w="657" w:type="pct"/>
            <w:tcBorders>
              <w:top w:val="nil"/>
              <w:bottom w:val="single" w:sz="8" w:space="0" w:color="0070C0"/>
            </w:tcBorders>
          </w:tcPr>
          <w:p w:rsidR="005D5DF1" w:rsidRPr="001F318C" w:rsidRDefault="005D5DF1" w:rsidP="005D5DF1">
            <w:pPr>
              <w:spacing w:before="40" w:after="60"/>
              <w:rPr>
                <w:b w:val="0"/>
                <w:color w:val="auto"/>
                <w:sz w:val="20"/>
                <w:szCs w:val="20"/>
              </w:rPr>
            </w:pPr>
            <w:r w:rsidRPr="001F318C">
              <w:rPr>
                <w:b w:val="0"/>
                <w:color w:val="auto"/>
                <w:sz w:val="20"/>
                <w:szCs w:val="20"/>
              </w:rPr>
              <w:t>Japāna</w:t>
            </w:r>
          </w:p>
        </w:tc>
        <w:tc>
          <w:tcPr>
            <w:tcW w:w="264" w:type="pct"/>
            <w:tcBorders>
              <w:top w:val="nil"/>
              <w:bottom w:val="single" w:sz="8" w:space="0" w:color="0070C0"/>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-10,3</w:t>
            </w:r>
          </w:p>
        </w:tc>
        <w:tc>
          <w:tcPr>
            <w:tcW w:w="264" w:type="pct"/>
            <w:tcBorders>
              <w:top w:val="nil"/>
              <w:bottom w:val="single" w:sz="8" w:space="0" w:color="0070C0"/>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-7,0</w:t>
            </w:r>
          </w:p>
        </w:tc>
        <w:tc>
          <w:tcPr>
            <w:tcW w:w="264" w:type="pct"/>
            <w:tcBorders>
              <w:top w:val="nil"/>
              <w:bottom w:val="single" w:sz="8" w:space="0" w:color="0070C0"/>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-6,3</w:t>
            </w:r>
          </w:p>
        </w:tc>
        <w:tc>
          <w:tcPr>
            <w:tcW w:w="266" w:type="pct"/>
            <w:tcBorders>
              <w:top w:val="nil"/>
              <w:bottom w:val="single" w:sz="8" w:space="0" w:color="0070C0"/>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-1,5</w:t>
            </w:r>
          </w:p>
        </w:tc>
        <w:tc>
          <w:tcPr>
            <w:tcW w:w="264" w:type="pct"/>
            <w:tcBorders>
              <w:top w:val="nil"/>
              <w:bottom w:val="single" w:sz="8" w:space="0" w:color="0070C0"/>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5,6</w:t>
            </w:r>
          </w:p>
        </w:tc>
        <w:tc>
          <w:tcPr>
            <w:tcW w:w="264" w:type="pct"/>
            <w:tcBorders>
              <w:top w:val="nil"/>
              <w:bottom w:val="single" w:sz="8" w:space="0" w:color="0070C0"/>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3,2</w:t>
            </w:r>
          </w:p>
        </w:tc>
        <w:tc>
          <w:tcPr>
            <w:tcW w:w="264" w:type="pct"/>
            <w:tcBorders>
              <w:top w:val="nil"/>
              <w:bottom w:val="single" w:sz="8" w:space="0" w:color="0070C0"/>
            </w:tcBorders>
            <w:vAlign w:val="bottom"/>
          </w:tcPr>
          <w:p w:rsidR="005D5DF1" w:rsidRPr="00D24AFF" w:rsidRDefault="005D5DF1" w:rsidP="005D5DF1">
            <w:pPr>
              <w:tabs>
                <w:tab w:val="decimal" w:pos="35"/>
              </w:tabs>
              <w:spacing w:before="40" w:after="40"/>
              <w:ind w:left="-107" w:right="-103"/>
              <w:jc w:val="center"/>
              <w:cnfStyle w:val="000000100000"/>
              <w:rPr>
                <w:color w:val="auto"/>
                <w:sz w:val="20"/>
                <w:szCs w:val="20"/>
              </w:rPr>
            </w:pPr>
            <w:r w:rsidRPr="00D24AFF">
              <w:rPr>
                <w:color w:val="auto"/>
                <w:sz w:val="20"/>
                <w:szCs w:val="20"/>
              </w:rPr>
              <w:t>4,9</w:t>
            </w:r>
          </w:p>
        </w:tc>
        <w:tc>
          <w:tcPr>
            <w:tcW w:w="360" w:type="pct"/>
            <w:gridSpan w:val="2"/>
            <w:tcBorders>
              <w:top w:val="nil"/>
              <w:bottom w:val="single" w:sz="8" w:space="0" w:color="0070C0"/>
            </w:tcBorders>
            <w:vAlign w:val="bottom"/>
          </w:tcPr>
          <w:p w:rsidR="005D5DF1" w:rsidRPr="00D24AFF" w:rsidRDefault="005D5DF1" w:rsidP="005D5DF1">
            <w:pPr>
              <w:tabs>
                <w:tab w:val="decimal" w:pos="35"/>
              </w:tabs>
              <w:spacing w:before="40" w:after="40"/>
              <w:ind w:left="-107" w:right="-103"/>
              <w:cnfStyle w:val="000000100000"/>
              <w:rPr>
                <w:color w:val="auto"/>
                <w:sz w:val="20"/>
                <w:szCs w:val="20"/>
              </w:rPr>
            </w:pPr>
            <w:r w:rsidRPr="00D24AFF">
              <w:rPr>
                <w:color w:val="auto"/>
                <w:sz w:val="20"/>
                <w:szCs w:val="20"/>
              </w:rPr>
              <w:t>2,2</w:t>
            </w:r>
          </w:p>
        </w:tc>
        <w:tc>
          <w:tcPr>
            <w:tcW w:w="264" w:type="pct"/>
            <w:tcBorders>
              <w:top w:val="nil"/>
              <w:bottom w:val="single" w:sz="8" w:space="0" w:color="0070C0"/>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-5,4</w:t>
            </w:r>
          </w:p>
        </w:tc>
        <w:tc>
          <w:tcPr>
            <w:tcW w:w="264" w:type="pct"/>
            <w:tcBorders>
              <w:top w:val="nil"/>
              <w:bottom w:val="single" w:sz="8" w:space="0" w:color="0070C0"/>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2,6</w:t>
            </w:r>
          </w:p>
        </w:tc>
        <w:tc>
          <w:tcPr>
            <w:tcW w:w="264" w:type="pct"/>
            <w:tcBorders>
              <w:top w:val="nil"/>
              <w:bottom w:val="single" w:sz="8" w:space="0" w:color="0070C0"/>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6" w:type="pct"/>
            <w:tcBorders>
              <w:top w:val="nil"/>
              <w:bottom w:val="single" w:sz="8" w:space="0" w:color="0070C0"/>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1,8</w:t>
            </w:r>
          </w:p>
        </w:tc>
        <w:tc>
          <w:tcPr>
            <w:tcW w:w="264" w:type="pct"/>
            <w:tcBorders>
              <w:top w:val="nil"/>
              <w:bottom w:val="single" w:sz="8" w:space="0" w:color="0070C0"/>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1,5</w:t>
            </w:r>
          </w:p>
        </w:tc>
        <w:tc>
          <w:tcPr>
            <w:tcW w:w="264" w:type="pct"/>
            <w:tcBorders>
              <w:top w:val="nil"/>
              <w:bottom w:val="single" w:sz="8" w:space="0" w:color="0070C0"/>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0,5</w:t>
            </w:r>
          </w:p>
        </w:tc>
        <w:tc>
          <w:tcPr>
            <w:tcW w:w="264" w:type="pct"/>
            <w:tcBorders>
              <w:top w:val="nil"/>
              <w:bottom w:val="single" w:sz="8" w:space="0" w:color="0070C0"/>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0,8</w:t>
            </w:r>
          </w:p>
        </w:tc>
        <w:tc>
          <w:tcPr>
            <w:tcW w:w="267" w:type="pct"/>
            <w:tcBorders>
              <w:top w:val="nil"/>
              <w:bottom w:val="single" w:sz="8" w:space="0" w:color="0070C0"/>
            </w:tcBorders>
            <w:vAlign w:val="bottom"/>
          </w:tcPr>
          <w:p w:rsidR="005D5DF1" w:rsidRPr="003378B1" w:rsidRDefault="005D5DF1" w:rsidP="005D5DF1">
            <w:pPr>
              <w:tabs>
                <w:tab w:val="decimal" w:pos="35"/>
              </w:tabs>
              <w:spacing w:before="40" w:after="40"/>
              <w:ind w:left="-107" w:right="-103"/>
              <w:jc w:val="center"/>
              <w:cnfStyle w:val="000000100000"/>
              <w:rPr>
                <w:color w:val="auto"/>
                <w:sz w:val="20"/>
                <w:szCs w:val="20"/>
              </w:rPr>
            </w:pPr>
            <w:r w:rsidRPr="003378B1">
              <w:rPr>
                <w:color w:val="auto"/>
                <w:sz w:val="20"/>
                <w:szCs w:val="20"/>
              </w:rPr>
              <w:t>-0,3</w:t>
            </w:r>
          </w:p>
        </w:tc>
      </w:tr>
    </w:tbl>
    <w:p w:rsidR="005D5DF1" w:rsidRPr="00A12331" w:rsidRDefault="005D5DF1" w:rsidP="005D5DF1">
      <w:pPr>
        <w:rPr>
          <w:sz w:val="8"/>
          <w:szCs w:val="8"/>
        </w:rPr>
      </w:pPr>
    </w:p>
    <w:p w:rsidR="005D5DF1" w:rsidRPr="003378B1" w:rsidRDefault="005D5DF1" w:rsidP="005D5DF1">
      <w:pPr>
        <w:rPr>
          <w:rFonts w:eastAsiaTheme="majorEastAsia" w:cstheme="majorBidi"/>
          <w:b/>
          <w:bCs/>
        </w:rPr>
      </w:pPr>
      <w:bookmarkStart w:id="54" w:name="_Toc274580546"/>
      <w:bookmarkStart w:id="55" w:name="_Toc282413167"/>
      <w:r w:rsidRPr="003378B1">
        <w:rPr>
          <w:sz w:val="20"/>
        </w:rPr>
        <w:t>: – nav datu</w:t>
      </w:r>
      <w:r w:rsidRPr="003378B1">
        <w:rPr>
          <w:sz w:val="20"/>
        </w:rPr>
        <w:br w:type="page"/>
      </w:r>
    </w:p>
    <w:p w:rsidR="005D5DF1" w:rsidRPr="009F6E8E" w:rsidRDefault="005D5DF1" w:rsidP="005D5DF1">
      <w:pPr>
        <w:pStyle w:val="Heading1"/>
      </w:pPr>
      <w:r>
        <w:lastRenderedPageBreak/>
        <w:t>2</w:t>
      </w:r>
      <w:r w:rsidRPr="009F6E8E">
        <w:t>. Produkcijas izlaide</w:t>
      </w:r>
      <w:bookmarkEnd w:id="54"/>
      <w:bookmarkEnd w:id="55"/>
    </w:p>
    <w:p w:rsidR="005D5DF1" w:rsidRPr="00BB57DD" w:rsidRDefault="005D5DF1" w:rsidP="005D5DF1">
      <w:pPr>
        <w:ind w:firstLine="426"/>
        <w:jc w:val="both"/>
        <w:rPr>
          <w:sz w:val="14"/>
        </w:rPr>
      </w:pPr>
    </w:p>
    <w:p w:rsidR="00CB6FDB" w:rsidRPr="00CB6FDB" w:rsidRDefault="00220780" w:rsidP="00CB6FDB">
      <w:pPr>
        <w:ind w:firstLine="426"/>
        <w:jc w:val="both"/>
        <w:rPr>
          <w:sz w:val="28"/>
        </w:rPr>
      </w:pPr>
      <w:r>
        <w:rPr>
          <w:sz w:val="28"/>
        </w:rPr>
        <w:t>J</w:t>
      </w:r>
      <w:r w:rsidRPr="00CB6FDB">
        <w:rPr>
          <w:sz w:val="28"/>
        </w:rPr>
        <w:t xml:space="preserve">au piecus </w:t>
      </w:r>
      <w:r>
        <w:rPr>
          <w:sz w:val="28"/>
        </w:rPr>
        <w:t xml:space="preserve">ceturkšņus pēc kārtas IKP </w:t>
      </w:r>
      <w:r w:rsidRPr="00CB6FDB">
        <w:rPr>
          <w:sz w:val="28"/>
        </w:rPr>
        <w:t>pieaug</w:t>
      </w:r>
      <w:r>
        <w:rPr>
          <w:sz w:val="28"/>
        </w:rPr>
        <w:t xml:space="preserve">. </w:t>
      </w:r>
      <w:r w:rsidR="00CB6FDB" w:rsidRPr="00CB6FDB">
        <w:rPr>
          <w:sz w:val="28"/>
        </w:rPr>
        <w:t xml:space="preserve">2010.gada 4.ceturksnī, salīdzinot ar iepriekšējo ceturksni, IKP palielinājās par 1,1% (pēc sezonāli izlīdzinātiem datiem). 2010.gada 4.ceturksnī IKP apjoms par 3,6% pārsniedza iepriekšējā gada 4.ceturkšņa līmeni. Ņemot vērā, ka izaugsme atsākās no ļoti zema punkta, 2010.gadā IKP bija par </w:t>
      </w:r>
      <w:r w:rsidR="0084105B">
        <w:rPr>
          <w:sz w:val="28"/>
        </w:rPr>
        <w:t>0,3% mazāks nekā gadu iepriekš.</w:t>
      </w:r>
    </w:p>
    <w:p w:rsidR="006E1658" w:rsidRPr="006E1658" w:rsidRDefault="00CB6FDB" w:rsidP="006E1658">
      <w:pPr>
        <w:ind w:firstLine="426"/>
        <w:jc w:val="both"/>
        <w:rPr>
          <w:sz w:val="28"/>
        </w:rPr>
      </w:pPr>
      <w:r w:rsidRPr="00CB6FDB">
        <w:rPr>
          <w:sz w:val="28"/>
        </w:rPr>
        <w:t>Ekonomikas atveseļošanos pamatā nosaka eksporta apjomu pieaugums un tirgojamo nozaru izaugsme.</w:t>
      </w:r>
      <w:r w:rsidR="006E1658">
        <w:rPr>
          <w:sz w:val="28"/>
        </w:rPr>
        <w:t xml:space="preserve"> 2010.</w:t>
      </w:r>
      <w:r w:rsidR="006E1658" w:rsidRPr="006E1658">
        <w:rPr>
          <w:sz w:val="28"/>
        </w:rPr>
        <w:t>gadā izaugsme bija vērojama visās</w:t>
      </w:r>
      <w:r w:rsidR="00FF645A">
        <w:rPr>
          <w:sz w:val="28"/>
        </w:rPr>
        <w:t xml:space="preserve"> preču ražošanas nozarēs. 2010.</w:t>
      </w:r>
      <w:r w:rsidR="006E1658" w:rsidRPr="006E1658">
        <w:rPr>
          <w:sz w:val="28"/>
        </w:rPr>
        <w:t>gada 4</w:t>
      </w:r>
      <w:r w:rsidR="00F021A7">
        <w:rPr>
          <w:sz w:val="28"/>
        </w:rPr>
        <w:t>.ceturksnī, salīdzinot ar 2009.</w:t>
      </w:r>
      <w:r w:rsidR="006E1658" w:rsidRPr="006E1658">
        <w:rPr>
          <w:sz w:val="28"/>
        </w:rPr>
        <w:t>gada atbilstošo ceturksni, apstrādes rūpniecība pieauga par 17,9%, elektroenerģijas, gāzes un ūdens apgādes nozare – par 7,8% un primārās nozares – par 4,6%. Šo nozar</w:t>
      </w:r>
      <w:r w:rsidR="00EC623F">
        <w:rPr>
          <w:sz w:val="28"/>
        </w:rPr>
        <w:t>u izaugsme kopumā ir devusi 2,3 </w:t>
      </w:r>
      <w:r w:rsidR="006E1658" w:rsidRPr="006E1658">
        <w:rPr>
          <w:sz w:val="28"/>
        </w:rPr>
        <w:t>procentpunktu ieguldījumu IKP pieaugumā. Izaugsme 2010.gada 4.ceturksnī bija vērojama a</w:t>
      </w:r>
      <w:r w:rsidR="0084105B">
        <w:rPr>
          <w:sz w:val="28"/>
        </w:rPr>
        <w:t>rī transporta un sakaru nozarē.</w:t>
      </w:r>
    </w:p>
    <w:p w:rsidR="006E1658" w:rsidRPr="006E1658" w:rsidRDefault="006E1658" w:rsidP="006E1658">
      <w:pPr>
        <w:ind w:firstLine="426"/>
        <w:jc w:val="both"/>
        <w:rPr>
          <w:sz w:val="28"/>
        </w:rPr>
      </w:pPr>
      <w:r w:rsidRPr="006E1658">
        <w:rPr>
          <w:sz w:val="28"/>
        </w:rPr>
        <w:t>2010.gada 4</w:t>
      </w:r>
      <w:r>
        <w:rPr>
          <w:sz w:val="28"/>
        </w:rPr>
        <w:t>.</w:t>
      </w:r>
      <w:r w:rsidRPr="006E1658">
        <w:rPr>
          <w:sz w:val="28"/>
        </w:rPr>
        <w:t>ceturksnī tirdzniecības nozarē sniegto pakalpojumu apjomi par 10,4% pārsniedza 2009.gada 4</w:t>
      </w:r>
      <w:r>
        <w:rPr>
          <w:sz w:val="28"/>
        </w:rPr>
        <w:t>.</w:t>
      </w:r>
      <w:r w:rsidRPr="006E1658">
        <w:rPr>
          <w:sz w:val="28"/>
        </w:rPr>
        <w:t xml:space="preserve">ceturkšņa līmeni. Ņemot vērā nozares lielo īpatsvaru tautsaimniecībā, apjomu pieaugums </w:t>
      </w:r>
      <w:r w:rsidR="00220780">
        <w:rPr>
          <w:sz w:val="28"/>
        </w:rPr>
        <w:t xml:space="preserve">būtiski </w:t>
      </w:r>
      <w:r w:rsidRPr="006E1658">
        <w:rPr>
          <w:sz w:val="28"/>
        </w:rPr>
        <w:t>iete</w:t>
      </w:r>
      <w:r w:rsidR="00FF645A">
        <w:rPr>
          <w:sz w:val="28"/>
        </w:rPr>
        <w:t>kmēja IKP palielinājumu</w:t>
      </w:r>
      <w:r w:rsidRPr="006E1658">
        <w:rPr>
          <w:sz w:val="28"/>
        </w:rPr>
        <w:t xml:space="preserve">. Turpretim pārējo pakalpojumu nozaru izlaides </w:t>
      </w:r>
      <w:r w:rsidR="0084105B">
        <w:rPr>
          <w:sz w:val="28"/>
        </w:rPr>
        <w:t>apjomi 2010.gada 4.</w:t>
      </w:r>
      <w:r w:rsidRPr="006E1658">
        <w:rPr>
          <w:sz w:val="28"/>
        </w:rPr>
        <w:t>ceturksnī atpalika no iepriekšējā gada atbilstošā perioda līmeņa. Visdziļāko kritumu krīzes laikā piedz</w:t>
      </w:r>
      <w:r w:rsidR="00042AB6">
        <w:rPr>
          <w:sz w:val="28"/>
        </w:rPr>
        <w:t>īvoja būvniecības nozare.</w:t>
      </w:r>
      <w:r w:rsidRPr="006E1658">
        <w:rPr>
          <w:sz w:val="28"/>
        </w:rPr>
        <w:t xml:space="preserve"> Kopumā tendences pakalpojumu nozarēs 2010.</w:t>
      </w:r>
      <w:r w:rsidR="00FF645A">
        <w:rPr>
          <w:sz w:val="28"/>
        </w:rPr>
        <w:t>gada 4.</w:t>
      </w:r>
      <w:r w:rsidRPr="006E1658">
        <w:rPr>
          <w:sz w:val="28"/>
        </w:rPr>
        <w:t>ceturksnī noteica IKP samazinājumu par 0,1</w:t>
      </w:r>
      <w:r w:rsidR="00FF645A">
        <w:rPr>
          <w:sz w:val="28"/>
        </w:rPr>
        <w:t xml:space="preserve"> procentpunktu</w:t>
      </w:r>
      <w:r w:rsidRPr="006E1658">
        <w:rPr>
          <w:sz w:val="28"/>
        </w:rPr>
        <w:t>, savukārt būvniecības nozarē – par 0,5 procent</w:t>
      </w:r>
      <w:r w:rsidR="00FF645A">
        <w:rPr>
          <w:sz w:val="28"/>
        </w:rPr>
        <w:t>punktiem</w:t>
      </w:r>
      <w:r w:rsidRPr="006E1658">
        <w:rPr>
          <w:sz w:val="28"/>
        </w:rPr>
        <w:t>.</w:t>
      </w:r>
    </w:p>
    <w:p w:rsidR="00FF645A" w:rsidRPr="00BB57DD" w:rsidRDefault="00FF645A" w:rsidP="005D5DF1">
      <w:pPr>
        <w:spacing w:after="40"/>
        <w:ind w:firstLine="426"/>
        <w:jc w:val="both"/>
        <w:rPr>
          <w:sz w:val="4"/>
          <w:szCs w:val="8"/>
        </w:rPr>
      </w:pPr>
    </w:p>
    <w:p w:rsidR="009334A8" w:rsidRDefault="005D5DF1" w:rsidP="00CE0538">
      <w:pPr>
        <w:ind w:firstLine="425"/>
        <w:jc w:val="both"/>
        <w:rPr>
          <w:sz w:val="28"/>
        </w:rPr>
      </w:pPr>
      <w:r w:rsidRPr="00007A5B">
        <w:rPr>
          <w:sz w:val="28"/>
        </w:rPr>
        <w:t>Stabilizējoties iekšējam pieprasījumam,</w:t>
      </w:r>
      <w:r w:rsidR="00CE0538">
        <w:rPr>
          <w:sz w:val="28"/>
        </w:rPr>
        <w:t xml:space="preserve"> 2010.gadā</w:t>
      </w:r>
      <w:r w:rsidRPr="00007A5B">
        <w:rPr>
          <w:sz w:val="28"/>
        </w:rPr>
        <w:t xml:space="preserve"> turpināja uzlaboties</w:t>
      </w:r>
      <w:r w:rsidR="00FF645A">
        <w:rPr>
          <w:sz w:val="28"/>
        </w:rPr>
        <w:t xml:space="preserve"> </w:t>
      </w:r>
      <w:r w:rsidRPr="00007A5B">
        <w:rPr>
          <w:sz w:val="28"/>
        </w:rPr>
        <w:t xml:space="preserve">situācija </w:t>
      </w:r>
      <w:r w:rsidRPr="00FF645A">
        <w:rPr>
          <w:b/>
          <w:sz w:val="28"/>
        </w:rPr>
        <w:t>mazumtirdzniecībā</w:t>
      </w:r>
      <w:r w:rsidRPr="00007A5B">
        <w:rPr>
          <w:sz w:val="28"/>
        </w:rPr>
        <w:t xml:space="preserve">. </w:t>
      </w:r>
      <w:r w:rsidRPr="00FF645A">
        <w:rPr>
          <w:sz w:val="28"/>
        </w:rPr>
        <w:t xml:space="preserve">Mazumtirdzniecības </w:t>
      </w:r>
      <w:r w:rsidR="00CE0538">
        <w:rPr>
          <w:sz w:val="28"/>
        </w:rPr>
        <w:t xml:space="preserve">uzņēmumu </w:t>
      </w:r>
      <w:r w:rsidRPr="00FF645A">
        <w:rPr>
          <w:sz w:val="28"/>
        </w:rPr>
        <w:t>apgrozījum</w:t>
      </w:r>
      <w:r w:rsidR="00CE0538">
        <w:rPr>
          <w:sz w:val="28"/>
        </w:rPr>
        <w:t>s</w:t>
      </w:r>
      <w:r w:rsidRPr="00007A5B">
        <w:rPr>
          <w:b/>
          <w:sz w:val="28"/>
        </w:rPr>
        <w:t xml:space="preserve"> </w:t>
      </w:r>
      <w:r w:rsidRPr="00007A5B">
        <w:rPr>
          <w:sz w:val="28"/>
        </w:rPr>
        <w:t>2010.gada</w:t>
      </w:r>
      <w:r w:rsidR="00CE0538">
        <w:rPr>
          <w:sz w:val="28"/>
        </w:rPr>
        <w:t xml:space="preserve"> decembrī, salīdzinot ar iepriekšējā gada decembri,</w:t>
      </w:r>
      <w:r w:rsidR="0084105B">
        <w:rPr>
          <w:sz w:val="28"/>
        </w:rPr>
        <w:t xml:space="preserve"> pieauga par 7,9</w:t>
      </w:r>
      <w:r w:rsidRPr="00007A5B">
        <w:rPr>
          <w:sz w:val="28"/>
        </w:rPr>
        <w:t xml:space="preserve">% (salīdzināmās cenās, pēc sezonāli izlīdzinātiem datiem). </w:t>
      </w:r>
      <w:r w:rsidR="00CE0538">
        <w:rPr>
          <w:sz w:val="28"/>
        </w:rPr>
        <w:t xml:space="preserve">Ņemot vērā ievērojamo apgrozījuma samazinājumu </w:t>
      </w:r>
      <w:r w:rsidR="007B1591">
        <w:rPr>
          <w:sz w:val="28"/>
        </w:rPr>
        <w:t>krīzes laikā</w:t>
      </w:r>
      <w:r w:rsidR="00CE0538">
        <w:rPr>
          <w:sz w:val="28"/>
        </w:rPr>
        <w:t xml:space="preserve">, vidēji </w:t>
      </w:r>
      <w:r w:rsidRPr="00007A5B">
        <w:rPr>
          <w:sz w:val="28"/>
        </w:rPr>
        <w:t>2010.gad</w:t>
      </w:r>
      <w:r w:rsidR="00F021A7">
        <w:rPr>
          <w:sz w:val="28"/>
        </w:rPr>
        <w:t xml:space="preserve">ā </w:t>
      </w:r>
      <w:r w:rsidRPr="00007A5B">
        <w:rPr>
          <w:sz w:val="28"/>
        </w:rPr>
        <w:t>mazumtirdznie</w:t>
      </w:r>
      <w:r w:rsidR="0084105B">
        <w:rPr>
          <w:sz w:val="28"/>
        </w:rPr>
        <w:t>cības apgrozījums vēl bija par 2,7</w:t>
      </w:r>
      <w:r w:rsidRPr="00007A5B">
        <w:rPr>
          <w:sz w:val="28"/>
        </w:rPr>
        <w:t>% mazāks</w:t>
      </w:r>
      <w:r w:rsidR="007B1591">
        <w:rPr>
          <w:sz w:val="28"/>
        </w:rPr>
        <w:t>, nekā 2009.gadā.</w:t>
      </w:r>
    </w:p>
    <w:p w:rsidR="0028419B" w:rsidRDefault="00537410" w:rsidP="007B1591">
      <w:pPr>
        <w:ind w:firstLine="425"/>
        <w:jc w:val="both"/>
        <w:rPr>
          <w:sz w:val="28"/>
        </w:rPr>
      </w:pPr>
      <w:r>
        <w:rPr>
          <w:sz w:val="28"/>
        </w:rPr>
        <w:t>2011.gada februārī, salīdzinot ar janvāri, mazumtirdzniecības apjomi pieauga par 1,5%</w:t>
      </w:r>
      <w:r w:rsidR="00CE0538">
        <w:rPr>
          <w:sz w:val="28"/>
        </w:rPr>
        <w:t xml:space="preserve"> un k</w:t>
      </w:r>
      <w:r>
        <w:rPr>
          <w:sz w:val="28"/>
        </w:rPr>
        <w:t xml:space="preserve">opumā 2011.gada </w:t>
      </w:r>
      <w:r w:rsidR="00996AA7">
        <w:rPr>
          <w:sz w:val="28"/>
        </w:rPr>
        <w:t xml:space="preserve">divos mēnešos </w:t>
      </w:r>
      <w:r w:rsidR="002215D0">
        <w:rPr>
          <w:sz w:val="28"/>
        </w:rPr>
        <w:t>mazumtirdzniecības uzņēmumu apgrozījums par</w:t>
      </w:r>
      <w:r w:rsidR="00CE0538">
        <w:rPr>
          <w:sz w:val="28"/>
        </w:rPr>
        <w:t xml:space="preserve"> gandrīz 2</w:t>
      </w:r>
      <w:r w:rsidR="002215D0">
        <w:rPr>
          <w:sz w:val="28"/>
        </w:rPr>
        <w:t xml:space="preserve">% </w:t>
      </w:r>
      <w:r w:rsidR="002215D0" w:rsidRPr="002215D0">
        <w:rPr>
          <w:sz w:val="28"/>
        </w:rPr>
        <w:t xml:space="preserve">pārsniedza iepriekšējā gada atbilstošā perioda līmeni. </w:t>
      </w:r>
      <w:r w:rsidR="0028419B">
        <w:rPr>
          <w:sz w:val="28"/>
        </w:rPr>
        <w:t>Mazumtirdzniecības pieaugumu pamatā nodrošināja n</w:t>
      </w:r>
      <w:r w:rsidR="0028419B" w:rsidRPr="0028419B">
        <w:rPr>
          <w:sz w:val="28"/>
        </w:rPr>
        <w:t>epārtikas preču tirdzniecība</w:t>
      </w:r>
      <w:r w:rsidR="0028419B">
        <w:rPr>
          <w:sz w:val="28"/>
        </w:rPr>
        <w:t>s apjomu kāpums. Tajā pašā laikā a</w:t>
      </w:r>
      <w:r w:rsidR="0028419B" w:rsidRPr="0028419B">
        <w:rPr>
          <w:sz w:val="28"/>
        </w:rPr>
        <w:t>uto degvielas mazumtirdzniecība</w:t>
      </w:r>
      <w:r w:rsidR="00EC623F">
        <w:rPr>
          <w:sz w:val="28"/>
        </w:rPr>
        <w:t>s apjomi 2011.gada janvārī-</w:t>
      </w:r>
      <w:r w:rsidR="0028419B">
        <w:rPr>
          <w:sz w:val="28"/>
        </w:rPr>
        <w:t>februārī bija par 11% mazāki nekā iepriekšējā gada attiecīgajā periodā. Arī m</w:t>
      </w:r>
      <w:r w:rsidR="0028419B" w:rsidRPr="0028419B">
        <w:rPr>
          <w:sz w:val="28"/>
        </w:rPr>
        <w:t>azumtirdzniecība</w:t>
      </w:r>
      <w:r w:rsidR="0028419B">
        <w:rPr>
          <w:sz w:val="28"/>
        </w:rPr>
        <w:t>s apjomi</w:t>
      </w:r>
      <w:r w:rsidR="0028419B" w:rsidRPr="0028419B">
        <w:rPr>
          <w:sz w:val="28"/>
        </w:rPr>
        <w:t xml:space="preserve"> pārtikas veikalos</w:t>
      </w:r>
      <w:r w:rsidR="0028419B">
        <w:rPr>
          <w:sz w:val="28"/>
        </w:rPr>
        <w:t xml:space="preserve"> ir nedaudz sarukuši (par 1,4%).</w:t>
      </w:r>
    </w:p>
    <w:p w:rsidR="0028419B" w:rsidRDefault="0028419B" w:rsidP="005D5DF1">
      <w:pPr>
        <w:spacing w:after="40"/>
        <w:ind w:firstLine="426"/>
        <w:jc w:val="both"/>
        <w:rPr>
          <w:sz w:val="28"/>
        </w:rPr>
      </w:pPr>
      <w:r>
        <w:rPr>
          <w:sz w:val="28"/>
        </w:rPr>
        <w:t>Ja mazumtirdzniecības apgrozījuma pieaugums ir mērens un nevienmērīgs, tad strauj</w:t>
      </w:r>
      <w:r w:rsidR="00BB57DD">
        <w:rPr>
          <w:sz w:val="28"/>
        </w:rPr>
        <w:t>š</w:t>
      </w:r>
      <w:r>
        <w:rPr>
          <w:sz w:val="28"/>
        </w:rPr>
        <w:t xml:space="preserve"> pieaugum</w:t>
      </w:r>
      <w:r w:rsidR="00BB57DD">
        <w:rPr>
          <w:sz w:val="28"/>
        </w:rPr>
        <w:t>s</w:t>
      </w:r>
      <w:r>
        <w:rPr>
          <w:sz w:val="28"/>
        </w:rPr>
        <w:t xml:space="preserve"> 2010.</w:t>
      </w:r>
      <w:r w:rsidR="00EC623F">
        <w:rPr>
          <w:sz w:val="28"/>
        </w:rPr>
        <w:t xml:space="preserve">gada </w:t>
      </w:r>
      <w:r>
        <w:rPr>
          <w:sz w:val="28"/>
        </w:rPr>
        <w:t>laikā bija vērojams vairumtirdzniecībā, jo nozare lielā m</w:t>
      </w:r>
      <w:r w:rsidR="00BB57DD">
        <w:rPr>
          <w:sz w:val="28"/>
        </w:rPr>
        <w:t>ē</w:t>
      </w:r>
      <w:r>
        <w:rPr>
          <w:sz w:val="28"/>
        </w:rPr>
        <w:t xml:space="preserve">rā ir saistīta arī ar </w:t>
      </w:r>
      <w:r w:rsidR="00BB57DD">
        <w:rPr>
          <w:sz w:val="28"/>
        </w:rPr>
        <w:t>eksporta preču realizāciju. 2010.gada 4.ceturksnī vairumtirdzniecības apjomi bija par 36% liel</w:t>
      </w:r>
      <w:r w:rsidR="00CE0538">
        <w:rPr>
          <w:sz w:val="28"/>
        </w:rPr>
        <w:t>āki nekā 2009.gada 4.ceturksnī.</w:t>
      </w:r>
    </w:p>
    <w:p w:rsidR="00CB6FDB" w:rsidRPr="00FF645A" w:rsidRDefault="00CB6FDB" w:rsidP="005D5DF1">
      <w:pPr>
        <w:rPr>
          <w:sz w:val="8"/>
          <w:szCs w:val="8"/>
        </w:rPr>
      </w:pPr>
    </w:p>
    <w:p w:rsidR="008A47E0" w:rsidRPr="008A47E0" w:rsidRDefault="005D5DF1" w:rsidP="008A47E0">
      <w:pPr>
        <w:spacing w:after="40"/>
        <w:ind w:firstLine="426"/>
        <w:jc w:val="both"/>
        <w:rPr>
          <w:sz w:val="28"/>
        </w:rPr>
      </w:pPr>
      <w:r w:rsidRPr="00007A5B">
        <w:rPr>
          <w:sz w:val="28"/>
        </w:rPr>
        <w:t xml:space="preserve">Atbilstoši investīciju samazinājumam tautsaimniecībā, ir sarukuši </w:t>
      </w:r>
      <w:r w:rsidRPr="00007A5B">
        <w:rPr>
          <w:b/>
          <w:sz w:val="28"/>
        </w:rPr>
        <w:t>būvniecības produkcijas apjomi</w:t>
      </w:r>
      <w:r w:rsidRPr="00007A5B">
        <w:rPr>
          <w:sz w:val="28"/>
        </w:rPr>
        <w:t xml:space="preserve">. </w:t>
      </w:r>
      <w:r w:rsidR="00BB57DD" w:rsidRPr="008A47E0">
        <w:rPr>
          <w:sz w:val="28"/>
        </w:rPr>
        <w:t>2010.gada 4.ceturksnī, salīdzinot ar iepriekšējā gada atbilstošo ceturksni</w:t>
      </w:r>
      <w:r w:rsidR="00EC623F">
        <w:rPr>
          <w:sz w:val="28"/>
        </w:rPr>
        <w:t>,</w:t>
      </w:r>
      <w:r w:rsidR="00BB57DD" w:rsidRPr="008A47E0">
        <w:rPr>
          <w:sz w:val="28"/>
        </w:rPr>
        <w:t xml:space="preserve"> pēc darba dienu skaita izlīdzinātiem datiem salīdzināmajās cenās, būvniecības produkcijas apjoms samazinājies par 9</w:t>
      </w:r>
      <w:r w:rsidR="008A47E0">
        <w:rPr>
          <w:sz w:val="28"/>
        </w:rPr>
        <w:t>,</w:t>
      </w:r>
      <w:r w:rsidR="00BB57DD" w:rsidRPr="008A47E0">
        <w:rPr>
          <w:sz w:val="28"/>
        </w:rPr>
        <w:t xml:space="preserve">6%. Tai skaitā ēku būvniecības </w:t>
      </w:r>
      <w:r w:rsidR="00BB57DD" w:rsidRPr="008A47E0">
        <w:rPr>
          <w:sz w:val="28"/>
        </w:rPr>
        <w:lastRenderedPageBreak/>
        <w:t>apjom</w:t>
      </w:r>
      <w:r w:rsidR="008A47E0">
        <w:rPr>
          <w:sz w:val="28"/>
        </w:rPr>
        <w:t xml:space="preserve">i </w:t>
      </w:r>
      <w:r w:rsidR="00BB57DD" w:rsidRPr="008A47E0">
        <w:rPr>
          <w:sz w:val="28"/>
        </w:rPr>
        <w:t>saru</w:t>
      </w:r>
      <w:r w:rsidR="008A47E0">
        <w:rPr>
          <w:sz w:val="28"/>
        </w:rPr>
        <w:t xml:space="preserve">ka </w:t>
      </w:r>
      <w:r w:rsidR="00BB57DD" w:rsidRPr="008A47E0">
        <w:rPr>
          <w:sz w:val="28"/>
        </w:rPr>
        <w:t>p</w:t>
      </w:r>
      <w:r w:rsidR="008A47E0">
        <w:rPr>
          <w:sz w:val="28"/>
        </w:rPr>
        <w:t>ar 6%, savukārt</w:t>
      </w:r>
      <w:r w:rsidR="009B4B86">
        <w:rPr>
          <w:sz w:val="28"/>
        </w:rPr>
        <w:t xml:space="preserve"> </w:t>
      </w:r>
      <w:r w:rsidR="008A47E0">
        <w:rPr>
          <w:sz w:val="28"/>
        </w:rPr>
        <w:t>inženierbūvju celtniecības apjomi – par 11,</w:t>
      </w:r>
      <w:r w:rsidR="00BB57DD" w:rsidRPr="008A47E0">
        <w:rPr>
          <w:sz w:val="28"/>
        </w:rPr>
        <w:t>9%.</w:t>
      </w:r>
      <w:r w:rsidR="008A47E0">
        <w:rPr>
          <w:sz w:val="28"/>
        </w:rPr>
        <w:t xml:space="preserve"> </w:t>
      </w:r>
      <w:r w:rsidR="008A47E0" w:rsidRPr="008A47E0">
        <w:rPr>
          <w:sz w:val="28"/>
        </w:rPr>
        <w:t>Vislielākais būvniecības un remontdarbu samazinājums, salīdzin</w:t>
      </w:r>
      <w:r w:rsidR="008A47E0">
        <w:rPr>
          <w:sz w:val="28"/>
        </w:rPr>
        <w:t>ot</w:t>
      </w:r>
      <w:r w:rsidR="008A47E0" w:rsidRPr="008A47E0">
        <w:rPr>
          <w:sz w:val="28"/>
        </w:rPr>
        <w:t xml:space="preserve"> ar </w:t>
      </w:r>
      <w:r w:rsidR="008A47E0">
        <w:rPr>
          <w:sz w:val="28"/>
        </w:rPr>
        <w:t>2009.</w:t>
      </w:r>
      <w:r w:rsidR="008A47E0" w:rsidRPr="008A47E0">
        <w:rPr>
          <w:sz w:val="28"/>
        </w:rPr>
        <w:t xml:space="preserve">gada </w:t>
      </w:r>
      <w:r w:rsidR="008A47E0">
        <w:rPr>
          <w:sz w:val="28"/>
        </w:rPr>
        <w:t xml:space="preserve">4.ceturksni, </w:t>
      </w:r>
      <w:r w:rsidR="008A47E0" w:rsidRPr="008A47E0">
        <w:rPr>
          <w:sz w:val="28"/>
        </w:rPr>
        <w:t>bija administratīvo ēku</w:t>
      </w:r>
      <w:r w:rsidR="008A47E0">
        <w:rPr>
          <w:sz w:val="28"/>
        </w:rPr>
        <w:t xml:space="preserve"> (par 63,4%)</w:t>
      </w:r>
      <w:r w:rsidR="008A47E0" w:rsidRPr="008A47E0">
        <w:rPr>
          <w:sz w:val="28"/>
        </w:rPr>
        <w:t xml:space="preserve"> un tiltu būvniecībā</w:t>
      </w:r>
      <w:r w:rsidR="008A47E0">
        <w:rPr>
          <w:sz w:val="28"/>
        </w:rPr>
        <w:t xml:space="preserve"> (par 47,6%)</w:t>
      </w:r>
      <w:r w:rsidR="00F13B37">
        <w:rPr>
          <w:sz w:val="28"/>
        </w:rPr>
        <w:t xml:space="preserve">. Tajā pašā laikā </w:t>
      </w:r>
      <w:r w:rsidR="008A47E0" w:rsidRPr="008A47E0">
        <w:rPr>
          <w:sz w:val="28"/>
        </w:rPr>
        <w:t>būvniecības apjomi pieauguši mazumtirdzniecības un vairumtirdzniecības ēku, rūpniecības ražošanas ēku un noliktavu būvniecībā.</w:t>
      </w:r>
    </w:p>
    <w:p w:rsidR="00BB57DD" w:rsidRPr="00F13B37" w:rsidRDefault="00BB57DD" w:rsidP="00CB6FDB">
      <w:pPr>
        <w:ind w:firstLine="426"/>
        <w:jc w:val="both"/>
        <w:rPr>
          <w:sz w:val="12"/>
          <w:szCs w:val="12"/>
        </w:rPr>
      </w:pPr>
    </w:p>
    <w:p w:rsidR="00CB6FDB" w:rsidRPr="00CB6FDB" w:rsidRDefault="00F13B37" w:rsidP="001B2E78">
      <w:pPr>
        <w:ind w:firstLine="284"/>
        <w:jc w:val="both"/>
        <w:rPr>
          <w:sz w:val="28"/>
        </w:rPr>
      </w:pPr>
      <w:r w:rsidRPr="00F13B37">
        <w:rPr>
          <w:b/>
          <w:sz w:val="28"/>
        </w:rPr>
        <w:t>Apstrādes rūpniecībā</w:t>
      </w:r>
      <w:r w:rsidRPr="00F13B37">
        <w:rPr>
          <w:sz w:val="28"/>
        </w:rPr>
        <w:t xml:space="preserve"> arī 2010. gadā turpināja palielināties ražošanas apjomi (par 1</w:t>
      </w:r>
      <w:r w:rsidR="009334A8">
        <w:rPr>
          <w:sz w:val="28"/>
        </w:rPr>
        <w:t>5</w:t>
      </w:r>
      <w:r w:rsidRPr="00F13B37">
        <w:rPr>
          <w:sz w:val="28"/>
        </w:rPr>
        <w:t>,</w:t>
      </w:r>
      <w:r w:rsidR="009334A8">
        <w:rPr>
          <w:sz w:val="28"/>
        </w:rPr>
        <w:t>4</w:t>
      </w:r>
      <w:r w:rsidRPr="00F13B37">
        <w:rPr>
          <w:sz w:val="28"/>
        </w:rPr>
        <w:t>% salīdzinājumā ar iepriekšējo gadu). Nozares salīdzinoši straujās atveseļošanās pamatā ir</w:t>
      </w:r>
      <w:r w:rsidR="009334A8">
        <w:rPr>
          <w:sz w:val="28"/>
        </w:rPr>
        <w:t xml:space="preserve"> ne tikai ārējā pieprasījuma pieaugums, bet arī</w:t>
      </w:r>
      <w:r w:rsidRPr="00F13B37">
        <w:rPr>
          <w:sz w:val="28"/>
        </w:rPr>
        <w:t xml:space="preserve"> konkurētspējas palielinājums, kas tika panākts krīzes laikā ievērojami samazinot izmaksas. </w:t>
      </w:r>
      <w:r w:rsidR="00CB6FDB" w:rsidRPr="00CB6FDB">
        <w:rPr>
          <w:sz w:val="28"/>
        </w:rPr>
        <w:t>Lielākais ieg</w:t>
      </w:r>
      <w:r w:rsidR="001B2E78">
        <w:rPr>
          <w:sz w:val="28"/>
        </w:rPr>
        <w:t>uldījums nozares izaugsmē 2010.</w:t>
      </w:r>
      <w:r w:rsidR="00CB6FDB" w:rsidRPr="00CB6FDB">
        <w:rPr>
          <w:sz w:val="28"/>
        </w:rPr>
        <w:t>gadā bija kokapstrādei, kur ražošanas apjomi bija par 33% lielāki nekā iepriekšējā gadā. Metālu un metā</w:t>
      </w:r>
      <w:r w:rsidR="009334A8">
        <w:rPr>
          <w:sz w:val="28"/>
        </w:rPr>
        <w:t xml:space="preserve">la izstrādājumu ražošanas nozarē ražošanas </w:t>
      </w:r>
      <w:r w:rsidR="00CB6FDB" w:rsidRPr="00CB6FDB">
        <w:rPr>
          <w:sz w:val="28"/>
        </w:rPr>
        <w:t>apjomi pieauga par vairāk nekā 24%. Pozitīvas tendences vērojamas arī papīra ražošanas un poligrāfijas, elektrisko un optisko iekārtu, kā arī transportlīdzekļu ražošanas un mašīnbūves nozarēs.</w:t>
      </w:r>
    </w:p>
    <w:p w:rsidR="00CB6FDB" w:rsidRDefault="00E85FCF" w:rsidP="005D5DF1">
      <w:pPr>
        <w:spacing w:after="40"/>
        <w:ind w:firstLine="426"/>
        <w:jc w:val="both"/>
        <w:rPr>
          <w:sz w:val="28"/>
        </w:rPr>
      </w:pPr>
      <w:r>
        <w:rPr>
          <w:sz w:val="28"/>
        </w:rPr>
        <w:t xml:space="preserve">Apstrādes rūpniecībā </w:t>
      </w:r>
      <w:r w:rsidR="001B2E78">
        <w:rPr>
          <w:sz w:val="28"/>
        </w:rPr>
        <w:t>201</w:t>
      </w:r>
      <w:r>
        <w:rPr>
          <w:sz w:val="28"/>
        </w:rPr>
        <w:t>0</w:t>
      </w:r>
      <w:r w:rsidR="001B2E78">
        <w:rPr>
          <w:sz w:val="28"/>
        </w:rPr>
        <w:t xml:space="preserve">.gada </w:t>
      </w:r>
      <w:r>
        <w:rPr>
          <w:sz w:val="28"/>
        </w:rPr>
        <w:t>nogalē un 2011.gada janvārī, salīdzinot ar iepriekšējiem mēnešiem, bija vērojams neliels ražošanas apjomu samazinājums, kas bija sa</w:t>
      </w:r>
      <w:r w:rsidR="00EC623F">
        <w:rPr>
          <w:sz w:val="28"/>
        </w:rPr>
        <w:t>i</w:t>
      </w:r>
      <w:r>
        <w:rPr>
          <w:sz w:val="28"/>
        </w:rPr>
        <w:t>stīs ar sezonāla rakstura svārstībām. 2011.gada februārī, salīdzinot ar janvāri</w:t>
      </w:r>
      <w:r w:rsidR="00EC623F">
        <w:rPr>
          <w:sz w:val="28"/>
        </w:rPr>
        <w:t>,</w:t>
      </w:r>
      <w:r>
        <w:rPr>
          <w:sz w:val="28"/>
        </w:rPr>
        <w:t xml:space="preserve"> ražošanas apjomi nozarē pieauga par 1,5%. 2011.gada divos mēnešos nozarē saražotās produkcijas apjomi bija par 13,7% lielāki nekā 2010.gada janvārī</w:t>
      </w:r>
      <w:r w:rsidR="00EC623F">
        <w:rPr>
          <w:sz w:val="28"/>
        </w:rPr>
        <w:t>-</w:t>
      </w:r>
      <w:r>
        <w:rPr>
          <w:sz w:val="28"/>
        </w:rPr>
        <w:t>februārī. Vislielākais ieguldījums apjomu pieaugumā gada griezumā joprojām bija kokapstrādei (</w:t>
      </w:r>
      <w:r w:rsidR="00EC623F">
        <w:rPr>
          <w:sz w:val="28"/>
        </w:rPr>
        <w:t>ražošanas apjomu pieaugums par</w:t>
      </w:r>
      <w:r>
        <w:rPr>
          <w:sz w:val="28"/>
        </w:rPr>
        <w:t xml:space="preserve"> 16,5%) un metālapstrādei (pieaugums par 25,3%). </w:t>
      </w:r>
      <w:r w:rsidR="00EC623F">
        <w:rPr>
          <w:sz w:val="28"/>
        </w:rPr>
        <w:t>Visstraujākais</w:t>
      </w:r>
      <w:r>
        <w:rPr>
          <w:sz w:val="28"/>
        </w:rPr>
        <w:t xml:space="preserve"> apjomu pieaugums bija</w:t>
      </w:r>
      <w:r w:rsidR="00EC623F">
        <w:rPr>
          <w:sz w:val="28"/>
        </w:rPr>
        <w:t xml:space="preserve"> vērojams</w:t>
      </w:r>
      <w:r>
        <w:rPr>
          <w:sz w:val="28"/>
        </w:rPr>
        <w:t xml:space="preserve"> vieglajā rūpniecībā un nemetālisko minerālu ražošanā (pieaugums par</w:t>
      </w:r>
      <w:r w:rsidR="009B4B86">
        <w:rPr>
          <w:sz w:val="28"/>
        </w:rPr>
        <w:t xml:space="preserve"> </w:t>
      </w:r>
      <w:r>
        <w:rPr>
          <w:sz w:val="28"/>
        </w:rPr>
        <w:t xml:space="preserve">vairāk </w:t>
      </w:r>
      <w:r w:rsidR="00EC623F">
        <w:rPr>
          <w:sz w:val="28"/>
        </w:rPr>
        <w:t>ne</w:t>
      </w:r>
      <w:r>
        <w:rPr>
          <w:sz w:val="28"/>
        </w:rPr>
        <w:t>kā 40%), ko galvenokārt nodrošināja nozaru sekmīga pārorientēšanās uz eksporta tirgiem.</w:t>
      </w:r>
    </w:p>
    <w:p w:rsidR="005D5DF1" w:rsidRPr="00007A5B" w:rsidRDefault="005D5DF1" w:rsidP="005D5DF1">
      <w:pPr>
        <w:pStyle w:val="Taksts11"/>
        <w:spacing w:after="40"/>
        <w:ind w:firstLine="426"/>
        <w:rPr>
          <w:rFonts w:eastAsia="Calibri"/>
          <w:sz w:val="28"/>
          <w:szCs w:val="28"/>
          <w:lang w:val="lv-LV"/>
        </w:rPr>
      </w:pPr>
      <w:r w:rsidRPr="00007A5B">
        <w:rPr>
          <w:rFonts w:eastAsia="Calibri"/>
          <w:sz w:val="28"/>
          <w:szCs w:val="28"/>
          <w:lang w:val="lv-LV"/>
        </w:rPr>
        <w:t>201</w:t>
      </w:r>
      <w:r w:rsidR="00E85FCF">
        <w:rPr>
          <w:rFonts w:eastAsia="Calibri"/>
          <w:sz w:val="28"/>
          <w:szCs w:val="28"/>
          <w:lang w:val="lv-LV"/>
        </w:rPr>
        <w:t>1</w:t>
      </w:r>
      <w:r w:rsidRPr="00007A5B">
        <w:rPr>
          <w:rFonts w:eastAsia="Calibri"/>
          <w:sz w:val="28"/>
          <w:szCs w:val="28"/>
          <w:lang w:val="lv-LV"/>
        </w:rPr>
        <w:t xml:space="preserve">.gada </w:t>
      </w:r>
      <w:r w:rsidR="00E85FCF">
        <w:rPr>
          <w:rFonts w:eastAsia="Calibri"/>
          <w:sz w:val="28"/>
          <w:szCs w:val="28"/>
          <w:lang w:val="lv-LV"/>
        </w:rPr>
        <w:t xml:space="preserve">divos </w:t>
      </w:r>
      <w:r w:rsidRPr="00007A5B">
        <w:rPr>
          <w:rFonts w:eastAsia="Calibri"/>
          <w:sz w:val="28"/>
          <w:szCs w:val="28"/>
          <w:lang w:val="lv-LV"/>
        </w:rPr>
        <w:t>mēnešos a</w:t>
      </w:r>
      <w:r w:rsidRPr="00007A5B">
        <w:rPr>
          <w:sz w:val="28"/>
          <w:szCs w:val="28"/>
          <w:lang w:val="lv-LV"/>
        </w:rPr>
        <w:t xml:space="preserve">pstrādes rūpniecības produkcijas </w:t>
      </w:r>
      <w:r w:rsidR="00541DEB">
        <w:rPr>
          <w:rFonts w:eastAsia="Calibri"/>
          <w:sz w:val="28"/>
          <w:szCs w:val="28"/>
          <w:lang w:val="lv-LV"/>
        </w:rPr>
        <w:t xml:space="preserve">realizācijas ieņēmumi bija par </w:t>
      </w:r>
      <w:r w:rsidR="00E85FCF">
        <w:rPr>
          <w:rFonts w:eastAsia="Calibri"/>
          <w:sz w:val="28"/>
          <w:szCs w:val="28"/>
          <w:lang w:val="lv-LV"/>
        </w:rPr>
        <w:t>31,6</w:t>
      </w:r>
      <w:r w:rsidRPr="00007A5B">
        <w:rPr>
          <w:rFonts w:eastAsia="Calibri"/>
          <w:sz w:val="28"/>
          <w:szCs w:val="28"/>
          <w:lang w:val="lv-LV"/>
        </w:rPr>
        <w:t>% lielāki nekā iepriekšējā gada atbilstošajā periodā.</w:t>
      </w:r>
      <w:r w:rsidR="00E85FCF">
        <w:rPr>
          <w:rFonts w:eastAsia="Calibri"/>
          <w:sz w:val="28"/>
          <w:szCs w:val="28"/>
          <w:lang w:val="lv-LV"/>
        </w:rPr>
        <w:t xml:space="preserve"> Ja vēl 2010.gadā v</w:t>
      </w:r>
      <w:r w:rsidRPr="00007A5B">
        <w:rPr>
          <w:rFonts w:eastAsia="Calibri"/>
          <w:sz w:val="28"/>
          <w:szCs w:val="28"/>
          <w:lang w:val="lv-LV"/>
        </w:rPr>
        <w:t>ājā iekšzemes pieprasījuma rezultātā produkcijas realizācija vietējā tirgū p</w:t>
      </w:r>
      <w:r w:rsidR="00541DEB">
        <w:rPr>
          <w:rFonts w:eastAsia="Calibri"/>
          <w:sz w:val="28"/>
          <w:szCs w:val="28"/>
          <w:lang w:val="lv-LV"/>
        </w:rPr>
        <w:t>ieauga ļoti mēreni, tad 2011.gada divos mēnešos vietējā tirgū realizētās produkcijas apjomi jau par gandrīz 13% pārsniedza 2010.gada janvāra</w:t>
      </w:r>
      <w:r w:rsidR="00EC623F">
        <w:rPr>
          <w:rFonts w:eastAsia="Calibri"/>
          <w:sz w:val="28"/>
          <w:szCs w:val="28"/>
          <w:lang w:val="lv-LV"/>
        </w:rPr>
        <w:t>-</w:t>
      </w:r>
      <w:r w:rsidR="00541DEB">
        <w:rPr>
          <w:rFonts w:eastAsia="Calibri"/>
          <w:sz w:val="28"/>
          <w:szCs w:val="28"/>
          <w:lang w:val="lv-LV"/>
        </w:rPr>
        <w:t xml:space="preserve">februāra līmeni. </w:t>
      </w:r>
      <w:r w:rsidR="00EC623F">
        <w:rPr>
          <w:rFonts w:eastAsia="Calibri"/>
          <w:sz w:val="28"/>
          <w:szCs w:val="28"/>
          <w:lang w:val="lv-LV"/>
        </w:rPr>
        <w:t>T</w:t>
      </w:r>
      <w:r w:rsidR="00541DEB">
        <w:rPr>
          <w:rFonts w:eastAsia="Calibri"/>
          <w:sz w:val="28"/>
          <w:szCs w:val="28"/>
          <w:lang w:val="lv-LV"/>
        </w:rPr>
        <w:t>ajā pašā laikā joprojām strauji palielinājās</w:t>
      </w:r>
      <w:r w:rsidR="00541DEB" w:rsidRPr="00007A5B">
        <w:rPr>
          <w:rFonts w:eastAsia="Calibri"/>
          <w:sz w:val="28"/>
          <w:szCs w:val="28"/>
          <w:lang w:val="lv-LV"/>
        </w:rPr>
        <w:t xml:space="preserve"> </w:t>
      </w:r>
      <w:r w:rsidRPr="00007A5B">
        <w:rPr>
          <w:rFonts w:eastAsia="Calibri"/>
          <w:sz w:val="28"/>
          <w:szCs w:val="28"/>
          <w:lang w:val="lv-LV"/>
        </w:rPr>
        <w:t xml:space="preserve">eksportētās produkcijas realizācija </w:t>
      </w:r>
      <w:r w:rsidR="00541DEB">
        <w:rPr>
          <w:rFonts w:eastAsia="Calibri"/>
          <w:sz w:val="28"/>
          <w:szCs w:val="28"/>
          <w:lang w:val="lv-LV"/>
        </w:rPr>
        <w:t>(par 44</w:t>
      </w:r>
      <w:r w:rsidRPr="00007A5B">
        <w:rPr>
          <w:rFonts w:eastAsia="Calibri"/>
          <w:sz w:val="28"/>
          <w:szCs w:val="28"/>
          <w:lang w:val="lv-LV"/>
        </w:rPr>
        <w:t>,</w:t>
      </w:r>
      <w:r w:rsidR="00541DEB">
        <w:rPr>
          <w:rFonts w:eastAsia="Calibri"/>
          <w:sz w:val="28"/>
          <w:szCs w:val="28"/>
          <w:lang w:val="lv-LV"/>
        </w:rPr>
        <w:t>7%).</w:t>
      </w:r>
    </w:p>
    <w:p w:rsidR="00F76057" w:rsidRDefault="00541DEB" w:rsidP="005D5DF1">
      <w:pPr>
        <w:spacing w:after="40"/>
        <w:ind w:firstLine="426"/>
        <w:jc w:val="both"/>
        <w:rPr>
          <w:sz w:val="28"/>
        </w:rPr>
      </w:pPr>
      <w:r>
        <w:rPr>
          <w:sz w:val="28"/>
        </w:rPr>
        <w:t xml:space="preserve">Straujais realizācijas ieņēmumu kāpums skaidrojams ne tikai ar ražošanas apjomu palielinājumu, bet arī ar ražotāju cenu pieaugumu. </w:t>
      </w:r>
      <w:r w:rsidR="005D5DF1" w:rsidRPr="00007A5B">
        <w:rPr>
          <w:sz w:val="28"/>
        </w:rPr>
        <w:t>201</w:t>
      </w:r>
      <w:r>
        <w:rPr>
          <w:sz w:val="28"/>
        </w:rPr>
        <w:t>1</w:t>
      </w:r>
      <w:r w:rsidR="005D5DF1" w:rsidRPr="00007A5B">
        <w:rPr>
          <w:sz w:val="28"/>
        </w:rPr>
        <w:t xml:space="preserve">.gada </w:t>
      </w:r>
      <w:r>
        <w:rPr>
          <w:sz w:val="28"/>
        </w:rPr>
        <w:t xml:space="preserve">februārī </w:t>
      </w:r>
      <w:r w:rsidR="005D5DF1" w:rsidRPr="00007A5B">
        <w:rPr>
          <w:sz w:val="28"/>
        </w:rPr>
        <w:t>apstrādes rūpniecīb</w:t>
      </w:r>
      <w:r>
        <w:rPr>
          <w:sz w:val="28"/>
        </w:rPr>
        <w:t>ā ražotāju cenas bija par 8</w:t>
      </w:r>
      <w:r w:rsidR="005D5DF1" w:rsidRPr="00007A5B">
        <w:rPr>
          <w:sz w:val="28"/>
        </w:rPr>
        <w:t>,</w:t>
      </w:r>
      <w:r>
        <w:rPr>
          <w:sz w:val="28"/>
        </w:rPr>
        <w:t>4</w:t>
      </w:r>
      <w:r w:rsidR="005D5DF1" w:rsidRPr="00007A5B">
        <w:rPr>
          <w:sz w:val="28"/>
        </w:rPr>
        <w:t xml:space="preserve">% augstākas nekā gadu iepriekš. </w:t>
      </w:r>
      <w:r>
        <w:rPr>
          <w:sz w:val="28"/>
        </w:rPr>
        <w:t>Neraugoties uz joprojām z</w:t>
      </w:r>
      <w:r w:rsidR="005D5DF1" w:rsidRPr="00007A5B">
        <w:rPr>
          <w:sz w:val="28"/>
        </w:rPr>
        <w:t>em</w:t>
      </w:r>
      <w:r>
        <w:rPr>
          <w:sz w:val="28"/>
        </w:rPr>
        <w:t>o</w:t>
      </w:r>
      <w:r w:rsidR="005D5DF1" w:rsidRPr="00007A5B">
        <w:rPr>
          <w:sz w:val="28"/>
        </w:rPr>
        <w:t xml:space="preserve"> </w:t>
      </w:r>
      <w:r>
        <w:rPr>
          <w:sz w:val="28"/>
        </w:rPr>
        <w:t xml:space="preserve">iekšzemes </w:t>
      </w:r>
      <w:r w:rsidR="005D5DF1" w:rsidRPr="00007A5B">
        <w:rPr>
          <w:sz w:val="28"/>
        </w:rPr>
        <w:t>pieprasījum</w:t>
      </w:r>
      <w:r>
        <w:rPr>
          <w:sz w:val="28"/>
        </w:rPr>
        <w:t xml:space="preserve">u, </w:t>
      </w:r>
      <w:r w:rsidR="005D5DF1" w:rsidRPr="00007A5B">
        <w:rPr>
          <w:sz w:val="28"/>
        </w:rPr>
        <w:t>vietējā tirgū realizētajai produkcijai ražotāju cenas 12 mēnešu</w:t>
      </w:r>
      <w:r>
        <w:rPr>
          <w:sz w:val="28"/>
        </w:rPr>
        <w:t xml:space="preserve"> laikā bija palielinājušās par 7%. E</w:t>
      </w:r>
      <w:r w:rsidR="005D5DF1" w:rsidRPr="00007A5B">
        <w:rPr>
          <w:sz w:val="28"/>
        </w:rPr>
        <w:t xml:space="preserve">ksportētajai produkcijai ražotāju cenas </w:t>
      </w:r>
      <w:r>
        <w:rPr>
          <w:sz w:val="28"/>
        </w:rPr>
        <w:t xml:space="preserve">šī gada februārī </w:t>
      </w:r>
      <w:r w:rsidR="005D5DF1" w:rsidRPr="00007A5B">
        <w:rPr>
          <w:sz w:val="28"/>
        </w:rPr>
        <w:t xml:space="preserve">bija par </w:t>
      </w:r>
      <w:r>
        <w:rPr>
          <w:sz w:val="28"/>
        </w:rPr>
        <w:t>9,7</w:t>
      </w:r>
      <w:r w:rsidR="005D5DF1" w:rsidRPr="00007A5B">
        <w:rPr>
          <w:sz w:val="28"/>
        </w:rPr>
        <w:t>% augstākas nekā 20</w:t>
      </w:r>
      <w:r>
        <w:rPr>
          <w:sz w:val="28"/>
        </w:rPr>
        <w:t>10</w:t>
      </w:r>
      <w:r w:rsidR="005D5DF1" w:rsidRPr="00007A5B">
        <w:rPr>
          <w:sz w:val="28"/>
        </w:rPr>
        <w:t xml:space="preserve">.gada </w:t>
      </w:r>
      <w:r>
        <w:rPr>
          <w:sz w:val="28"/>
        </w:rPr>
        <w:t>februārī</w:t>
      </w:r>
      <w:r w:rsidR="005D5DF1" w:rsidRPr="00007A5B">
        <w:rPr>
          <w:sz w:val="28"/>
        </w:rPr>
        <w:t>. Lielākie ražotāju cenu kāpumi ir vērojami apstrādes rūpniecības nozarēs, kurām ārējos tirgos strauji aug pieprasījums</w:t>
      </w:r>
      <w:r w:rsidR="00F76057">
        <w:rPr>
          <w:sz w:val="28"/>
        </w:rPr>
        <w:t>, piemēram</w:t>
      </w:r>
      <w:r w:rsidR="00EC623F">
        <w:rPr>
          <w:sz w:val="28"/>
        </w:rPr>
        <w:t>,</w:t>
      </w:r>
      <w:r w:rsidR="00F76057">
        <w:rPr>
          <w:sz w:val="28"/>
        </w:rPr>
        <w:t xml:space="preserve"> metālapstrādes nozarē šī gada februārī ražotāju cenas bija par 22,7% augstāks nekā pirms gada.</w:t>
      </w:r>
      <w:r w:rsidR="00F76057" w:rsidRPr="00F76057">
        <w:rPr>
          <w:sz w:val="28"/>
        </w:rPr>
        <w:t xml:space="preserve"> </w:t>
      </w:r>
      <w:r w:rsidR="00F76057" w:rsidRPr="00007A5B">
        <w:rPr>
          <w:sz w:val="28"/>
        </w:rPr>
        <w:t>Gada laikā ražotāju cenas pārtikas rūpn</w:t>
      </w:r>
      <w:r w:rsidR="00F76057">
        <w:rPr>
          <w:sz w:val="28"/>
        </w:rPr>
        <w:t>iecībā pieauga par 8</w:t>
      </w:r>
      <w:r w:rsidR="00F76057" w:rsidRPr="00007A5B">
        <w:rPr>
          <w:sz w:val="28"/>
        </w:rPr>
        <w:t xml:space="preserve"> procentiem</w:t>
      </w:r>
      <w:r w:rsidR="00EC623F">
        <w:rPr>
          <w:sz w:val="28"/>
        </w:rPr>
        <w:t>.</w:t>
      </w:r>
    </w:p>
    <w:p w:rsidR="00F76057" w:rsidRDefault="005D5DF1" w:rsidP="005D5DF1">
      <w:pPr>
        <w:pStyle w:val="Taksts11"/>
        <w:spacing w:after="40"/>
        <w:ind w:firstLine="426"/>
        <w:rPr>
          <w:rFonts w:eastAsia="Calibri"/>
          <w:sz w:val="28"/>
          <w:szCs w:val="28"/>
          <w:lang w:val="lv-LV"/>
        </w:rPr>
      </w:pPr>
      <w:r w:rsidRPr="00007A5B">
        <w:rPr>
          <w:rFonts w:eastAsia="Calibri"/>
          <w:sz w:val="28"/>
          <w:szCs w:val="28"/>
          <w:lang w:val="lv-LV"/>
        </w:rPr>
        <w:t xml:space="preserve">Iekšējam pieprasījumam joprojām saglabājoties zemā līmenī, bet ārējam pieprasījumam augot, </w:t>
      </w:r>
      <w:r w:rsidR="00F76057">
        <w:rPr>
          <w:rFonts w:eastAsia="Calibri"/>
          <w:sz w:val="28"/>
          <w:szCs w:val="28"/>
          <w:lang w:val="lv-LV"/>
        </w:rPr>
        <w:t xml:space="preserve">turpina </w:t>
      </w:r>
      <w:r w:rsidR="006B06B6">
        <w:rPr>
          <w:rFonts w:eastAsia="Calibri"/>
          <w:sz w:val="28"/>
          <w:szCs w:val="28"/>
          <w:lang w:val="lv-LV"/>
        </w:rPr>
        <w:t>palielināti</w:t>
      </w:r>
      <w:r w:rsidRPr="00007A5B">
        <w:rPr>
          <w:rFonts w:eastAsia="Calibri"/>
          <w:sz w:val="28"/>
          <w:szCs w:val="28"/>
          <w:lang w:val="lv-LV"/>
        </w:rPr>
        <w:t>es eksporta īpatsvars apstrādes rūpniecības realizācijā. 201</w:t>
      </w:r>
      <w:r w:rsidR="00F76057">
        <w:rPr>
          <w:rFonts w:eastAsia="Calibri"/>
          <w:sz w:val="28"/>
          <w:szCs w:val="28"/>
          <w:lang w:val="lv-LV"/>
        </w:rPr>
        <w:t>1</w:t>
      </w:r>
      <w:r w:rsidRPr="00007A5B">
        <w:rPr>
          <w:rFonts w:eastAsia="Calibri"/>
          <w:sz w:val="28"/>
          <w:szCs w:val="28"/>
          <w:lang w:val="lv-LV"/>
        </w:rPr>
        <w:t>.gada</w:t>
      </w:r>
      <w:r w:rsidR="00F76057">
        <w:rPr>
          <w:rFonts w:eastAsia="Calibri"/>
          <w:sz w:val="28"/>
          <w:szCs w:val="28"/>
          <w:lang w:val="lv-LV"/>
        </w:rPr>
        <w:t xml:space="preserve"> sākumā jau gandrīz 65% no visas saražotās produkcijas tiek eksportēta.</w:t>
      </w:r>
    </w:p>
    <w:p w:rsidR="005D5DF1" w:rsidRPr="00007A5B" w:rsidRDefault="00F76057" w:rsidP="005D5DF1">
      <w:pPr>
        <w:pStyle w:val="Taksts11"/>
        <w:spacing w:after="40"/>
        <w:ind w:firstLine="426"/>
        <w:rPr>
          <w:rFonts w:eastAsia="Calibri"/>
          <w:sz w:val="28"/>
          <w:szCs w:val="28"/>
          <w:lang w:val="lv-LV"/>
        </w:rPr>
      </w:pPr>
      <w:r>
        <w:rPr>
          <w:rFonts w:eastAsia="Calibri"/>
          <w:sz w:val="28"/>
          <w:szCs w:val="28"/>
          <w:lang w:val="lv-LV"/>
        </w:rPr>
        <w:lastRenderedPageBreak/>
        <w:t xml:space="preserve">2010.gada nogalē turpināja </w:t>
      </w:r>
      <w:r w:rsidR="005D5DF1" w:rsidRPr="00007A5B">
        <w:rPr>
          <w:rFonts w:eastAsia="Calibri"/>
          <w:sz w:val="28"/>
          <w:szCs w:val="28"/>
          <w:lang w:val="lv-LV"/>
        </w:rPr>
        <w:t>pieaug</w:t>
      </w:r>
      <w:r>
        <w:rPr>
          <w:rFonts w:eastAsia="Calibri"/>
          <w:sz w:val="28"/>
          <w:szCs w:val="28"/>
          <w:lang w:val="lv-LV"/>
        </w:rPr>
        <w:t>t jauno pasūtījumu apjoms, 2010.gada 4.ceturksnī par vairāk kā 40% pārsniedzot 2009.gada 4.ceturkšņa līmeni. Jau otro ceturksni pēc kārtas j</w:t>
      </w:r>
      <w:r w:rsidR="005D5DF1" w:rsidRPr="00007A5B">
        <w:rPr>
          <w:rFonts w:eastAsia="Calibri"/>
          <w:sz w:val="28"/>
          <w:szCs w:val="28"/>
          <w:lang w:val="lv-LV"/>
        </w:rPr>
        <w:t>auno pasūtījumu pieaugumu nosaka</w:t>
      </w:r>
      <w:r>
        <w:rPr>
          <w:rFonts w:eastAsia="Calibri"/>
          <w:sz w:val="28"/>
          <w:szCs w:val="28"/>
          <w:lang w:val="lv-LV"/>
        </w:rPr>
        <w:t xml:space="preserve"> ne tikai</w:t>
      </w:r>
      <w:r w:rsidR="009B4B86">
        <w:rPr>
          <w:rFonts w:eastAsia="Calibri"/>
          <w:sz w:val="28"/>
          <w:szCs w:val="28"/>
          <w:lang w:val="lv-LV"/>
        </w:rPr>
        <w:t xml:space="preserve"> </w:t>
      </w:r>
      <w:r w:rsidR="005D5DF1" w:rsidRPr="00007A5B">
        <w:rPr>
          <w:rFonts w:eastAsia="Calibri"/>
          <w:sz w:val="28"/>
          <w:szCs w:val="28"/>
          <w:lang w:val="lv-LV"/>
        </w:rPr>
        <w:t xml:space="preserve">pieprasījuma kāpums eksporta tirgos, </w:t>
      </w:r>
      <w:r>
        <w:rPr>
          <w:rFonts w:eastAsia="Calibri"/>
          <w:sz w:val="28"/>
          <w:szCs w:val="28"/>
          <w:lang w:val="lv-LV"/>
        </w:rPr>
        <w:t xml:space="preserve">bet arī pasūtījumu skaita palielināšanās </w:t>
      </w:r>
      <w:r w:rsidR="005D5DF1" w:rsidRPr="00007A5B">
        <w:rPr>
          <w:rFonts w:eastAsia="Calibri"/>
          <w:sz w:val="28"/>
          <w:szCs w:val="28"/>
          <w:lang w:val="lv-LV"/>
        </w:rPr>
        <w:t xml:space="preserve">iekšējā tirgū (īpaši </w:t>
      </w:r>
      <w:r>
        <w:rPr>
          <w:rFonts w:eastAsia="Calibri"/>
          <w:sz w:val="28"/>
          <w:szCs w:val="28"/>
          <w:lang w:val="lv-LV"/>
        </w:rPr>
        <w:t xml:space="preserve">metālapstrādes un </w:t>
      </w:r>
      <w:r w:rsidR="005D5DF1" w:rsidRPr="00007A5B">
        <w:rPr>
          <w:rFonts w:eastAsia="Calibri"/>
          <w:sz w:val="28"/>
          <w:szCs w:val="28"/>
          <w:lang w:val="lv-LV"/>
        </w:rPr>
        <w:t>mašīnbūves nozarēs).</w:t>
      </w:r>
    </w:p>
    <w:p w:rsidR="005D5DF1" w:rsidRPr="00007A5B" w:rsidRDefault="005D5DF1" w:rsidP="005D5DF1">
      <w:pPr>
        <w:pStyle w:val="Taksts11"/>
        <w:spacing w:after="40"/>
        <w:ind w:firstLine="426"/>
        <w:rPr>
          <w:rFonts w:eastAsia="Calibri"/>
          <w:sz w:val="28"/>
          <w:szCs w:val="28"/>
          <w:lang w:val="lv-LV"/>
        </w:rPr>
      </w:pPr>
      <w:r w:rsidRPr="00007A5B">
        <w:rPr>
          <w:rFonts w:eastAsia="Calibri"/>
          <w:sz w:val="28"/>
          <w:szCs w:val="28"/>
          <w:lang w:val="lv-LV"/>
        </w:rPr>
        <w:t xml:space="preserve">Apstrādes rūpniecībā ražošanas jaudu </w:t>
      </w:r>
      <w:r w:rsidR="00A56414">
        <w:rPr>
          <w:rFonts w:eastAsia="Calibri"/>
          <w:sz w:val="28"/>
          <w:szCs w:val="28"/>
          <w:lang w:val="lv-LV"/>
        </w:rPr>
        <w:t xml:space="preserve">noslodzes </w:t>
      </w:r>
      <w:r w:rsidRPr="00007A5B">
        <w:rPr>
          <w:rFonts w:eastAsia="Calibri"/>
          <w:sz w:val="28"/>
          <w:szCs w:val="28"/>
          <w:lang w:val="lv-LV"/>
        </w:rPr>
        <w:t>līmenis 2</w:t>
      </w:r>
      <w:r w:rsidR="00F76057">
        <w:rPr>
          <w:rFonts w:eastAsia="Calibri"/>
          <w:sz w:val="28"/>
          <w:szCs w:val="28"/>
          <w:lang w:val="lv-LV"/>
        </w:rPr>
        <w:t>011</w:t>
      </w:r>
      <w:r w:rsidRPr="00007A5B">
        <w:rPr>
          <w:rFonts w:eastAsia="Calibri"/>
          <w:sz w:val="28"/>
          <w:szCs w:val="28"/>
          <w:lang w:val="lv-LV"/>
        </w:rPr>
        <w:t>.gada</w:t>
      </w:r>
      <w:r w:rsidR="00EC623F">
        <w:rPr>
          <w:rFonts w:eastAsia="Calibri"/>
          <w:sz w:val="28"/>
          <w:szCs w:val="28"/>
          <w:lang w:val="lv-LV"/>
        </w:rPr>
        <w:t xml:space="preserve"> 1.</w:t>
      </w:r>
      <w:r w:rsidR="00F76057">
        <w:rPr>
          <w:rFonts w:eastAsia="Calibri"/>
          <w:sz w:val="28"/>
          <w:szCs w:val="28"/>
          <w:lang w:val="lv-LV"/>
        </w:rPr>
        <w:t xml:space="preserve">ceturksnī </w:t>
      </w:r>
      <w:r w:rsidR="00A56414">
        <w:rPr>
          <w:rFonts w:eastAsia="Calibri"/>
          <w:sz w:val="28"/>
          <w:szCs w:val="28"/>
          <w:lang w:val="lv-LV"/>
        </w:rPr>
        <w:t xml:space="preserve">praktiski saglabājās 2010.gada </w:t>
      </w:r>
      <w:r w:rsidRPr="00007A5B">
        <w:rPr>
          <w:rFonts w:eastAsia="Calibri"/>
          <w:sz w:val="28"/>
          <w:szCs w:val="28"/>
          <w:lang w:val="lv-LV"/>
        </w:rPr>
        <w:t>3. un 4.ceturk</w:t>
      </w:r>
      <w:r w:rsidR="00A56414">
        <w:rPr>
          <w:rFonts w:eastAsia="Calibri"/>
          <w:sz w:val="28"/>
          <w:szCs w:val="28"/>
          <w:lang w:val="lv-LV"/>
        </w:rPr>
        <w:t>šņa līmen</w:t>
      </w:r>
      <w:r w:rsidR="00EC623F">
        <w:rPr>
          <w:rFonts w:eastAsia="Calibri"/>
          <w:sz w:val="28"/>
          <w:szCs w:val="28"/>
          <w:lang w:val="lv-LV"/>
        </w:rPr>
        <w:t>ī</w:t>
      </w:r>
      <w:r w:rsidR="00A56414">
        <w:rPr>
          <w:rFonts w:eastAsia="Calibri"/>
          <w:sz w:val="28"/>
          <w:szCs w:val="28"/>
          <w:lang w:val="lv-LV"/>
        </w:rPr>
        <w:t xml:space="preserve"> un veidoja 65%, </w:t>
      </w:r>
      <w:r w:rsidRPr="00007A5B">
        <w:rPr>
          <w:rFonts w:eastAsia="Calibri"/>
          <w:sz w:val="28"/>
          <w:szCs w:val="28"/>
          <w:lang w:val="lv-LV"/>
        </w:rPr>
        <w:t>kas caurmērā atbilst 2008.gada vidējam līmenim.</w:t>
      </w:r>
      <w:r w:rsidR="00A56414">
        <w:rPr>
          <w:rFonts w:eastAsia="Calibri"/>
          <w:sz w:val="28"/>
          <w:szCs w:val="28"/>
          <w:lang w:val="lv-LV"/>
        </w:rPr>
        <w:t xml:space="preserve"> Jāatzīmē, ka ražošanas jaudu noslodzes līmenis būtiski atšķiras pa uzņēmumu lieluma grupām. Ja lielajos uzņēmumos ražošanas jaudas 2011.gada 1.ceturksnī bija 71% līmenī, tad mazajos uzņēmumos ražošanas jaudu noslodze ir tikai 55</w:t>
      </w:r>
      <w:r w:rsidR="00EC623F">
        <w:rPr>
          <w:rFonts w:eastAsia="Calibri"/>
          <w:sz w:val="28"/>
          <w:szCs w:val="28"/>
          <w:lang w:val="lv-LV"/>
        </w:rPr>
        <w:t xml:space="preserve"> procenti</w:t>
      </w:r>
      <w:r w:rsidR="00A56414">
        <w:rPr>
          <w:rFonts w:eastAsia="Calibri"/>
          <w:sz w:val="28"/>
          <w:szCs w:val="28"/>
          <w:lang w:val="lv-LV"/>
        </w:rPr>
        <w:t>.</w:t>
      </w:r>
      <w:r w:rsidR="009B4B86">
        <w:rPr>
          <w:rFonts w:eastAsia="Calibri"/>
          <w:sz w:val="28"/>
          <w:szCs w:val="28"/>
          <w:lang w:val="lv-LV"/>
        </w:rPr>
        <w:t xml:space="preserve"> </w:t>
      </w:r>
    </w:p>
    <w:p w:rsidR="005D5DF1" w:rsidRPr="00A56414" w:rsidRDefault="005D5DF1" w:rsidP="005D5DF1">
      <w:pPr>
        <w:spacing w:after="40"/>
        <w:ind w:firstLine="426"/>
        <w:jc w:val="both"/>
        <w:rPr>
          <w:b/>
          <w:sz w:val="12"/>
        </w:rPr>
      </w:pPr>
    </w:p>
    <w:p w:rsidR="005D5DF1" w:rsidRPr="00007A5B" w:rsidRDefault="00E632F1" w:rsidP="005D5DF1">
      <w:pPr>
        <w:spacing w:after="60"/>
        <w:ind w:firstLine="425"/>
        <w:jc w:val="both"/>
        <w:rPr>
          <w:sz w:val="28"/>
        </w:rPr>
      </w:pPr>
      <w:r>
        <w:rPr>
          <w:b/>
          <w:sz w:val="28"/>
        </w:rPr>
        <w:t>K</w:t>
      </w:r>
      <w:r w:rsidR="005D5DF1" w:rsidRPr="00007A5B">
        <w:rPr>
          <w:b/>
          <w:sz w:val="28"/>
        </w:rPr>
        <w:t xml:space="preserve">onjunktūras apsekojumu rezultāti </w:t>
      </w:r>
      <w:r w:rsidR="005D5DF1" w:rsidRPr="00007A5B">
        <w:rPr>
          <w:sz w:val="28"/>
        </w:rPr>
        <w:t>liecina, ka uzņēmēju novērtējums par turpmākās izaugsmes iespējām turpina pakāpeniski uzlaboties. Latvijas ekonomikas sentimenta ind</w:t>
      </w:r>
      <w:r w:rsidR="002717BC">
        <w:rPr>
          <w:sz w:val="28"/>
        </w:rPr>
        <w:t xml:space="preserve">ekss </w:t>
      </w:r>
      <w:r w:rsidR="005D5DF1" w:rsidRPr="00007A5B">
        <w:rPr>
          <w:sz w:val="28"/>
        </w:rPr>
        <w:t>201</w:t>
      </w:r>
      <w:r w:rsidR="002717BC">
        <w:rPr>
          <w:sz w:val="28"/>
        </w:rPr>
        <w:t>1</w:t>
      </w:r>
      <w:r w:rsidR="005D5DF1" w:rsidRPr="00007A5B">
        <w:rPr>
          <w:sz w:val="28"/>
        </w:rPr>
        <w:t xml:space="preserve">.gada </w:t>
      </w:r>
      <w:r w:rsidR="002717BC">
        <w:rPr>
          <w:sz w:val="28"/>
        </w:rPr>
        <w:t xml:space="preserve">martā </w:t>
      </w:r>
      <w:r w:rsidR="005D5DF1" w:rsidRPr="00007A5B">
        <w:rPr>
          <w:sz w:val="28"/>
        </w:rPr>
        <w:t>bija 102,</w:t>
      </w:r>
      <w:r w:rsidR="002717BC">
        <w:rPr>
          <w:sz w:val="28"/>
        </w:rPr>
        <w:t>9</w:t>
      </w:r>
      <w:r w:rsidR="005D5DF1" w:rsidRPr="00007A5B">
        <w:rPr>
          <w:sz w:val="28"/>
        </w:rPr>
        <w:t xml:space="preserve"> punkt</w:t>
      </w:r>
      <w:r w:rsidR="002717BC">
        <w:rPr>
          <w:sz w:val="28"/>
        </w:rPr>
        <w:t>i</w:t>
      </w:r>
      <w:r w:rsidR="005D5DF1" w:rsidRPr="00007A5B">
        <w:rPr>
          <w:sz w:val="28"/>
        </w:rPr>
        <w:t xml:space="preserve">. </w:t>
      </w:r>
      <w:r w:rsidR="002717BC">
        <w:rPr>
          <w:sz w:val="28"/>
        </w:rPr>
        <w:t>Kopš 2010.gada janvāra ekonomikas sentimenta indikators ir palielinājies par 16,6 procentpunktiem.</w:t>
      </w:r>
      <w:r w:rsidR="005D5DF1" w:rsidRPr="00007A5B">
        <w:rPr>
          <w:sz w:val="28"/>
        </w:rPr>
        <w:t xml:space="preserve"> Iepriekš 100 punktu robežu ekonomikas sentimenta indekss </w:t>
      </w:r>
      <w:r w:rsidR="002717BC">
        <w:rPr>
          <w:sz w:val="28"/>
        </w:rPr>
        <w:t xml:space="preserve">bija </w:t>
      </w:r>
      <w:r w:rsidR="005D5DF1" w:rsidRPr="00007A5B">
        <w:rPr>
          <w:sz w:val="28"/>
        </w:rPr>
        <w:t>pārsniedz</w:t>
      </w:r>
      <w:r w:rsidR="002717BC">
        <w:rPr>
          <w:sz w:val="28"/>
        </w:rPr>
        <w:t>is</w:t>
      </w:r>
      <w:r w:rsidR="005D5DF1" w:rsidRPr="00007A5B">
        <w:rPr>
          <w:sz w:val="28"/>
        </w:rPr>
        <w:t xml:space="preserve"> 2008.gada sākumā.</w:t>
      </w:r>
    </w:p>
    <w:p w:rsidR="002717BC" w:rsidRDefault="002717BC" w:rsidP="005D5DF1">
      <w:pPr>
        <w:spacing w:after="60"/>
        <w:ind w:firstLine="425"/>
        <w:jc w:val="both"/>
        <w:rPr>
          <w:sz w:val="28"/>
        </w:rPr>
      </w:pPr>
      <w:r>
        <w:rPr>
          <w:sz w:val="28"/>
        </w:rPr>
        <w:t>Ekonomikas sentimenta indeksa pieaugumu pamatā nosaka konfidences uzlabošanās rūpniecībā, tirdzniecībā un pakalpojumos. Savukārt būvniecības nozares konfidences rādītājs, lai arī pieaug, tomēr joprojām ir ļoti zemā līmenī, kas ir saistīts ar nozares ievērojamo ražošanas apjomu samazināšanos krīzes laikā.</w:t>
      </w:r>
      <w:r w:rsidR="0081207A">
        <w:rPr>
          <w:sz w:val="28"/>
        </w:rPr>
        <w:t xml:space="preserve"> P</w:t>
      </w:r>
      <w:r>
        <w:rPr>
          <w:sz w:val="28"/>
        </w:rPr>
        <w:t>atērētāju konjunktūras apsekojumi liecina</w:t>
      </w:r>
      <w:r w:rsidR="0081207A">
        <w:rPr>
          <w:sz w:val="28"/>
        </w:rPr>
        <w:t xml:space="preserve">, kā mājsaimniecību redzējums par </w:t>
      </w:r>
      <w:r>
        <w:rPr>
          <w:sz w:val="28"/>
        </w:rPr>
        <w:t>nākotnes</w:t>
      </w:r>
      <w:r w:rsidR="0081207A">
        <w:rPr>
          <w:sz w:val="28"/>
        </w:rPr>
        <w:t xml:space="preserve"> perspektīvām kopš 2010.gada rudens praktiski neuzlabojas un joprojām ir ļoti pesimistisks.</w:t>
      </w:r>
    </w:p>
    <w:p w:rsidR="005D5DF1" w:rsidRPr="00007A5B" w:rsidRDefault="005D5DF1" w:rsidP="005D5DF1">
      <w:pPr>
        <w:spacing w:after="60"/>
        <w:ind w:firstLine="425"/>
        <w:jc w:val="both"/>
        <w:rPr>
          <w:sz w:val="28"/>
        </w:rPr>
      </w:pPr>
    </w:p>
    <w:p w:rsidR="005D5DF1" w:rsidRPr="00850001" w:rsidRDefault="0081207A" w:rsidP="005D5DF1">
      <w:pPr>
        <w:spacing w:before="120"/>
        <w:ind w:firstLine="426"/>
        <w:jc w:val="both"/>
        <w:rPr>
          <w:sz w:val="28"/>
        </w:rPr>
      </w:pPr>
      <w:r>
        <w:rPr>
          <w:sz w:val="28"/>
        </w:rPr>
        <w:t>Nodaļas turpinājumā sniegta d</w:t>
      </w:r>
      <w:r w:rsidR="005D5DF1" w:rsidRPr="00007A5B">
        <w:rPr>
          <w:sz w:val="28"/>
        </w:rPr>
        <w:t>etalizētāka statistiskā informācija par iekšzemes kopprodukta dinamiku un produkcijas izlaidi.</w:t>
      </w:r>
    </w:p>
    <w:p w:rsidR="005D5DF1" w:rsidRDefault="005D5DF1" w:rsidP="005D5DF1">
      <w:pPr>
        <w:ind w:firstLine="426"/>
        <w:rPr>
          <w:rStyle w:val="Heading2Char"/>
        </w:rPr>
      </w:pPr>
      <w:r>
        <w:rPr>
          <w:rStyle w:val="Heading2Char"/>
        </w:rPr>
        <w:br w:type="page"/>
      </w:r>
    </w:p>
    <w:p w:rsidR="00BE41C7" w:rsidRDefault="00EC307E" w:rsidP="00BE41C7">
      <w:pPr>
        <w:pStyle w:val="ListParagraph"/>
        <w:ind w:left="0"/>
      </w:pPr>
      <w:r w:rsidRPr="00EC307E">
        <w:rPr>
          <w:rStyle w:val="Heading2Char"/>
          <w:b w:val="0"/>
        </w:rPr>
        <w:lastRenderedPageBreak/>
        <w:t>2</w:t>
      </w:r>
      <w:r w:rsidR="00BE41C7" w:rsidRPr="00EC307E">
        <w:rPr>
          <w:rStyle w:val="Heading2Char"/>
          <w:b w:val="0"/>
        </w:rPr>
        <w:t xml:space="preserve">.1.tabula. </w:t>
      </w:r>
      <w:r w:rsidR="00BE41C7" w:rsidRPr="009F6E8E">
        <w:rPr>
          <w:rStyle w:val="Heading2Char"/>
        </w:rPr>
        <w:t>IKP dinamika</w:t>
      </w:r>
      <w:bookmarkEnd w:id="44"/>
      <w:bookmarkEnd w:id="45"/>
      <w:bookmarkEnd w:id="46"/>
      <w:bookmarkEnd w:id="47"/>
      <w:bookmarkEnd w:id="48"/>
      <w:bookmarkEnd w:id="49"/>
      <w:bookmarkEnd w:id="50"/>
      <w:r w:rsidR="00BE41C7" w:rsidRPr="009F6E8E">
        <w:t xml:space="preserve">, % pret iepriekšējā gada atbilstošo </w:t>
      </w:r>
      <w:bookmarkEnd w:id="51"/>
      <w:bookmarkEnd w:id="52"/>
      <w:r w:rsidR="00BE41C7">
        <w:t>periodu</w:t>
      </w:r>
    </w:p>
    <w:p w:rsidR="00BE41C7" w:rsidRPr="009E43F2" w:rsidRDefault="00BE41C7" w:rsidP="00BE41C7">
      <w:pPr>
        <w:pStyle w:val="ListParagraph"/>
        <w:ind w:left="0"/>
        <w:rPr>
          <w:sz w:val="6"/>
          <w:szCs w:val="6"/>
        </w:rPr>
      </w:pPr>
    </w:p>
    <w:tbl>
      <w:tblPr>
        <w:tblStyle w:val="LightShading2"/>
        <w:tblW w:w="4802" w:type="pct"/>
        <w:tblLayout w:type="fixed"/>
        <w:tblLook w:val="04A0"/>
      </w:tblPr>
      <w:tblGrid>
        <w:gridCol w:w="635"/>
        <w:gridCol w:w="2226"/>
        <w:gridCol w:w="634"/>
        <w:gridCol w:w="636"/>
        <w:gridCol w:w="237"/>
        <w:gridCol w:w="634"/>
        <w:gridCol w:w="638"/>
        <w:gridCol w:w="638"/>
        <w:gridCol w:w="634"/>
        <w:gridCol w:w="638"/>
        <w:gridCol w:w="634"/>
        <w:gridCol w:w="638"/>
        <w:gridCol w:w="634"/>
        <w:gridCol w:w="9"/>
      </w:tblGrid>
      <w:tr w:rsidR="00352185" w:rsidRPr="0047327C" w:rsidTr="00F021A7">
        <w:trPr>
          <w:cnfStyle w:val="100000000000"/>
        </w:trPr>
        <w:tc>
          <w:tcPr>
            <w:cnfStyle w:val="001000000000"/>
            <w:tcW w:w="335" w:type="pct"/>
            <w:tcBorders>
              <w:top w:val="single" w:sz="8" w:space="0" w:color="0070C0"/>
              <w:bottom w:val="single" w:sz="8" w:space="0" w:color="0070C0"/>
            </w:tcBorders>
          </w:tcPr>
          <w:p w:rsidR="00352185" w:rsidRPr="0047327C" w:rsidRDefault="00352185" w:rsidP="0047327C">
            <w:pPr>
              <w:pStyle w:val="ListParagraph"/>
              <w:spacing w:before="20" w:after="20"/>
              <w:ind w:left="0"/>
              <w:contextualSpacing w:val="0"/>
              <w:jc w:val="center"/>
              <w:rPr>
                <w:color w:val="000000"/>
                <w:sz w:val="18"/>
                <w:szCs w:val="18"/>
              </w:rPr>
            </w:pPr>
          </w:p>
        </w:tc>
        <w:tc>
          <w:tcPr>
            <w:tcW w:w="4665" w:type="pct"/>
            <w:gridSpan w:val="13"/>
            <w:tcBorders>
              <w:top w:val="single" w:sz="8" w:space="0" w:color="0070C0"/>
              <w:bottom w:val="single" w:sz="8" w:space="0" w:color="0070C0"/>
            </w:tcBorders>
          </w:tcPr>
          <w:p w:rsidR="00352185" w:rsidRPr="0047327C" w:rsidRDefault="00352185" w:rsidP="0047327C">
            <w:pPr>
              <w:pStyle w:val="ListParagraph"/>
              <w:spacing w:before="20" w:after="20"/>
              <w:ind w:left="0"/>
              <w:contextualSpacing w:val="0"/>
              <w:jc w:val="center"/>
              <w:cnfStyle w:val="100000000000"/>
              <w:rPr>
                <w:color w:val="000000"/>
                <w:sz w:val="18"/>
                <w:szCs w:val="18"/>
              </w:rPr>
            </w:pPr>
            <w:r w:rsidRPr="0047327C">
              <w:rPr>
                <w:color w:val="000000"/>
                <w:sz w:val="18"/>
                <w:szCs w:val="18"/>
              </w:rPr>
              <w:t>Pieauguma tempi</w:t>
            </w:r>
            <w:r>
              <w:rPr>
                <w:color w:val="000000"/>
                <w:sz w:val="18"/>
                <w:szCs w:val="18"/>
              </w:rPr>
              <w:t xml:space="preserve">, </w:t>
            </w:r>
            <w:r w:rsidRPr="00E75F96">
              <w:rPr>
                <w:b w:val="0"/>
                <w:color w:val="auto"/>
                <w:sz w:val="18"/>
                <w:szCs w:val="18"/>
              </w:rPr>
              <w:t>% pret iepriekšējā gada atbilstošo periodu</w:t>
            </w:r>
            <w:r>
              <w:rPr>
                <w:b w:val="0"/>
                <w:color w:val="auto"/>
                <w:sz w:val="18"/>
                <w:szCs w:val="18"/>
              </w:rPr>
              <w:t>, sezonāli neizlīdzināti dati</w:t>
            </w:r>
          </w:p>
        </w:tc>
      </w:tr>
      <w:tr w:rsidR="00352185" w:rsidRPr="00352185" w:rsidTr="00352185">
        <w:trPr>
          <w:gridAfter w:val="1"/>
          <w:cnfStyle w:val="000000100000"/>
          <w:wAfter w:w="5" w:type="pct"/>
        </w:trPr>
        <w:tc>
          <w:tcPr>
            <w:cnfStyle w:val="001000000000"/>
            <w:tcW w:w="1511" w:type="pct"/>
            <w:gridSpan w:val="2"/>
          </w:tcPr>
          <w:p w:rsidR="00352185" w:rsidRPr="00352185" w:rsidRDefault="00352185" w:rsidP="00352185">
            <w:pPr>
              <w:spacing w:before="20" w:after="20"/>
              <w:jc w:val="center"/>
              <w:rPr>
                <w:color w:val="000000"/>
                <w:sz w:val="18"/>
                <w:szCs w:val="18"/>
              </w:rPr>
            </w:pPr>
          </w:p>
        </w:tc>
        <w:tc>
          <w:tcPr>
            <w:tcW w:w="335" w:type="pct"/>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2009</w:t>
            </w:r>
          </w:p>
        </w:tc>
        <w:tc>
          <w:tcPr>
            <w:tcW w:w="336" w:type="pct"/>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2010</w:t>
            </w:r>
          </w:p>
        </w:tc>
        <w:tc>
          <w:tcPr>
            <w:tcW w:w="125" w:type="pct"/>
          </w:tcPr>
          <w:p w:rsidR="00352185" w:rsidRPr="00352185" w:rsidRDefault="00352185" w:rsidP="00352185">
            <w:pPr>
              <w:spacing w:before="20" w:after="20"/>
              <w:jc w:val="center"/>
              <w:cnfStyle w:val="000000100000"/>
              <w:rPr>
                <w:b/>
                <w:sz w:val="2"/>
                <w:szCs w:val="2"/>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2009</w:t>
            </w: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2010</w:t>
            </w: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r>
      <w:tr w:rsidR="00352185" w:rsidRPr="0047327C" w:rsidTr="00352185">
        <w:trPr>
          <w:gridAfter w:val="1"/>
          <w:wAfter w:w="5" w:type="pct"/>
        </w:trPr>
        <w:tc>
          <w:tcPr>
            <w:cnfStyle w:val="001000000000"/>
            <w:tcW w:w="1511" w:type="pct"/>
            <w:gridSpan w:val="2"/>
          </w:tcPr>
          <w:p w:rsidR="00352185" w:rsidRPr="0047327C" w:rsidRDefault="00352185" w:rsidP="0047327C">
            <w:pPr>
              <w:spacing w:before="20" w:after="20"/>
              <w:rPr>
                <w:color w:val="000000"/>
                <w:sz w:val="18"/>
                <w:szCs w:val="18"/>
              </w:rPr>
            </w:pPr>
          </w:p>
        </w:tc>
        <w:tc>
          <w:tcPr>
            <w:tcW w:w="335" w:type="pct"/>
          </w:tcPr>
          <w:p w:rsidR="00352185" w:rsidRPr="004E5210" w:rsidRDefault="00352185" w:rsidP="00352185">
            <w:pPr>
              <w:tabs>
                <w:tab w:val="decimal" w:pos="304"/>
              </w:tabs>
              <w:spacing w:before="20" w:after="20"/>
              <w:jc w:val="center"/>
              <w:cnfStyle w:val="000000000000"/>
              <w:rPr>
                <w:sz w:val="18"/>
                <w:szCs w:val="18"/>
              </w:rPr>
            </w:pPr>
          </w:p>
        </w:tc>
        <w:tc>
          <w:tcPr>
            <w:tcW w:w="336" w:type="pct"/>
          </w:tcPr>
          <w:p w:rsidR="00352185" w:rsidRPr="004E5210" w:rsidRDefault="00352185" w:rsidP="00352185">
            <w:pPr>
              <w:tabs>
                <w:tab w:val="decimal" w:pos="304"/>
              </w:tabs>
              <w:spacing w:before="20" w:after="20"/>
              <w:jc w:val="center"/>
              <w:cnfStyle w:val="000000000000"/>
              <w:rPr>
                <w:sz w:val="18"/>
                <w:szCs w:val="18"/>
              </w:rPr>
            </w:pPr>
          </w:p>
        </w:tc>
        <w:tc>
          <w:tcPr>
            <w:tcW w:w="125" w:type="pct"/>
          </w:tcPr>
          <w:p w:rsidR="00352185" w:rsidRPr="00352185" w:rsidRDefault="00352185" w:rsidP="00352185">
            <w:pPr>
              <w:spacing w:before="20" w:after="20"/>
              <w:jc w:val="center"/>
              <w:cnfStyle w:val="000000000000"/>
              <w:rPr>
                <w:b/>
                <w:sz w:val="2"/>
                <w:szCs w:val="2"/>
              </w:rPr>
            </w:pPr>
          </w:p>
        </w:tc>
        <w:tc>
          <w:tcPr>
            <w:tcW w:w="335"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w:t>
            </w:r>
          </w:p>
        </w:tc>
        <w:tc>
          <w:tcPr>
            <w:tcW w:w="337"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II</w:t>
            </w:r>
          </w:p>
        </w:tc>
        <w:tc>
          <w:tcPr>
            <w:tcW w:w="337"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III</w:t>
            </w:r>
          </w:p>
        </w:tc>
        <w:tc>
          <w:tcPr>
            <w:tcW w:w="335"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IV</w:t>
            </w:r>
          </w:p>
        </w:tc>
        <w:tc>
          <w:tcPr>
            <w:tcW w:w="337" w:type="pct"/>
          </w:tcPr>
          <w:p w:rsidR="00352185" w:rsidRPr="00792E95" w:rsidRDefault="00352185" w:rsidP="00352185">
            <w:pPr>
              <w:spacing w:before="20" w:after="20"/>
              <w:jc w:val="center"/>
              <w:cnfStyle w:val="000000000000"/>
              <w:rPr>
                <w:b/>
                <w:sz w:val="18"/>
                <w:szCs w:val="18"/>
              </w:rPr>
            </w:pPr>
            <w:r w:rsidRPr="00792E95">
              <w:rPr>
                <w:b/>
                <w:color w:val="auto"/>
                <w:sz w:val="18"/>
                <w:szCs w:val="18"/>
              </w:rPr>
              <w:t>I</w:t>
            </w:r>
          </w:p>
        </w:tc>
        <w:tc>
          <w:tcPr>
            <w:tcW w:w="335"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w:t>
            </w:r>
            <w:r>
              <w:rPr>
                <w:b/>
                <w:color w:val="auto"/>
                <w:sz w:val="18"/>
                <w:szCs w:val="18"/>
              </w:rPr>
              <w:t>I</w:t>
            </w:r>
          </w:p>
        </w:tc>
        <w:tc>
          <w:tcPr>
            <w:tcW w:w="337" w:type="pct"/>
          </w:tcPr>
          <w:p w:rsidR="00352185" w:rsidRPr="00792E95" w:rsidRDefault="00352185" w:rsidP="00352185">
            <w:pPr>
              <w:spacing w:before="20" w:after="20"/>
              <w:jc w:val="center"/>
              <w:cnfStyle w:val="000000000000"/>
              <w:rPr>
                <w:b/>
                <w:sz w:val="18"/>
                <w:szCs w:val="18"/>
              </w:rPr>
            </w:pPr>
            <w:r>
              <w:rPr>
                <w:b/>
                <w:sz w:val="18"/>
                <w:szCs w:val="18"/>
              </w:rPr>
              <w:t>III</w:t>
            </w:r>
          </w:p>
        </w:tc>
        <w:tc>
          <w:tcPr>
            <w:tcW w:w="335" w:type="pct"/>
          </w:tcPr>
          <w:p w:rsidR="00352185" w:rsidRPr="00792E95" w:rsidRDefault="00352185" w:rsidP="00352185">
            <w:pPr>
              <w:spacing w:before="20" w:after="20"/>
              <w:jc w:val="center"/>
              <w:cnfStyle w:val="000000000000"/>
              <w:rPr>
                <w:b/>
                <w:sz w:val="18"/>
                <w:szCs w:val="18"/>
              </w:rPr>
            </w:pPr>
            <w:r>
              <w:rPr>
                <w:b/>
                <w:sz w:val="18"/>
                <w:szCs w:val="18"/>
              </w:rPr>
              <w:t>IV</w:t>
            </w:r>
          </w:p>
        </w:tc>
      </w:tr>
      <w:tr w:rsidR="00352185" w:rsidRPr="0047327C" w:rsidTr="00352185">
        <w:trPr>
          <w:gridAfter w:val="1"/>
          <w:cnfStyle w:val="000000100000"/>
          <w:wAfter w:w="5" w:type="pct"/>
        </w:trPr>
        <w:tc>
          <w:tcPr>
            <w:cnfStyle w:val="001000000000"/>
            <w:tcW w:w="1511" w:type="pct"/>
            <w:gridSpan w:val="2"/>
          </w:tcPr>
          <w:p w:rsidR="00352185" w:rsidRPr="0047327C" w:rsidRDefault="00352185" w:rsidP="00352185">
            <w:pPr>
              <w:spacing w:before="20" w:after="20"/>
              <w:rPr>
                <w:b w:val="0"/>
                <w:color w:val="auto"/>
                <w:sz w:val="18"/>
                <w:szCs w:val="18"/>
              </w:rPr>
            </w:pPr>
            <w:r w:rsidRPr="0047327C">
              <w:rPr>
                <w:b w:val="0"/>
                <w:color w:val="auto"/>
                <w:sz w:val="18"/>
                <w:szCs w:val="18"/>
              </w:rPr>
              <w:t>Primārās nozares</w:t>
            </w:r>
          </w:p>
        </w:tc>
        <w:tc>
          <w:tcPr>
            <w:tcW w:w="335" w:type="pct"/>
          </w:tcPr>
          <w:p w:rsidR="00352185" w:rsidRPr="004E5210" w:rsidRDefault="00352185" w:rsidP="00352185">
            <w:pPr>
              <w:tabs>
                <w:tab w:val="decimal" w:pos="304"/>
              </w:tabs>
              <w:spacing w:before="20" w:after="20"/>
              <w:jc w:val="center"/>
              <w:cnfStyle w:val="000000100000"/>
              <w:rPr>
                <w:color w:val="auto"/>
                <w:sz w:val="18"/>
                <w:szCs w:val="18"/>
              </w:rPr>
            </w:pPr>
            <w:r w:rsidRPr="004E5210">
              <w:rPr>
                <w:color w:val="auto"/>
                <w:sz w:val="18"/>
                <w:szCs w:val="18"/>
              </w:rPr>
              <w:t>3,0</w:t>
            </w:r>
          </w:p>
        </w:tc>
        <w:tc>
          <w:tcPr>
            <w:tcW w:w="336" w:type="pct"/>
          </w:tcPr>
          <w:p w:rsidR="00352185" w:rsidRPr="004E5210" w:rsidRDefault="00352185" w:rsidP="00352185">
            <w:pPr>
              <w:tabs>
                <w:tab w:val="decimal" w:pos="304"/>
              </w:tabs>
              <w:spacing w:before="20" w:after="20"/>
              <w:jc w:val="center"/>
              <w:cnfStyle w:val="000000100000"/>
              <w:rPr>
                <w:color w:val="auto"/>
                <w:sz w:val="18"/>
                <w:szCs w:val="18"/>
              </w:rPr>
            </w:pPr>
            <w:r>
              <w:rPr>
                <w:color w:val="auto"/>
                <w:sz w:val="18"/>
                <w:szCs w:val="18"/>
              </w:rPr>
              <w:t>3,8</w:t>
            </w:r>
          </w:p>
        </w:tc>
        <w:tc>
          <w:tcPr>
            <w:tcW w:w="125" w:type="pct"/>
          </w:tcPr>
          <w:p w:rsidR="00352185" w:rsidRPr="00352185" w:rsidRDefault="00352185" w:rsidP="00352185">
            <w:pPr>
              <w:spacing w:before="20" w:after="20"/>
              <w:jc w:val="center"/>
              <w:cnfStyle w:val="000000100000"/>
              <w:rPr>
                <w:sz w:val="2"/>
                <w:szCs w:val="2"/>
              </w:rPr>
            </w:pP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-3,5</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3,2</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2,3</w:t>
            </w: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9,2</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Pr>
                <w:color w:val="auto"/>
                <w:sz w:val="18"/>
                <w:szCs w:val="18"/>
              </w:rPr>
              <w:t>4</w:t>
            </w:r>
            <w:r w:rsidRPr="005420C2">
              <w:rPr>
                <w:color w:val="auto"/>
                <w:sz w:val="18"/>
                <w:szCs w:val="18"/>
              </w:rPr>
              <w:t>,9</w:t>
            </w: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Pr>
                <w:color w:val="auto"/>
                <w:sz w:val="18"/>
                <w:szCs w:val="18"/>
              </w:rPr>
              <w:t>4,9</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Pr>
                <w:color w:val="auto"/>
                <w:sz w:val="18"/>
                <w:szCs w:val="18"/>
              </w:rPr>
              <w:t>1</w:t>
            </w:r>
            <w:r w:rsidRPr="005420C2">
              <w:rPr>
                <w:color w:val="auto"/>
                <w:sz w:val="18"/>
                <w:szCs w:val="18"/>
              </w:rPr>
              <w:t>,6</w:t>
            </w: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Pr>
                <w:color w:val="auto"/>
                <w:sz w:val="18"/>
                <w:szCs w:val="18"/>
              </w:rPr>
              <w:t>4,8</w:t>
            </w:r>
          </w:p>
        </w:tc>
      </w:tr>
      <w:tr w:rsidR="00352185" w:rsidRPr="0047327C" w:rsidTr="00352185">
        <w:trPr>
          <w:gridAfter w:val="1"/>
          <w:wAfter w:w="5" w:type="pct"/>
        </w:trPr>
        <w:tc>
          <w:tcPr>
            <w:cnfStyle w:val="001000000000"/>
            <w:tcW w:w="1511" w:type="pct"/>
            <w:gridSpan w:val="2"/>
          </w:tcPr>
          <w:p w:rsidR="00352185" w:rsidRPr="0047327C" w:rsidRDefault="00352185" w:rsidP="00352185">
            <w:pPr>
              <w:spacing w:before="20" w:after="20"/>
              <w:rPr>
                <w:b w:val="0"/>
                <w:color w:val="000000"/>
                <w:sz w:val="18"/>
                <w:szCs w:val="18"/>
              </w:rPr>
            </w:pPr>
            <w:r w:rsidRPr="0047327C">
              <w:rPr>
                <w:b w:val="0"/>
                <w:color w:val="000000"/>
                <w:sz w:val="18"/>
                <w:szCs w:val="18"/>
              </w:rPr>
              <w:t>Apstrādes rūpniecība</w:t>
            </w:r>
          </w:p>
        </w:tc>
        <w:tc>
          <w:tcPr>
            <w:tcW w:w="335" w:type="pct"/>
          </w:tcPr>
          <w:p w:rsidR="00352185" w:rsidRPr="004E5210" w:rsidRDefault="00352185" w:rsidP="00352185">
            <w:pPr>
              <w:tabs>
                <w:tab w:val="decimal" w:pos="304"/>
              </w:tabs>
              <w:spacing w:before="20" w:after="20"/>
              <w:jc w:val="center"/>
              <w:cnfStyle w:val="000000000000"/>
              <w:rPr>
                <w:color w:val="auto"/>
                <w:sz w:val="18"/>
                <w:szCs w:val="18"/>
              </w:rPr>
            </w:pPr>
            <w:r w:rsidRPr="004E5210">
              <w:rPr>
                <w:color w:val="auto"/>
                <w:sz w:val="18"/>
                <w:szCs w:val="18"/>
              </w:rPr>
              <w:t>-19,2</w:t>
            </w:r>
          </w:p>
        </w:tc>
        <w:tc>
          <w:tcPr>
            <w:tcW w:w="336" w:type="pct"/>
          </w:tcPr>
          <w:p w:rsidR="00352185" w:rsidRPr="004E5210" w:rsidRDefault="00352185" w:rsidP="00352185">
            <w:pPr>
              <w:tabs>
                <w:tab w:val="decimal" w:pos="304"/>
              </w:tabs>
              <w:spacing w:before="20" w:after="20"/>
              <w:jc w:val="center"/>
              <w:cnfStyle w:val="000000000000"/>
              <w:rPr>
                <w:color w:val="auto"/>
                <w:sz w:val="18"/>
                <w:szCs w:val="18"/>
              </w:rPr>
            </w:pPr>
            <w:r>
              <w:rPr>
                <w:color w:val="auto"/>
                <w:sz w:val="18"/>
                <w:szCs w:val="18"/>
              </w:rPr>
              <w:t>15,4</w:t>
            </w:r>
          </w:p>
        </w:tc>
        <w:tc>
          <w:tcPr>
            <w:tcW w:w="125" w:type="pct"/>
          </w:tcPr>
          <w:p w:rsidR="00352185" w:rsidRPr="00352185" w:rsidRDefault="00352185" w:rsidP="00352185">
            <w:pPr>
              <w:spacing w:before="20" w:after="20"/>
              <w:jc w:val="center"/>
              <w:cnfStyle w:val="000000000000"/>
              <w:rPr>
                <w:sz w:val="2"/>
                <w:szCs w:val="2"/>
              </w:rPr>
            </w:pP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-25,9</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-23,4</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-18,3</w:t>
            </w: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-9,0</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6,8</w:t>
            </w: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15,3</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20,2</w:t>
            </w: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Pr>
                <w:color w:val="auto"/>
                <w:sz w:val="18"/>
                <w:szCs w:val="18"/>
              </w:rPr>
              <w:t>17,9</w:t>
            </w:r>
          </w:p>
        </w:tc>
      </w:tr>
      <w:tr w:rsidR="00352185" w:rsidRPr="0047327C" w:rsidTr="00352185">
        <w:trPr>
          <w:gridAfter w:val="1"/>
          <w:cnfStyle w:val="000000100000"/>
          <w:wAfter w:w="5" w:type="pct"/>
        </w:trPr>
        <w:tc>
          <w:tcPr>
            <w:cnfStyle w:val="001000000000"/>
            <w:tcW w:w="1511" w:type="pct"/>
            <w:gridSpan w:val="2"/>
          </w:tcPr>
          <w:p w:rsidR="00352185" w:rsidRPr="0047327C" w:rsidRDefault="00352185" w:rsidP="0047327C">
            <w:pPr>
              <w:spacing w:before="20" w:after="20"/>
              <w:rPr>
                <w:b w:val="0"/>
                <w:color w:val="000000"/>
                <w:sz w:val="18"/>
                <w:szCs w:val="18"/>
              </w:rPr>
            </w:pPr>
            <w:r w:rsidRPr="0047327C">
              <w:rPr>
                <w:b w:val="0"/>
                <w:color w:val="000000"/>
                <w:sz w:val="18"/>
                <w:szCs w:val="18"/>
              </w:rPr>
              <w:t>Elektroenerģija, gāze, ūdens apgāde</w:t>
            </w:r>
          </w:p>
        </w:tc>
        <w:tc>
          <w:tcPr>
            <w:tcW w:w="335" w:type="pct"/>
          </w:tcPr>
          <w:p w:rsidR="00352185" w:rsidRPr="004E5210" w:rsidRDefault="00352185" w:rsidP="00352185">
            <w:pPr>
              <w:tabs>
                <w:tab w:val="decimal" w:pos="304"/>
              </w:tabs>
              <w:spacing w:before="20" w:after="20"/>
              <w:jc w:val="center"/>
              <w:cnfStyle w:val="000000100000"/>
              <w:rPr>
                <w:color w:val="auto"/>
                <w:sz w:val="18"/>
                <w:szCs w:val="18"/>
              </w:rPr>
            </w:pPr>
            <w:r w:rsidRPr="004E5210">
              <w:rPr>
                <w:color w:val="auto"/>
                <w:sz w:val="18"/>
                <w:szCs w:val="18"/>
              </w:rPr>
              <w:t>-7,2</w:t>
            </w:r>
          </w:p>
        </w:tc>
        <w:tc>
          <w:tcPr>
            <w:tcW w:w="336" w:type="pct"/>
          </w:tcPr>
          <w:p w:rsidR="00352185" w:rsidRPr="004E5210" w:rsidRDefault="00352185" w:rsidP="00352185">
            <w:pPr>
              <w:tabs>
                <w:tab w:val="decimal" w:pos="304"/>
              </w:tabs>
              <w:spacing w:before="20" w:after="20"/>
              <w:jc w:val="center"/>
              <w:cnfStyle w:val="000000100000"/>
              <w:rPr>
                <w:color w:val="auto"/>
                <w:sz w:val="18"/>
                <w:szCs w:val="18"/>
              </w:rPr>
            </w:pPr>
            <w:r>
              <w:rPr>
                <w:color w:val="auto"/>
                <w:sz w:val="18"/>
                <w:szCs w:val="18"/>
              </w:rPr>
              <w:t>12,7</w:t>
            </w:r>
          </w:p>
        </w:tc>
        <w:tc>
          <w:tcPr>
            <w:tcW w:w="125" w:type="pct"/>
          </w:tcPr>
          <w:p w:rsidR="00352185" w:rsidRPr="00352185" w:rsidRDefault="00352185" w:rsidP="00352185">
            <w:pPr>
              <w:spacing w:before="20" w:after="20"/>
              <w:jc w:val="center"/>
              <w:cnfStyle w:val="000000100000"/>
              <w:rPr>
                <w:sz w:val="2"/>
                <w:szCs w:val="2"/>
              </w:rPr>
            </w:pP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-9,8</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-10,4</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-14,2</w:t>
            </w: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2,3</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17,4</w:t>
            </w: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11,0</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15,1</w:t>
            </w:r>
          </w:p>
        </w:tc>
        <w:tc>
          <w:tcPr>
            <w:tcW w:w="335" w:type="pct"/>
            <w:vAlign w:val="bottom"/>
          </w:tcPr>
          <w:p w:rsidR="00352185" w:rsidRPr="005420C2" w:rsidRDefault="00352185" w:rsidP="005420C2">
            <w:pPr>
              <w:tabs>
                <w:tab w:val="decimal" w:pos="304"/>
              </w:tabs>
              <w:spacing w:before="20" w:after="20"/>
              <w:jc w:val="center"/>
              <w:cnfStyle w:val="000000100000"/>
              <w:rPr>
                <w:color w:val="auto"/>
                <w:sz w:val="18"/>
                <w:szCs w:val="18"/>
              </w:rPr>
            </w:pPr>
            <w:r>
              <w:rPr>
                <w:color w:val="auto"/>
                <w:sz w:val="18"/>
                <w:szCs w:val="18"/>
              </w:rPr>
              <w:t>7,8</w:t>
            </w:r>
          </w:p>
        </w:tc>
      </w:tr>
      <w:tr w:rsidR="00352185" w:rsidRPr="0047327C" w:rsidTr="00352185">
        <w:trPr>
          <w:gridAfter w:val="1"/>
          <w:wAfter w:w="5" w:type="pct"/>
        </w:trPr>
        <w:tc>
          <w:tcPr>
            <w:cnfStyle w:val="001000000000"/>
            <w:tcW w:w="1511" w:type="pct"/>
            <w:gridSpan w:val="2"/>
          </w:tcPr>
          <w:p w:rsidR="00352185" w:rsidRPr="0047327C" w:rsidRDefault="00352185" w:rsidP="0047327C">
            <w:pPr>
              <w:spacing w:before="20" w:after="20"/>
              <w:rPr>
                <w:b w:val="0"/>
                <w:color w:val="000000"/>
                <w:sz w:val="18"/>
                <w:szCs w:val="18"/>
              </w:rPr>
            </w:pPr>
            <w:r w:rsidRPr="0047327C">
              <w:rPr>
                <w:b w:val="0"/>
                <w:color w:val="000000"/>
                <w:sz w:val="18"/>
                <w:szCs w:val="18"/>
              </w:rPr>
              <w:t>Būvniecība</w:t>
            </w:r>
          </w:p>
        </w:tc>
        <w:tc>
          <w:tcPr>
            <w:tcW w:w="335" w:type="pct"/>
          </w:tcPr>
          <w:p w:rsidR="00352185" w:rsidRPr="004E5210" w:rsidRDefault="00352185" w:rsidP="00352185">
            <w:pPr>
              <w:tabs>
                <w:tab w:val="decimal" w:pos="304"/>
              </w:tabs>
              <w:spacing w:before="20" w:after="20"/>
              <w:jc w:val="center"/>
              <w:cnfStyle w:val="000000000000"/>
              <w:rPr>
                <w:color w:val="auto"/>
                <w:sz w:val="18"/>
                <w:szCs w:val="18"/>
              </w:rPr>
            </w:pPr>
            <w:r w:rsidRPr="004E5210">
              <w:rPr>
                <w:color w:val="auto"/>
                <w:sz w:val="18"/>
                <w:szCs w:val="18"/>
              </w:rPr>
              <w:t>-33,6</w:t>
            </w:r>
          </w:p>
        </w:tc>
        <w:tc>
          <w:tcPr>
            <w:tcW w:w="336" w:type="pct"/>
          </w:tcPr>
          <w:p w:rsidR="00352185" w:rsidRPr="004E5210" w:rsidRDefault="00352185" w:rsidP="00352185">
            <w:pPr>
              <w:tabs>
                <w:tab w:val="decimal" w:pos="304"/>
              </w:tabs>
              <w:spacing w:before="20" w:after="20"/>
              <w:jc w:val="center"/>
              <w:cnfStyle w:val="000000000000"/>
              <w:rPr>
                <w:color w:val="auto"/>
                <w:sz w:val="18"/>
                <w:szCs w:val="18"/>
              </w:rPr>
            </w:pPr>
            <w:r>
              <w:rPr>
                <w:color w:val="auto"/>
                <w:sz w:val="18"/>
                <w:szCs w:val="18"/>
              </w:rPr>
              <w:t>-24,2</w:t>
            </w:r>
          </w:p>
        </w:tc>
        <w:tc>
          <w:tcPr>
            <w:tcW w:w="125" w:type="pct"/>
          </w:tcPr>
          <w:p w:rsidR="00352185" w:rsidRPr="00352185" w:rsidRDefault="00352185" w:rsidP="00352185">
            <w:pPr>
              <w:spacing w:before="20" w:after="20"/>
              <w:jc w:val="center"/>
              <w:cnfStyle w:val="000000000000"/>
              <w:rPr>
                <w:sz w:val="2"/>
                <w:szCs w:val="2"/>
              </w:rPr>
            </w:pP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-27,6</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-30,7</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-34,2</w:t>
            </w: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-39,7</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-43,2</w:t>
            </w: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-35,3</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-13,1</w:t>
            </w:r>
          </w:p>
        </w:tc>
        <w:tc>
          <w:tcPr>
            <w:tcW w:w="335" w:type="pct"/>
            <w:vAlign w:val="bottom"/>
          </w:tcPr>
          <w:p w:rsidR="00352185" w:rsidRPr="005420C2" w:rsidRDefault="00352185" w:rsidP="005420C2">
            <w:pPr>
              <w:tabs>
                <w:tab w:val="decimal" w:pos="304"/>
              </w:tabs>
              <w:spacing w:before="20" w:after="20"/>
              <w:jc w:val="center"/>
              <w:cnfStyle w:val="000000000000"/>
              <w:rPr>
                <w:color w:val="auto"/>
                <w:sz w:val="18"/>
                <w:szCs w:val="18"/>
              </w:rPr>
            </w:pPr>
            <w:r>
              <w:rPr>
                <w:color w:val="auto"/>
                <w:sz w:val="18"/>
                <w:szCs w:val="18"/>
              </w:rPr>
              <w:t>-9,6</w:t>
            </w:r>
          </w:p>
        </w:tc>
      </w:tr>
      <w:tr w:rsidR="00352185" w:rsidRPr="0047327C" w:rsidTr="00352185">
        <w:trPr>
          <w:gridAfter w:val="1"/>
          <w:cnfStyle w:val="000000100000"/>
          <w:wAfter w:w="5" w:type="pct"/>
        </w:trPr>
        <w:tc>
          <w:tcPr>
            <w:cnfStyle w:val="001000000000"/>
            <w:tcW w:w="1511" w:type="pct"/>
            <w:gridSpan w:val="2"/>
          </w:tcPr>
          <w:p w:rsidR="00352185" w:rsidRPr="0047327C" w:rsidRDefault="00352185" w:rsidP="0047327C">
            <w:pPr>
              <w:spacing w:before="20" w:after="20"/>
              <w:rPr>
                <w:b w:val="0"/>
                <w:color w:val="000000"/>
                <w:sz w:val="18"/>
                <w:szCs w:val="18"/>
              </w:rPr>
            </w:pPr>
            <w:r w:rsidRPr="0047327C">
              <w:rPr>
                <w:b w:val="0"/>
                <w:color w:val="000000"/>
                <w:sz w:val="18"/>
                <w:szCs w:val="18"/>
              </w:rPr>
              <w:t>Tirdzniecība, viesnīcas, restorāni</w:t>
            </w:r>
          </w:p>
        </w:tc>
        <w:tc>
          <w:tcPr>
            <w:tcW w:w="335" w:type="pct"/>
          </w:tcPr>
          <w:p w:rsidR="00352185" w:rsidRPr="004E5210" w:rsidRDefault="00352185" w:rsidP="00352185">
            <w:pPr>
              <w:tabs>
                <w:tab w:val="decimal" w:pos="304"/>
              </w:tabs>
              <w:spacing w:before="20" w:after="20"/>
              <w:jc w:val="center"/>
              <w:cnfStyle w:val="000000100000"/>
              <w:rPr>
                <w:color w:val="auto"/>
                <w:sz w:val="18"/>
                <w:szCs w:val="18"/>
              </w:rPr>
            </w:pPr>
            <w:r w:rsidRPr="004E5210">
              <w:rPr>
                <w:color w:val="auto"/>
                <w:sz w:val="18"/>
                <w:szCs w:val="18"/>
              </w:rPr>
              <w:t>-29,0</w:t>
            </w:r>
          </w:p>
        </w:tc>
        <w:tc>
          <w:tcPr>
            <w:tcW w:w="336" w:type="pct"/>
          </w:tcPr>
          <w:p w:rsidR="00352185" w:rsidRPr="004E5210" w:rsidRDefault="00352185" w:rsidP="00352185">
            <w:pPr>
              <w:tabs>
                <w:tab w:val="decimal" w:pos="304"/>
              </w:tabs>
              <w:spacing w:before="20" w:after="20"/>
              <w:jc w:val="center"/>
              <w:cnfStyle w:val="000000100000"/>
              <w:rPr>
                <w:color w:val="auto"/>
                <w:sz w:val="18"/>
                <w:szCs w:val="18"/>
              </w:rPr>
            </w:pPr>
            <w:r>
              <w:rPr>
                <w:color w:val="auto"/>
                <w:sz w:val="18"/>
                <w:szCs w:val="18"/>
              </w:rPr>
              <w:t>3,2</w:t>
            </w:r>
          </w:p>
        </w:tc>
        <w:tc>
          <w:tcPr>
            <w:tcW w:w="125" w:type="pct"/>
          </w:tcPr>
          <w:p w:rsidR="00352185" w:rsidRPr="00352185" w:rsidRDefault="00352185" w:rsidP="00352185">
            <w:pPr>
              <w:spacing w:before="20" w:after="20"/>
              <w:jc w:val="center"/>
              <w:cnfStyle w:val="000000100000"/>
              <w:rPr>
                <w:sz w:val="2"/>
                <w:szCs w:val="2"/>
              </w:rPr>
            </w:pP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-26,6</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-29,6</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-28,9</w:t>
            </w: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-31,2</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-8,4</w:t>
            </w: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-0,2</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11,0</w:t>
            </w:r>
          </w:p>
        </w:tc>
        <w:tc>
          <w:tcPr>
            <w:tcW w:w="335" w:type="pct"/>
            <w:vAlign w:val="bottom"/>
          </w:tcPr>
          <w:p w:rsidR="00352185" w:rsidRPr="005420C2" w:rsidRDefault="00352185" w:rsidP="005420C2">
            <w:pPr>
              <w:tabs>
                <w:tab w:val="decimal" w:pos="304"/>
              </w:tabs>
              <w:spacing w:before="20" w:after="20"/>
              <w:jc w:val="center"/>
              <w:cnfStyle w:val="000000100000"/>
              <w:rPr>
                <w:color w:val="auto"/>
                <w:sz w:val="18"/>
                <w:szCs w:val="18"/>
              </w:rPr>
            </w:pPr>
            <w:r>
              <w:rPr>
                <w:color w:val="auto"/>
                <w:sz w:val="18"/>
                <w:szCs w:val="18"/>
              </w:rPr>
              <w:t>10,4</w:t>
            </w:r>
          </w:p>
        </w:tc>
      </w:tr>
      <w:tr w:rsidR="00352185" w:rsidRPr="0047327C" w:rsidTr="00352185">
        <w:trPr>
          <w:gridAfter w:val="1"/>
          <w:wAfter w:w="5" w:type="pct"/>
        </w:trPr>
        <w:tc>
          <w:tcPr>
            <w:cnfStyle w:val="001000000000"/>
            <w:tcW w:w="1511" w:type="pct"/>
            <w:gridSpan w:val="2"/>
          </w:tcPr>
          <w:p w:rsidR="00352185" w:rsidRPr="0047327C" w:rsidRDefault="00352185" w:rsidP="0047327C">
            <w:pPr>
              <w:spacing w:before="20" w:after="20"/>
              <w:rPr>
                <w:b w:val="0"/>
                <w:color w:val="000000"/>
                <w:sz w:val="18"/>
                <w:szCs w:val="18"/>
              </w:rPr>
            </w:pPr>
            <w:r w:rsidRPr="0047327C">
              <w:rPr>
                <w:b w:val="0"/>
                <w:color w:val="000000"/>
                <w:sz w:val="18"/>
                <w:szCs w:val="18"/>
              </w:rPr>
              <w:t>Transports un sakari</w:t>
            </w:r>
          </w:p>
        </w:tc>
        <w:tc>
          <w:tcPr>
            <w:tcW w:w="335" w:type="pct"/>
          </w:tcPr>
          <w:p w:rsidR="00352185" w:rsidRPr="004E5210" w:rsidRDefault="00352185" w:rsidP="00352185">
            <w:pPr>
              <w:tabs>
                <w:tab w:val="decimal" w:pos="304"/>
              </w:tabs>
              <w:spacing w:before="20" w:after="20"/>
              <w:jc w:val="center"/>
              <w:cnfStyle w:val="000000000000"/>
              <w:rPr>
                <w:color w:val="auto"/>
                <w:sz w:val="18"/>
                <w:szCs w:val="18"/>
              </w:rPr>
            </w:pPr>
            <w:r w:rsidRPr="004E5210">
              <w:rPr>
                <w:color w:val="auto"/>
                <w:sz w:val="18"/>
                <w:szCs w:val="18"/>
              </w:rPr>
              <w:t>-14,8</w:t>
            </w:r>
          </w:p>
        </w:tc>
        <w:tc>
          <w:tcPr>
            <w:tcW w:w="336" w:type="pct"/>
          </w:tcPr>
          <w:p w:rsidR="00352185" w:rsidRPr="004E5210" w:rsidRDefault="00352185" w:rsidP="00352185">
            <w:pPr>
              <w:tabs>
                <w:tab w:val="decimal" w:pos="304"/>
              </w:tabs>
              <w:spacing w:before="20" w:after="20"/>
              <w:jc w:val="center"/>
              <w:cnfStyle w:val="000000000000"/>
              <w:rPr>
                <w:color w:val="auto"/>
                <w:sz w:val="18"/>
                <w:szCs w:val="18"/>
              </w:rPr>
            </w:pPr>
            <w:r>
              <w:rPr>
                <w:color w:val="auto"/>
                <w:sz w:val="18"/>
                <w:szCs w:val="18"/>
              </w:rPr>
              <w:t>3,0</w:t>
            </w:r>
          </w:p>
        </w:tc>
        <w:tc>
          <w:tcPr>
            <w:tcW w:w="125" w:type="pct"/>
          </w:tcPr>
          <w:p w:rsidR="00352185" w:rsidRPr="00352185" w:rsidRDefault="00352185" w:rsidP="00352185">
            <w:pPr>
              <w:spacing w:before="20" w:after="20"/>
              <w:jc w:val="center"/>
              <w:cnfStyle w:val="000000000000"/>
              <w:rPr>
                <w:sz w:val="2"/>
                <w:szCs w:val="2"/>
              </w:rPr>
            </w:pP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-15,4</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-15,0</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-18,2</w:t>
            </w: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-10,3</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2,3</w:t>
            </w:r>
          </w:p>
        </w:tc>
        <w:tc>
          <w:tcPr>
            <w:tcW w:w="335"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2,5</w:t>
            </w:r>
          </w:p>
        </w:tc>
        <w:tc>
          <w:tcPr>
            <w:tcW w:w="337" w:type="pct"/>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5,4</w:t>
            </w:r>
          </w:p>
        </w:tc>
        <w:tc>
          <w:tcPr>
            <w:tcW w:w="335" w:type="pct"/>
            <w:vAlign w:val="bottom"/>
          </w:tcPr>
          <w:p w:rsidR="00352185" w:rsidRPr="005420C2" w:rsidRDefault="00352185" w:rsidP="005420C2">
            <w:pPr>
              <w:tabs>
                <w:tab w:val="decimal" w:pos="304"/>
              </w:tabs>
              <w:spacing w:before="20" w:after="20"/>
              <w:jc w:val="center"/>
              <w:cnfStyle w:val="000000000000"/>
              <w:rPr>
                <w:color w:val="auto"/>
                <w:sz w:val="18"/>
                <w:szCs w:val="18"/>
              </w:rPr>
            </w:pPr>
            <w:r>
              <w:rPr>
                <w:color w:val="auto"/>
                <w:sz w:val="18"/>
                <w:szCs w:val="18"/>
              </w:rPr>
              <w:t>1,6</w:t>
            </w:r>
          </w:p>
        </w:tc>
      </w:tr>
      <w:tr w:rsidR="00352185" w:rsidRPr="0047327C" w:rsidTr="00352185">
        <w:trPr>
          <w:gridAfter w:val="1"/>
          <w:cnfStyle w:val="000000100000"/>
          <w:wAfter w:w="5" w:type="pct"/>
        </w:trPr>
        <w:tc>
          <w:tcPr>
            <w:cnfStyle w:val="001000000000"/>
            <w:tcW w:w="1511" w:type="pct"/>
            <w:gridSpan w:val="2"/>
          </w:tcPr>
          <w:p w:rsidR="00352185" w:rsidRPr="0047327C" w:rsidRDefault="00352185" w:rsidP="0047327C">
            <w:pPr>
              <w:spacing w:before="20" w:after="20"/>
              <w:rPr>
                <w:b w:val="0"/>
                <w:color w:val="000000"/>
                <w:sz w:val="18"/>
                <w:szCs w:val="18"/>
              </w:rPr>
            </w:pPr>
            <w:r w:rsidRPr="0047327C">
              <w:rPr>
                <w:b w:val="0"/>
                <w:color w:val="000000"/>
                <w:sz w:val="18"/>
                <w:szCs w:val="18"/>
              </w:rPr>
              <w:t>Sabiedriskie pakalpojumi</w:t>
            </w:r>
          </w:p>
        </w:tc>
        <w:tc>
          <w:tcPr>
            <w:tcW w:w="335" w:type="pct"/>
          </w:tcPr>
          <w:p w:rsidR="00352185" w:rsidRPr="004E5210" w:rsidRDefault="00352185" w:rsidP="00352185">
            <w:pPr>
              <w:tabs>
                <w:tab w:val="decimal" w:pos="304"/>
              </w:tabs>
              <w:spacing w:before="20" w:after="20"/>
              <w:jc w:val="center"/>
              <w:cnfStyle w:val="000000100000"/>
              <w:rPr>
                <w:color w:val="auto"/>
                <w:sz w:val="18"/>
                <w:szCs w:val="18"/>
              </w:rPr>
            </w:pPr>
            <w:r w:rsidRPr="004E5210">
              <w:rPr>
                <w:color w:val="auto"/>
                <w:sz w:val="18"/>
                <w:szCs w:val="18"/>
              </w:rPr>
              <w:t>-6,3</w:t>
            </w:r>
          </w:p>
        </w:tc>
        <w:tc>
          <w:tcPr>
            <w:tcW w:w="336" w:type="pct"/>
          </w:tcPr>
          <w:p w:rsidR="00352185" w:rsidRPr="004E5210" w:rsidRDefault="00352185" w:rsidP="00352185">
            <w:pPr>
              <w:tabs>
                <w:tab w:val="decimal" w:pos="304"/>
              </w:tabs>
              <w:spacing w:before="20" w:after="20"/>
              <w:jc w:val="center"/>
              <w:cnfStyle w:val="000000100000"/>
              <w:rPr>
                <w:color w:val="auto"/>
                <w:sz w:val="18"/>
                <w:szCs w:val="18"/>
              </w:rPr>
            </w:pPr>
            <w:r>
              <w:rPr>
                <w:color w:val="auto"/>
                <w:sz w:val="18"/>
                <w:szCs w:val="18"/>
              </w:rPr>
              <w:t>-7,8</w:t>
            </w:r>
          </w:p>
        </w:tc>
        <w:tc>
          <w:tcPr>
            <w:tcW w:w="125" w:type="pct"/>
          </w:tcPr>
          <w:p w:rsidR="00352185" w:rsidRPr="00352185" w:rsidRDefault="00352185" w:rsidP="00352185">
            <w:pPr>
              <w:spacing w:before="20" w:after="20"/>
              <w:jc w:val="center"/>
              <w:cnfStyle w:val="000000100000"/>
              <w:rPr>
                <w:sz w:val="2"/>
                <w:szCs w:val="2"/>
              </w:rPr>
            </w:pP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-3,4</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-5,2</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-9,8</w:t>
            </w: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-6,7</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-1</w:t>
            </w:r>
            <w:r>
              <w:rPr>
                <w:color w:val="auto"/>
                <w:sz w:val="18"/>
                <w:szCs w:val="18"/>
              </w:rPr>
              <w:t>3,4</w:t>
            </w:r>
          </w:p>
        </w:tc>
        <w:tc>
          <w:tcPr>
            <w:tcW w:w="335"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w:t>
            </w:r>
            <w:r>
              <w:rPr>
                <w:color w:val="auto"/>
                <w:sz w:val="18"/>
                <w:szCs w:val="18"/>
              </w:rPr>
              <w:t>12,0</w:t>
            </w:r>
          </w:p>
        </w:tc>
        <w:tc>
          <w:tcPr>
            <w:tcW w:w="337" w:type="pct"/>
            <w:vAlign w:val="bottom"/>
          </w:tcPr>
          <w:p w:rsidR="00352185" w:rsidRPr="005420C2" w:rsidRDefault="00352185" w:rsidP="00352185">
            <w:pPr>
              <w:tabs>
                <w:tab w:val="decimal" w:pos="304"/>
              </w:tabs>
              <w:spacing w:before="20" w:after="20"/>
              <w:jc w:val="center"/>
              <w:cnfStyle w:val="000000100000"/>
              <w:rPr>
                <w:color w:val="auto"/>
                <w:sz w:val="18"/>
                <w:szCs w:val="18"/>
              </w:rPr>
            </w:pPr>
            <w:r w:rsidRPr="005420C2">
              <w:rPr>
                <w:color w:val="auto"/>
                <w:sz w:val="18"/>
                <w:szCs w:val="18"/>
              </w:rPr>
              <w:t>-</w:t>
            </w:r>
            <w:r>
              <w:rPr>
                <w:color w:val="auto"/>
                <w:sz w:val="18"/>
                <w:szCs w:val="18"/>
              </w:rPr>
              <w:t>6,3</w:t>
            </w:r>
          </w:p>
        </w:tc>
        <w:tc>
          <w:tcPr>
            <w:tcW w:w="335" w:type="pct"/>
            <w:vAlign w:val="bottom"/>
          </w:tcPr>
          <w:p w:rsidR="00352185" w:rsidRPr="005420C2" w:rsidRDefault="00352185" w:rsidP="005420C2">
            <w:pPr>
              <w:tabs>
                <w:tab w:val="decimal" w:pos="304"/>
              </w:tabs>
              <w:spacing w:before="20" w:after="20"/>
              <w:jc w:val="center"/>
              <w:cnfStyle w:val="000000100000"/>
              <w:rPr>
                <w:color w:val="auto"/>
                <w:sz w:val="18"/>
                <w:szCs w:val="18"/>
              </w:rPr>
            </w:pPr>
            <w:r>
              <w:rPr>
                <w:color w:val="auto"/>
                <w:sz w:val="18"/>
                <w:szCs w:val="18"/>
              </w:rPr>
              <w:t>-1,0</w:t>
            </w:r>
          </w:p>
        </w:tc>
      </w:tr>
      <w:tr w:rsidR="00352185" w:rsidRPr="0047327C" w:rsidTr="00F021A7">
        <w:trPr>
          <w:gridAfter w:val="1"/>
          <w:wAfter w:w="5" w:type="pct"/>
        </w:trPr>
        <w:tc>
          <w:tcPr>
            <w:cnfStyle w:val="001000000000"/>
            <w:tcW w:w="1511" w:type="pct"/>
            <w:gridSpan w:val="2"/>
            <w:tcBorders>
              <w:bottom w:val="nil"/>
            </w:tcBorders>
          </w:tcPr>
          <w:p w:rsidR="00352185" w:rsidRPr="0047327C" w:rsidRDefault="00352185" w:rsidP="0047327C">
            <w:pPr>
              <w:spacing w:before="20" w:after="20"/>
              <w:rPr>
                <w:b w:val="0"/>
                <w:color w:val="000000"/>
                <w:sz w:val="18"/>
                <w:szCs w:val="18"/>
              </w:rPr>
            </w:pPr>
            <w:r w:rsidRPr="0047327C">
              <w:rPr>
                <w:b w:val="0"/>
                <w:color w:val="000000"/>
                <w:sz w:val="18"/>
                <w:szCs w:val="18"/>
              </w:rPr>
              <w:t>Citi komercpakalpojumi</w:t>
            </w:r>
          </w:p>
        </w:tc>
        <w:tc>
          <w:tcPr>
            <w:tcW w:w="335" w:type="pct"/>
            <w:tcBorders>
              <w:bottom w:val="nil"/>
            </w:tcBorders>
          </w:tcPr>
          <w:p w:rsidR="00352185" w:rsidRPr="004E5210" w:rsidRDefault="00352185" w:rsidP="00352185">
            <w:pPr>
              <w:tabs>
                <w:tab w:val="decimal" w:pos="304"/>
              </w:tabs>
              <w:spacing w:before="20" w:after="20"/>
              <w:jc w:val="center"/>
              <w:cnfStyle w:val="000000000000"/>
              <w:rPr>
                <w:color w:val="auto"/>
                <w:sz w:val="18"/>
                <w:szCs w:val="18"/>
              </w:rPr>
            </w:pPr>
            <w:r w:rsidRPr="004E5210">
              <w:rPr>
                <w:color w:val="auto"/>
                <w:sz w:val="18"/>
                <w:szCs w:val="18"/>
              </w:rPr>
              <w:t>-5,5</w:t>
            </w:r>
          </w:p>
        </w:tc>
        <w:tc>
          <w:tcPr>
            <w:tcW w:w="336" w:type="pct"/>
            <w:tcBorders>
              <w:bottom w:val="nil"/>
            </w:tcBorders>
          </w:tcPr>
          <w:p w:rsidR="00352185" w:rsidRPr="004E5210" w:rsidRDefault="00352185" w:rsidP="00352185">
            <w:pPr>
              <w:tabs>
                <w:tab w:val="decimal" w:pos="304"/>
              </w:tabs>
              <w:spacing w:before="20" w:after="20"/>
              <w:jc w:val="center"/>
              <w:cnfStyle w:val="000000000000"/>
              <w:rPr>
                <w:color w:val="auto"/>
                <w:sz w:val="18"/>
                <w:szCs w:val="18"/>
              </w:rPr>
            </w:pPr>
            <w:r>
              <w:rPr>
                <w:color w:val="auto"/>
                <w:sz w:val="18"/>
                <w:szCs w:val="18"/>
              </w:rPr>
              <w:t>-3,6</w:t>
            </w:r>
          </w:p>
        </w:tc>
        <w:tc>
          <w:tcPr>
            <w:tcW w:w="125" w:type="pct"/>
            <w:tcBorders>
              <w:bottom w:val="nil"/>
            </w:tcBorders>
          </w:tcPr>
          <w:p w:rsidR="00352185" w:rsidRPr="00352185" w:rsidRDefault="00352185" w:rsidP="00352185">
            <w:pPr>
              <w:spacing w:before="20" w:after="20"/>
              <w:jc w:val="center"/>
              <w:cnfStyle w:val="000000000000"/>
              <w:rPr>
                <w:sz w:val="2"/>
                <w:szCs w:val="2"/>
              </w:rPr>
            </w:pPr>
          </w:p>
        </w:tc>
        <w:tc>
          <w:tcPr>
            <w:tcW w:w="335" w:type="pct"/>
            <w:tcBorders>
              <w:bottom w:val="nil"/>
            </w:tcBorders>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-6,3</w:t>
            </w:r>
          </w:p>
        </w:tc>
        <w:tc>
          <w:tcPr>
            <w:tcW w:w="337" w:type="pct"/>
            <w:tcBorders>
              <w:bottom w:val="nil"/>
            </w:tcBorders>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-5,4</w:t>
            </w:r>
          </w:p>
        </w:tc>
        <w:tc>
          <w:tcPr>
            <w:tcW w:w="337" w:type="pct"/>
            <w:tcBorders>
              <w:bottom w:val="nil"/>
            </w:tcBorders>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-3,8</w:t>
            </w:r>
          </w:p>
        </w:tc>
        <w:tc>
          <w:tcPr>
            <w:tcW w:w="335" w:type="pct"/>
            <w:tcBorders>
              <w:bottom w:val="nil"/>
            </w:tcBorders>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-6,5</w:t>
            </w:r>
          </w:p>
        </w:tc>
        <w:tc>
          <w:tcPr>
            <w:tcW w:w="337" w:type="pct"/>
            <w:tcBorders>
              <w:bottom w:val="nil"/>
            </w:tcBorders>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w:t>
            </w:r>
            <w:r>
              <w:rPr>
                <w:color w:val="auto"/>
                <w:sz w:val="18"/>
                <w:szCs w:val="18"/>
              </w:rPr>
              <w:t>7,8</w:t>
            </w:r>
          </w:p>
        </w:tc>
        <w:tc>
          <w:tcPr>
            <w:tcW w:w="335" w:type="pct"/>
            <w:tcBorders>
              <w:bottom w:val="nil"/>
            </w:tcBorders>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-3,4</w:t>
            </w:r>
          </w:p>
        </w:tc>
        <w:tc>
          <w:tcPr>
            <w:tcW w:w="337" w:type="pct"/>
            <w:tcBorders>
              <w:bottom w:val="nil"/>
            </w:tcBorders>
            <w:vAlign w:val="bottom"/>
          </w:tcPr>
          <w:p w:rsidR="00352185" w:rsidRPr="005420C2" w:rsidRDefault="00352185" w:rsidP="00352185">
            <w:pPr>
              <w:tabs>
                <w:tab w:val="decimal" w:pos="304"/>
              </w:tabs>
              <w:spacing w:before="20" w:after="20"/>
              <w:jc w:val="center"/>
              <w:cnfStyle w:val="000000000000"/>
              <w:rPr>
                <w:color w:val="auto"/>
                <w:sz w:val="18"/>
                <w:szCs w:val="18"/>
              </w:rPr>
            </w:pPr>
            <w:r w:rsidRPr="005420C2">
              <w:rPr>
                <w:color w:val="auto"/>
                <w:sz w:val="18"/>
                <w:szCs w:val="18"/>
              </w:rPr>
              <w:t>-4,</w:t>
            </w:r>
            <w:r>
              <w:rPr>
                <w:color w:val="auto"/>
                <w:sz w:val="18"/>
                <w:szCs w:val="18"/>
              </w:rPr>
              <w:t>2</w:t>
            </w:r>
          </w:p>
        </w:tc>
        <w:tc>
          <w:tcPr>
            <w:tcW w:w="335" w:type="pct"/>
            <w:tcBorders>
              <w:bottom w:val="nil"/>
            </w:tcBorders>
            <w:vAlign w:val="bottom"/>
          </w:tcPr>
          <w:p w:rsidR="00352185" w:rsidRPr="005420C2" w:rsidRDefault="00352185" w:rsidP="005420C2">
            <w:pPr>
              <w:tabs>
                <w:tab w:val="decimal" w:pos="304"/>
              </w:tabs>
              <w:spacing w:before="20" w:after="20"/>
              <w:jc w:val="center"/>
              <w:cnfStyle w:val="000000000000"/>
              <w:rPr>
                <w:color w:val="auto"/>
                <w:sz w:val="18"/>
                <w:szCs w:val="18"/>
              </w:rPr>
            </w:pPr>
            <w:r>
              <w:rPr>
                <w:color w:val="auto"/>
                <w:sz w:val="18"/>
                <w:szCs w:val="18"/>
              </w:rPr>
              <w:t>0,5</w:t>
            </w:r>
          </w:p>
        </w:tc>
      </w:tr>
      <w:tr w:rsidR="00352185" w:rsidRPr="004E5210" w:rsidTr="00F021A7">
        <w:trPr>
          <w:gridAfter w:val="1"/>
          <w:cnfStyle w:val="000000100000"/>
          <w:wAfter w:w="5" w:type="pct"/>
        </w:trPr>
        <w:tc>
          <w:tcPr>
            <w:cnfStyle w:val="001000000000"/>
            <w:tcW w:w="1511" w:type="pct"/>
            <w:gridSpan w:val="2"/>
            <w:tcBorders>
              <w:top w:val="nil"/>
              <w:bottom w:val="single" w:sz="8" w:space="0" w:color="0070C0"/>
            </w:tcBorders>
          </w:tcPr>
          <w:p w:rsidR="00352185" w:rsidRPr="004E5210" w:rsidRDefault="00352185" w:rsidP="0047327C">
            <w:pPr>
              <w:spacing w:before="20" w:after="20"/>
              <w:rPr>
                <w:color w:val="000000"/>
                <w:sz w:val="20"/>
                <w:szCs w:val="18"/>
              </w:rPr>
            </w:pPr>
            <w:r w:rsidRPr="004E5210">
              <w:rPr>
                <w:color w:val="000000"/>
                <w:sz w:val="20"/>
                <w:szCs w:val="18"/>
              </w:rPr>
              <w:t>IKP</w:t>
            </w:r>
          </w:p>
        </w:tc>
        <w:tc>
          <w:tcPr>
            <w:tcW w:w="335" w:type="pct"/>
            <w:tcBorders>
              <w:top w:val="nil"/>
              <w:bottom w:val="single" w:sz="8" w:space="0" w:color="0070C0"/>
            </w:tcBorders>
          </w:tcPr>
          <w:p w:rsidR="00352185" w:rsidRPr="005420C2" w:rsidRDefault="00352185" w:rsidP="00352185">
            <w:pPr>
              <w:tabs>
                <w:tab w:val="decimal" w:pos="304"/>
              </w:tabs>
              <w:spacing w:before="20" w:after="20"/>
              <w:jc w:val="center"/>
              <w:cnfStyle w:val="000000100000"/>
              <w:rPr>
                <w:b/>
                <w:color w:val="auto"/>
                <w:sz w:val="20"/>
                <w:szCs w:val="20"/>
              </w:rPr>
            </w:pPr>
            <w:r w:rsidRPr="005420C2">
              <w:rPr>
                <w:b/>
                <w:color w:val="auto"/>
                <w:sz w:val="20"/>
                <w:szCs w:val="20"/>
              </w:rPr>
              <w:t>-18,0</w:t>
            </w:r>
          </w:p>
        </w:tc>
        <w:tc>
          <w:tcPr>
            <w:tcW w:w="336" w:type="pct"/>
            <w:tcBorders>
              <w:top w:val="nil"/>
              <w:bottom w:val="single" w:sz="8" w:space="0" w:color="0070C0"/>
            </w:tcBorders>
          </w:tcPr>
          <w:p w:rsidR="00352185" w:rsidRPr="005420C2" w:rsidRDefault="00352185" w:rsidP="00352185">
            <w:pPr>
              <w:tabs>
                <w:tab w:val="decimal" w:pos="304"/>
              </w:tabs>
              <w:spacing w:before="20" w:after="20"/>
              <w:jc w:val="center"/>
              <w:cnfStyle w:val="000000100000"/>
              <w:rPr>
                <w:b/>
                <w:color w:val="auto"/>
                <w:sz w:val="20"/>
                <w:szCs w:val="20"/>
              </w:rPr>
            </w:pPr>
            <w:r>
              <w:rPr>
                <w:b/>
                <w:color w:val="auto"/>
                <w:sz w:val="20"/>
                <w:szCs w:val="20"/>
              </w:rPr>
              <w:t>-0,3</w:t>
            </w:r>
          </w:p>
        </w:tc>
        <w:tc>
          <w:tcPr>
            <w:tcW w:w="125" w:type="pct"/>
            <w:tcBorders>
              <w:top w:val="nil"/>
              <w:bottom w:val="single" w:sz="8" w:space="0" w:color="0070C0"/>
            </w:tcBorders>
          </w:tcPr>
          <w:p w:rsidR="00352185" w:rsidRPr="00352185" w:rsidRDefault="00352185" w:rsidP="00352185">
            <w:pPr>
              <w:spacing w:before="20" w:after="20"/>
              <w:jc w:val="center"/>
              <w:cnfStyle w:val="000000100000"/>
              <w:rPr>
                <w:b/>
                <w:sz w:val="2"/>
                <w:szCs w:val="2"/>
              </w:rPr>
            </w:pPr>
          </w:p>
        </w:tc>
        <w:tc>
          <w:tcPr>
            <w:tcW w:w="335" w:type="pct"/>
            <w:tcBorders>
              <w:top w:val="nil"/>
              <w:bottom w:val="single" w:sz="8" w:space="0" w:color="0070C0"/>
            </w:tcBorders>
            <w:vAlign w:val="bottom"/>
          </w:tcPr>
          <w:p w:rsidR="00352185" w:rsidRPr="005420C2" w:rsidRDefault="00352185" w:rsidP="00352185">
            <w:pPr>
              <w:tabs>
                <w:tab w:val="decimal" w:pos="304"/>
              </w:tabs>
              <w:spacing w:before="20" w:after="20"/>
              <w:jc w:val="center"/>
              <w:cnfStyle w:val="000000100000"/>
              <w:rPr>
                <w:b/>
                <w:color w:val="auto"/>
                <w:sz w:val="20"/>
                <w:szCs w:val="20"/>
              </w:rPr>
            </w:pPr>
            <w:r w:rsidRPr="005420C2">
              <w:rPr>
                <w:b/>
                <w:color w:val="auto"/>
                <w:sz w:val="20"/>
                <w:szCs w:val="20"/>
              </w:rPr>
              <w:t>-17,8</w:t>
            </w:r>
          </w:p>
        </w:tc>
        <w:tc>
          <w:tcPr>
            <w:tcW w:w="337" w:type="pct"/>
            <w:tcBorders>
              <w:top w:val="nil"/>
              <w:bottom w:val="single" w:sz="8" w:space="0" w:color="0070C0"/>
            </w:tcBorders>
            <w:vAlign w:val="bottom"/>
          </w:tcPr>
          <w:p w:rsidR="00352185" w:rsidRPr="005420C2" w:rsidRDefault="00352185" w:rsidP="00352185">
            <w:pPr>
              <w:tabs>
                <w:tab w:val="decimal" w:pos="304"/>
              </w:tabs>
              <w:spacing w:before="20" w:after="20"/>
              <w:jc w:val="center"/>
              <w:cnfStyle w:val="000000100000"/>
              <w:rPr>
                <w:b/>
                <w:color w:val="auto"/>
                <w:sz w:val="20"/>
                <w:szCs w:val="20"/>
              </w:rPr>
            </w:pPr>
            <w:r w:rsidRPr="005420C2">
              <w:rPr>
                <w:b/>
                <w:color w:val="auto"/>
                <w:sz w:val="20"/>
                <w:szCs w:val="20"/>
              </w:rPr>
              <w:t>-18,1</w:t>
            </w:r>
          </w:p>
        </w:tc>
        <w:tc>
          <w:tcPr>
            <w:tcW w:w="337" w:type="pct"/>
            <w:tcBorders>
              <w:top w:val="nil"/>
              <w:bottom w:val="single" w:sz="8" w:space="0" w:color="0070C0"/>
            </w:tcBorders>
            <w:vAlign w:val="bottom"/>
          </w:tcPr>
          <w:p w:rsidR="00352185" w:rsidRPr="005420C2" w:rsidRDefault="00352185" w:rsidP="00352185">
            <w:pPr>
              <w:tabs>
                <w:tab w:val="decimal" w:pos="304"/>
              </w:tabs>
              <w:spacing w:before="20" w:after="20"/>
              <w:jc w:val="center"/>
              <w:cnfStyle w:val="000000100000"/>
              <w:rPr>
                <w:b/>
                <w:color w:val="auto"/>
                <w:sz w:val="20"/>
                <w:szCs w:val="20"/>
              </w:rPr>
            </w:pPr>
            <w:r w:rsidRPr="005420C2">
              <w:rPr>
                <w:b/>
                <w:color w:val="auto"/>
                <w:sz w:val="20"/>
                <w:szCs w:val="20"/>
              </w:rPr>
              <w:t>-19,1</w:t>
            </w:r>
          </w:p>
        </w:tc>
        <w:tc>
          <w:tcPr>
            <w:tcW w:w="335" w:type="pct"/>
            <w:tcBorders>
              <w:top w:val="nil"/>
              <w:bottom w:val="single" w:sz="8" w:space="0" w:color="0070C0"/>
            </w:tcBorders>
            <w:vAlign w:val="bottom"/>
          </w:tcPr>
          <w:p w:rsidR="00352185" w:rsidRPr="005420C2" w:rsidRDefault="00352185" w:rsidP="00352185">
            <w:pPr>
              <w:tabs>
                <w:tab w:val="decimal" w:pos="304"/>
              </w:tabs>
              <w:spacing w:before="20" w:after="20"/>
              <w:jc w:val="center"/>
              <w:cnfStyle w:val="000000100000"/>
              <w:rPr>
                <w:b/>
                <w:color w:val="auto"/>
                <w:sz w:val="20"/>
                <w:szCs w:val="20"/>
              </w:rPr>
            </w:pPr>
            <w:r w:rsidRPr="005420C2">
              <w:rPr>
                <w:b/>
                <w:color w:val="auto"/>
                <w:sz w:val="20"/>
                <w:szCs w:val="20"/>
              </w:rPr>
              <w:t>-16,8</w:t>
            </w:r>
          </w:p>
        </w:tc>
        <w:tc>
          <w:tcPr>
            <w:tcW w:w="337" w:type="pct"/>
            <w:tcBorders>
              <w:top w:val="nil"/>
              <w:bottom w:val="single" w:sz="8" w:space="0" w:color="0070C0"/>
            </w:tcBorders>
            <w:vAlign w:val="bottom"/>
          </w:tcPr>
          <w:p w:rsidR="00352185" w:rsidRPr="005420C2" w:rsidRDefault="00352185" w:rsidP="00352185">
            <w:pPr>
              <w:tabs>
                <w:tab w:val="decimal" w:pos="304"/>
              </w:tabs>
              <w:spacing w:before="20" w:after="20"/>
              <w:jc w:val="center"/>
              <w:cnfStyle w:val="000000100000"/>
              <w:rPr>
                <w:b/>
                <w:color w:val="auto"/>
                <w:sz w:val="20"/>
                <w:szCs w:val="20"/>
              </w:rPr>
            </w:pPr>
            <w:r w:rsidRPr="005420C2">
              <w:rPr>
                <w:b/>
                <w:color w:val="auto"/>
                <w:sz w:val="20"/>
                <w:szCs w:val="20"/>
              </w:rPr>
              <w:t>-6,</w:t>
            </w:r>
            <w:r>
              <w:rPr>
                <w:b/>
                <w:color w:val="auto"/>
                <w:sz w:val="20"/>
                <w:szCs w:val="20"/>
              </w:rPr>
              <w:t>1</w:t>
            </w:r>
          </w:p>
        </w:tc>
        <w:tc>
          <w:tcPr>
            <w:tcW w:w="335" w:type="pct"/>
            <w:tcBorders>
              <w:top w:val="nil"/>
              <w:bottom w:val="single" w:sz="8" w:space="0" w:color="0070C0"/>
            </w:tcBorders>
            <w:vAlign w:val="bottom"/>
          </w:tcPr>
          <w:p w:rsidR="00352185" w:rsidRPr="005420C2" w:rsidRDefault="00352185" w:rsidP="00352185">
            <w:pPr>
              <w:tabs>
                <w:tab w:val="decimal" w:pos="304"/>
              </w:tabs>
              <w:spacing w:before="20" w:after="20"/>
              <w:jc w:val="center"/>
              <w:cnfStyle w:val="000000100000"/>
              <w:rPr>
                <w:b/>
                <w:color w:val="auto"/>
                <w:sz w:val="20"/>
                <w:szCs w:val="20"/>
              </w:rPr>
            </w:pPr>
            <w:r w:rsidRPr="005420C2">
              <w:rPr>
                <w:b/>
                <w:color w:val="auto"/>
                <w:sz w:val="20"/>
                <w:szCs w:val="20"/>
              </w:rPr>
              <w:t>-2,</w:t>
            </w:r>
            <w:r>
              <w:rPr>
                <w:b/>
                <w:color w:val="auto"/>
                <w:sz w:val="20"/>
                <w:szCs w:val="20"/>
              </w:rPr>
              <w:t>6</w:t>
            </w:r>
          </w:p>
        </w:tc>
        <w:tc>
          <w:tcPr>
            <w:tcW w:w="337" w:type="pct"/>
            <w:tcBorders>
              <w:top w:val="nil"/>
              <w:bottom w:val="single" w:sz="8" w:space="0" w:color="0070C0"/>
            </w:tcBorders>
            <w:vAlign w:val="bottom"/>
          </w:tcPr>
          <w:p w:rsidR="00352185" w:rsidRPr="005420C2" w:rsidRDefault="00352185" w:rsidP="00352185">
            <w:pPr>
              <w:tabs>
                <w:tab w:val="decimal" w:pos="304"/>
              </w:tabs>
              <w:spacing w:before="20" w:after="20"/>
              <w:jc w:val="center"/>
              <w:cnfStyle w:val="000000100000"/>
              <w:rPr>
                <w:b/>
                <w:color w:val="auto"/>
                <w:sz w:val="20"/>
                <w:szCs w:val="20"/>
              </w:rPr>
            </w:pPr>
            <w:r w:rsidRPr="005420C2">
              <w:rPr>
                <w:b/>
                <w:color w:val="auto"/>
                <w:sz w:val="20"/>
                <w:szCs w:val="20"/>
              </w:rPr>
              <w:t>2,</w:t>
            </w:r>
            <w:r>
              <w:rPr>
                <w:b/>
                <w:color w:val="auto"/>
                <w:sz w:val="20"/>
                <w:szCs w:val="20"/>
              </w:rPr>
              <w:t>8</w:t>
            </w:r>
          </w:p>
        </w:tc>
        <w:tc>
          <w:tcPr>
            <w:tcW w:w="335" w:type="pct"/>
            <w:tcBorders>
              <w:top w:val="nil"/>
              <w:bottom w:val="single" w:sz="8" w:space="0" w:color="0070C0"/>
            </w:tcBorders>
            <w:vAlign w:val="bottom"/>
          </w:tcPr>
          <w:p w:rsidR="00352185" w:rsidRPr="005420C2" w:rsidRDefault="00352185" w:rsidP="005420C2">
            <w:pPr>
              <w:tabs>
                <w:tab w:val="decimal" w:pos="304"/>
              </w:tabs>
              <w:spacing w:before="20" w:after="20"/>
              <w:jc w:val="center"/>
              <w:cnfStyle w:val="000000100000"/>
              <w:rPr>
                <w:b/>
                <w:color w:val="auto"/>
                <w:sz w:val="20"/>
                <w:szCs w:val="20"/>
              </w:rPr>
            </w:pPr>
            <w:r>
              <w:rPr>
                <w:b/>
                <w:color w:val="auto"/>
                <w:sz w:val="20"/>
                <w:szCs w:val="20"/>
              </w:rPr>
              <w:t>3,6</w:t>
            </w:r>
          </w:p>
        </w:tc>
      </w:tr>
    </w:tbl>
    <w:p w:rsidR="009E43F2" w:rsidRDefault="009E43F2" w:rsidP="00BE41C7">
      <w:pPr>
        <w:pStyle w:val="ListParagraph"/>
        <w:ind w:left="0"/>
        <w:rPr>
          <w:sz w:val="6"/>
          <w:szCs w:val="6"/>
        </w:rPr>
      </w:pPr>
    </w:p>
    <w:tbl>
      <w:tblPr>
        <w:tblStyle w:val="LightShading2"/>
        <w:tblW w:w="4802" w:type="pct"/>
        <w:tblLayout w:type="fixed"/>
        <w:tblLook w:val="04A0"/>
      </w:tblPr>
      <w:tblGrid>
        <w:gridCol w:w="635"/>
        <w:gridCol w:w="2226"/>
        <w:gridCol w:w="634"/>
        <w:gridCol w:w="636"/>
        <w:gridCol w:w="237"/>
        <w:gridCol w:w="634"/>
        <w:gridCol w:w="638"/>
        <w:gridCol w:w="638"/>
        <w:gridCol w:w="634"/>
        <w:gridCol w:w="638"/>
        <w:gridCol w:w="634"/>
        <w:gridCol w:w="638"/>
        <w:gridCol w:w="634"/>
        <w:gridCol w:w="9"/>
      </w:tblGrid>
      <w:tr w:rsidR="00352185" w:rsidRPr="0047327C" w:rsidTr="00F021A7">
        <w:trPr>
          <w:cnfStyle w:val="100000000000"/>
        </w:trPr>
        <w:tc>
          <w:tcPr>
            <w:cnfStyle w:val="001000000000"/>
            <w:tcW w:w="335" w:type="pct"/>
            <w:tcBorders>
              <w:top w:val="single" w:sz="8" w:space="0" w:color="0070C0"/>
              <w:bottom w:val="single" w:sz="8" w:space="0" w:color="0070C0"/>
            </w:tcBorders>
          </w:tcPr>
          <w:p w:rsidR="00352185" w:rsidRPr="0047327C" w:rsidRDefault="00352185" w:rsidP="00352185">
            <w:pPr>
              <w:pStyle w:val="ListParagraph"/>
              <w:spacing w:before="20" w:after="20"/>
              <w:ind w:left="0"/>
              <w:contextualSpacing w:val="0"/>
              <w:jc w:val="center"/>
              <w:rPr>
                <w:color w:val="000000"/>
                <w:sz w:val="18"/>
                <w:szCs w:val="18"/>
              </w:rPr>
            </w:pPr>
          </w:p>
        </w:tc>
        <w:tc>
          <w:tcPr>
            <w:tcW w:w="4665" w:type="pct"/>
            <w:gridSpan w:val="13"/>
            <w:tcBorders>
              <w:top w:val="single" w:sz="8" w:space="0" w:color="0070C0"/>
              <w:bottom w:val="single" w:sz="8" w:space="0" w:color="0070C0"/>
            </w:tcBorders>
          </w:tcPr>
          <w:p w:rsidR="00352185" w:rsidRPr="0047327C" w:rsidRDefault="00352185" w:rsidP="00352185">
            <w:pPr>
              <w:pStyle w:val="ListParagraph"/>
              <w:spacing w:before="20" w:after="20"/>
              <w:ind w:left="0"/>
              <w:contextualSpacing w:val="0"/>
              <w:jc w:val="center"/>
              <w:cnfStyle w:val="100000000000"/>
              <w:rPr>
                <w:color w:val="000000"/>
                <w:sz w:val="18"/>
                <w:szCs w:val="18"/>
              </w:rPr>
            </w:pPr>
            <w:r>
              <w:rPr>
                <w:color w:val="000000"/>
                <w:sz w:val="18"/>
                <w:szCs w:val="18"/>
              </w:rPr>
              <w:t xml:space="preserve">Ieguldījums pieaugumā, </w:t>
            </w:r>
            <w:r w:rsidRPr="00E75F96">
              <w:rPr>
                <w:b w:val="0"/>
                <w:color w:val="auto"/>
                <w:sz w:val="18"/>
                <w:szCs w:val="18"/>
              </w:rPr>
              <w:t>%</w:t>
            </w:r>
          </w:p>
        </w:tc>
      </w:tr>
      <w:tr w:rsidR="00352185" w:rsidRPr="00352185" w:rsidTr="00352185">
        <w:trPr>
          <w:gridAfter w:val="1"/>
          <w:cnfStyle w:val="000000100000"/>
          <w:wAfter w:w="5" w:type="pct"/>
        </w:trPr>
        <w:tc>
          <w:tcPr>
            <w:cnfStyle w:val="001000000000"/>
            <w:tcW w:w="1511" w:type="pct"/>
            <w:gridSpan w:val="2"/>
          </w:tcPr>
          <w:p w:rsidR="00352185" w:rsidRPr="00352185" w:rsidRDefault="00352185" w:rsidP="00352185">
            <w:pPr>
              <w:spacing w:before="20" w:after="20"/>
              <w:jc w:val="center"/>
              <w:rPr>
                <w:color w:val="000000"/>
                <w:sz w:val="18"/>
                <w:szCs w:val="18"/>
              </w:rPr>
            </w:pPr>
          </w:p>
        </w:tc>
        <w:tc>
          <w:tcPr>
            <w:tcW w:w="335" w:type="pct"/>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2009</w:t>
            </w:r>
          </w:p>
        </w:tc>
        <w:tc>
          <w:tcPr>
            <w:tcW w:w="336" w:type="pct"/>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2010</w:t>
            </w:r>
          </w:p>
        </w:tc>
        <w:tc>
          <w:tcPr>
            <w:tcW w:w="125" w:type="pct"/>
          </w:tcPr>
          <w:p w:rsidR="00352185" w:rsidRPr="00352185" w:rsidRDefault="00352185" w:rsidP="00352185">
            <w:pPr>
              <w:spacing w:before="20" w:after="20"/>
              <w:jc w:val="center"/>
              <w:cnfStyle w:val="000000100000"/>
              <w:rPr>
                <w:b/>
                <w:sz w:val="2"/>
                <w:szCs w:val="2"/>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2009</w:t>
            </w: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2010</w:t>
            </w: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r>
      <w:tr w:rsidR="00352185" w:rsidRPr="0047327C" w:rsidTr="00352185">
        <w:trPr>
          <w:gridAfter w:val="1"/>
          <w:wAfter w:w="5" w:type="pct"/>
        </w:trPr>
        <w:tc>
          <w:tcPr>
            <w:cnfStyle w:val="001000000000"/>
            <w:tcW w:w="1511" w:type="pct"/>
            <w:gridSpan w:val="2"/>
          </w:tcPr>
          <w:p w:rsidR="00352185" w:rsidRPr="0047327C" w:rsidRDefault="00352185" w:rsidP="00352185">
            <w:pPr>
              <w:spacing w:before="20" w:after="20"/>
              <w:rPr>
                <w:color w:val="000000"/>
                <w:sz w:val="18"/>
                <w:szCs w:val="18"/>
              </w:rPr>
            </w:pPr>
          </w:p>
        </w:tc>
        <w:tc>
          <w:tcPr>
            <w:tcW w:w="335" w:type="pct"/>
          </w:tcPr>
          <w:p w:rsidR="00352185" w:rsidRPr="004E5210" w:rsidRDefault="00352185" w:rsidP="00352185">
            <w:pPr>
              <w:tabs>
                <w:tab w:val="decimal" w:pos="304"/>
              </w:tabs>
              <w:spacing w:before="20" w:after="20"/>
              <w:jc w:val="center"/>
              <w:cnfStyle w:val="000000000000"/>
              <w:rPr>
                <w:sz w:val="18"/>
                <w:szCs w:val="18"/>
              </w:rPr>
            </w:pPr>
          </w:p>
        </w:tc>
        <w:tc>
          <w:tcPr>
            <w:tcW w:w="336" w:type="pct"/>
          </w:tcPr>
          <w:p w:rsidR="00352185" w:rsidRPr="004E5210" w:rsidRDefault="00352185" w:rsidP="00352185">
            <w:pPr>
              <w:tabs>
                <w:tab w:val="decimal" w:pos="304"/>
              </w:tabs>
              <w:spacing w:before="20" w:after="20"/>
              <w:jc w:val="center"/>
              <w:cnfStyle w:val="000000000000"/>
              <w:rPr>
                <w:sz w:val="18"/>
                <w:szCs w:val="18"/>
              </w:rPr>
            </w:pPr>
          </w:p>
        </w:tc>
        <w:tc>
          <w:tcPr>
            <w:tcW w:w="125" w:type="pct"/>
          </w:tcPr>
          <w:p w:rsidR="00352185" w:rsidRPr="00352185" w:rsidRDefault="00352185" w:rsidP="00352185">
            <w:pPr>
              <w:spacing w:before="20" w:after="20"/>
              <w:jc w:val="center"/>
              <w:cnfStyle w:val="000000000000"/>
              <w:rPr>
                <w:b/>
                <w:sz w:val="2"/>
                <w:szCs w:val="2"/>
              </w:rPr>
            </w:pPr>
          </w:p>
        </w:tc>
        <w:tc>
          <w:tcPr>
            <w:tcW w:w="335"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w:t>
            </w:r>
          </w:p>
        </w:tc>
        <w:tc>
          <w:tcPr>
            <w:tcW w:w="337"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II</w:t>
            </w:r>
          </w:p>
        </w:tc>
        <w:tc>
          <w:tcPr>
            <w:tcW w:w="337"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III</w:t>
            </w:r>
          </w:p>
        </w:tc>
        <w:tc>
          <w:tcPr>
            <w:tcW w:w="335"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IV</w:t>
            </w:r>
          </w:p>
        </w:tc>
        <w:tc>
          <w:tcPr>
            <w:tcW w:w="337" w:type="pct"/>
          </w:tcPr>
          <w:p w:rsidR="00352185" w:rsidRPr="00792E95" w:rsidRDefault="00352185" w:rsidP="00352185">
            <w:pPr>
              <w:spacing w:before="20" w:after="20"/>
              <w:jc w:val="center"/>
              <w:cnfStyle w:val="000000000000"/>
              <w:rPr>
                <w:b/>
                <w:sz w:val="18"/>
                <w:szCs w:val="18"/>
              </w:rPr>
            </w:pPr>
            <w:r w:rsidRPr="00792E95">
              <w:rPr>
                <w:b/>
                <w:color w:val="auto"/>
                <w:sz w:val="18"/>
                <w:szCs w:val="18"/>
              </w:rPr>
              <w:t>I</w:t>
            </w:r>
          </w:p>
        </w:tc>
        <w:tc>
          <w:tcPr>
            <w:tcW w:w="335" w:type="pct"/>
          </w:tcPr>
          <w:p w:rsidR="00352185" w:rsidRPr="00792E95" w:rsidRDefault="00352185" w:rsidP="00352185">
            <w:pPr>
              <w:spacing w:before="20" w:after="20"/>
              <w:jc w:val="center"/>
              <w:cnfStyle w:val="000000000000"/>
              <w:rPr>
                <w:b/>
                <w:color w:val="auto"/>
                <w:sz w:val="18"/>
                <w:szCs w:val="18"/>
              </w:rPr>
            </w:pPr>
            <w:r w:rsidRPr="00792E95">
              <w:rPr>
                <w:b/>
                <w:color w:val="auto"/>
                <w:sz w:val="18"/>
                <w:szCs w:val="18"/>
              </w:rPr>
              <w:t>I</w:t>
            </w:r>
            <w:r>
              <w:rPr>
                <w:b/>
                <w:color w:val="auto"/>
                <w:sz w:val="18"/>
                <w:szCs w:val="18"/>
              </w:rPr>
              <w:t>I</w:t>
            </w:r>
          </w:p>
        </w:tc>
        <w:tc>
          <w:tcPr>
            <w:tcW w:w="337" w:type="pct"/>
          </w:tcPr>
          <w:p w:rsidR="00352185" w:rsidRPr="00792E95" w:rsidRDefault="00352185" w:rsidP="00352185">
            <w:pPr>
              <w:spacing w:before="20" w:after="20"/>
              <w:jc w:val="center"/>
              <w:cnfStyle w:val="000000000000"/>
              <w:rPr>
                <w:b/>
                <w:sz w:val="18"/>
                <w:szCs w:val="18"/>
              </w:rPr>
            </w:pPr>
            <w:r>
              <w:rPr>
                <w:b/>
                <w:sz w:val="18"/>
                <w:szCs w:val="18"/>
              </w:rPr>
              <w:t>III</w:t>
            </w:r>
          </w:p>
        </w:tc>
        <w:tc>
          <w:tcPr>
            <w:tcW w:w="335" w:type="pct"/>
          </w:tcPr>
          <w:p w:rsidR="00352185" w:rsidRPr="00792E95" w:rsidRDefault="00352185" w:rsidP="00352185">
            <w:pPr>
              <w:spacing w:before="20" w:after="20"/>
              <w:jc w:val="center"/>
              <w:cnfStyle w:val="000000000000"/>
              <w:rPr>
                <w:b/>
                <w:sz w:val="18"/>
                <w:szCs w:val="18"/>
              </w:rPr>
            </w:pPr>
            <w:r>
              <w:rPr>
                <w:b/>
                <w:sz w:val="18"/>
                <w:szCs w:val="18"/>
              </w:rPr>
              <w:t>IV</w:t>
            </w:r>
          </w:p>
        </w:tc>
      </w:tr>
      <w:tr w:rsidR="00352185" w:rsidRPr="0047327C" w:rsidTr="00352185">
        <w:trPr>
          <w:gridAfter w:val="1"/>
          <w:cnfStyle w:val="000000100000"/>
          <w:wAfter w:w="5" w:type="pct"/>
        </w:trPr>
        <w:tc>
          <w:tcPr>
            <w:cnfStyle w:val="001000000000"/>
            <w:tcW w:w="1511" w:type="pct"/>
            <w:gridSpan w:val="2"/>
          </w:tcPr>
          <w:p w:rsidR="00352185" w:rsidRPr="0047327C" w:rsidRDefault="00352185" w:rsidP="00352185">
            <w:pPr>
              <w:spacing w:before="20" w:after="20"/>
              <w:rPr>
                <w:b w:val="0"/>
                <w:color w:val="auto"/>
                <w:sz w:val="18"/>
                <w:szCs w:val="18"/>
              </w:rPr>
            </w:pPr>
            <w:r w:rsidRPr="0047327C">
              <w:rPr>
                <w:b w:val="0"/>
                <w:color w:val="auto"/>
                <w:sz w:val="18"/>
                <w:szCs w:val="18"/>
              </w:rPr>
              <w:t>Primārās nozares</w:t>
            </w:r>
          </w:p>
        </w:tc>
        <w:tc>
          <w:tcPr>
            <w:tcW w:w="335" w:type="pct"/>
          </w:tcPr>
          <w:p w:rsidR="00352185" w:rsidRPr="004E5210" w:rsidRDefault="00B6196F" w:rsidP="00352185">
            <w:pPr>
              <w:tabs>
                <w:tab w:val="decimal" w:pos="304"/>
              </w:tabs>
              <w:spacing w:before="20" w:after="20"/>
              <w:jc w:val="center"/>
              <w:cnfStyle w:val="000000100000"/>
              <w:rPr>
                <w:color w:val="auto"/>
                <w:sz w:val="18"/>
                <w:szCs w:val="18"/>
              </w:rPr>
            </w:pPr>
            <w:r>
              <w:rPr>
                <w:color w:val="auto"/>
                <w:sz w:val="18"/>
                <w:szCs w:val="18"/>
              </w:rPr>
              <w:t>0,1</w:t>
            </w:r>
          </w:p>
        </w:tc>
        <w:tc>
          <w:tcPr>
            <w:tcW w:w="336" w:type="pct"/>
          </w:tcPr>
          <w:p w:rsidR="00352185" w:rsidRPr="004E5210" w:rsidRDefault="00B6196F" w:rsidP="00352185">
            <w:pPr>
              <w:tabs>
                <w:tab w:val="decimal" w:pos="304"/>
              </w:tabs>
              <w:spacing w:before="20" w:after="20"/>
              <w:jc w:val="center"/>
              <w:cnfStyle w:val="000000100000"/>
              <w:rPr>
                <w:color w:val="auto"/>
                <w:sz w:val="18"/>
                <w:szCs w:val="18"/>
              </w:rPr>
            </w:pPr>
            <w:r>
              <w:rPr>
                <w:color w:val="auto"/>
                <w:sz w:val="18"/>
                <w:szCs w:val="18"/>
              </w:rPr>
              <w:t>0,1</w:t>
            </w:r>
          </w:p>
        </w:tc>
        <w:tc>
          <w:tcPr>
            <w:tcW w:w="125" w:type="pct"/>
          </w:tcPr>
          <w:p w:rsidR="00352185" w:rsidRPr="00352185" w:rsidRDefault="00352185" w:rsidP="00352185">
            <w:pPr>
              <w:spacing w:before="20" w:after="20"/>
              <w:jc w:val="center"/>
              <w:cnfStyle w:val="000000100000"/>
              <w:rPr>
                <w:sz w:val="2"/>
                <w:szCs w:val="2"/>
              </w:rPr>
            </w:pP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-0,1</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0,1</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0,1</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0,3</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0,2</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0,2</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0,1</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0,2</w:t>
            </w:r>
          </w:p>
        </w:tc>
      </w:tr>
      <w:tr w:rsidR="00352185" w:rsidRPr="0047327C" w:rsidTr="00352185">
        <w:trPr>
          <w:gridAfter w:val="1"/>
          <w:wAfter w:w="5" w:type="pct"/>
        </w:trPr>
        <w:tc>
          <w:tcPr>
            <w:cnfStyle w:val="001000000000"/>
            <w:tcW w:w="1511" w:type="pct"/>
            <w:gridSpan w:val="2"/>
          </w:tcPr>
          <w:p w:rsidR="00352185" w:rsidRPr="0047327C" w:rsidRDefault="00352185" w:rsidP="00352185">
            <w:pPr>
              <w:spacing w:before="20" w:after="20"/>
              <w:rPr>
                <w:b w:val="0"/>
                <w:color w:val="000000"/>
                <w:sz w:val="18"/>
                <w:szCs w:val="18"/>
              </w:rPr>
            </w:pPr>
            <w:r w:rsidRPr="0047327C">
              <w:rPr>
                <w:b w:val="0"/>
                <w:color w:val="000000"/>
                <w:sz w:val="18"/>
                <w:szCs w:val="18"/>
              </w:rPr>
              <w:t>Apstrādes rūpniecība</w:t>
            </w:r>
          </w:p>
        </w:tc>
        <w:tc>
          <w:tcPr>
            <w:tcW w:w="335" w:type="pct"/>
          </w:tcPr>
          <w:p w:rsidR="00352185" w:rsidRPr="004E5210" w:rsidRDefault="00B6196F" w:rsidP="00352185">
            <w:pPr>
              <w:tabs>
                <w:tab w:val="decimal" w:pos="304"/>
              </w:tabs>
              <w:spacing w:before="20" w:after="20"/>
              <w:jc w:val="center"/>
              <w:cnfStyle w:val="000000000000"/>
              <w:rPr>
                <w:color w:val="auto"/>
                <w:sz w:val="18"/>
                <w:szCs w:val="18"/>
              </w:rPr>
            </w:pPr>
            <w:r>
              <w:rPr>
                <w:color w:val="auto"/>
                <w:sz w:val="18"/>
                <w:szCs w:val="18"/>
              </w:rPr>
              <w:t>-2,4</w:t>
            </w:r>
          </w:p>
        </w:tc>
        <w:tc>
          <w:tcPr>
            <w:tcW w:w="336" w:type="pct"/>
          </w:tcPr>
          <w:p w:rsidR="00352185" w:rsidRPr="004E5210" w:rsidRDefault="00B6196F" w:rsidP="00352185">
            <w:pPr>
              <w:tabs>
                <w:tab w:val="decimal" w:pos="304"/>
              </w:tabs>
              <w:spacing w:before="20" w:after="20"/>
              <w:jc w:val="center"/>
              <w:cnfStyle w:val="000000000000"/>
              <w:rPr>
                <w:color w:val="auto"/>
                <w:sz w:val="18"/>
                <w:szCs w:val="18"/>
              </w:rPr>
            </w:pPr>
            <w:r>
              <w:rPr>
                <w:color w:val="auto"/>
                <w:sz w:val="18"/>
                <w:szCs w:val="18"/>
              </w:rPr>
              <w:t>1,2</w:t>
            </w:r>
          </w:p>
        </w:tc>
        <w:tc>
          <w:tcPr>
            <w:tcW w:w="125" w:type="pct"/>
          </w:tcPr>
          <w:p w:rsidR="00352185" w:rsidRPr="00352185" w:rsidRDefault="00352185" w:rsidP="00352185">
            <w:pPr>
              <w:spacing w:before="20" w:after="20"/>
              <w:jc w:val="center"/>
              <w:cnfStyle w:val="000000000000"/>
              <w:rPr>
                <w:sz w:val="2"/>
                <w:szCs w:val="2"/>
              </w:rPr>
            </w:pP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-3,4</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-3,0</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-2,3</w:t>
            </w: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-1,1</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0,7</w:t>
            </w: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1,5</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2,3</w:t>
            </w: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1,9</w:t>
            </w:r>
          </w:p>
        </w:tc>
      </w:tr>
      <w:tr w:rsidR="00352185" w:rsidRPr="0047327C" w:rsidTr="00352185">
        <w:trPr>
          <w:gridAfter w:val="1"/>
          <w:cnfStyle w:val="000000100000"/>
          <w:wAfter w:w="5" w:type="pct"/>
        </w:trPr>
        <w:tc>
          <w:tcPr>
            <w:cnfStyle w:val="001000000000"/>
            <w:tcW w:w="1511" w:type="pct"/>
            <w:gridSpan w:val="2"/>
          </w:tcPr>
          <w:p w:rsidR="00352185" w:rsidRPr="0047327C" w:rsidRDefault="00352185" w:rsidP="00352185">
            <w:pPr>
              <w:spacing w:before="20" w:after="20"/>
              <w:rPr>
                <w:b w:val="0"/>
                <w:color w:val="000000"/>
                <w:sz w:val="18"/>
                <w:szCs w:val="18"/>
              </w:rPr>
            </w:pPr>
            <w:r w:rsidRPr="0047327C">
              <w:rPr>
                <w:b w:val="0"/>
                <w:color w:val="000000"/>
                <w:sz w:val="18"/>
                <w:szCs w:val="18"/>
              </w:rPr>
              <w:t>Elektroenerģija, gāze, ūdens apgāde</w:t>
            </w:r>
          </w:p>
        </w:tc>
        <w:tc>
          <w:tcPr>
            <w:tcW w:w="335" w:type="pct"/>
          </w:tcPr>
          <w:p w:rsidR="00352185" w:rsidRPr="004E5210" w:rsidRDefault="00B6196F" w:rsidP="00352185">
            <w:pPr>
              <w:tabs>
                <w:tab w:val="decimal" w:pos="304"/>
              </w:tabs>
              <w:spacing w:before="20" w:after="20"/>
              <w:jc w:val="center"/>
              <w:cnfStyle w:val="000000100000"/>
              <w:rPr>
                <w:color w:val="auto"/>
                <w:sz w:val="18"/>
                <w:szCs w:val="18"/>
              </w:rPr>
            </w:pPr>
            <w:r>
              <w:rPr>
                <w:color w:val="auto"/>
                <w:sz w:val="18"/>
                <w:szCs w:val="18"/>
              </w:rPr>
              <w:t>-0,2</w:t>
            </w:r>
          </w:p>
        </w:tc>
        <w:tc>
          <w:tcPr>
            <w:tcW w:w="336" w:type="pct"/>
          </w:tcPr>
          <w:p w:rsidR="00352185" w:rsidRPr="004E5210" w:rsidRDefault="00B6196F" w:rsidP="00352185">
            <w:pPr>
              <w:tabs>
                <w:tab w:val="decimal" w:pos="304"/>
              </w:tabs>
              <w:spacing w:before="20" w:after="20"/>
              <w:jc w:val="center"/>
              <w:cnfStyle w:val="000000100000"/>
              <w:rPr>
                <w:color w:val="auto"/>
                <w:sz w:val="18"/>
                <w:szCs w:val="18"/>
              </w:rPr>
            </w:pPr>
            <w:r>
              <w:rPr>
                <w:color w:val="auto"/>
                <w:sz w:val="18"/>
                <w:szCs w:val="18"/>
              </w:rPr>
              <w:t>0,3</w:t>
            </w:r>
          </w:p>
        </w:tc>
        <w:tc>
          <w:tcPr>
            <w:tcW w:w="125" w:type="pct"/>
          </w:tcPr>
          <w:p w:rsidR="00352185" w:rsidRPr="00352185" w:rsidRDefault="00352185" w:rsidP="00352185">
            <w:pPr>
              <w:spacing w:before="20" w:after="20"/>
              <w:jc w:val="center"/>
              <w:cnfStyle w:val="000000100000"/>
              <w:rPr>
                <w:sz w:val="2"/>
                <w:szCs w:val="2"/>
              </w:rPr>
            </w:pP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-0,4</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-0,2</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-0,3</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0,1</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0,7</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0,2</w:t>
            </w:r>
          </w:p>
        </w:tc>
        <w:tc>
          <w:tcPr>
            <w:tcW w:w="337" w:type="pct"/>
            <w:vAlign w:val="bottom"/>
          </w:tcPr>
          <w:p w:rsidR="00352185" w:rsidRPr="005420C2" w:rsidRDefault="00B6196F" w:rsidP="00B6196F">
            <w:pPr>
              <w:tabs>
                <w:tab w:val="decimal" w:pos="304"/>
              </w:tabs>
              <w:spacing w:before="20" w:after="20"/>
              <w:jc w:val="center"/>
              <w:cnfStyle w:val="000000100000"/>
              <w:rPr>
                <w:color w:val="auto"/>
                <w:sz w:val="18"/>
                <w:szCs w:val="18"/>
              </w:rPr>
            </w:pPr>
            <w:r>
              <w:rPr>
                <w:color w:val="auto"/>
                <w:sz w:val="18"/>
                <w:szCs w:val="18"/>
              </w:rPr>
              <w:t>0,3</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0,3</w:t>
            </w:r>
          </w:p>
        </w:tc>
      </w:tr>
      <w:tr w:rsidR="00352185" w:rsidRPr="0047327C" w:rsidTr="00352185">
        <w:trPr>
          <w:gridAfter w:val="1"/>
          <w:wAfter w:w="5" w:type="pct"/>
        </w:trPr>
        <w:tc>
          <w:tcPr>
            <w:cnfStyle w:val="001000000000"/>
            <w:tcW w:w="1511" w:type="pct"/>
            <w:gridSpan w:val="2"/>
          </w:tcPr>
          <w:p w:rsidR="00352185" w:rsidRPr="0047327C" w:rsidRDefault="00352185" w:rsidP="00352185">
            <w:pPr>
              <w:spacing w:before="20" w:after="20"/>
              <w:rPr>
                <w:b w:val="0"/>
                <w:color w:val="000000"/>
                <w:sz w:val="18"/>
                <w:szCs w:val="18"/>
              </w:rPr>
            </w:pPr>
            <w:r w:rsidRPr="0047327C">
              <w:rPr>
                <w:b w:val="0"/>
                <w:color w:val="000000"/>
                <w:sz w:val="18"/>
                <w:szCs w:val="18"/>
              </w:rPr>
              <w:t>Būvniecība</w:t>
            </w:r>
          </w:p>
        </w:tc>
        <w:tc>
          <w:tcPr>
            <w:tcW w:w="335" w:type="pct"/>
          </w:tcPr>
          <w:p w:rsidR="00352185" w:rsidRPr="004E5210" w:rsidRDefault="00B6196F" w:rsidP="00352185">
            <w:pPr>
              <w:tabs>
                <w:tab w:val="decimal" w:pos="304"/>
              </w:tabs>
              <w:spacing w:before="20" w:after="20"/>
              <w:jc w:val="center"/>
              <w:cnfStyle w:val="000000000000"/>
              <w:rPr>
                <w:color w:val="auto"/>
                <w:sz w:val="18"/>
                <w:szCs w:val="18"/>
              </w:rPr>
            </w:pPr>
            <w:r>
              <w:rPr>
                <w:color w:val="auto"/>
                <w:sz w:val="18"/>
                <w:szCs w:val="18"/>
              </w:rPr>
              <w:t>-3,2</w:t>
            </w:r>
          </w:p>
        </w:tc>
        <w:tc>
          <w:tcPr>
            <w:tcW w:w="336" w:type="pct"/>
          </w:tcPr>
          <w:p w:rsidR="00352185" w:rsidRPr="004E5210" w:rsidRDefault="00B6196F" w:rsidP="00352185">
            <w:pPr>
              <w:tabs>
                <w:tab w:val="decimal" w:pos="304"/>
              </w:tabs>
              <w:spacing w:before="20" w:after="20"/>
              <w:jc w:val="center"/>
              <w:cnfStyle w:val="000000000000"/>
              <w:rPr>
                <w:color w:val="auto"/>
                <w:sz w:val="18"/>
                <w:szCs w:val="18"/>
              </w:rPr>
            </w:pPr>
            <w:r>
              <w:rPr>
                <w:color w:val="auto"/>
                <w:sz w:val="18"/>
                <w:szCs w:val="18"/>
              </w:rPr>
              <w:t>-1,2</w:t>
            </w:r>
          </w:p>
        </w:tc>
        <w:tc>
          <w:tcPr>
            <w:tcW w:w="125" w:type="pct"/>
          </w:tcPr>
          <w:p w:rsidR="00352185" w:rsidRPr="00352185" w:rsidRDefault="00352185" w:rsidP="00352185">
            <w:pPr>
              <w:spacing w:before="20" w:after="20"/>
              <w:jc w:val="center"/>
              <w:cnfStyle w:val="000000000000"/>
              <w:rPr>
                <w:sz w:val="2"/>
                <w:szCs w:val="2"/>
              </w:rPr>
            </w:pP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-2,0</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-3,0</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-3,7</w:t>
            </w: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-3,9</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-2,3</w:t>
            </w: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-2,3</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-1,0</w:t>
            </w: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-0,5</w:t>
            </w:r>
          </w:p>
        </w:tc>
      </w:tr>
      <w:tr w:rsidR="00352185" w:rsidRPr="0047327C" w:rsidTr="00352185">
        <w:trPr>
          <w:gridAfter w:val="1"/>
          <w:cnfStyle w:val="000000100000"/>
          <w:wAfter w:w="5" w:type="pct"/>
        </w:trPr>
        <w:tc>
          <w:tcPr>
            <w:cnfStyle w:val="001000000000"/>
            <w:tcW w:w="1511" w:type="pct"/>
            <w:gridSpan w:val="2"/>
          </w:tcPr>
          <w:p w:rsidR="00352185" w:rsidRPr="0047327C" w:rsidRDefault="00352185" w:rsidP="00352185">
            <w:pPr>
              <w:spacing w:before="20" w:after="20"/>
              <w:rPr>
                <w:b w:val="0"/>
                <w:color w:val="000000"/>
                <w:sz w:val="18"/>
                <w:szCs w:val="18"/>
              </w:rPr>
            </w:pPr>
            <w:r w:rsidRPr="0047327C">
              <w:rPr>
                <w:b w:val="0"/>
                <w:color w:val="000000"/>
                <w:sz w:val="18"/>
                <w:szCs w:val="18"/>
              </w:rPr>
              <w:t>Tirdzniecība, viesnīcas, restorāni</w:t>
            </w:r>
          </w:p>
        </w:tc>
        <w:tc>
          <w:tcPr>
            <w:tcW w:w="335" w:type="pct"/>
          </w:tcPr>
          <w:p w:rsidR="00352185" w:rsidRPr="004E5210" w:rsidRDefault="00B6196F" w:rsidP="00352185">
            <w:pPr>
              <w:tabs>
                <w:tab w:val="decimal" w:pos="304"/>
              </w:tabs>
              <w:spacing w:before="20" w:after="20"/>
              <w:jc w:val="center"/>
              <w:cnfStyle w:val="000000100000"/>
              <w:rPr>
                <w:color w:val="auto"/>
                <w:sz w:val="18"/>
                <w:szCs w:val="18"/>
              </w:rPr>
            </w:pPr>
            <w:r>
              <w:rPr>
                <w:color w:val="auto"/>
                <w:sz w:val="18"/>
                <w:szCs w:val="18"/>
              </w:rPr>
              <w:t>-7,4</w:t>
            </w:r>
          </w:p>
        </w:tc>
        <w:tc>
          <w:tcPr>
            <w:tcW w:w="336" w:type="pct"/>
          </w:tcPr>
          <w:p w:rsidR="00352185" w:rsidRPr="004E5210" w:rsidRDefault="00B6196F" w:rsidP="00352185">
            <w:pPr>
              <w:tabs>
                <w:tab w:val="decimal" w:pos="304"/>
              </w:tabs>
              <w:spacing w:before="20" w:after="20"/>
              <w:jc w:val="center"/>
              <w:cnfStyle w:val="000000100000"/>
              <w:rPr>
                <w:color w:val="auto"/>
                <w:sz w:val="18"/>
                <w:szCs w:val="18"/>
              </w:rPr>
            </w:pPr>
            <w:r>
              <w:rPr>
                <w:color w:val="auto"/>
                <w:sz w:val="18"/>
                <w:szCs w:val="18"/>
              </w:rPr>
              <w:t>0,4</w:t>
            </w:r>
          </w:p>
        </w:tc>
        <w:tc>
          <w:tcPr>
            <w:tcW w:w="125" w:type="pct"/>
          </w:tcPr>
          <w:p w:rsidR="00352185" w:rsidRPr="00352185" w:rsidRDefault="00352185" w:rsidP="00352185">
            <w:pPr>
              <w:spacing w:before="20" w:after="20"/>
              <w:jc w:val="center"/>
              <w:cnfStyle w:val="000000100000"/>
              <w:rPr>
                <w:sz w:val="2"/>
                <w:szCs w:val="2"/>
              </w:rPr>
            </w:pP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-7,3</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-7,3</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-7,7</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-7,6</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-1,7</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0,0</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2,3</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1,7</w:t>
            </w:r>
          </w:p>
        </w:tc>
      </w:tr>
      <w:tr w:rsidR="00352185" w:rsidRPr="0047327C" w:rsidTr="00352185">
        <w:trPr>
          <w:gridAfter w:val="1"/>
          <w:wAfter w:w="5" w:type="pct"/>
        </w:trPr>
        <w:tc>
          <w:tcPr>
            <w:cnfStyle w:val="001000000000"/>
            <w:tcW w:w="1511" w:type="pct"/>
            <w:gridSpan w:val="2"/>
          </w:tcPr>
          <w:p w:rsidR="00352185" w:rsidRPr="0047327C" w:rsidRDefault="00352185" w:rsidP="00352185">
            <w:pPr>
              <w:spacing w:before="20" w:after="20"/>
              <w:rPr>
                <w:b w:val="0"/>
                <w:color w:val="000000"/>
                <w:sz w:val="18"/>
                <w:szCs w:val="18"/>
              </w:rPr>
            </w:pPr>
            <w:r w:rsidRPr="0047327C">
              <w:rPr>
                <w:b w:val="0"/>
                <w:color w:val="000000"/>
                <w:sz w:val="18"/>
                <w:szCs w:val="18"/>
              </w:rPr>
              <w:t>Transports un sakari</w:t>
            </w:r>
          </w:p>
        </w:tc>
        <w:tc>
          <w:tcPr>
            <w:tcW w:w="335" w:type="pct"/>
          </w:tcPr>
          <w:p w:rsidR="00352185" w:rsidRPr="004E5210" w:rsidRDefault="00B6196F" w:rsidP="00352185">
            <w:pPr>
              <w:tabs>
                <w:tab w:val="decimal" w:pos="304"/>
              </w:tabs>
              <w:spacing w:before="20" w:after="20"/>
              <w:jc w:val="center"/>
              <w:cnfStyle w:val="000000000000"/>
              <w:rPr>
                <w:color w:val="auto"/>
                <w:sz w:val="18"/>
                <w:szCs w:val="18"/>
              </w:rPr>
            </w:pPr>
            <w:r>
              <w:rPr>
                <w:color w:val="auto"/>
                <w:sz w:val="18"/>
                <w:szCs w:val="18"/>
              </w:rPr>
              <w:t>-2,3</w:t>
            </w:r>
          </w:p>
        </w:tc>
        <w:tc>
          <w:tcPr>
            <w:tcW w:w="336" w:type="pct"/>
          </w:tcPr>
          <w:p w:rsidR="00352185" w:rsidRPr="004E5210" w:rsidRDefault="00B6196F" w:rsidP="00352185">
            <w:pPr>
              <w:tabs>
                <w:tab w:val="decimal" w:pos="304"/>
              </w:tabs>
              <w:spacing w:before="20" w:after="20"/>
              <w:jc w:val="center"/>
              <w:cnfStyle w:val="000000000000"/>
              <w:rPr>
                <w:color w:val="auto"/>
                <w:sz w:val="18"/>
                <w:szCs w:val="18"/>
              </w:rPr>
            </w:pPr>
            <w:r>
              <w:rPr>
                <w:color w:val="auto"/>
                <w:sz w:val="18"/>
                <w:szCs w:val="18"/>
              </w:rPr>
              <w:t>0,3</w:t>
            </w:r>
          </w:p>
        </w:tc>
        <w:tc>
          <w:tcPr>
            <w:tcW w:w="125" w:type="pct"/>
          </w:tcPr>
          <w:p w:rsidR="00352185" w:rsidRPr="00352185" w:rsidRDefault="00352185" w:rsidP="00352185">
            <w:pPr>
              <w:spacing w:before="20" w:after="20"/>
              <w:jc w:val="center"/>
              <w:cnfStyle w:val="000000000000"/>
              <w:rPr>
                <w:sz w:val="2"/>
                <w:szCs w:val="2"/>
              </w:rPr>
            </w:pP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-2,3</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-2,5</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-3,0</w:t>
            </w: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-1,6</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0,3</w:t>
            </w: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0,3</w:t>
            </w:r>
          </w:p>
        </w:tc>
        <w:tc>
          <w:tcPr>
            <w:tcW w:w="337"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0,8</w:t>
            </w:r>
          </w:p>
        </w:tc>
        <w:tc>
          <w:tcPr>
            <w:tcW w:w="335" w:type="pct"/>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0,2</w:t>
            </w:r>
          </w:p>
        </w:tc>
      </w:tr>
      <w:tr w:rsidR="00352185" w:rsidRPr="0047327C" w:rsidTr="00352185">
        <w:trPr>
          <w:gridAfter w:val="1"/>
          <w:cnfStyle w:val="000000100000"/>
          <w:wAfter w:w="5" w:type="pct"/>
        </w:trPr>
        <w:tc>
          <w:tcPr>
            <w:cnfStyle w:val="001000000000"/>
            <w:tcW w:w="1511" w:type="pct"/>
            <w:gridSpan w:val="2"/>
          </w:tcPr>
          <w:p w:rsidR="00352185" w:rsidRPr="0047327C" w:rsidRDefault="00352185" w:rsidP="00352185">
            <w:pPr>
              <w:spacing w:before="20" w:after="20"/>
              <w:rPr>
                <w:b w:val="0"/>
                <w:color w:val="000000"/>
                <w:sz w:val="18"/>
                <w:szCs w:val="18"/>
              </w:rPr>
            </w:pPr>
            <w:r w:rsidRPr="0047327C">
              <w:rPr>
                <w:b w:val="0"/>
                <w:color w:val="000000"/>
                <w:sz w:val="18"/>
                <w:szCs w:val="18"/>
              </w:rPr>
              <w:t>Sabiedriskie pakalpojumi</w:t>
            </w:r>
          </w:p>
        </w:tc>
        <w:tc>
          <w:tcPr>
            <w:tcW w:w="335" w:type="pct"/>
          </w:tcPr>
          <w:p w:rsidR="00352185" w:rsidRPr="004E5210" w:rsidRDefault="00B6196F" w:rsidP="00352185">
            <w:pPr>
              <w:tabs>
                <w:tab w:val="decimal" w:pos="304"/>
              </w:tabs>
              <w:spacing w:before="20" w:after="20"/>
              <w:jc w:val="center"/>
              <w:cnfStyle w:val="000000100000"/>
              <w:rPr>
                <w:color w:val="auto"/>
                <w:sz w:val="18"/>
                <w:szCs w:val="18"/>
              </w:rPr>
            </w:pPr>
            <w:r>
              <w:rPr>
                <w:color w:val="auto"/>
                <w:sz w:val="18"/>
                <w:szCs w:val="18"/>
              </w:rPr>
              <w:t>-0,9</w:t>
            </w:r>
          </w:p>
        </w:tc>
        <w:tc>
          <w:tcPr>
            <w:tcW w:w="336" w:type="pct"/>
          </w:tcPr>
          <w:p w:rsidR="00352185" w:rsidRPr="004E5210" w:rsidRDefault="00B6196F" w:rsidP="00352185">
            <w:pPr>
              <w:tabs>
                <w:tab w:val="decimal" w:pos="304"/>
              </w:tabs>
              <w:spacing w:before="20" w:after="20"/>
              <w:jc w:val="center"/>
              <w:cnfStyle w:val="000000100000"/>
              <w:rPr>
                <w:color w:val="auto"/>
                <w:sz w:val="18"/>
                <w:szCs w:val="18"/>
              </w:rPr>
            </w:pPr>
            <w:r>
              <w:rPr>
                <w:color w:val="auto"/>
                <w:sz w:val="18"/>
                <w:szCs w:val="18"/>
              </w:rPr>
              <w:t>-0,8</w:t>
            </w:r>
          </w:p>
        </w:tc>
        <w:tc>
          <w:tcPr>
            <w:tcW w:w="125" w:type="pct"/>
          </w:tcPr>
          <w:p w:rsidR="00352185" w:rsidRPr="00352185" w:rsidRDefault="00352185" w:rsidP="00352185">
            <w:pPr>
              <w:spacing w:before="20" w:after="20"/>
              <w:jc w:val="center"/>
              <w:cnfStyle w:val="000000100000"/>
              <w:rPr>
                <w:sz w:val="2"/>
                <w:szCs w:val="2"/>
              </w:rPr>
            </w:pP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-0,4</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-0,8</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-1,2</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-1,1</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-1,7</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-1,6</w:t>
            </w:r>
          </w:p>
        </w:tc>
        <w:tc>
          <w:tcPr>
            <w:tcW w:w="337"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-0,8</w:t>
            </w:r>
          </w:p>
        </w:tc>
        <w:tc>
          <w:tcPr>
            <w:tcW w:w="335" w:type="pct"/>
            <w:vAlign w:val="bottom"/>
          </w:tcPr>
          <w:p w:rsidR="00352185" w:rsidRPr="005420C2" w:rsidRDefault="00B6196F" w:rsidP="00352185">
            <w:pPr>
              <w:tabs>
                <w:tab w:val="decimal" w:pos="304"/>
              </w:tabs>
              <w:spacing w:before="20" w:after="20"/>
              <w:jc w:val="center"/>
              <w:cnfStyle w:val="000000100000"/>
              <w:rPr>
                <w:color w:val="auto"/>
                <w:sz w:val="18"/>
                <w:szCs w:val="18"/>
              </w:rPr>
            </w:pPr>
            <w:r>
              <w:rPr>
                <w:color w:val="auto"/>
                <w:sz w:val="18"/>
                <w:szCs w:val="18"/>
              </w:rPr>
              <w:t>-0,2</w:t>
            </w:r>
          </w:p>
        </w:tc>
      </w:tr>
      <w:tr w:rsidR="00352185" w:rsidRPr="0047327C" w:rsidTr="00F021A7">
        <w:trPr>
          <w:gridAfter w:val="1"/>
          <w:wAfter w:w="5" w:type="pct"/>
        </w:trPr>
        <w:tc>
          <w:tcPr>
            <w:cnfStyle w:val="001000000000"/>
            <w:tcW w:w="1511" w:type="pct"/>
            <w:gridSpan w:val="2"/>
            <w:tcBorders>
              <w:bottom w:val="nil"/>
            </w:tcBorders>
          </w:tcPr>
          <w:p w:rsidR="00352185" w:rsidRPr="0047327C" w:rsidRDefault="00352185" w:rsidP="00352185">
            <w:pPr>
              <w:spacing w:before="20" w:after="20"/>
              <w:rPr>
                <w:b w:val="0"/>
                <w:color w:val="000000"/>
                <w:sz w:val="18"/>
                <w:szCs w:val="18"/>
              </w:rPr>
            </w:pPr>
            <w:r w:rsidRPr="0047327C">
              <w:rPr>
                <w:b w:val="0"/>
                <w:color w:val="000000"/>
                <w:sz w:val="18"/>
                <w:szCs w:val="18"/>
              </w:rPr>
              <w:t>Citi komercpakalpojumi</w:t>
            </w:r>
          </w:p>
        </w:tc>
        <w:tc>
          <w:tcPr>
            <w:tcW w:w="335" w:type="pct"/>
            <w:tcBorders>
              <w:bottom w:val="nil"/>
            </w:tcBorders>
          </w:tcPr>
          <w:p w:rsidR="00352185" w:rsidRPr="004E5210" w:rsidRDefault="00B6196F" w:rsidP="00352185">
            <w:pPr>
              <w:tabs>
                <w:tab w:val="decimal" w:pos="304"/>
              </w:tabs>
              <w:spacing w:before="20" w:after="20"/>
              <w:jc w:val="center"/>
              <w:cnfStyle w:val="000000000000"/>
              <w:rPr>
                <w:color w:val="auto"/>
                <w:sz w:val="18"/>
                <w:szCs w:val="18"/>
              </w:rPr>
            </w:pPr>
            <w:r>
              <w:rPr>
                <w:color w:val="auto"/>
                <w:sz w:val="18"/>
                <w:szCs w:val="18"/>
              </w:rPr>
              <w:t>-1,6</w:t>
            </w:r>
          </w:p>
        </w:tc>
        <w:tc>
          <w:tcPr>
            <w:tcW w:w="336" w:type="pct"/>
            <w:tcBorders>
              <w:bottom w:val="nil"/>
            </w:tcBorders>
          </w:tcPr>
          <w:p w:rsidR="00352185" w:rsidRPr="004E5210" w:rsidRDefault="00B6196F" w:rsidP="00352185">
            <w:pPr>
              <w:tabs>
                <w:tab w:val="decimal" w:pos="304"/>
              </w:tabs>
              <w:spacing w:before="20" w:after="20"/>
              <w:jc w:val="center"/>
              <w:cnfStyle w:val="000000000000"/>
              <w:rPr>
                <w:color w:val="auto"/>
                <w:sz w:val="18"/>
                <w:szCs w:val="18"/>
              </w:rPr>
            </w:pPr>
            <w:r>
              <w:rPr>
                <w:color w:val="auto"/>
                <w:sz w:val="18"/>
                <w:szCs w:val="18"/>
              </w:rPr>
              <w:t>-0,7</w:t>
            </w:r>
          </w:p>
        </w:tc>
        <w:tc>
          <w:tcPr>
            <w:tcW w:w="125" w:type="pct"/>
            <w:tcBorders>
              <w:bottom w:val="nil"/>
            </w:tcBorders>
          </w:tcPr>
          <w:p w:rsidR="00352185" w:rsidRPr="00352185" w:rsidRDefault="00352185" w:rsidP="00352185">
            <w:pPr>
              <w:spacing w:before="20" w:after="20"/>
              <w:jc w:val="center"/>
              <w:cnfStyle w:val="000000000000"/>
              <w:rPr>
                <w:sz w:val="2"/>
                <w:szCs w:val="2"/>
              </w:rPr>
            </w:pPr>
          </w:p>
        </w:tc>
        <w:tc>
          <w:tcPr>
            <w:tcW w:w="335" w:type="pct"/>
            <w:tcBorders>
              <w:bottom w:val="nil"/>
            </w:tcBorders>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-1,8</w:t>
            </w:r>
          </w:p>
        </w:tc>
        <w:tc>
          <w:tcPr>
            <w:tcW w:w="337" w:type="pct"/>
            <w:tcBorders>
              <w:bottom w:val="nil"/>
            </w:tcBorders>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-1,5</w:t>
            </w:r>
          </w:p>
        </w:tc>
        <w:tc>
          <w:tcPr>
            <w:tcW w:w="337" w:type="pct"/>
            <w:tcBorders>
              <w:bottom w:val="nil"/>
            </w:tcBorders>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-1,1</w:t>
            </w:r>
          </w:p>
        </w:tc>
        <w:tc>
          <w:tcPr>
            <w:tcW w:w="335" w:type="pct"/>
            <w:tcBorders>
              <w:bottom w:val="nil"/>
            </w:tcBorders>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-2,0</w:t>
            </w:r>
          </w:p>
        </w:tc>
        <w:tc>
          <w:tcPr>
            <w:tcW w:w="337" w:type="pct"/>
            <w:tcBorders>
              <w:bottom w:val="nil"/>
            </w:tcBorders>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-2,2</w:t>
            </w:r>
          </w:p>
        </w:tc>
        <w:tc>
          <w:tcPr>
            <w:tcW w:w="335" w:type="pct"/>
            <w:tcBorders>
              <w:bottom w:val="nil"/>
            </w:tcBorders>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-0,9</w:t>
            </w:r>
          </w:p>
        </w:tc>
        <w:tc>
          <w:tcPr>
            <w:tcW w:w="337" w:type="pct"/>
            <w:tcBorders>
              <w:bottom w:val="nil"/>
            </w:tcBorders>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-1,2</w:t>
            </w:r>
          </w:p>
        </w:tc>
        <w:tc>
          <w:tcPr>
            <w:tcW w:w="335" w:type="pct"/>
            <w:tcBorders>
              <w:bottom w:val="nil"/>
            </w:tcBorders>
            <w:vAlign w:val="bottom"/>
          </w:tcPr>
          <w:p w:rsidR="00352185" w:rsidRPr="005420C2" w:rsidRDefault="00B6196F" w:rsidP="00352185">
            <w:pPr>
              <w:tabs>
                <w:tab w:val="decimal" w:pos="304"/>
              </w:tabs>
              <w:spacing w:before="20" w:after="20"/>
              <w:jc w:val="center"/>
              <w:cnfStyle w:val="000000000000"/>
              <w:rPr>
                <w:color w:val="auto"/>
                <w:sz w:val="18"/>
                <w:szCs w:val="18"/>
              </w:rPr>
            </w:pPr>
            <w:r>
              <w:rPr>
                <w:color w:val="auto"/>
                <w:sz w:val="18"/>
                <w:szCs w:val="18"/>
              </w:rPr>
              <w:t>0,1</w:t>
            </w:r>
          </w:p>
        </w:tc>
      </w:tr>
      <w:tr w:rsidR="00352185" w:rsidRPr="004E5210" w:rsidTr="00F021A7">
        <w:trPr>
          <w:gridAfter w:val="1"/>
          <w:cnfStyle w:val="000000100000"/>
          <w:wAfter w:w="5" w:type="pct"/>
        </w:trPr>
        <w:tc>
          <w:tcPr>
            <w:cnfStyle w:val="001000000000"/>
            <w:tcW w:w="1511" w:type="pct"/>
            <w:gridSpan w:val="2"/>
            <w:tcBorders>
              <w:top w:val="nil"/>
              <w:bottom w:val="single" w:sz="8" w:space="0" w:color="0070C0"/>
            </w:tcBorders>
          </w:tcPr>
          <w:p w:rsidR="00352185" w:rsidRPr="004E5210" w:rsidRDefault="00352185" w:rsidP="00352185">
            <w:pPr>
              <w:spacing w:before="20" w:after="20"/>
              <w:rPr>
                <w:color w:val="000000"/>
                <w:sz w:val="20"/>
                <w:szCs w:val="18"/>
              </w:rPr>
            </w:pPr>
            <w:r w:rsidRPr="004E5210">
              <w:rPr>
                <w:color w:val="000000"/>
                <w:sz w:val="20"/>
                <w:szCs w:val="18"/>
              </w:rPr>
              <w:t>IKP</w:t>
            </w:r>
          </w:p>
        </w:tc>
        <w:tc>
          <w:tcPr>
            <w:tcW w:w="335" w:type="pct"/>
            <w:tcBorders>
              <w:top w:val="nil"/>
              <w:bottom w:val="single" w:sz="8" w:space="0" w:color="0070C0"/>
            </w:tcBorders>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-18,0</w:t>
            </w:r>
          </w:p>
        </w:tc>
        <w:tc>
          <w:tcPr>
            <w:tcW w:w="336" w:type="pct"/>
            <w:tcBorders>
              <w:top w:val="nil"/>
              <w:bottom w:val="single" w:sz="8" w:space="0" w:color="0070C0"/>
            </w:tcBorders>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-0,3</w:t>
            </w:r>
          </w:p>
        </w:tc>
        <w:tc>
          <w:tcPr>
            <w:tcW w:w="125" w:type="pct"/>
            <w:tcBorders>
              <w:top w:val="nil"/>
              <w:bottom w:val="single" w:sz="8" w:space="0" w:color="0070C0"/>
            </w:tcBorders>
          </w:tcPr>
          <w:p w:rsidR="00352185" w:rsidRPr="00352185" w:rsidRDefault="00352185" w:rsidP="00352185">
            <w:pPr>
              <w:spacing w:before="20" w:after="20"/>
              <w:jc w:val="center"/>
              <w:cnfStyle w:val="000000100000"/>
              <w:rPr>
                <w:b/>
                <w:sz w:val="2"/>
                <w:szCs w:val="2"/>
              </w:rPr>
            </w:pPr>
          </w:p>
        </w:tc>
        <w:tc>
          <w:tcPr>
            <w:tcW w:w="335" w:type="pct"/>
            <w:tcBorders>
              <w:top w:val="nil"/>
              <w:bottom w:val="single" w:sz="8" w:space="0" w:color="0070C0"/>
            </w:tcBorders>
            <w:vAlign w:val="bottom"/>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-17,8</w:t>
            </w:r>
          </w:p>
        </w:tc>
        <w:tc>
          <w:tcPr>
            <w:tcW w:w="337" w:type="pct"/>
            <w:tcBorders>
              <w:top w:val="nil"/>
              <w:bottom w:val="single" w:sz="8" w:space="0" w:color="0070C0"/>
            </w:tcBorders>
            <w:vAlign w:val="bottom"/>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-18,1</w:t>
            </w:r>
          </w:p>
        </w:tc>
        <w:tc>
          <w:tcPr>
            <w:tcW w:w="337" w:type="pct"/>
            <w:tcBorders>
              <w:top w:val="nil"/>
              <w:bottom w:val="single" w:sz="8" w:space="0" w:color="0070C0"/>
            </w:tcBorders>
            <w:vAlign w:val="bottom"/>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-19,1</w:t>
            </w:r>
          </w:p>
        </w:tc>
        <w:tc>
          <w:tcPr>
            <w:tcW w:w="335" w:type="pct"/>
            <w:tcBorders>
              <w:top w:val="nil"/>
              <w:bottom w:val="single" w:sz="8" w:space="0" w:color="0070C0"/>
            </w:tcBorders>
            <w:vAlign w:val="bottom"/>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-16,8</w:t>
            </w:r>
          </w:p>
        </w:tc>
        <w:tc>
          <w:tcPr>
            <w:tcW w:w="337" w:type="pct"/>
            <w:tcBorders>
              <w:top w:val="nil"/>
              <w:bottom w:val="single" w:sz="8" w:space="0" w:color="0070C0"/>
            </w:tcBorders>
            <w:vAlign w:val="bottom"/>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-6,1</w:t>
            </w:r>
          </w:p>
        </w:tc>
        <w:tc>
          <w:tcPr>
            <w:tcW w:w="335" w:type="pct"/>
            <w:tcBorders>
              <w:top w:val="nil"/>
              <w:bottom w:val="single" w:sz="8" w:space="0" w:color="0070C0"/>
            </w:tcBorders>
            <w:vAlign w:val="bottom"/>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-2,6</w:t>
            </w:r>
          </w:p>
        </w:tc>
        <w:tc>
          <w:tcPr>
            <w:tcW w:w="337" w:type="pct"/>
            <w:tcBorders>
              <w:top w:val="nil"/>
              <w:bottom w:val="single" w:sz="8" w:space="0" w:color="0070C0"/>
            </w:tcBorders>
            <w:vAlign w:val="bottom"/>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2,8</w:t>
            </w:r>
          </w:p>
        </w:tc>
        <w:tc>
          <w:tcPr>
            <w:tcW w:w="335" w:type="pct"/>
            <w:tcBorders>
              <w:top w:val="nil"/>
              <w:bottom w:val="single" w:sz="8" w:space="0" w:color="0070C0"/>
            </w:tcBorders>
            <w:vAlign w:val="bottom"/>
          </w:tcPr>
          <w:p w:rsidR="00352185" w:rsidRPr="005420C2" w:rsidRDefault="00B6196F" w:rsidP="00352185">
            <w:pPr>
              <w:tabs>
                <w:tab w:val="decimal" w:pos="304"/>
              </w:tabs>
              <w:spacing w:before="20" w:after="20"/>
              <w:jc w:val="center"/>
              <w:cnfStyle w:val="000000100000"/>
              <w:rPr>
                <w:b/>
                <w:color w:val="auto"/>
                <w:sz w:val="20"/>
                <w:szCs w:val="20"/>
              </w:rPr>
            </w:pPr>
            <w:r>
              <w:rPr>
                <w:b/>
                <w:color w:val="auto"/>
                <w:sz w:val="20"/>
                <w:szCs w:val="20"/>
              </w:rPr>
              <w:t>3,6</w:t>
            </w:r>
          </w:p>
        </w:tc>
      </w:tr>
    </w:tbl>
    <w:p w:rsidR="00352185" w:rsidRDefault="00352185" w:rsidP="00BE41C7">
      <w:pPr>
        <w:pStyle w:val="ListParagraph"/>
        <w:ind w:left="0"/>
        <w:rPr>
          <w:sz w:val="6"/>
          <w:szCs w:val="6"/>
        </w:rPr>
      </w:pPr>
    </w:p>
    <w:p w:rsidR="00BE41C7" w:rsidRPr="009F6E8E" w:rsidRDefault="00EC307E" w:rsidP="004E5210">
      <w:pPr>
        <w:pStyle w:val="Heading2"/>
        <w:spacing w:before="120"/>
      </w:pPr>
      <w:bookmarkStart w:id="56" w:name="_Toc216077839"/>
      <w:bookmarkStart w:id="57" w:name="_Toc216079508"/>
      <w:bookmarkStart w:id="58" w:name="_Toc216079576"/>
      <w:bookmarkStart w:id="59" w:name="_Toc216079638"/>
      <w:bookmarkStart w:id="60" w:name="_Toc216079694"/>
      <w:bookmarkStart w:id="61" w:name="_Toc216079750"/>
      <w:bookmarkStart w:id="62" w:name="_Toc216079806"/>
      <w:bookmarkStart w:id="63" w:name="_Toc282413169"/>
      <w:r w:rsidRPr="00EC307E">
        <w:rPr>
          <w:b w:val="0"/>
        </w:rPr>
        <w:t>2</w:t>
      </w:r>
      <w:r w:rsidR="00BE41C7" w:rsidRPr="00EC307E">
        <w:rPr>
          <w:b w:val="0"/>
        </w:rPr>
        <w:t>.1.attēls.</w:t>
      </w:r>
      <w:r w:rsidR="00BE41C7" w:rsidRPr="009F6E8E">
        <w:rPr>
          <w:b w:val="0"/>
        </w:rPr>
        <w:t xml:space="preserve"> </w:t>
      </w:r>
      <w:r w:rsidR="00BE41C7" w:rsidRPr="009F6E8E">
        <w:t>IKP dinamika pa ceturkšņiem</w:t>
      </w:r>
      <w:bookmarkEnd w:id="56"/>
      <w:bookmarkEnd w:id="57"/>
      <w:bookmarkEnd w:id="58"/>
      <w:bookmarkEnd w:id="59"/>
      <w:bookmarkEnd w:id="60"/>
      <w:bookmarkEnd w:id="61"/>
      <w:bookmarkEnd w:id="62"/>
      <w:bookmarkEnd w:id="63"/>
    </w:p>
    <w:tbl>
      <w:tblPr>
        <w:tblW w:w="9582" w:type="dxa"/>
        <w:jc w:val="center"/>
        <w:tblLook w:val="01E0"/>
      </w:tblPr>
      <w:tblGrid>
        <w:gridCol w:w="4821"/>
        <w:gridCol w:w="4761"/>
      </w:tblGrid>
      <w:tr w:rsidR="00BE41C7" w:rsidRPr="009F6E8E" w:rsidTr="009A2453">
        <w:trPr>
          <w:jc w:val="center"/>
        </w:trPr>
        <w:tc>
          <w:tcPr>
            <w:tcW w:w="4821" w:type="dxa"/>
            <w:vAlign w:val="bottom"/>
          </w:tcPr>
          <w:p w:rsidR="00BE41C7" w:rsidRPr="009F6E8E" w:rsidRDefault="00BE41C7" w:rsidP="00411B7C">
            <w:pPr>
              <w:tabs>
                <w:tab w:val="center" w:pos="2409"/>
              </w:tabs>
              <w:spacing w:before="120"/>
              <w:jc w:val="center"/>
              <w:rPr>
                <w:rFonts w:eastAsia="Times New Roman"/>
                <w:sz w:val="20"/>
                <w:szCs w:val="20"/>
                <w:lang w:eastAsia="lv-LV"/>
              </w:rPr>
            </w:pPr>
            <w:r w:rsidRPr="009F6E8E">
              <w:rPr>
                <w:rFonts w:eastAsia="Times New Roman"/>
                <w:bCs/>
                <w:color w:val="000000"/>
                <w:sz w:val="20"/>
                <w:szCs w:val="20"/>
              </w:rPr>
              <w:t xml:space="preserve">Sezonāli izlīdzināti dati, </w:t>
            </w:r>
            <w:r w:rsidRPr="009F6E8E">
              <w:rPr>
                <w:rFonts w:eastAsia="Times New Roman"/>
                <w:bCs/>
                <w:color w:val="000000"/>
                <w:sz w:val="20"/>
                <w:szCs w:val="20"/>
              </w:rPr>
              <w:tab/>
              <w:t>2005.g. IV cet. = 100</w:t>
            </w:r>
          </w:p>
        </w:tc>
        <w:tc>
          <w:tcPr>
            <w:tcW w:w="4761" w:type="dxa"/>
            <w:vAlign w:val="bottom"/>
          </w:tcPr>
          <w:p w:rsidR="00BE41C7" w:rsidRPr="009F6E8E" w:rsidRDefault="00BE41C7" w:rsidP="00056EA9">
            <w:pPr>
              <w:tabs>
                <w:tab w:val="center" w:pos="2415"/>
              </w:tabs>
              <w:spacing w:before="120"/>
              <w:jc w:val="center"/>
              <w:rPr>
                <w:rFonts w:eastAsia="Times New Roman"/>
                <w:sz w:val="20"/>
                <w:szCs w:val="20"/>
                <w:lang w:eastAsia="lv-LV"/>
              </w:rPr>
            </w:pPr>
            <w:r w:rsidRPr="009F6E8E">
              <w:rPr>
                <w:rFonts w:eastAsia="Times New Roman"/>
                <w:bCs/>
                <w:color w:val="000000"/>
                <w:sz w:val="20"/>
                <w:szCs w:val="20"/>
              </w:rPr>
              <w:t>Pret iepriekšējā gada attiecīgo periodu, %</w:t>
            </w:r>
          </w:p>
        </w:tc>
      </w:tr>
      <w:tr w:rsidR="00BE41C7" w:rsidRPr="009F6E8E" w:rsidTr="009A2453">
        <w:trPr>
          <w:trHeight w:val="2818"/>
          <w:jc w:val="center"/>
        </w:trPr>
        <w:tc>
          <w:tcPr>
            <w:tcW w:w="4821" w:type="dxa"/>
          </w:tcPr>
          <w:p w:rsidR="00BE41C7" w:rsidRPr="009F6E8E" w:rsidRDefault="00BE41C7" w:rsidP="00467A8A">
            <w:pPr>
              <w:rPr>
                <w:rFonts w:eastAsia="Times New Roman"/>
              </w:rPr>
            </w:pPr>
            <w:r w:rsidRPr="009F6E8E">
              <w:rPr>
                <w:rFonts w:eastAsia="Times New Roman"/>
                <w:noProof/>
                <w:sz w:val="20"/>
                <w:szCs w:val="20"/>
                <w:lang w:eastAsia="lv-LV"/>
              </w:rPr>
              <w:drawing>
                <wp:inline distT="0" distB="0" distL="0" distR="0">
                  <wp:extent cx="2924175" cy="2085975"/>
                  <wp:effectExtent l="0" t="0" r="0" b="0"/>
                  <wp:docPr id="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761" w:type="dxa"/>
          </w:tcPr>
          <w:p w:rsidR="00BE41C7" w:rsidRPr="009F6E8E" w:rsidRDefault="00BE41C7" w:rsidP="00467A8A">
            <w:pPr>
              <w:rPr>
                <w:rFonts w:eastAsia="Times New Roman"/>
              </w:rPr>
            </w:pPr>
            <w:r w:rsidRPr="009F6E8E">
              <w:rPr>
                <w:rFonts w:eastAsia="Times New Roman"/>
                <w:noProof/>
                <w:sz w:val="20"/>
                <w:szCs w:val="20"/>
                <w:lang w:eastAsia="lv-LV"/>
              </w:rPr>
              <w:drawing>
                <wp:inline distT="0" distB="0" distL="0" distR="0">
                  <wp:extent cx="2886075" cy="2143125"/>
                  <wp:effectExtent l="0" t="0" r="0" b="0"/>
                  <wp:docPr id="35"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BE41C7" w:rsidRPr="009F6E8E" w:rsidRDefault="00EC307E" w:rsidP="00BE41C7">
      <w:pPr>
        <w:rPr>
          <w:rFonts w:eastAsia="Times New Roman"/>
          <w:color w:val="000000"/>
        </w:rPr>
      </w:pPr>
      <w:bookmarkStart w:id="64" w:name="_Toc216079509"/>
      <w:bookmarkStart w:id="65" w:name="_Toc216079577"/>
      <w:bookmarkStart w:id="66" w:name="_Toc216079639"/>
      <w:bookmarkStart w:id="67" w:name="_Toc216079695"/>
      <w:bookmarkStart w:id="68" w:name="_Toc216079751"/>
      <w:bookmarkStart w:id="69" w:name="_Toc216079807"/>
      <w:bookmarkStart w:id="70" w:name="_Toc282413170"/>
      <w:bookmarkStart w:id="71" w:name="_Toc216077840"/>
      <w:r w:rsidRPr="00EC307E">
        <w:rPr>
          <w:rStyle w:val="Heading2Char"/>
          <w:b w:val="0"/>
        </w:rPr>
        <w:t>2</w:t>
      </w:r>
      <w:r w:rsidR="00BE41C7" w:rsidRPr="00EC307E">
        <w:rPr>
          <w:rStyle w:val="Heading2Char"/>
          <w:b w:val="0"/>
        </w:rPr>
        <w:t>.2. attēls.</w:t>
      </w:r>
      <w:r w:rsidR="00BE41C7" w:rsidRPr="009F6E8E">
        <w:rPr>
          <w:rStyle w:val="Heading2Char"/>
        </w:rPr>
        <w:t xml:space="preserve"> Ekonomikas sentimenta indekss</w:t>
      </w:r>
      <w:bookmarkEnd w:id="64"/>
      <w:bookmarkEnd w:id="65"/>
      <w:bookmarkEnd w:id="66"/>
      <w:bookmarkEnd w:id="67"/>
      <w:bookmarkEnd w:id="68"/>
      <w:bookmarkEnd w:id="69"/>
      <w:bookmarkEnd w:id="70"/>
      <w:r w:rsidR="00BE41C7" w:rsidRPr="009F6E8E">
        <w:t>, sezonāli izlīdzināts</w:t>
      </w:r>
      <w:bookmarkEnd w:id="71"/>
    </w:p>
    <w:p w:rsidR="00BE41C7" w:rsidRPr="009F6E8E" w:rsidRDefault="00BE41C7" w:rsidP="00BE41C7">
      <w:pPr>
        <w:spacing w:after="60"/>
        <w:ind w:left="284"/>
        <w:jc w:val="center"/>
        <w:rPr>
          <w:sz w:val="28"/>
        </w:rPr>
      </w:pPr>
      <w:r w:rsidRPr="009F6E8E">
        <w:rPr>
          <w:noProof/>
          <w:sz w:val="28"/>
          <w:lang w:eastAsia="lv-LV"/>
        </w:rPr>
        <w:drawing>
          <wp:inline distT="0" distB="0" distL="0" distR="0">
            <wp:extent cx="5766179" cy="1712794"/>
            <wp:effectExtent l="0" t="0" r="0" b="0"/>
            <wp:docPr id="3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41C7" w:rsidRDefault="00BE41C7" w:rsidP="00BE41C7">
      <w:pPr>
        <w:ind w:left="142" w:hanging="142"/>
        <w:jc w:val="both"/>
        <w:rPr>
          <w:sz w:val="16"/>
          <w:szCs w:val="16"/>
        </w:rPr>
      </w:pPr>
      <w:r w:rsidRPr="00467A8A">
        <w:rPr>
          <w:sz w:val="16"/>
          <w:szCs w:val="16"/>
        </w:rPr>
        <w:t>* Ekonomikas sentimenta indeksu aprēķina kā vidējo svērto lielumu no atbilstošā perioda apstrādes rūpniecības, pakalpojumu sektora, būvniecības un mazumtirdzniecības konfidences rādītājiem, kā arī patērētāju konfidences indikatora.</w:t>
      </w:r>
    </w:p>
    <w:p w:rsidR="004E5210" w:rsidRPr="00467A8A" w:rsidRDefault="004E5210" w:rsidP="00BE41C7">
      <w:pPr>
        <w:ind w:left="142" w:hanging="142"/>
        <w:jc w:val="both"/>
        <w:rPr>
          <w:sz w:val="16"/>
          <w:szCs w:val="16"/>
        </w:rPr>
      </w:pPr>
    </w:p>
    <w:p w:rsidR="00763E0D" w:rsidRPr="009F6E8E" w:rsidRDefault="00EC307E" w:rsidP="00763E0D">
      <w:pPr>
        <w:pStyle w:val="Heading2"/>
      </w:pPr>
      <w:bookmarkStart w:id="72" w:name="_Toc282413171"/>
      <w:bookmarkStart w:id="73" w:name="_Toc216077841"/>
      <w:bookmarkStart w:id="74" w:name="_Toc216079510"/>
      <w:bookmarkStart w:id="75" w:name="_Toc216079578"/>
      <w:bookmarkStart w:id="76" w:name="_Toc216079640"/>
      <w:bookmarkStart w:id="77" w:name="_Toc216079696"/>
      <w:bookmarkStart w:id="78" w:name="_Toc216079752"/>
      <w:bookmarkStart w:id="79" w:name="_Toc216079808"/>
      <w:r>
        <w:rPr>
          <w:b w:val="0"/>
          <w:szCs w:val="24"/>
        </w:rPr>
        <w:lastRenderedPageBreak/>
        <w:t>2</w:t>
      </w:r>
      <w:r w:rsidR="00763E0D" w:rsidRPr="009F6E8E">
        <w:rPr>
          <w:b w:val="0"/>
          <w:szCs w:val="24"/>
        </w:rPr>
        <w:t>.</w:t>
      </w:r>
      <w:r w:rsidR="00763E0D">
        <w:rPr>
          <w:b w:val="0"/>
        </w:rPr>
        <w:t>3</w:t>
      </w:r>
      <w:r w:rsidR="00763E0D" w:rsidRPr="009F6E8E">
        <w:rPr>
          <w:b w:val="0"/>
        </w:rPr>
        <w:t>.attēls.</w:t>
      </w:r>
      <w:r w:rsidR="00763E0D" w:rsidRPr="009F6E8E">
        <w:t xml:space="preserve"> Mazumtirdzniecība</w:t>
      </w:r>
      <w:bookmarkEnd w:id="72"/>
    </w:p>
    <w:p w:rsidR="00763E0D" w:rsidRPr="009F6E8E" w:rsidRDefault="00763E0D" w:rsidP="00763E0D">
      <w:pPr>
        <w:spacing w:after="120"/>
        <w:jc w:val="center"/>
        <w:rPr>
          <w:rFonts w:eastAsia="Times New Roman"/>
          <w:sz w:val="20"/>
          <w:szCs w:val="24"/>
        </w:rPr>
      </w:pPr>
    </w:p>
    <w:p w:rsidR="00763E0D" w:rsidRDefault="00763E0D" w:rsidP="005B00A4">
      <w:pPr>
        <w:jc w:val="center"/>
        <w:rPr>
          <w:rFonts w:eastAsia="Times New Roman"/>
          <w:bCs/>
          <w:color w:val="000000"/>
          <w:sz w:val="20"/>
          <w:szCs w:val="24"/>
        </w:rPr>
      </w:pPr>
      <w:r w:rsidRPr="009F6E8E">
        <w:rPr>
          <w:rFonts w:eastAsia="Times New Roman"/>
          <w:sz w:val="20"/>
          <w:szCs w:val="24"/>
        </w:rPr>
        <w:t>A</w:t>
      </w:r>
      <w:r w:rsidRPr="009F6E8E">
        <w:rPr>
          <w:rFonts w:eastAsia="Times New Roman"/>
          <w:bCs/>
          <w:color w:val="000000"/>
          <w:sz w:val="20"/>
          <w:szCs w:val="24"/>
        </w:rPr>
        <w:t>pgrozījuma indekss, 200</w:t>
      </w:r>
      <w:r w:rsidR="00301644">
        <w:rPr>
          <w:rFonts w:eastAsia="Times New Roman"/>
          <w:bCs/>
          <w:color w:val="000000"/>
          <w:sz w:val="20"/>
          <w:szCs w:val="24"/>
        </w:rPr>
        <w:t>7</w:t>
      </w:r>
      <w:r w:rsidRPr="009F6E8E">
        <w:rPr>
          <w:rFonts w:eastAsia="Times New Roman"/>
          <w:bCs/>
          <w:color w:val="000000"/>
          <w:sz w:val="20"/>
          <w:szCs w:val="24"/>
        </w:rPr>
        <w:t>.g.decembris=100</w:t>
      </w:r>
      <w:r w:rsidR="005B00A4">
        <w:rPr>
          <w:rFonts w:eastAsia="Times New Roman"/>
          <w:bCs/>
          <w:color w:val="000000"/>
          <w:sz w:val="20"/>
          <w:szCs w:val="24"/>
        </w:rPr>
        <w:t>,</w:t>
      </w:r>
    </w:p>
    <w:p w:rsidR="005B00A4" w:rsidRPr="009F6E8E" w:rsidRDefault="005B00A4" w:rsidP="00763E0D">
      <w:pPr>
        <w:spacing w:after="120"/>
        <w:jc w:val="center"/>
        <w:rPr>
          <w:rFonts w:eastAsia="Times New Roman"/>
          <w:bCs/>
          <w:color w:val="000000"/>
          <w:sz w:val="20"/>
          <w:szCs w:val="24"/>
        </w:rPr>
      </w:pPr>
      <w:r>
        <w:rPr>
          <w:rFonts w:eastAsia="Times New Roman"/>
          <w:bCs/>
          <w:color w:val="000000"/>
          <w:sz w:val="20"/>
          <w:szCs w:val="24"/>
        </w:rPr>
        <w:t>sezonāli izlīdzināti dati</w:t>
      </w:r>
    </w:p>
    <w:p w:rsidR="00763E0D" w:rsidRPr="009F6E8E" w:rsidRDefault="00763E0D" w:rsidP="00763E0D">
      <w:pPr>
        <w:spacing w:after="120"/>
        <w:jc w:val="center"/>
        <w:rPr>
          <w:rFonts w:eastAsia="Times New Roman"/>
          <w:bCs/>
          <w:color w:val="000000"/>
          <w:sz w:val="18"/>
          <w:szCs w:val="24"/>
        </w:rPr>
      </w:pPr>
      <w:r w:rsidRPr="009F6E8E">
        <w:rPr>
          <w:rFonts w:eastAsia="Times New Roman"/>
          <w:bCs/>
          <w:noProof/>
          <w:color w:val="000000"/>
          <w:sz w:val="18"/>
          <w:szCs w:val="24"/>
          <w:lang w:eastAsia="lv-LV"/>
        </w:rPr>
        <w:drawing>
          <wp:inline distT="0" distB="0" distL="0" distR="0">
            <wp:extent cx="4968000" cy="2162175"/>
            <wp:effectExtent l="0" t="0" r="0" b="0"/>
            <wp:docPr id="4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3E0D" w:rsidRDefault="00763E0D" w:rsidP="005B00A4">
      <w:pPr>
        <w:jc w:val="center"/>
        <w:rPr>
          <w:rFonts w:eastAsia="Times New Roman"/>
          <w:bCs/>
          <w:color w:val="000000"/>
          <w:sz w:val="20"/>
          <w:szCs w:val="24"/>
        </w:rPr>
      </w:pPr>
      <w:r w:rsidRPr="009F6E8E">
        <w:rPr>
          <w:rFonts w:eastAsia="Times New Roman"/>
          <w:bCs/>
          <w:color w:val="000000"/>
          <w:sz w:val="20"/>
          <w:szCs w:val="24"/>
        </w:rPr>
        <w:t>Apgrozījuma indekss pret iepriekšējā gada attiecīgo periodu</w:t>
      </w:r>
      <w:r w:rsidR="005B00A4">
        <w:rPr>
          <w:rFonts w:eastAsia="Times New Roman"/>
          <w:bCs/>
          <w:color w:val="000000"/>
          <w:sz w:val="20"/>
          <w:szCs w:val="24"/>
        </w:rPr>
        <w:t>,</w:t>
      </w:r>
    </w:p>
    <w:p w:rsidR="005B00A4" w:rsidRPr="009F6E8E" w:rsidRDefault="005B00A4" w:rsidP="00763E0D">
      <w:pPr>
        <w:spacing w:after="120"/>
        <w:jc w:val="center"/>
        <w:rPr>
          <w:sz w:val="28"/>
          <w:szCs w:val="24"/>
        </w:rPr>
      </w:pPr>
      <w:r>
        <w:rPr>
          <w:rFonts w:eastAsia="Times New Roman"/>
          <w:bCs/>
          <w:color w:val="000000"/>
          <w:sz w:val="20"/>
          <w:szCs w:val="24"/>
        </w:rPr>
        <w:t>sezonāli neizlīdzināti dati</w:t>
      </w:r>
    </w:p>
    <w:p w:rsidR="00763E0D" w:rsidRPr="009F6E8E" w:rsidRDefault="00763E0D" w:rsidP="00763E0D">
      <w:pPr>
        <w:spacing w:after="120"/>
        <w:jc w:val="center"/>
        <w:rPr>
          <w:szCs w:val="24"/>
        </w:rPr>
      </w:pPr>
      <w:r w:rsidRPr="009F6E8E">
        <w:rPr>
          <w:noProof/>
          <w:szCs w:val="24"/>
          <w:lang w:eastAsia="lv-LV"/>
        </w:rPr>
        <w:drawing>
          <wp:inline distT="0" distB="0" distL="0" distR="0">
            <wp:extent cx="4968000" cy="2162175"/>
            <wp:effectExtent l="0" t="0" r="0" b="0"/>
            <wp:docPr id="4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3E0D" w:rsidRPr="009F6E8E" w:rsidRDefault="00763E0D" w:rsidP="00763E0D">
      <w:pPr>
        <w:spacing w:after="120"/>
        <w:rPr>
          <w:szCs w:val="24"/>
        </w:rPr>
      </w:pPr>
    </w:p>
    <w:p w:rsidR="00763E0D" w:rsidRPr="009F6E8E" w:rsidRDefault="00EC307E" w:rsidP="00763E0D">
      <w:pPr>
        <w:pStyle w:val="Heading2"/>
      </w:pPr>
      <w:bookmarkStart w:id="80" w:name="_Toc216077844"/>
      <w:bookmarkStart w:id="81" w:name="_Toc216079513"/>
      <w:bookmarkStart w:id="82" w:name="_Toc216079581"/>
      <w:bookmarkStart w:id="83" w:name="_Toc216079643"/>
      <w:bookmarkStart w:id="84" w:name="_Toc216079699"/>
      <w:bookmarkStart w:id="85" w:name="_Toc216079755"/>
      <w:bookmarkStart w:id="86" w:name="_Toc216079811"/>
      <w:bookmarkStart w:id="87" w:name="_Toc282413172"/>
      <w:r>
        <w:rPr>
          <w:b w:val="0"/>
        </w:rPr>
        <w:t>2</w:t>
      </w:r>
      <w:r w:rsidR="00763E0D">
        <w:rPr>
          <w:b w:val="0"/>
        </w:rPr>
        <w:t>.4.</w:t>
      </w:r>
      <w:r w:rsidR="00763E0D" w:rsidRPr="009F6E8E">
        <w:rPr>
          <w:b w:val="0"/>
        </w:rPr>
        <w:t>attēls.</w:t>
      </w:r>
      <w:r w:rsidR="00763E0D" w:rsidRPr="009F6E8E">
        <w:t xml:space="preserve"> Mazumtirdzniecības konfidences rādītājs</w:t>
      </w:r>
      <w:bookmarkEnd w:id="80"/>
      <w:bookmarkEnd w:id="81"/>
      <w:bookmarkEnd w:id="82"/>
      <w:bookmarkEnd w:id="83"/>
      <w:bookmarkEnd w:id="84"/>
      <w:bookmarkEnd w:id="85"/>
      <w:bookmarkEnd w:id="86"/>
      <w:bookmarkEnd w:id="87"/>
    </w:p>
    <w:p w:rsidR="00763E0D" w:rsidRPr="009F6E8E" w:rsidRDefault="00763E0D" w:rsidP="00763E0D">
      <w:pPr>
        <w:jc w:val="center"/>
      </w:pPr>
      <w:r w:rsidRPr="009F6E8E">
        <w:rPr>
          <w:b/>
          <w:noProof/>
          <w:sz w:val="32"/>
          <w:lang w:eastAsia="lv-LV"/>
        </w:rPr>
        <w:drawing>
          <wp:inline distT="0" distB="0" distL="0" distR="0">
            <wp:extent cx="5500048" cy="2238233"/>
            <wp:effectExtent l="0" t="0" r="0" b="0"/>
            <wp:docPr id="4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3E0D" w:rsidRPr="00467A8A" w:rsidRDefault="00763E0D" w:rsidP="00763E0D">
      <w:pPr>
        <w:ind w:left="284" w:right="141" w:hanging="284"/>
        <w:jc w:val="both"/>
        <w:rPr>
          <w:sz w:val="16"/>
          <w:szCs w:val="16"/>
        </w:rPr>
      </w:pPr>
      <w:r w:rsidRPr="00467A8A">
        <w:rPr>
          <w:sz w:val="16"/>
          <w:szCs w:val="16"/>
        </w:rPr>
        <w:t>*</w:t>
      </w:r>
      <w:r w:rsidRPr="00467A8A">
        <w:rPr>
          <w:sz w:val="16"/>
          <w:szCs w:val="16"/>
        </w:rPr>
        <w:tab/>
        <w:t>Mazumtirdzniecības konfidences rādītāju aprēķina kā atbilžu saldo vidējo lielumu uz 3 jautājumiem: par uzņēmuma darbības aktivitāti pēdējos 3 mēnešos, uzņēmuma darbības aktivitāti turpmākajos 3 mēnešos un preču krājumu līmeni (šo rādītāju ņem ar pretēju zīmi). Saldo (bilanci) rēķina kā starpību starp galējo (t.i. pozitīvo un negatīvo) atbilžu īpatsvariem, kas izteikti procentos.</w:t>
      </w:r>
    </w:p>
    <w:p w:rsidR="00763E0D" w:rsidRPr="00467A8A" w:rsidRDefault="00763E0D" w:rsidP="00763E0D">
      <w:pPr>
        <w:ind w:left="284" w:hanging="284"/>
        <w:jc w:val="both"/>
        <w:rPr>
          <w:sz w:val="16"/>
          <w:szCs w:val="16"/>
        </w:rPr>
      </w:pPr>
    </w:p>
    <w:p w:rsidR="00763E0D" w:rsidRDefault="00763E0D">
      <w:pPr>
        <w:rPr>
          <w:rFonts w:eastAsiaTheme="majorEastAsia" w:cstheme="majorBidi"/>
          <w:bCs/>
          <w:sz w:val="28"/>
          <w:szCs w:val="24"/>
        </w:rPr>
      </w:pPr>
      <w:r>
        <w:rPr>
          <w:b/>
          <w:szCs w:val="24"/>
        </w:rPr>
        <w:br w:type="page"/>
      </w:r>
    </w:p>
    <w:p w:rsidR="00BE41C7" w:rsidRPr="009F6E8E" w:rsidRDefault="00EC307E" w:rsidP="00BE41C7">
      <w:pPr>
        <w:pStyle w:val="Heading2"/>
      </w:pPr>
      <w:bookmarkStart w:id="88" w:name="_Toc282413173"/>
      <w:r>
        <w:rPr>
          <w:b w:val="0"/>
          <w:szCs w:val="24"/>
        </w:rPr>
        <w:lastRenderedPageBreak/>
        <w:t>2</w:t>
      </w:r>
      <w:r w:rsidR="00BE41C7" w:rsidRPr="009F6E8E">
        <w:rPr>
          <w:b w:val="0"/>
          <w:szCs w:val="24"/>
        </w:rPr>
        <w:t>.</w:t>
      </w:r>
      <w:r w:rsidR="00763E0D">
        <w:rPr>
          <w:b w:val="0"/>
        </w:rPr>
        <w:t>5</w:t>
      </w:r>
      <w:r w:rsidR="00BE41C7" w:rsidRPr="009F6E8E">
        <w:rPr>
          <w:b w:val="0"/>
        </w:rPr>
        <w:t xml:space="preserve">.attēls. </w:t>
      </w:r>
      <w:r w:rsidR="00BE41C7" w:rsidRPr="009F6E8E">
        <w:t>Būvniecību raksturojošie rādītāji</w:t>
      </w:r>
      <w:bookmarkEnd w:id="73"/>
      <w:bookmarkEnd w:id="74"/>
      <w:bookmarkEnd w:id="75"/>
      <w:bookmarkEnd w:id="76"/>
      <w:bookmarkEnd w:id="77"/>
      <w:bookmarkEnd w:id="78"/>
      <w:bookmarkEnd w:id="79"/>
      <w:bookmarkEnd w:id="88"/>
    </w:p>
    <w:p w:rsidR="00BE41C7" w:rsidRPr="009F6E8E" w:rsidRDefault="00BE41C7" w:rsidP="00BE41C7">
      <w:pPr>
        <w:spacing w:after="40"/>
        <w:rPr>
          <w:b/>
          <w:sz w:val="14"/>
          <w:szCs w:val="14"/>
        </w:rPr>
      </w:pPr>
    </w:p>
    <w:p w:rsidR="00BE41C7" w:rsidRPr="009F6E8E" w:rsidRDefault="00BE41C7" w:rsidP="00BE41C7">
      <w:pPr>
        <w:spacing w:after="40"/>
        <w:rPr>
          <w:b/>
          <w:sz w:val="22"/>
          <w:szCs w:val="24"/>
          <w:u w:val="single"/>
        </w:rPr>
      </w:pPr>
      <w:r w:rsidRPr="009F6E8E">
        <w:rPr>
          <w:b/>
          <w:sz w:val="22"/>
          <w:szCs w:val="24"/>
        </w:rPr>
        <w:t>Būvniecības apjomi</w:t>
      </w:r>
    </w:p>
    <w:tbl>
      <w:tblPr>
        <w:tblW w:w="9716" w:type="dxa"/>
        <w:tblLook w:val="01E0"/>
      </w:tblPr>
      <w:tblGrid>
        <w:gridCol w:w="4932"/>
        <w:gridCol w:w="4784"/>
      </w:tblGrid>
      <w:tr w:rsidR="00BE41C7" w:rsidRPr="009F6E8E" w:rsidTr="009A2453">
        <w:tc>
          <w:tcPr>
            <w:tcW w:w="4962" w:type="dxa"/>
            <w:vAlign w:val="bottom"/>
          </w:tcPr>
          <w:p w:rsidR="00BE41C7" w:rsidRPr="009F6E8E" w:rsidRDefault="00BE41C7" w:rsidP="009A2453">
            <w:pPr>
              <w:tabs>
                <w:tab w:val="center" w:pos="2552"/>
              </w:tabs>
              <w:jc w:val="center"/>
              <w:rPr>
                <w:rFonts w:eastAsia="Times New Roman"/>
                <w:sz w:val="18"/>
                <w:szCs w:val="18"/>
              </w:rPr>
            </w:pPr>
            <w:r w:rsidRPr="009F6E8E">
              <w:rPr>
                <w:rFonts w:eastAsia="Times New Roman"/>
                <w:sz w:val="18"/>
                <w:szCs w:val="18"/>
              </w:rPr>
              <w:br w:type="page"/>
              <w:t>Būvniecības apjomu indekss</w:t>
            </w:r>
            <w:r w:rsidRPr="009F6E8E">
              <w:rPr>
                <w:rFonts w:eastAsia="Times New Roman"/>
                <w:bCs/>
                <w:color w:val="000000"/>
                <w:sz w:val="18"/>
                <w:szCs w:val="18"/>
              </w:rPr>
              <w:t>, 2005.g. IV ceturksnis=100</w:t>
            </w:r>
          </w:p>
        </w:tc>
        <w:tc>
          <w:tcPr>
            <w:tcW w:w="4754" w:type="dxa"/>
            <w:vAlign w:val="bottom"/>
          </w:tcPr>
          <w:p w:rsidR="00BE41C7" w:rsidRPr="009F6E8E" w:rsidRDefault="00BE41C7" w:rsidP="00334FC9">
            <w:pPr>
              <w:jc w:val="center"/>
              <w:rPr>
                <w:rFonts w:eastAsia="Times New Roman"/>
                <w:sz w:val="18"/>
                <w:szCs w:val="18"/>
                <w:lang w:eastAsia="lv-LV"/>
              </w:rPr>
            </w:pPr>
            <w:r w:rsidRPr="009F6E8E">
              <w:rPr>
                <w:rFonts w:eastAsia="Times New Roman"/>
                <w:bCs/>
                <w:color w:val="000000"/>
                <w:sz w:val="18"/>
                <w:szCs w:val="18"/>
              </w:rPr>
              <w:t>Pret iepriekšējā gada attiecīgo periodu, %</w:t>
            </w:r>
          </w:p>
        </w:tc>
      </w:tr>
      <w:tr w:rsidR="00BE41C7" w:rsidRPr="009F6E8E" w:rsidTr="009A2453">
        <w:tc>
          <w:tcPr>
            <w:tcW w:w="4962" w:type="dxa"/>
          </w:tcPr>
          <w:p w:rsidR="00BE41C7" w:rsidRPr="009F6E8E" w:rsidRDefault="00BE41C7" w:rsidP="009A2453">
            <w:pPr>
              <w:tabs>
                <w:tab w:val="center" w:pos="2552"/>
              </w:tabs>
              <w:jc w:val="center"/>
              <w:rPr>
                <w:rFonts w:eastAsia="Times New Roman"/>
                <w:sz w:val="18"/>
                <w:szCs w:val="18"/>
              </w:rPr>
            </w:pPr>
            <w:r w:rsidRPr="009F6E8E">
              <w:rPr>
                <w:rFonts w:eastAsia="Times New Roman"/>
                <w:noProof/>
                <w:sz w:val="20"/>
                <w:szCs w:val="20"/>
                <w:lang w:eastAsia="lv-LV"/>
              </w:rPr>
              <w:drawing>
                <wp:inline distT="0" distB="0" distL="0" distR="0">
                  <wp:extent cx="2924091" cy="1923690"/>
                  <wp:effectExtent l="0" t="0" r="0" b="0"/>
                  <wp:docPr id="6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54" w:type="dxa"/>
          </w:tcPr>
          <w:p w:rsidR="00BE41C7" w:rsidRPr="009F6E8E" w:rsidRDefault="00BE41C7" w:rsidP="009A2453">
            <w:pPr>
              <w:spacing w:after="120"/>
              <w:rPr>
                <w:rFonts w:eastAsia="Times New Roman"/>
              </w:rPr>
            </w:pPr>
            <w:r w:rsidRPr="009F6E8E">
              <w:rPr>
                <w:rFonts w:eastAsia="Times New Roman"/>
                <w:noProof/>
                <w:sz w:val="20"/>
                <w:szCs w:val="20"/>
                <w:lang w:eastAsia="lv-LV"/>
              </w:rPr>
              <w:drawing>
                <wp:inline distT="0" distB="0" distL="0" distR="0">
                  <wp:extent cx="2881223" cy="1923690"/>
                  <wp:effectExtent l="19050" t="0" r="0" b="0"/>
                  <wp:docPr id="6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BE41C7" w:rsidRPr="009F6E8E" w:rsidRDefault="00BE41C7" w:rsidP="00BE41C7">
      <w:pPr>
        <w:spacing w:after="40"/>
        <w:rPr>
          <w:b/>
          <w:sz w:val="22"/>
          <w:szCs w:val="24"/>
        </w:rPr>
      </w:pPr>
      <w:r w:rsidRPr="009F6E8E">
        <w:rPr>
          <w:b/>
          <w:sz w:val="22"/>
          <w:szCs w:val="24"/>
        </w:rPr>
        <w:t>Būvniecības konfidences rādītājs</w:t>
      </w:r>
    </w:p>
    <w:p w:rsidR="00BE41C7" w:rsidRPr="009F6E8E" w:rsidRDefault="00BE41C7" w:rsidP="00BE41C7">
      <w:pPr>
        <w:jc w:val="center"/>
        <w:rPr>
          <w:sz w:val="32"/>
        </w:rPr>
      </w:pPr>
      <w:r w:rsidRPr="009F6E8E">
        <w:rPr>
          <w:b/>
          <w:noProof/>
          <w:sz w:val="32"/>
          <w:lang w:eastAsia="lv-LV"/>
        </w:rPr>
        <w:drawing>
          <wp:inline distT="0" distB="0" distL="0" distR="0">
            <wp:extent cx="5800725" cy="1971675"/>
            <wp:effectExtent l="0" t="0" r="0" b="0"/>
            <wp:docPr id="6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41C7" w:rsidRPr="002763E5" w:rsidRDefault="00BE41C7" w:rsidP="00BE41C7">
      <w:pPr>
        <w:ind w:hanging="142"/>
        <w:jc w:val="both"/>
        <w:rPr>
          <w:spacing w:val="-4"/>
          <w:sz w:val="18"/>
          <w:szCs w:val="18"/>
        </w:rPr>
      </w:pPr>
      <w:r w:rsidRPr="002763E5">
        <w:rPr>
          <w:spacing w:val="-4"/>
          <w:sz w:val="18"/>
          <w:szCs w:val="18"/>
        </w:rPr>
        <w:t>*</w:t>
      </w:r>
      <w:r w:rsidRPr="002763E5">
        <w:rPr>
          <w:spacing w:val="-4"/>
          <w:sz w:val="18"/>
          <w:szCs w:val="18"/>
        </w:rPr>
        <w:tab/>
        <w:t>Būvniecības konfidences rādītāju aprēķina kā atbilžu saldo vidējo lielumu uz diviem jautājumiem: pašreizējais pasūtījumu līmenis un gaidāmā nodarbinātība nākamajos 3 mēnešos. Saldo aprēķina kā starpību starp pozitīvajām un negatīvajām atbildēm, kas izteiktas procentos.</w:t>
      </w:r>
    </w:p>
    <w:p w:rsidR="00BE41C7" w:rsidRDefault="00BE41C7" w:rsidP="00BE41C7">
      <w:pPr>
        <w:ind w:firstLine="567"/>
        <w:jc w:val="both"/>
        <w:rPr>
          <w:sz w:val="16"/>
          <w:szCs w:val="18"/>
        </w:rPr>
      </w:pPr>
    </w:p>
    <w:p w:rsidR="00BE41C7" w:rsidRPr="009F6E8E" w:rsidRDefault="00BE41C7" w:rsidP="00BE41C7">
      <w:pPr>
        <w:ind w:firstLine="567"/>
        <w:jc w:val="both"/>
        <w:rPr>
          <w:sz w:val="16"/>
          <w:szCs w:val="18"/>
        </w:rPr>
      </w:pPr>
    </w:p>
    <w:p w:rsidR="00BE41C7" w:rsidRPr="009F6E8E" w:rsidRDefault="00BE41C7" w:rsidP="00BE41C7">
      <w:pPr>
        <w:ind w:firstLine="567"/>
        <w:jc w:val="both"/>
        <w:rPr>
          <w:sz w:val="8"/>
          <w:szCs w:val="18"/>
        </w:rPr>
      </w:pPr>
    </w:p>
    <w:p w:rsidR="00BE41C7" w:rsidRPr="009F6E8E" w:rsidRDefault="00EC307E" w:rsidP="00BE41C7">
      <w:pPr>
        <w:pStyle w:val="Heading2"/>
      </w:pPr>
      <w:bookmarkStart w:id="89" w:name="_Toc216077842"/>
      <w:bookmarkStart w:id="90" w:name="_Toc216079511"/>
      <w:bookmarkStart w:id="91" w:name="_Toc216079579"/>
      <w:bookmarkStart w:id="92" w:name="_Toc216079641"/>
      <w:bookmarkStart w:id="93" w:name="_Toc216079697"/>
      <w:bookmarkStart w:id="94" w:name="_Toc216079753"/>
      <w:bookmarkStart w:id="95" w:name="_Toc216079809"/>
      <w:bookmarkStart w:id="96" w:name="_Toc282413174"/>
      <w:r>
        <w:rPr>
          <w:b w:val="0"/>
          <w:szCs w:val="24"/>
        </w:rPr>
        <w:t>2</w:t>
      </w:r>
      <w:r w:rsidR="00BE41C7" w:rsidRPr="009F6E8E">
        <w:rPr>
          <w:b w:val="0"/>
          <w:szCs w:val="24"/>
        </w:rPr>
        <w:t>.</w:t>
      </w:r>
      <w:r w:rsidR="00763E0D">
        <w:rPr>
          <w:b w:val="0"/>
          <w:szCs w:val="24"/>
        </w:rPr>
        <w:t>6</w:t>
      </w:r>
      <w:r w:rsidR="00BE41C7" w:rsidRPr="009F6E8E">
        <w:rPr>
          <w:b w:val="0"/>
        </w:rPr>
        <w:t>.attēls.</w:t>
      </w:r>
      <w:r w:rsidR="00BE41C7" w:rsidRPr="009F6E8E">
        <w:t xml:space="preserve"> Kravu apgrozījums</w:t>
      </w:r>
      <w:bookmarkEnd w:id="89"/>
      <w:bookmarkEnd w:id="90"/>
      <w:bookmarkEnd w:id="91"/>
      <w:bookmarkEnd w:id="92"/>
      <w:bookmarkEnd w:id="93"/>
      <w:bookmarkEnd w:id="94"/>
      <w:bookmarkEnd w:id="95"/>
      <w:bookmarkEnd w:id="96"/>
    </w:p>
    <w:tbl>
      <w:tblPr>
        <w:tblW w:w="0" w:type="auto"/>
        <w:tblLook w:val="01E0"/>
      </w:tblPr>
      <w:tblGrid>
        <w:gridCol w:w="4917"/>
        <w:gridCol w:w="4938"/>
      </w:tblGrid>
      <w:tr w:rsidR="00BE41C7" w:rsidRPr="009F6E8E" w:rsidTr="009A2453">
        <w:trPr>
          <w:trHeight w:val="20"/>
        </w:trPr>
        <w:tc>
          <w:tcPr>
            <w:tcW w:w="4917" w:type="dxa"/>
          </w:tcPr>
          <w:p w:rsidR="00BE41C7" w:rsidRPr="009F6E8E" w:rsidRDefault="00BE41C7" w:rsidP="009A2453">
            <w:pPr>
              <w:tabs>
                <w:tab w:val="center" w:pos="2552"/>
              </w:tabs>
              <w:spacing w:before="60"/>
              <w:rPr>
                <w:rFonts w:eastAsia="Times New Roman"/>
                <w:sz w:val="18"/>
                <w:szCs w:val="18"/>
              </w:rPr>
            </w:pPr>
            <w:r w:rsidRPr="009F6E8E">
              <w:rPr>
                <w:rFonts w:eastAsia="Times New Roman"/>
                <w:sz w:val="18"/>
                <w:szCs w:val="18"/>
              </w:rPr>
              <w:br w:type="page"/>
            </w:r>
            <w:r w:rsidRPr="009F6E8E">
              <w:rPr>
                <w:rFonts w:eastAsia="Times New Roman"/>
                <w:sz w:val="18"/>
                <w:szCs w:val="18"/>
              </w:rPr>
              <w:tab/>
              <w:t xml:space="preserve">Kravu pārvadājumi dzelzceļa transportā, </w:t>
            </w:r>
            <w:r w:rsidRPr="009F6E8E">
              <w:rPr>
                <w:rFonts w:eastAsia="Times New Roman"/>
                <w:bCs/>
                <w:color w:val="000000"/>
                <w:sz w:val="18"/>
                <w:szCs w:val="18"/>
              </w:rPr>
              <w:t>tūkst. t</w:t>
            </w:r>
          </w:p>
        </w:tc>
        <w:tc>
          <w:tcPr>
            <w:tcW w:w="4963" w:type="dxa"/>
          </w:tcPr>
          <w:p w:rsidR="00BE41C7" w:rsidRPr="009F6E8E" w:rsidRDefault="00BE41C7" w:rsidP="009A2453">
            <w:pPr>
              <w:tabs>
                <w:tab w:val="center" w:pos="2565"/>
              </w:tabs>
              <w:spacing w:before="60"/>
              <w:rPr>
                <w:rFonts w:eastAsia="Times New Roman"/>
                <w:sz w:val="18"/>
                <w:szCs w:val="18"/>
              </w:rPr>
            </w:pPr>
            <w:r w:rsidRPr="009F6E8E">
              <w:rPr>
                <w:rFonts w:eastAsia="Times New Roman"/>
                <w:bCs/>
                <w:color w:val="000000"/>
                <w:sz w:val="18"/>
                <w:szCs w:val="18"/>
              </w:rPr>
              <w:tab/>
              <w:t>Nosūtītās un saņemtās kravas ostās, tūkst. t</w:t>
            </w:r>
          </w:p>
        </w:tc>
      </w:tr>
      <w:tr w:rsidR="00BE41C7" w:rsidRPr="009F6E8E" w:rsidTr="009A2453">
        <w:trPr>
          <w:trHeight w:val="20"/>
        </w:trPr>
        <w:tc>
          <w:tcPr>
            <w:tcW w:w="4917" w:type="dxa"/>
          </w:tcPr>
          <w:p w:rsidR="00BE41C7" w:rsidRPr="009F6E8E" w:rsidRDefault="00BE41C7" w:rsidP="009A2453">
            <w:pPr>
              <w:jc w:val="center"/>
              <w:rPr>
                <w:rFonts w:eastAsia="Times New Roman"/>
              </w:rPr>
            </w:pPr>
            <w:r w:rsidRPr="009F6E8E">
              <w:rPr>
                <w:rFonts w:eastAsia="Times New Roman"/>
                <w:noProof/>
                <w:sz w:val="20"/>
                <w:szCs w:val="20"/>
                <w:lang w:eastAsia="lv-LV"/>
              </w:rPr>
              <w:drawing>
                <wp:inline distT="0" distB="0" distL="0" distR="0">
                  <wp:extent cx="2984740" cy="2458528"/>
                  <wp:effectExtent l="0" t="0" r="0" b="0"/>
                  <wp:docPr id="6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63" w:type="dxa"/>
          </w:tcPr>
          <w:p w:rsidR="00BE41C7" w:rsidRPr="009F6E8E" w:rsidRDefault="00BE41C7" w:rsidP="009A2453">
            <w:pPr>
              <w:jc w:val="center"/>
              <w:rPr>
                <w:rFonts w:eastAsia="Times New Roman"/>
              </w:rPr>
            </w:pPr>
            <w:r w:rsidRPr="00707016">
              <w:rPr>
                <w:rFonts w:eastAsia="Times New Roman"/>
                <w:noProof/>
                <w:lang w:eastAsia="lv-LV"/>
              </w:rPr>
              <w:drawing>
                <wp:inline distT="0" distB="0" distL="0" distR="0">
                  <wp:extent cx="2984739" cy="2458528"/>
                  <wp:effectExtent l="0" t="0" r="0" b="0"/>
                  <wp:docPr id="5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BE41C7" w:rsidRDefault="00BE41C7" w:rsidP="00BE41C7">
      <w:pPr>
        <w:pStyle w:val="Heading2"/>
        <w:rPr>
          <w:b w:val="0"/>
          <w:szCs w:val="24"/>
        </w:rPr>
      </w:pPr>
      <w:bookmarkStart w:id="97" w:name="_Toc216077843"/>
      <w:bookmarkStart w:id="98" w:name="_Toc216079512"/>
      <w:bookmarkStart w:id="99" w:name="_Toc216079580"/>
      <w:bookmarkStart w:id="100" w:name="_Toc216079642"/>
      <w:bookmarkStart w:id="101" w:name="_Toc216079698"/>
      <w:bookmarkStart w:id="102" w:name="_Toc216079754"/>
      <w:bookmarkStart w:id="103" w:name="_Toc216079810"/>
    </w:p>
    <w:p w:rsidR="00BE41C7" w:rsidRDefault="00BE41C7" w:rsidP="00BE41C7">
      <w:pPr>
        <w:rPr>
          <w:rFonts w:eastAsiaTheme="majorEastAsia" w:cstheme="majorBidi"/>
        </w:rPr>
      </w:pPr>
      <w:r>
        <w:br w:type="page"/>
      </w:r>
    </w:p>
    <w:p w:rsidR="00BE41C7" w:rsidRPr="009F6E8E" w:rsidRDefault="00EC307E" w:rsidP="00BE41C7">
      <w:pPr>
        <w:pStyle w:val="Heading2"/>
      </w:pPr>
      <w:bookmarkStart w:id="104" w:name="_Toc216077845"/>
      <w:bookmarkStart w:id="105" w:name="_Toc216079514"/>
      <w:bookmarkStart w:id="106" w:name="_Toc216079582"/>
      <w:bookmarkStart w:id="107" w:name="_Toc216079644"/>
      <w:bookmarkStart w:id="108" w:name="_Toc216079700"/>
      <w:bookmarkStart w:id="109" w:name="_Toc216079756"/>
      <w:bookmarkStart w:id="110" w:name="_Toc216079812"/>
      <w:bookmarkStart w:id="111" w:name="_Toc282413175"/>
      <w:bookmarkEnd w:id="97"/>
      <w:bookmarkEnd w:id="98"/>
      <w:bookmarkEnd w:id="99"/>
      <w:bookmarkEnd w:id="100"/>
      <w:bookmarkEnd w:id="101"/>
      <w:bookmarkEnd w:id="102"/>
      <w:bookmarkEnd w:id="103"/>
      <w:r>
        <w:rPr>
          <w:b w:val="0"/>
        </w:rPr>
        <w:lastRenderedPageBreak/>
        <w:t>2</w:t>
      </w:r>
      <w:r w:rsidR="00BE41C7" w:rsidRPr="009F6E8E">
        <w:rPr>
          <w:b w:val="0"/>
        </w:rPr>
        <w:t>.7.attēls.</w:t>
      </w:r>
      <w:r w:rsidR="00BE41C7" w:rsidRPr="009F6E8E">
        <w:t xml:space="preserve"> Apstrādes rūpniecības produkcijas fiziskā apjoma indekss</w:t>
      </w:r>
      <w:bookmarkEnd w:id="104"/>
      <w:bookmarkEnd w:id="105"/>
      <w:bookmarkEnd w:id="106"/>
      <w:bookmarkEnd w:id="107"/>
      <w:bookmarkEnd w:id="108"/>
      <w:bookmarkEnd w:id="109"/>
      <w:bookmarkEnd w:id="110"/>
      <w:bookmarkEnd w:id="111"/>
    </w:p>
    <w:p w:rsidR="00BE41C7" w:rsidRPr="009F6E8E" w:rsidRDefault="00BE41C7" w:rsidP="00BE41C7">
      <w:pPr>
        <w:spacing w:after="60"/>
        <w:jc w:val="center"/>
        <w:rPr>
          <w:rFonts w:eastAsia="Times New Roman"/>
          <w:bCs/>
          <w:color w:val="000000"/>
          <w:sz w:val="12"/>
          <w:szCs w:val="18"/>
        </w:rPr>
      </w:pPr>
    </w:p>
    <w:p w:rsidR="00BE41C7" w:rsidRPr="009F6E8E" w:rsidRDefault="00BE41C7" w:rsidP="00BE41C7">
      <w:pPr>
        <w:spacing w:after="60"/>
        <w:jc w:val="center"/>
        <w:rPr>
          <w:b/>
          <w:sz w:val="28"/>
          <w:szCs w:val="24"/>
        </w:rPr>
      </w:pPr>
      <w:r w:rsidRPr="009F6E8E">
        <w:rPr>
          <w:rFonts w:eastAsia="Times New Roman"/>
          <w:bCs/>
          <w:color w:val="000000"/>
          <w:sz w:val="20"/>
          <w:szCs w:val="18"/>
        </w:rPr>
        <w:t>sezonāli izlīdzināti dati, 2005.g. decembris=100</w:t>
      </w:r>
    </w:p>
    <w:p w:rsidR="00BE41C7" w:rsidRPr="009F6E8E" w:rsidRDefault="00BE41C7" w:rsidP="00BE41C7">
      <w:pPr>
        <w:spacing w:after="60"/>
        <w:jc w:val="center"/>
        <w:rPr>
          <w:b/>
          <w:szCs w:val="24"/>
        </w:rPr>
      </w:pPr>
      <w:r w:rsidRPr="009F6E8E">
        <w:rPr>
          <w:rFonts w:eastAsia="Times New Roman"/>
          <w:noProof/>
          <w:sz w:val="20"/>
          <w:szCs w:val="20"/>
          <w:lang w:eastAsia="lv-LV"/>
        </w:rPr>
        <w:drawing>
          <wp:inline distT="0" distB="0" distL="0" distR="0">
            <wp:extent cx="4959706" cy="2157984"/>
            <wp:effectExtent l="19050" t="0" r="0" b="0"/>
            <wp:docPr id="8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41C7" w:rsidRPr="009F6E8E" w:rsidRDefault="00BE41C7" w:rsidP="00BE41C7">
      <w:pPr>
        <w:spacing w:after="120"/>
        <w:jc w:val="center"/>
        <w:rPr>
          <w:rFonts w:eastAsia="Times New Roman"/>
          <w:bCs/>
          <w:color w:val="000000"/>
          <w:sz w:val="18"/>
          <w:szCs w:val="18"/>
        </w:rPr>
      </w:pPr>
    </w:p>
    <w:p w:rsidR="00BE41C7" w:rsidRPr="009F6E8E" w:rsidRDefault="00BE41C7" w:rsidP="00BE41C7">
      <w:pPr>
        <w:spacing w:after="120"/>
        <w:jc w:val="center"/>
        <w:rPr>
          <w:b/>
          <w:sz w:val="28"/>
          <w:szCs w:val="24"/>
        </w:rPr>
      </w:pPr>
      <w:r w:rsidRPr="009F6E8E">
        <w:rPr>
          <w:rFonts w:eastAsia="Times New Roman"/>
          <w:bCs/>
          <w:color w:val="000000"/>
          <w:sz w:val="20"/>
          <w:szCs w:val="18"/>
        </w:rPr>
        <w:t>Pret iepriekšējā gada attiecīgo periodu, pēc darba dienu skaita izlīdzināti dati</w:t>
      </w:r>
    </w:p>
    <w:p w:rsidR="00BE41C7" w:rsidRPr="009F6E8E" w:rsidRDefault="00BE41C7" w:rsidP="00BE41C7">
      <w:pPr>
        <w:spacing w:after="120"/>
        <w:jc w:val="center"/>
        <w:rPr>
          <w:b/>
          <w:szCs w:val="24"/>
        </w:rPr>
      </w:pPr>
      <w:r w:rsidRPr="009F6E8E">
        <w:rPr>
          <w:rFonts w:eastAsia="Times New Roman"/>
          <w:noProof/>
          <w:sz w:val="20"/>
          <w:szCs w:val="20"/>
          <w:lang w:eastAsia="lv-LV"/>
        </w:rPr>
        <w:drawing>
          <wp:inline distT="0" distB="0" distL="0" distR="0">
            <wp:extent cx="5135270" cy="2157984"/>
            <wp:effectExtent l="0" t="0" r="0" b="0"/>
            <wp:docPr id="90"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41C7" w:rsidRPr="009F6E8E" w:rsidRDefault="00BE41C7" w:rsidP="00BE41C7">
      <w:pPr>
        <w:spacing w:after="120"/>
        <w:rPr>
          <w:sz w:val="12"/>
          <w:szCs w:val="24"/>
        </w:rPr>
      </w:pPr>
    </w:p>
    <w:p w:rsidR="00BE41C7" w:rsidRDefault="00EC307E" w:rsidP="00BE41C7">
      <w:pPr>
        <w:pStyle w:val="Heading2"/>
      </w:pPr>
      <w:bookmarkStart w:id="112" w:name="_Toc216077846"/>
      <w:bookmarkStart w:id="113" w:name="_Toc216079515"/>
      <w:bookmarkStart w:id="114" w:name="_Toc216079583"/>
      <w:bookmarkStart w:id="115" w:name="_Toc216079645"/>
      <w:bookmarkStart w:id="116" w:name="_Toc216079701"/>
      <w:bookmarkStart w:id="117" w:name="_Toc216079757"/>
      <w:bookmarkStart w:id="118" w:name="_Toc216079813"/>
      <w:bookmarkStart w:id="119" w:name="_Toc282413176"/>
      <w:r>
        <w:rPr>
          <w:b w:val="0"/>
        </w:rPr>
        <w:t>2</w:t>
      </w:r>
      <w:r w:rsidR="00BE41C7" w:rsidRPr="009F6E8E">
        <w:rPr>
          <w:b w:val="0"/>
        </w:rPr>
        <w:t>.8.attēls.</w:t>
      </w:r>
      <w:r w:rsidR="00BE41C7" w:rsidRPr="009F6E8E">
        <w:t xml:space="preserve"> Rūpniecības konfidences rādītājs</w:t>
      </w:r>
      <w:bookmarkEnd w:id="112"/>
      <w:bookmarkEnd w:id="113"/>
      <w:bookmarkEnd w:id="114"/>
      <w:bookmarkEnd w:id="115"/>
      <w:bookmarkEnd w:id="116"/>
      <w:bookmarkEnd w:id="117"/>
      <w:bookmarkEnd w:id="118"/>
      <w:r w:rsidR="00E17FD0">
        <w:t xml:space="preserve"> un ražošanas jaudu noslodze</w:t>
      </w:r>
      <w:bookmarkEnd w:id="119"/>
    </w:p>
    <w:p w:rsidR="00E17FD0" w:rsidRDefault="00E17FD0" w:rsidP="00E17F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4"/>
        <w:gridCol w:w="4941"/>
      </w:tblGrid>
      <w:tr w:rsidR="00E17FD0" w:rsidTr="00E17FD0">
        <w:tc>
          <w:tcPr>
            <w:tcW w:w="4927" w:type="dxa"/>
          </w:tcPr>
          <w:p w:rsidR="00E17FD0" w:rsidRDefault="00E17FD0" w:rsidP="00E17FD0">
            <w:pPr>
              <w:spacing w:after="40"/>
              <w:jc w:val="center"/>
            </w:pPr>
            <w:r>
              <w:t>Rūpniecības konfidences rādītājs</w:t>
            </w:r>
          </w:p>
        </w:tc>
        <w:tc>
          <w:tcPr>
            <w:tcW w:w="4928" w:type="dxa"/>
          </w:tcPr>
          <w:p w:rsidR="00E17FD0" w:rsidRDefault="00E17FD0" w:rsidP="00E17FD0">
            <w:pPr>
              <w:spacing w:after="40"/>
              <w:jc w:val="center"/>
            </w:pPr>
            <w:r>
              <w:t>Ražošanas jaudu noslodze, %</w:t>
            </w:r>
          </w:p>
        </w:tc>
      </w:tr>
      <w:tr w:rsidR="00E17FD0" w:rsidTr="00E17FD0">
        <w:tc>
          <w:tcPr>
            <w:tcW w:w="4927" w:type="dxa"/>
          </w:tcPr>
          <w:p w:rsidR="00E17FD0" w:rsidRDefault="00E17FD0" w:rsidP="00E17FD0">
            <w:r w:rsidRPr="009F6E8E">
              <w:rPr>
                <w:b/>
                <w:noProof/>
                <w:sz w:val="32"/>
              </w:rPr>
              <w:drawing>
                <wp:inline distT="0" distB="0" distL="0" distR="0">
                  <wp:extent cx="2981325" cy="2295525"/>
                  <wp:effectExtent l="0" t="0" r="0" b="0"/>
                  <wp:docPr id="2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928" w:type="dxa"/>
          </w:tcPr>
          <w:p w:rsidR="00E17FD0" w:rsidRDefault="00E17FD0" w:rsidP="00E17FD0">
            <w:r w:rsidRPr="00E17FD0">
              <w:rPr>
                <w:noProof/>
              </w:rPr>
              <w:drawing>
                <wp:inline distT="0" distB="0" distL="0" distR="0">
                  <wp:extent cx="2981325" cy="2295525"/>
                  <wp:effectExtent l="19050" t="0" r="0" b="0"/>
                  <wp:docPr id="2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E17FD0" w:rsidTr="00E17FD0">
        <w:tc>
          <w:tcPr>
            <w:tcW w:w="4927" w:type="dxa"/>
          </w:tcPr>
          <w:p w:rsidR="00E17FD0" w:rsidRDefault="00E17FD0" w:rsidP="00E17FD0">
            <w:pPr>
              <w:spacing w:before="40"/>
              <w:ind w:left="142" w:right="346" w:hanging="142"/>
              <w:jc w:val="both"/>
            </w:pPr>
            <w:r w:rsidRPr="00467A8A">
              <w:rPr>
                <w:sz w:val="16"/>
                <w:szCs w:val="16"/>
              </w:rPr>
              <w:t>* Rūpniecības konfidences rādītāju aprēķina kā atbilžu saldo vidējo lielumu uz trim jautājumiem: kopējais produkcijas pieprasījuma līmenis; gaidāmās ražošanas aktivitātes izmaiņas un gatavās produkcijas krājumu līmenis ar pretēju zīmi.</w:t>
            </w:r>
          </w:p>
        </w:tc>
        <w:tc>
          <w:tcPr>
            <w:tcW w:w="4928" w:type="dxa"/>
          </w:tcPr>
          <w:p w:rsidR="00E17FD0" w:rsidRDefault="00E17FD0" w:rsidP="00E17FD0"/>
        </w:tc>
      </w:tr>
    </w:tbl>
    <w:p w:rsidR="00E17FD0" w:rsidRDefault="00E17FD0" w:rsidP="00E17FD0"/>
    <w:p w:rsidR="00BE41C7" w:rsidRPr="009F6E8E" w:rsidRDefault="00BE41C7" w:rsidP="00BE41C7">
      <w:pPr>
        <w:ind w:left="284" w:hanging="284"/>
        <w:jc w:val="both"/>
        <w:rPr>
          <w:sz w:val="18"/>
          <w:szCs w:val="18"/>
        </w:rPr>
      </w:pPr>
    </w:p>
    <w:p w:rsidR="00BE41C7" w:rsidRPr="009F6E8E" w:rsidRDefault="00EC307E" w:rsidP="00BE41C7">
      <w:pPr>
        <w:pStyle w:val="Heading2"/>
      </w:pPr>
      <w:bookmarkStart w:id="120" w:name="_Toc216077847"/>
      <w:bookmarkStart w:id="121" w:name="_Toc216079516"/>
      <w:bookmarkStart w:id="122" w:name="_Toc216079584"/>
      <w:bookmarkStart w:id="123" w:name="_Toc216079646"/>
      <w:bookmarkStart w:id="124" w:name="_Toc216079702"/>
      <w:bookmarkStart w:id="125" w:name="_Toc216079758"/>
      <w:bookmarkStart w:id="126" w:name="_Toc216079814"/>
      <w:bookmarkStart w:id="127" w:name="_Toc282413177"/>
      <w:r>
        <w:rPr>
          <w:b w:val="0"/>
        </w:rPr>
        <w:lastRenderedPageBreak/>
        <w:t>2</w:t>
      </w:r>
      <w:r w:rsidR="00BE41C7" w:rsidRPr="009F6E8E">
        <w:rPr>
          <w:b w:val="0"/>
        </w:rPr>
        <w:t>.9.attēls.</w:t>
      </w:r>
      <w:r w:rsidR="00BE41C7" w:rsidRPr="009F6E8E">
        <w:t xml:space="preserve"> Jaunie pasūtījumi apstrādes rūpniecībā</w:t>
      </w:r>
      <w:bookmarkEnd w:id="120"/>
      <w:bookmarkEnd w:id="121"/>
      <w:bookmarkEnd w:id="122"/>
      <w:bookmarkEnd w:id="123"/>
      <w:bookmarkEnd w:id="124"/>
      <w:bookmarkEnd w:id="125"/>
      <w:bookmarkEnd w:id="126"/>
      <w:bookmarkEnd w:id="127"/>
    </w:p>
    <w:p w:rsidR="00BE41C7" w:rsidRPr="009F6E8E" w:rsidRDefault="00BE41C7" w:rsidP="00BE41C7"/>
    <w:p w:rsidR="00BE41C7" w:rsidRPr="009F6E8E" w:rsidRDefault="00BE41C7" w:rsidP="00BE41C7">
      <w:pPr>
        <w:spacing w:after="40"/>
        <w:jc w:val="center"/>
        <w:rPr>
          <w:b/>
          <w:sz w:val="22"/>
          <w:szCs w:val="24"/>
        </w:rPr>
      </w:pPr>
      <w:r w:rsidRPr="009F6E8E">
        <w:rPr>
          <w:b/>
          <w:sz w:val="22"/>
          <w:szCs w:val="24"/>
        </w:rPr>
        <w:t>Kopā apstrādes rūpniecības nozarēs, kas darbojas galvenokārt uz pasūtījumiem</w:t>
      </w:r>
    </w:p>
    <w:p w:rsidR="00BE41C7" w:rsidRPr="009F6E8E" w:rsidRDefault="00BE41C7" w:rsidP="00467A8A">
      <w:pPr>
        <w:spacing w:after="120"/>
        <w:jc w:val="center"/>
        <w:rPr>
          <w:rFonts w:eastAsia="Times New Roman"/>
          <w:bCs/>
          <w:color w:val="000000"/>
          <w:sz w:val="20"/>
          <w:szCs w:val="18"/>
        </w:rPr>
      </w:pPr>
      <w:r>
        <w:rPr>
          <w:rFonts w:eastAsia="Times New Roman"/>
          <w:bCs/>
          <w:color w:val="000000"/>
          <w:sz w:val="20"/>
          <w:szCs w:val="18"/>
        </w:rPr>
        <w:t xml:space="preserve">procentos </w:t>
      </w:r>
      <w:r w:rsidRPr="009F6E8E">
        <w:rPr>
          <w:rFonts w:eastAsia="Times New Roman"/>
          <w:bCs/>
          <w:color w:val="000000"/>
          <w:sz w:val="20"/>
          <w:szCs w:val="18"/>
        </w:rPr>
        <w:t>pret iepriekšējā gada attiecīgo ce</w:t>
      </w:r>
      <w:r w:rsidR="006060E3">
        <w:rPr>
          <w:rFonts w:eastAsia="Times New Roman"/>
          <w:bCs/>
          <w:color w:val="000000"/>
          <w:sz w:val="20"/>
          <w:szCs w:val="18"/>
        </w:rPr>
        <w:t>turksni, sezonāli neizlīdzināti</w:t>
      </w:r>
      <w:r w:rsidRPr="009F6E8E">
        <w:rPr>
          <w:rFonts w:eastAsia="Times New Roman"/>
          <w:bCs/>
          <w:color w:val="000000"/>
          <w:sz w:val="20"/>
          <w:szCs w:val="18"/>
        </w:rPr>
        <w:t xml:space="preserve"> dati</w:t>
      </w:r>
    </w:p>
    <w:p w:rsidR="00BE41C7" w:rsidRPr="009F6E8E" w:rsidRDefault="00BE41C7" w:rsidP="00BE41C7">
      <w:pPr>
        <w:jc w:val="center"/>
      </w:pPr>
      <w:r w:rsidRPr="009F6E8E">
        <w:rPr>
          <w:noProof/>
          <w:lang w:eastAsia="lv-LV"/>
        </w:rPr>
        <w:drawing>
          <wp:inline distT="0" distB="0" distL="0" distR="0">
            <wp:extent cx="5747657" cy="1959428"/>
            <wp:effectExtent l="0" t="0" r="0" b="0"/>
            <wp:docPr id="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E41C7" w:rsidRPr="009F6E8E" w:rsidRDefault="00BE41C7" w:rsidP="00BE41C7">
      <w:pPr>
        <w:ind w:firstLine="567"/>
        <w:jc w:val="both"/>
        <w:rPr>
          <w:sz w:val="20"/>
        </w:rPr>
      </w:pPr>
    </w:p>
    <w:p w:rsidR="00BE41C7" w:rsidRPr="009F6E8E" w:rsidRDefault="00BE41C7" w:rsidP="00BE41C7">
      <w:pPr>
        <w:spacing w:after="40"/>
        <w:jc w:val="center"/>
        <w:rPr>
          <w:b/>
          <w:sz w:val="22"/>
          <w:szCs w:val="24"/>
        </w:rPr>
      </w:pPr>
      <w:r w:rsidRPr="009F6E8E">
        <w:rPr>
          <w:b/>
          <w:sz w:val="22"/>
          <w:szCs w:val="24"/>
        </w:rPr>
        <w:t>Jaunie pasūtījumi apstrādes rūpniecības apakšnozarēs</w:t>
      </w:r>
    </w:p>
    <w:p w:rsidR="00BE41C7" w:rsidRPr="009F6E8E" w:rsidRDefault="00BE41C7" w:rsidP="00BE41C7">
      <w:pPr>
        <w:spacing w:after="120"/>
        <w:jc w:val="center"/>
        <w:rPr>
          <w:rFonts w:eastAsia="Times New Roman"/>
          <w:bCs/>
          <w:color w:val="000000"/>
          <w:sz w:val="20"/>
          <w:szCs w:val="18"/>
        </w:rPr>
      </w:pPr>
      <w:r>
        <w:rPr>
          <w:rFonts w:eastAsia="Times New Roman"/>
          <w:bCs/>
          <w:color w:val="000000"/>
          <w:sz w:val="20"/>
          <w:szCs w:val="18"/>
        </w:rPr>
        <w:t xml:space="preserve">% </w:t>
      </w:r>
      <w:r w:rsidRPr="009F6E8E">
        <w:rPr>
          <w:rFonts w:eastAsia="Times New Roman"/>
          <w:bCs/>
          <w:color w:val="000000"/>
          <w:sz w:val="20"/>
          <w:szCs w:val="18"/>
        </w:rPr>
        <w:t>pret iepriekšējā gada attiecīgo ceturksni, sezonāli neizlīdzinātie dati</w:t>
      </w:r>
    </w:p>
    <w:p w:rsidR="00BE41C7" w:rsidRPr="009F6E8E" w:rsidRDefault="00BE41C7" w:rsidP="00BE41C7">
      <w:pPr>
        <w:spacing w:after="120"/>
        <w:jc w:val="center"/>
        <w:rPr>
          <w:rFonts w:eastAsia="Times New Roman"/>
          <w:bCs/>
          <w:color w:val="000000"/>
          <w:sz w:val="6"/>
          <w:szCs w:val="18"/>
        </w:rPr>
      </w:pPr>
    </w:p>
    <w:tbl>
      <w:tblPr>
        <w:tblW w:w="9472" w:type="dxa"/>
        <w:jc w:val="center"/>
        <w:tblLayout w:type="fixed"/>
        <w:tblLook w:val="01E0"/>
      </w:tblPr>
      <w:tblGrid>
        <w:gridCol w:w="4697"/>
        <w:gridCol w:w="21"/>
        <w:gridCol w:w="4713"/>
        <w:gridCol w:w="41"/>
      </w:tblGrid>
      <w:tr w:rsidR="00BE41C7" w:rsidRPr="009F6E8E" w:rsidTr="009A2453">
        <w:trPr>
          <w:gridAfter w:val="1"/>
          <w:wAfter w:w="41" w:type="dxa"/>
          <w:trHeight w:val="246"/>
          <w:jc w:val="center"/>
        </w:trPr>
        <w:tc>
          <w:tcPr>
            <w:tcW w:w="4697" w:type="dxa"/>
            <w:vAlign w:val="bottom"/>
          </w:tcPr>
          <w:p w:rsidR="00BE41C7" w:rsidRPr="009F6E8E" w:rsidRDefault="00BE41C7" w:rsidP="009A2453">
            <w:pPr>
              <w:jc w:val="center"/>
              <w:rPr>
                <w:sz w:val="20"/>
                <w:szCs w:val="18"/>
              </w:rPr>
            </w:pPr>
            <w:r w:rsidRPr="009F6E8E">
              <w:rPr>
                <w:sz w:val="20"/>
                <w:szCs w:val="18"/>
              </w:rPr>
              <w:t>Vieglā rūpniecība</w:t>
            </w:r>
          </w:p>
        </w:tc>
        <w:tc>
          <w:tcPr>
            <w:tcW w:w="4734" w:type="dxa"/>
            <w:gridSpan w:val="2"/>
            <w:vAlign w:val="bottom"/>
          </w:tcPr>
          <w:p w:rsidR="00BE41C7" w:rsidRPr="009F6E8E" w:rsidRDefault="00BE41C7" w:rsidP="009A2453">
            <w:pPr>
              <w:jc w:val="center"/>
              <w:rPr>
                <w:sz w:val="20"/>
                <w:szCs w:val="18"/>
              </w:rPr>
            </w:pPr>
            <w:r w:rsidRPr="009F6E8E">
              <w:rPr>
                <w:sz w:val="20"/>
                <w:szCs w:val="18"/>
              </w:rPr>
              <w:t>Ķīmiskā rūpniecība</w:t>
            </w:r>
          </w:p>
        </w:tc>
      </w:tr>
      <w:tr w:rsidR="00BE41C7" w:rsidRPr="009F6E8E" w:rsidTr="009A2453">
        <w:trPr>
          <w:gridAfter w:val="1"/>
          <w:wAfter w:w="41" w:type="dxa"/>
          <w:trHeight w:val="2287"/>
          <w:jc w:val="center"/>
        </w:trPr>
        <w:tc>
          <w:tcPr>
            <w:tcW w:w="4697" w:type="dxa"/>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734" w:type="dxa"/>
            <w:gridSpan w:val="2"/>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BE41C7" w:rsidRPr="009F6E8E" w:rsidTr="009A2453">
        <w:trPr>
          <w:trHeight w:val="235"/>
          <w:jc w:val="center"/>
        </w:trPr>
        <w:tc>
          <w:tcPr>
            <w:tcW w:w="4718" w:type="dxa"/>
            <w:gridSpan w:val="2"/>
            <w:vAlign w:val="bottom"/>
          </w:tcPr>
          <w:p w:rsidR="00BE41C7" w:rsidRPr="009F6E8E" w:rsidRDefault="00BE41C7" w:rsidP="009A2453">
            <w:pPr>
              <w:tabs>
                <w:tab w:val="center" w:pos="2424"/>
              </w:tabs>
              <w:jc w:val="center"/>
              <w:rPr>
                <w:rFonts w:eastAsia="Times New Roman"/>
                <w:sz w:val="20"/>
                <w:szCs w:val="18"/>
              </w:rPr>
            </w:pPr>
            <w:r w:rsidRPr="009F6E8E">
              <w:rPr>
                <w:rFonts w:eastAsia="Times New Roman"/>
                <w:sz w:val="20"/>
                <w:szCs w:val="18"/>
              </w:rPr>
              <w:t>Metālu un metāla izstrādājumu ražošana</w:t>
            </w:r>
          </w:p>
        </w:tc>
        <w:tc>
          <w:tcPr>
            <w:tcW w:w="4754" w:type="dxa"/>
            <w:gridSpan w:val="2"/>
            <w:vAlign w:val="bottom"/>
          </w:tcPr>
          <w:p w:rsidR="00BE41C7" w:rsidRPr="009F6E8E" w:rsidRDefault="00BE41C7" w:rsidP="009A2453">
            <w:pPr>
              <w:tabs>
                <w:tab w:val="center" w:pos="2401"/>
              </w:tabs>
              <w:ind w:right="34"/>
              <w:jc w:val="center"/>
              <w:rPr>
                <w:rFonts w:eastAsia="Times New Roman"/>
                <w:sz w:val="20"/>
                <w:szCs w:val="18"/>
              </w:rPr>
            </w:pPr>
            <w:r w:rsidRPr="009F6E8E">
              <w:rPr>
                <w:rFonts w:eastAsia="Times New Roman"/>
                <w:sz w:val="20"/>
                <w:szCs w:val="18"/>
              </w:rPr>
              <w:t xml:space="preserve">Elektrisko un optisko iekārtu ražošana </w:t>
            </w:r>
          </w:p>
        </w:tc>
      </w:tr>
      <w:tr w:rsidR="00BE41C7" w:rsidRPr="009F6E8E" w:rsidTr="009A2453">
        <w:trPr>
          <w:trHeight w:val="2104"/>
          <w:jc w:val="center"/>
        </w:trPr>
        <w:tc>
          <w:tcPr>
            <w:tcW w:w="4718" w:type="dxa"/>
            <w:gridSpan w:val="2"/>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54"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BE41C7" w:rsidRPr="009F6E8E" w:rsidTr="009A2453">
        <w:trPr>
          <w:trHeight w:val="235"/>
          <w:jc w:val="center"/>
        </w:trPr>
        <w:tc>
          <w:tcPr>
            <w:tcW w:w="4718" w:type="dxa"/>
            <w:gridSpan w:val="2"/>
            <w:vAlign w:val="bottom"/>
          </w:tcPr>
          <w:p w:rsidR="00BE41C7" w:rsidRPr="009F6E8E" w:rsidRDefault="00BE41C7" w:rsidP="009A2453">
            <w:pPr>
              <w:tabs>
                <w:tab w:val="center" w:pos="2424"/>
              </w:tabs>
              <w:jc w:val="center"/>
              <w:rPr>
                <w:rFonts w:eastAsia="Times New Roman"/>
                <w:sz w:val="20"/>
                <w:szCs w:val="18"/>
              </w:rPr>
            </w:pPr>
            <w:r w:rsidRPr="009F6E8E">
              <w:rPr>
                <w:rFonts w:eastAsia="Times New Roman"/>
                <w:sz w:val="20"/>
                <w:szCs w:val="18"/>
              </w:rPr>
              <w:t>Mašīnu un iekārtu ražošana</w:t>
            </w:r>
          </w:p>
        </w:tc>
        <w:tc>
          <w:tcPr>
            <w:tcW w:w="4754" w:type="dxa"/>
            <w:gridSpan w:val="2"/>
            <w:vAlign w:val="bottom"/>
          </w:tcPr>
          <w:p w:rsidR="00BE41C7" w:rsidRPr="009F6E8E" w:rsidRDefault="00BE41C7" w:rsidP="009A2453">
            <w:pPr>
              <w:tabs>
                <w:tab w:val="center" w:pos="2401"/>
              </w:tabs>
              <w:ind w:right="34"/>
              <w:jc w:val="center"/>
              <w:rPr>
                <w:sz w:val="20"/>
                <w:szCs w:val="18"/>
              </w:rPr>
            </w:pPr>
            <w:r w:rsidRPr="009F6E8E">
              <w:rPr>
                <w:sz w:val="20"/>
                <w:szCs w:val="18"/>
              </w:rPr>
              <w:t>Transportlīdzekļu ražošana</w:t>
            </w:r>
          </w:p>
        </w:tc>
      </w:tr>
      <w:tr w:rsidR="00BE41C7" w:rsidRPr="009F6E8E" w:rsidTr="009A2453">
        <w:trPr>
          <w:trHeight w:val="2104"/>
          <w:jc w:val="center"/>
        </w:trPr>
        <w:tc>
          <w:tcPr>
            <w:tcW w:w="4718"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54"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BE41C7" w:rsidRPr="00467A8A" w:rsidRDefault="00BE41C7" w:rsidP="00BE41C7">
      <w:pPr>
        <w:ind w:left="142" w:hanging="142"/>
        <w:jc w:val="both"/>
        <w:rPr>
          <w:sz w:val="16"/>
          <w:szCs w:val="16"/>
        </w:rPr>
      </w:pPr>
      <w:r w:rsidRPr="00467A8A">
        <w:rPr>
          <w:sz w:val="16"/>
          <w:szCs w:val="16"/>
        </w:rPr>
        <w:t>*</w:t>
      </w:r>
      <w:r w:rsidRPr="00467A8A">
        <w:rPr>
          <w:sz w:val="16"/>
          <w:szCs w:val="16"/>
        </w:rPr>
        <w:tab/>
        <w:t>Jauno pasūtījumu apjoms ietver visus pārskata periodā (mēnesī) noslēgtos, saskaņotos pasūtījumus (līgumi, kontrakti), kas saista ražotāju ar trešo pusi par preču vai pakalpojumu piegādi. Jauno pasūtījumu izmaiņas raksturo apstrādes rūpniecības nozarē saņemto jauno pasūtījumu apjoma izmaiņas pārskata periodā, salīdzinot ar bāzes periodu.</w:t>
      </w:r>
    </w:p>
    <w:p w:rsidR="00BE41C7" w:rsidRPr="009F6E8E" w:rsidRDefault="00BE41C7" w:rsidP="00BE41C7">
      <w:pPr>
        <w:ind w:left="284" w:hanging="284"/>
        <w:jc w:val="both"/>
        <w:rPr>
          <w:sz w:val="18"/>
          <w:szCs w:val="18"/>
        </w:rPr>
      </w:pPr>
    </w:p>
    <w:p w:rsidR="008250FB" w:rsidRDefault="008250FB">
      <w:pPr>
        <w:rPr>
          <w:rFonts w:eastAsiaTheme="majorEastAsia" w:cstheme="majorBidi"/>
          <w:bCs/>
          <w:sz w:val="28"/>
          <w:szCs w:val="26"/>
        </w:rPr>
      </w:pPr>
      <w:bookmarkStart w:id="128" w:name="_Toc216077848"/>
      <w:bookmarkStart w:id="129" w:name="_Toc216079517"/>
      <w:bookmarkStart w:id="130" w:name="_Toc216079585"/>
      <w:bookmarkStart w:id="131" w:name="_Toc216079647"/>
      <w:bookmarkStart w:id="132" w:name="_Toc216079703"/>
      <w:bookmarkStart w:id="133" w:name="_Toc216079759"/>
      <w:bookmarkStart w:id="134" w:name="_Toc216079815"/>
      <w:r>
        <w:rPr>
          <w:b/>
        </w:rPr>
        <w:br w:type="page"/>
      </w:r>
    </w:p>
    <w:p w:rsidR="00BE41C7" w:rsidRDefault="00EC307E" w:rsidP="00BE41C7">
      <w:pPr>
        <w:pStyle w:val="Heading2"/>
      </w:pPr>
      <w:bookmarkStart w:id="135" w:name="_Toc282413178"/>
      <w:r>
        <w:rPr>
          <w:b w:val="0"/>
        </w:rPr>
        <w:lastRenderedPageBreak/>
        <w:t>2</w:t>
      </w:r>
      <w:r w:rsidR="00BE41C7" w:rsidRPr="009F6E8E">
        <w:rPr>
          <w:b w:val="0"/>
        </w:rPr>
        <w:t>.10.attēls.</w:t>
      </w:r>
      <w:r w:rsidR="00BE41C7" w:rsidRPr="009F6E8E">
        <w:t xml:space="preserve"> Apstrādes rūpniecīb</w:t>
      </w:r>
      <w:bookmarkEnd w:id="128"/>
      <w:bookmarkEnd w:id="129"/>
      <w:bookmarkEnd w:id="130"/>
      <w:bookmarkEnd w:id="131"/>
      <w:bookmarkEnd w:id="132"/>
      <w:bookmarkEnd w:id="133"/>
      <w:bookmarkEnd w:id="134"/>
      <w:r w:rsidR="004A062D">
        <w:t>u raksturojošie rādītāji</w:t>
      </w:r>
      <w:bookmarkEnd w:id="135"/>
    </w:p>
    <w:p w:rsidR="00ED5018" w:rsidRDefault="00ED5018" w:rsidP="00ED5018">
      <w:pPr>
        <w:rPr>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0"/>
        <w:gridCol w:w="3406"/>
        <w:gridCol w:w="3079"/>
      </w:tblGrid>
      <w:tr w:rsidR="00592371" w:rsidRPr="00F32283" w:rsidTr="004F2DE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 sezonāli neizlīdzināti dati, 2005=100</w:t>
            </w:r>
          </w:p>
        </w:tc>
        <w:tc>
          <w:tcPr>
            <w:tcW w:w="1632" w:type="pct"/>
            <w:vAlign w:val="bottom"/>
          </w:tcPr>
          <w:p w:rsidR="00592371" w:rsidRPr="00F32283" w:rsidRDefault="00592371" w:rsidP="00543F96">
            <w:pPr>
              <w:spacing w:before="120" w:after="40"/>
              <w:jc w:val="center"/>
              <w:rPr>
                <w:sz w:val="18"/>
                <w:szCs w:val="18"/>
              </w:rPr>
            </w:pPr>
            <w:r w:rsidRPr="00F32283">
              <w:rPr>
                <w:sz w:val="18"/>
                <w:szCs w:val="18"/>
              </w:rPr>
              <w:t>Produkcijas fiziskā apjoma indekss, sezonāli izlīdzināti dati, 200</w:t>
            </w:r>
            <w:r w:rsidR="00543F96">
              <w:rPr>
                <w:sz w:val="18"/>
                <w:szCs w:val="18"/>
              </w:rPr>
              <w:t>7 XII</w:t>
            </w:r>
            <w:r w:rsidRPr="00F32283">
              <w:rPr>
                <w:sz w:val="18"/>
                <w:szCs w:val="18"/>
              </w:rPr>
              <w:t>=100</w:t>
            </w:r>
          </w:p>
        </w:tc>
        <w:tc>
          <w:tcPr>
            <w:tcW w:w="1736" w:type="pct"/>
            <w:vAlign w:val="bottom"/>
          </w:tcPr>
          <w:p w:rsidR="00592371" w:rsidRPr="00F32283" w:rsidRDefault="00592371" w:rsidP="004F2DEC">
            <w:pPr>
              <w:spacing w:before="120" w:after="40"/>
              <w:jc w:val="center"/>
              <w:rPr>
                <w:sz w:val="18"/>
                <w:szCs w:val="18"/>
              </w:rPr>
            </w:pPr>
            <w:r w:rsidRPr="00F32283">
              <w:rPr>
                <w:sz w:val="18"/>
                <w:szCs w:val="18"/>
              </w:rPr>
              <w:t>Produkcijas realizācija faktiskās cenās, milj. latu</w:t>
            </w:r>
          </w:p>
        </w:tc>
      </w:tr>
      <w:tr w:rsidR="00592371" w:rsidTr="004F2DEC">
        <w:tc>
          <w:tcPr>
            <w:tcW w:w="1632" w:type="pct"/>
            <w:vAlign w:val="bottom"/>
          </w:tcPr>
          <w:p w:rsidR="00592371" w:rsidRDefault="00592371" w:rsidP="00592371">
            <w:pPr>
              <w:jc w:val="center"/>
            </w:pPr>
            <w:r w:rsidRPr="00ED5018">
              <w:rPr>
                <w:noProof/>
              </w:rPr>
              <w:drawing>
                <wp:inline distT="0" distB="0" distL="0" distR="0">
                  <wp:extent cx="2078182" cy="1728000"/>
                  <wp:effectExtent l="0" t="0" r="0" b="0"/>
                  <wp:docPr id="10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1632" w:type="pct"/>
            <w:vAlign w:val="bottom"/>
          </w:tcPr>
          <w:p w:rsidR="00592371" w:rsidRDefault="00592371" w:rsidP="00592371">
            <w:pPr>
              <w:jc w:val="center"/>
            </w:pPr>
            <w:r w:rsidRPr="002C706C">
              <w:rPr>
                <w:noProof/>
              </w:rPr>
              <w:drawing>
                <wp:inline distT="0" distB="0" distL="0" distR="0">
                  <wp:extent cx="2078181" cy="1728000"/>
                  <wp:effectExtent l="0" t="0" r="0" b="0"/>
                  <wp:docPr id="11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736" w:type="pct"/>
            <w:vAlign w:val="bottom"/>
          </w:tcPr>
          <w:p w:rsidR="00592371" w:rsidRDefault="00592371" w:rsidP="004F2DEC">
            <w:pPr>
              <w:ind w:left="-142" w:right="-193"/>
              <w:jc w:val="center"/>
            </w:pPr>
            <w:r w:rsidRPr="00522BE0">
              <w:rPr>
                <w:noProof/>
              </w:rPr>
              <w:drawing>
                <wp:inline distT="0" distB="0" distL="0" distR="0">
                  <wp:extent cx="2099145" cy="1725433"/>
                  <wp:effectExtent l="0" t="0" r="0" b="0"/>
                  <wp:docPr id="1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92371" w:rsidRPr="00F32283" w:rsidTr="004F2DEC">
        <w:tc>
          <w:tcPr>
            <w:tcW w:w="1632" w:type="pct"/>
            <w:vAlign w:val="bottom"/>
          </w:tcPr>
          <w:p w:rsidR="00592371" w:rsidRPr="00F32283" w:rsidRDefault="00592371" w:rsidP="00592371">
            <w:pPr>
              <w:spacing w:before="40" w:after="40"/>
              <w:jc w:val="center"/>
              <w:rPr>
                <w:sz w:val="18"/>
                <w:szCs w:val="18"/>
              </w:rPr>
            </w:pPr>
            <w:r w:rsidRPr="00F32283">
              <w:rPr>
                <w:sz w:val="18"/>
                <w:szCs w:val="18"/>
              </w:rPr>
              <w:t>Produkcijas realizācija, izmaiņas % pret iepriekšējā gada atbilstošo periodu</w:t>
            </w:r>
          </w:p>
        </w:tc>
        <w:tc>
          <w:tcPr>
            <w:tcW w:w="1632" w:type="pct"/>
            <w:vAlign w:val="bottom"/>
          </w:tcPr>
          <w:p w:rsidR="00592371" w:rsidRPr="00F32283" w:rsidRDefault="00592371" w:rsidP="00592371">
            <w:pPr>
              <w:spacing w:before="40" w:after="40"/>
              <w:jc w:val="center"/>
              <w:rPr>
                <w:sz w:val="18"/>
                <w:szCs w:val="18"/>
              </w:rPr>
            </w:pPr>
            <w:r w:rsidRPr="00F32283">
              <w:rPr>
                <w:sz w:val="18"/>
                <w:szCs w:val="18"/>
              </w:rPr>
              <w:t>Ražotāju cenu izmaiņas, 2007.gada decembris =100</w:t>
            </w:r>
          </w:p>
        </w:tc>
        <w:tc>
          <w:tcPr>
            <w:tcW w:w="1736" w:type="pct"/>
            <w:vAlign w:val="bottom"/>
          </w:tcPr>
          <w:p w:rsidR="00592371" w:rsidRPr="00F32283" w:rsidRDefault="00592371" w:rsidP="004F2DEC">
            <w:pPr>
              <w:spacing w:before="40" w:after="40"/>
              <w:ind w:left="142"/>
              <w:jc w:val="center"/>
              <w:rPr>
                <w:sz w:val="18"/>
                <w:szCs w:val="18"/>
              </w:rPr>
            </w:pPr>
          </w:p>
        </w:tc>
      </w:tr>
      <w:tr w:rsidR="00592371" w:rsidTr="004F2DEC">
        <w:tc>
          <w:tcPr>
            <w:tcW w:w="1632" w:type="pct"/>
            <w:vAlign w:val="bottom"/>
          </w:tcPr>
          <w:p w:rsidR="00592371" w:rsidRDefault="00592371" w:rsidP="00592371">
            <w:pPr>
              <w:jc w:val="center"/>
            </w:pPr>
            <w:r w:rsidRPr="00372C02">
              <w:rPr>
                <w:noProof/>
              </w:rPr>
              <w:drawing>
                <wp:inline distT="0" distB="0" distL="0" distR="0">
                  <wp:extent cx="2078182" cy="1728000"/>
                  <wp:effectExtent l="0" t="0" r="0" b="0"/>
                  <wp:docPr id="11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1632" w:type="pct"/>
            <w:vAlign w:val="bottom"/>
          </w:tcPr>
          <w:p w:rsidR="00592371" w:rsidRDefault="00592371" w:rsidP="00592371">
            <w:pPr>
              <w:jc w:val="center"/>
            </w:pPr>
            <w:r w:rsidRPr="00BB3A4B">
              <w:rPr>
                <w:noProof/>
              </w:rPr>
              <w:drawing>
                <wp:inline distT="0" distB="0" distL="0" distR="0">
                  <wp:extent cx="2082883" cy="1728000"/>
                  <wp:effectExtent l="19050" t="0" r="0" b="0"/>
                  <wp:docPr id="11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1736" w:type="pct"/>
            <w:vAlign w:val="bottom"/>
          </w:tcPr>
          <w:p w:rsidR="00592371" w:rsidRDefault="00592371" w:rsidP="004F2DEC">
            <w:pPr>
              <w:ind w:left="-142" w:right="-192"/>
              <w:jc w:val="center"/>
            </w:pPr>
          </w:p>
        </w:tc>
      </w:tr>
    </w:tbl>
    <w:p w:rsidR="00592371" w:rsidRDefault="00592371" w:rsidP="00ED5018">
      <w:pPr>
        <w:rPr>
          <w:sz w:val="4"/>
          <w:szCs w:val="4"/>
        </w:rPr>
      </w:pPr>
    </w:p>
    <w:p w:rsidR="00592371" w:rsidRPr="008250FB" w:rsidRDefault="00592371" w:rsidP="00ED5018">
      <w:pPr>
        <w:rPr>
          <w:sz w:val="4"/>
          <w:szCs w:val="4"/>
        </w:rPr>
      </w:pPr>
    </w:p>
    <w:p w:rsidR="00ED5018" w:rsidRDefault="00ED5018" w:rsidP="00ED5018"/>
    <w:p w:rsidR="00BE41C7" w:rsidRPr="009F6E8E" w:rsidRDefault="00EC307E" w:rsidP="00BE41C7">
      <w:pPr>
        <w:pStyle w:val="Heading2"/>
      </w:pPr>
      <w:bookmarkStart w:id="136" w:name="_Toc216077850"/>
      <w:bookmarkStart w:id="137" w:name="_Toc216079519"/>
      <w:bookmarkStart w:id="138" w:name="_Toc216079587"/>
      <w:bookmarkStart w:id="139" w:name="_Toc216079649"/>
      <w:bookmarkStart w:id="140" w:name="_Toc216079705"/>
      <w:bookmarkStart w:id="141" w:name="_Toc216079761"/>
      <w:bookmarkStart w:id="142" w:name="_Toc216079817"/>
      <w:bookmarkStart w:id="143" w:name="_Toc282413179"/>
      <w:r>
        <w:rPr>
          <w:b w:val="0"/>
          <w:szCs w:val="24"/>
        </w:rPr>
        <w:t>2</w:t>
      </w:r>
      <w:r w:rsidR="00BE41C7" w:rsidRPr="009F6E8E">
        <w:rPr>
          <w:b w:val="0"/>
          <w:szCs w:val="24"/>
        </w:rPr>
        <w:t>.1</w:t>
      </w:r>
      <w:r w:rsidR="00B10C02">
        <w:rPr>
          <w:b w:val="0"/>
          <w:szCs w:val="24"/>
        </w:rPr>
        <w:t>1</w:t>
      </w:r>
      <w:r w:rsidR="00BE41C7" w:rsidRPr="009F6E8E">
        <w:rPr>
          <w:b w:val="0"/>
          <w:szCs w:val="24"/>
        </w:rPr>
        <w:t>.attēls.</w:t>
      </w:r>
      <w:r w:rsidR="00BE41C7" w:rsidRPr="009F6E8E">
        <w:rPr>
          <w:szCs w:val="24"/>
        </w:rPr>
        <w:t xml:space="preserve"> </w:t>
      </w:r>
      <w:r w:rsidR="00BE41C7" w:rsidRPr="009F6E8E">
        <w:t>Pārtikas un dzērienu ražošanu raksturojošie rādītāji</w:t>
      </w:r>
      <w:bookmarkEnd w:id="136"/>
      <w:bookmarkEnd w:id="137"/>
      <w:bookmarkEnd w:id="138"/>
      <w:bookmarkEnd w:id="139"/>
      <w:bookmarkEnd w:id="140"/>
      <w:bookmarkEnd w:id="141"/>
      <w:bookmarkEnd w:id="142"/>
      <w:bookmarkEnd w:id="143"/>
    </w:p>
    <w:p w:rsidR="00BE41C7" w:rsidRDefault="00BE41C7" w:rsidP="00BE41C7">
      <w:pPr>
        <w:jc w:val="center"/>
        <w:rPr>
          <w:b/>
          <w:sz w:val="4"/>
          <w:szCs w:val="4"/>
        </w:rPr>
      </w:pPr>
    </w:p>
    <w:p w:rsidR="00592371" w:rsidRDefault="00592371" w:rsidP="00BE41C7">
      <w:pPr>
        <w:jc w:val="center"/>
        <w:rPr>
          <w:b/>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8"/>
        <w:gridCol w:w="3415"/>
        <w:gridCol w:w="3062"/>
      </w:tblGrid>
      <w:tr w:rsidR="00592371" w:rsidRPr="00F32283" w:rsidTr="004F2DE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 sezonāli neizlīdzināti dati, 2005=100</w:t>
            </w:r>
          </w:p>
        </w:t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w:t>
            </w:r>
            <w:r w:rsidR="002D3819">
              <w:rPr>
                <w:sz w:val="18"/>
                <w:szCs w:val="18"/>
              </w:rPr>
              <w:t xml:space="preserve"> sezonāli izlīdzināti dati, 2007 XII</w:t>
            </w:r>
            <w:r w:rsidRPr="00F32283">
              <w:rPr>
                <w:sz w:val="18"/>
                <w:szCs w:val="18"/>
              </w:rPr>
              <w:t>=100</w:t>
            </w:r>
          </w:p>
        </w:tc>
        <w:tc>
          <w:tcPr>
            <w:tcW w:w="1736" w:type="pct"/>
            <w:vAlign w:val="bottom"/>
          </w:tcPr>
          <w:p w:rsidR="00592371" w:rsidRPr="00F32283" w:rsidRDefault="00592371" w:rsidP="004F2DEC">
            <w:pPr>
              <w:spacing w:before="120" w:after="40"/>
              <w:ind w:left="142"/>
              <w:jc w:val="center"/>
              <w:rPr>
                <w:sz w:val="18"/>
                <w:szCs w:val="18"/>
              </w:rPr>
            </w:pPr>
            <w:r w:rsidRPr="00F32283">
              <w:rPr>
                <w:sz w:val="18"/>
                <w:szCs w:val="18"/>
              </w:rPr>
              <w:t>Produkcijas realizācija faktiskās cenās, milj. latu</w:t>
            </w:r>
          </w:p>
        </w:tc>
      </w:tr>
      <w:tr w:rsidR="00592371" w:rsidTr="004F2DEC">
        <w:tc>
          <w:tcPr>
            <w:tcW w:w="1632" w:type="pct"/>
            <w:vAlign w:val="bottom"/>
          </w:tcPr>
          <w:p w:rsidR="00592371" w:rsidRDefault="00592371" w:rsidP="00592371">
            <w:pPr>
              <w:jc w:val="center"/>
            </w:pPr>
            <w:r w:rsidRPr="00ED5018">
              <w:rPr>
                <w:noProof/>
              </w:rPr>
              <w:drawing>
                <wp:inline distT="0" distB="0" distL="0" distR="0">
                  <wp:extent cx="2078182" cy="1728000"/>
                  <wp:effectExtent l="0" t="0" r="0" b="0"/>
                  <wp:docPr id="12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1632" w:type="pct"/>
            <w:vAlign w:val="bottom"/>
          </w:tcPr>
          <w:p w:rsidR="00592371" w:rsidRDefault="00592371" w:rsidP="00592371">
            <w:pPr>
              <w:jc w:val="center"/>
            </w:pPr>
            <w:r w:rsidRPr="002C706C">
              <w:rPr>
                <w:noProof/>
              </w:rPr>
              <w:drawing>
                <wp:inline distT="0" distB="0" distL="0" distR="0">
                  <wp:extent cx="2078181" cy="1728000"/>
                  <wp:effectExtent l="0" t="0" r="0" b="0"/>
                  <wp:docPr id="12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1736" w:type="pct"/>
            <w:vAlign w:val="bottom"/>
          </w:tcPr>
          <w:p w:rsidR="00592371" w:rsidRDefault="00592371" w:rsidP="004F2DEC">
            <w:pPr>
              <w:ind w:left="-142" w:right="-193"/>
              <w:jc w:val="center"/>
            </w:pPr>
            <w:r w:rsidRPr="00522BE0">
              <w:rPr>
                <w:noProof/>
              </w:rPr>
              <w:drawing>
                <wp:inline distT="0" distB="0" distL="0" distR="0">
                  <wp:extent cx="2083242" cy="1725433"/>
                  <wp:effectExtent l="0" t="0" r="0" b="0"/>
                  <wp:docPr id="12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592371" w:rsidRPr="00F32283" w:rsidTr="004F2DEC">
        <w:tc>
          <w:tcPr>
            <w:tcW w:w="1632" w:type="pct"/>
            <w:vAlign w:val="bottom"/>
          </w:tcPr>
          <w:p w:rsidR="00592371" w:rsidRPr="00F32283" w:rsidRDefault="00592371" w:rsidP="00592371">
            <w:pPr>
              <w:spacing w:before="40" w:after="40"/>
              <w:jc w:val="center"/>
              <w:rPr>
                <w:sz w:val="18"/>
                <w:szCs w:val="18"/>
              </w:rPr>
            </w:pPr>
            <w:r w:rsidRPr="00F32283">
              <w:rPr>
                <w:sz w:val="18"/>
                <w:szCs w:val="18"/>
              </w:rPr>
              <w:t>Produkcijas realizācija, izmaiņas % pret iepriekšējā gada atbilstošo periodu</w:t>
            </w:r>
          </w:p>
        </w:tc>
        <w:tc>
          <w:tcPr>
            <w:tcW w:w="1632" w:type="pct"/>
            <w:vAlign w:val="bottom"/>
          </w:tcPr>
          <w:p w:rsidR="00592371" w:rsidRPr="00F32283" w:rsidRDefault="00592371" w:rsidP="00592371">
            <w:pPr>
              <w:spacing w:before="40"/>
              <w:jc w:val="center"/>
              <w:rPr>
                <w:sz w:val="18"/>
                <w:szCs w:val="18"/>
              </w:rPr>
            </w:pPr>
            <w:r w:rsidRPr="00F32283">
              <w:rPr>
                <w:sz w:val="18"/>
                <w:szCs w:val="18"/>
              </w:rPr>
              <w:t>Ražotāju cenu izmaiņas,</w:t>
            </w:r>
            <w:r>
              <w:rPr>
                <w:sz w:val="18"/>
                <w:szCs w:val="18"/>
              </w:rPr>
              <w:t xml:space="preserve"> </w:t>
            </w:r>
            <w:r w:rsidRPr="00F32283">
              <w:rPr>
                <w:sz w:val="18"/>
                <w:szCs w:val="18"/>
              </w:rPr>
              <w:t>2007.gada decembris =100</w:t>
            </w:r>
          </w:p>
        </w:tc>
        <w:tc>
          <w:tcPr>
            <w:tcW w:w="1736" w:type="pct"/>
            <w:vAlign w:val="bottom"/>
          </w:tcPr>
          <w:p w:rsidR="00592371" w:rsidRPr="00F32283" w:rsidRDefault="00592371" w:rsidP="004F2DEC">
            <w:pPr>
              <w:spacing w:before="40" w:after="40"/>
              <w:ind w:left="142"/>
              <w:jc w:val="center"/>
              <w:rPr>
                <w:sz w:val="18"/>
                <w:szCs w:val="18"/>
              </w:rPr>
            </w:pPr>
          </w:p>
        </w:tc>
      </w:tr>
      <w:tr w:rsidR="00592371" w:rsidTr="004F2DEC">
        <w:tc>
          <w:tcPr>
            <w:tcW w:w="1632" w:type="pct"/>
            <w:vAlign w:val="bottom"/>
          </w:tcPr>
          <w:p w:rsidR="00592371" w:rsidRDefault="00592371" w:rsidP="00592371">
            <w:pPr>
              <w:jc w:val="center"/>
            </w:pPr>
            <w:r w:rsidRPr="00372C02">
              <w:rPr>
                <w:noProof/>
              </w:rPr>
              <w:drawing>
                <wp:inline distT="0" distB="0" distL="0" distR="0">
                  <wp:extent cx="2078182" cy="1728000"/>
                  <wp:effectExtent l="0" t="0" r="0" b="0"/>
                  <wp:docPr id="29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632" w:type="pct"/>
            <w:vAlign w:val="bottom"/>
          </w:tcPr>
          <w:p w:rsidR="00592371" w:rsidRDefault="00592371" w:rsidP="00592371">
            <w:pPr>
              <w:jc w:val="center"/>
            </w:pPr>
            <w:r w:rsidRPr="00BB3A4B">
              <w:rPr>
                <w:noProof/>
              </w:rPr>
              <w:drawing>
                <wp:inline distT="0" distB="0" distL="0" distR="0">
                  <wp:extent cx="2082883" cy="1728000"/>
                  <wp:effectExtent l="19050" t="0" r="0" b="0"/>
                  <wp:docPr id="29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1736" w:type="pct"/>
            <w:vAlign w:val="bottom"/>
          </w:tcPr>
          <w:p w:rsidR="00592371" w:rsidRDefault="00592371" w:rsidP="004F2DEC">
            <w:pPr>
              <w:ind w:left="-142" w:right="-192"/>
              <w:jc w:val="center"/>
            </w:pPr>
          </w:p>
        </w:tc>
      </w:tr>
    </w:tbl>
    <w:p w:rsidR="00592371" w:rsidRDefault="00592371" w:rsidP="00BE41C7">
      <w:pPr>
        <w:jc w:val="center"/>
        <w:rPr>
          <w:b/>
          <w:sz w:val="4"/>
          <w:szCs w:val="4"/>
        </w:rPr>
      </w:pPr>
    </w:p>
    <w:p w:rsidR="00592371" w:rsidRPr="00F32283" w:rsidRDefault="00592371" w:rsidP="00BE41C7">
      <w:pPr>
        <w:jc w:val="center"/>
        <w:rPr>
          <w:b/>
          <w:sz w:val="4"/>
          <w:szCs w:val="4"/>
        </w:rPr>
      </w:pPr>
    </w:p>
    <w:p w:rsidR="00BE41C7" w:rsidRPr="009F6E8E" w:rsidRDefault="00CD3CE6" w:rsidP="00BE41C7">
      <w:pPr>
        <w:pStyle w:val="Heading2"/>
      </w:pPr>
      <w:bookmarkStart w:id="144" w:name="_Toc216077851"/>
      <w:bookmarkStart w:id="145" w:name="_Toc216079520"/>
      <w:bookmarkStart w:id="146" w:name="_Toc216079588"/>
      <w:bookmarkStart w:id="147" w:name="_Toc216079650"/>
      <w:bookmarkStart w:id="148" w:name="_Toc216079706"/>
      <w:bookmarkStart w:id="149" w:name="_Toc216079762"/>
      <w:bookmarkStart w:id="150" w:name="_Toc216079818"/>
      <w:bookmarkStart w:id="151" w:name="_Toc282413180"/>
      <w:r>
        <w:rPr>
          <w:b w:val="0"/>
        </w:rPr>
        <w:lastRenderedPageBreak/>
        <w:t>2</w:t>
      </w:r>
      <w:r w:rsidR="00BE41C7" w:rsidRPr="009F6E8E">
        <w:rPr>
          <w:b w:val="0"/>
        </w:rPr>
        <w:t>.1</w:t>
      </w:r>
      <w:r w:rsidR="00B10C02">
        <w:rPr>
          <w:b w:val="0"/>
        </w:rPr>
        <w:t>2</w:t>
      </w:r>
      <w:r w:rsidR="00BE41C7" w:rsidRPr="009F6E8E">
        <w:rPr>
          <w:b w:val="0"/>
        </w:rPr>
        <w:t xml:space="preserve">.attēls. </w:t>
      </w:r>
      <w:r w:rsidR="00BE41C7" w:rsidRPr="009F6E8E">
        <w:t>Vieglo rūpniecību raksturojoši rādītāji</w:t>
      </w:r>
      <w:bookmarkEnd w:id="144"/>
      <w:bookmarkEnd w:id="145"/>
      <w:bookmarkEnd w:id="146"/>
      <w:bookmarkEnd w:id="147"/>
      <w:bookmarkEnd w:id="148"/>
      <w:bookmarkEnd w:id="149"/>
      <w:bookmarkEnd w:id="150"/>
      <w:bookmarkEnd w:id="15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B567BC" w:rsidRPr="00F32283" w:rsidTr="00726024">
        <w:tc>
          <w:tcPr>
            <w:tcW w:w="1632" w:type="pct"/>
            <w:vAlign w:val="bottom"/>
          </w:tcPr>
          <w:p w:rsidR="00B567BC" w:rsidRPr="00F32283" w:rsidRDefault="00B567BC" w:rsidP="00726024">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B567BC" w:rsidRPr="00F32283" w:rsidRDefault="00B567BC" w:rsidP="002D3819">
            <w:pPr>
              <w:spacing w:before="120" w:after="40"/>
              <w:ind w:left="142"/>
              <w:jc w:val="center"/>
              <w:rPr>
                <w:sz w:val="18"/>
                <w:szCs w:val="18"/>
              </w:rPr>
            </w:pPr>
            <w:r w:rsidRPr="00F32283">
              <w:rPr>
                <w:sz w:val="18"/>
                <w:szCs w:val="18"/>
              </w:rPr>
              <w:t>Produkcijas fiziskā apjoma indekss, sezonāli izlīdzināti dati, 200</w:t>
            </w:r>
            <w:r w:rsidR="002D3819">
              <w:rPr>
                <w:sz w:val="18"/>
                <w:szCs w:val="18"/>
              </w:rPr>
              <w:t>7 XII</w:t>
            </w:r>
            <w:r w:rsidRPr="00F32283">
              <w:rPr>
                <w:sz w:val="18"/>
                <w:szCs w:val="18"/>
              </w:rPr>
              <w:t>=100</w:t>
            </w:r>
          </w:p>
        </w:tc>
        <w:tc>
          <w:tcPr>
            <w:tcW w:w="1736" w:type="pct"/>
            <w:vAlign w:val="bottom"/>
          </w:tcPr>
          <w:p w:rsidR="00B567BC" w:rsidRPr="00F32283" w:rsidRDefault="00B567BC" w:rsidP="00726024">
            <w:pPr>
              <w:spacing w:before="120" w:after="40"/>
              <w:ind w:left="142"/>
              <w:jc w:val="center"/>
              <w:rPr>
                <w:sz w:val="18"/>
                <w:szCs w:val="18"/>
              </w:rPr>
            </w:pPr>
            <w:r w:rsidRPr="00F32283">
              <w:rPr>
                <w:sz w:val="18"/>
                <w:szCs w:val="18"/>
              </w:rPr>
              <w:t>Produkcijas realizācija faktiskās cenās, milj. latu</w:t>
            </w:r>
          </w:p>
        </w:tc>
      </w:tr>
      <w:tr w:rsidR="00B567BC" w:rsidTr="00726024">
        <w:tc>
          <w:tcPr>
            <w:tcW w:w="1632" w:type="pct"/>
            <w:vAlign w:val="bottom"/>
          </w:tcPr>
          <w:p w:rsidR="00B567BC" w:rsidRDefault="00B567BC" w:rsidP="00726024">
            <w:pPr>
              <w:ind w:left="-142" w:right="-193"/>
              <w:jc w:val="center"/>
            </w:pPr>
            <w:r w:rsidRPr="00ED5018">
              <w:rPr>
                <w:noProof/>
              </w:rPr>
              <w:drawing>
                <wp:inline distT="0" distB="0" distL="0" distR="0">
                  <wp:extent cx="2078182" cy="1728000"/>
                  <wp:effectExtent l="0" t="0" r="0" b="0"/>
                  <wp:docPr id="9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1632" w:type="pct"/>
            <w:vAlign w:val="bottom"/>
          </w:tcPr>
          <w:p w:rsidR="00B567BC" w:rsidRDefault="00B567BC" w:rsidP="00726024">
            <w:pPr>
              <w:ind w:left="-142" w:right="-193"/>
              <w:jc w:val="center"/>
            </w:pPr>
            <w:r w:rsidRPr="002C706C">
              <w:rPr>
                <w:noProof/>
              </w:rPr>
              <w:drawing>
                <wp:inline distT="0" distB="0" distL="0" distR="0">
                  <wp:extent cx="2078181" cy="1728000"/>
                  <wp:effectExtent l="0" t="0" r="0" b="0"/>
                  <wp:docPr id="9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736" w:type="pct"/>
            <w:vAlign w:val="bottom"/>
          </w:tcPr>
          <w:p w:rsidR="00B567BC" w:rsidRDefault="00B567BC" w:rsidP="00726024">
            <w:pPr>
              <w:ind w:left="-142" w:right="-193"/>
              <w:jc w:val="center"/>
            </w:pPr>
            <w:r w:rsidRPr="00522BE0">
              <w:rPr>
                <w:noProof/>
              </w:rPr>
              <w:drawing>
                <wp:inline distT="0" distB="0" distL="0" distR="0">
                  <wp:extent cx="2161309" cy="1728000"/>
                  <wp:effectExtent l="0" t="0" r="0" b="0"/>
                  <wp:docPr id="9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B567BC" w:rsidRPr="00F32283" w:rsidTr="00726024">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B567BC" w:rsidRPr="00F32283" w:rsidRDefault="00B567BC" w:rsidP="00F44AB3">
            <w:pPr>
              <w:spacing w:before="40" w:after="40"/>
              <w:ind w:left="142"/>
              <w:jc w:val="center"/>
              <w:rPr>
                <w:sz w:val="18"/>
                <w:szCs w:val="18"/>
              </w:rPr>
            </w:pPr>
          </w:p>
        </w:tc>
      </w:tr>
      <w:tr w:rsidR="00B567BC" w:rsidTr="00726024">
        <w:tc>
          <w:tcPr>
            <w:tcW w:w="1632" w:type="pct"/>
            <w:vAlign w:val="bottom"/>
          </w:tcPr>
          <w:p w:rsidR="00B567BC" w:rsidRDefault="00B567BC" w:rsidP="00726024">
            <w:pPr>
              <w:ind w:left="-142" w:right="-192"/>
              <w:jc w:val="center"/>
            </w:pPr>
            <w:r w:rsidRPr="00372C02">
              <w:rPr>
                <w:noProof/>
              </w:rPr>
              <w:drawing>
                <wp:inline distT="0" distB="0" distL="0" distR="0">
                  <wp:extent cx="2078182" cy="1728000"/>
                  <wp:effectExtent l="0" t="0" r="0" b="0"/>
                  <wp:docPr id="28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1632" w:type="pct"/>
            <w:vAlign w:val="bottom"/>
          </w:tcPr>
          <w:p w:rsidR="00B567BC" w:rsidRDefault="00B567BC" w:rsidP="00726024">
            <w:pPr>
              <w:ind w:left="-142" w:right="-192"/>
              <w:jc w:val="center"/>
            </w:pPr>
            <w:r w:rsidRPr="00BB3A4B">
              <w:rPr>
                <w:noProof/>
              </w:rPr>
              <w:drawing>
                <wp:inline distT="0" distB="0" distL="0" distR="0">
                  <wp:extent cx="2082883" cy="1728000"/>
                  <wp:effectExtent l="19050" t="0" r="0" b="0"/>
                  <wp:docPr id="28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1736" w:type="pct"/>
            <w:vAlign w:val="bottom"/>
          </w:tcPr>
          <w:p w:rsidR="00B567BC" w:rsidRDefault="00B567BC" w:rsidP="00726024">
            <w:pPr>
              <w:ind w:left="-142" w:right="-192"/>
              <w:jc w:val="center"/>
            </w:pPr>
          </w:p>
        </w:tc>
      </w:tr>
    </w:tbl>
    <w:p w:rsidR="00D46A75" w:rsidRDefault="00D46A75" w:rsidP="005D4E6F">
      <w:pPr>
        <w:rPr>
          <w:b/>
          <w:sz w:val="16"/>
        </w:rPr>
      </w:pPr>
    </w:p>
    <w:p w:rsidR="00B567BC" w:rsidRPr="009F6E8E" w:rsidRDefault="00B567BC" w:rsidP="005D4E6F">
      <w:pPr>
        <w:rPr>
          <w:b/>
          <w:sz w:val="16"/>
        </w:rPr>
      </w:pPr>
    </w:p>
    <w:p w:rsidR="00BE41C7" w:rsidRPr="009F6E8E" w:rsidRDefault="00CD3CE6" w:rsidP="00BE41C7">
      <w:pPr>
        <w:pStyle w:val="Heading2"/>
      </w:pPr>
      <w:bookmarkStart w:id="152" w:name="_Toc216077852"/>
      <w:bookmarkStart w:id="153" w:name="_Toc216079521"/>
      <w:bookmarkStart w:id="154" w:name="_Toc216079589"/>
      <w:bookmarkStart w:id="155" w:name="_Toc216079651"/>
      <w:bookmarkStart w:id="156" w:name="_Toc216079707"/>
      <w:bookmarkStart w:id="157" w:name="_Toc216079763"/>
      <w:bookmarkStart w:id="158" w:name="_Toc216079819"/>
      <w:bookmarkStart w:id="159" w:name="_Toc282413181"/>
      <w:r>
        <w:rPr>
          <w:b w:val="0"/>
        </w:rPr>
        <w:t>2</w:t>
      </w:r>
      <w:r w:rsidR="00BE41C7" w:rsidRPr="009F6E8E">
        <w:rPr>
          <w:b w:val="0"/>
        </w:rPr>
        <w:t>.1</w:t>
      </w:r>
      <w:r w:rsidR="00B10C02">
        <w:rPr>
          <w:b w:val="0"/>
        </w:rPr>
        <w:t>3</w:t>
      </w:r>
      <w:r w:rsidR="00BE41C7" w:rsidRPr="009F6E8E">
        <w:rPr>
          <w:b w:val="0"/>
        </w:rPr>
        <w:t xml:space="preserve">.attēls. </w:t>
      </w:r>
      <w:r w:rsidR="00BE41C7" w:rsidRPr="009F6E8E">
        <w:t>Kokapstrādi raksturojoši rādītāji</w:t>
      </w:r>
      <w:bookmarkEnd w:id="152"/>
      <w:bookmarkEnd w:id="153"/>
      <w:bookmarkEnd w:id="154"/>
      <w:bookmarkEnd w:id="155"/>
      <w:bookmarkEnd w:id="156"/>
      <w:bookmarkEnd w:id="157"/>
      <w:bookmarkEnd w:id="158"/>
      <w:bookmarkEnd w:id="15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B567BC" w:rsidRPr="00F32283" w:rsidTr="00726024">
        <w:tc>
          <w:tcPr>
            <w:tcW w:w="1632" w:type="pct"/>
            <w:vAlign w:val="bottom"/>
          </w:tcPr>
          <w:p w:rsidR="00B567BC" w:rsidRPr="00F32283" w:rsidRDefault="00B567BC" w:rsidP="00726024">
            <w:pPr>
              <w:spacing w:before="120" w:after="40"/>
              <w:ind w:left="142"/>
              <w:jc w:val="center"/>
              <w:rPr>
                <w:sz w:val="18"/>
                <w:szCs w:val="18"/>
              </w:rPr>
            </w:pPr>
            <w:bookmarkStart w:id="160" w:name="_Toc216077853"/>
            <w:bookmarkStart w:id="161" w:name="_Toc216079522"/>
            <w:bookmarkStart w:id="162" w:name="_Toc216079590"/>
            <w:bookmarkStart w:id="163" w:name="_Toc216079652"/>
            <w:bookmarkStart w:id="164" w:name="_Toc216079708"/>
            <w:bookmarkStart w:id="165" w:name="_Toc216079764"/>
            <w:bookmarkStart w:id="166" w:name="_Toc216079820"/>
            <w:r w:rsidRPr="00F32283">
              <w:rPr>
                <w:sz w:val="18"/>
                <w:szCs w:val="18"/>
              </w:rPr>
              <w:t>Produkcijas fiziskā apjoma indekss, sezonāli neizlīdzināti dati, 2005=100</w:t>
            </w:r>
          </w:p>
        </w:tc>
        <w:tc>
          <w:tcPr>
            <w:tcW w:w="1632" w:type="pct"/>
            <w:vAlign w:val="bottom"/>
          </w:tcPr>
          <w:p w:rsidR="00B567BC" w:rsidRPr="00F32283" w:rsidRDefault="00B567BC"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B567BC" w:rsidRPr="00F32283" w:rsidRDefault="00B567BC" w:rsidP="00726024">
            <w:pPr>
              <w:spacing w:before="120" w:after="40"/>
              <w:ind w:left="142"/>
              <w:jc w:val="center"/>
              <w:rPr>
                <w:sz w:val="18"/>
                <w:szCs w:val="18"/>
              </w:rPr>
            </w:pPr>
            <w:r w:rsidRPr="00F32283">
              <w:rPr>
                <w:sz w:val="18"/>
                <w:szCs w:val="18"/>
              </w:rPr>
              <w:t>Produkcijas realizācija faktiskās cenās, milj. latu</w:t>
            </w:r>
          </w:p>
        </w:tc>
      </w:tr>
      <w:tr w:rsidR="00B567BC" w:rsidTr="00726024">
        <w:tc>
          <w:tcPr>
            <w:tcW w:w="1632" w:type="pct"/>
            <w:vAlign w:val="bottom"/>
          </w:tcPr>
          <w:p w:rsidR="00B567BC" w:rsidRDefault="00B567BC" w:rsidP="00726024">
            <w:pPr>
              <w:ind w:left="-142" w:right="-193"/>
              <w:jc w:val="center"/>
            </w:pPr>
            <w:r w:rsidRPr="00ED5018">
              <w:rPr>
                <w:noProof/>
              </w:rPr>
              <w:drawing>
                <wp:inline distT="0" distB="0" distL="0" distR="0">
                  <wp:extent cx="2078182" cy="1728000"/>
                  <wp:effectExtent l="0" t="0" r="0" b="0"/>
                  <wp:docPr id="7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1632" w:type="pct"/>
            <w:vAlign w:val="bottom"/>
          </w:tcPr>
          <w:p w:rsidR="00B567BC" w:rsidRDefault="00B567BC" w:rsidP="00726024">
            <w:pPr>
              <w:ind w:left="-142" w:right="-193"/>
              <w:jc w:val="center"/>
            </w:pPr>
            <w:r w:rsidRPr="002C706C">
              <w:rPr>
                <w:noProof/>
              </w:rPr>
              <w:drawing>
                <wp:inline distT="0" distB="0" distL="0" distR="0">
                  <wp:extent cx="2078181" cy="1728000"/>
                  <wp:effectExtent l="0" t="0" r="0" b="0"/>
                  <wp:docPr id="7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1736" w:type="pct"/>
            <w:vAlign w:val="bottom"/>
          </w:tcPr>
          <w:p w:rsidR="00B567BC" w:rsidRDefault="00B567BC" w:rsidP="00726024">
            <w:pPr>
              <w:ind w:left="-142" w:right="-193"/>
              <w:jc w:val="center"/>
            </w:pPr>
            <w:r w:rsidRPr="00522BE0">
              <w:rPr>
                <w:noProof/>
              </w:rPr>
              <w:drawing>
                <wp:inline distT="0" distB="0" distL="0" distR="0">
                  <wp:extent cx="2161309" cy="1728000"/>
                  <wp:effectExtent l="0" t="0" r="0" b="0"/>
                  <wp:docPr id="7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B567BC" w:rsidRPr="00F32283" w:rsidTr="00726024">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B567BC" w:rsidRPr="00F32283" w:rsidRDefault="00B567BC" w:rsidP="00726024">
            <w:pPr>
              <w:spacing w:before="40" w:after="40"/>
              <w:ind w:left="142"/>
              <w:jc w:val="center"/>
              <w:rPr>
                <w:sz w:val="18"/>
                <w:szCs w:val="18"/>
              </w:rPr>
            </w:pPr>
          </w:p>
        </w:tc>
      </w:tr>
      <w:tr w:rsidR="00B567BC" w:rsidTr="00726024">
        <w:tc>
          <w:tcPr>
            <w:tcW w:w="1632" w:type="pct"/>
            <w:vAlign w:val="bottom"/>
          </w:tcPr>
          <w:p w:rsidR="00B567BC" w:rsidRDefault="00B567BC" w:rsidP="00726024">
            <w:pPr>
              <w:ind w:left="-142" w:right="-192"/>
              <w:jc w:val="center"/>
            </w:pPr>
            <w:r w:rsidRPr="00372C02">
              <w:rPr>
                <w:noProof/>
              </w:rPr>
              <w:drawing>
                <wp:inline distT="0" distB="0" distL="0" distR="0">
                  <wp:extent cx="2078182" cy="1728000"/>
                  <wp:effectExtent l="19050" t="0" r="0" b="0"/>
                  <wp:docPr id="7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1632" w:type="pct"/>
            <w:vAlign w:val="bottom"/>
          </w:tcPr>
          <w:p w:rsidR="00B567BC" w:rsidRDefault="00B567BC" w:rsidP="00726024">
            <w:pPr>
              <w:ind w:left="-142" w:right="-192"/>
              <w:jc w:val="center"/>
            </w:pPr>
            <w:r w:rsidRPr="00BB3A4B">
              <w:rPr>
                <w:noProof/>
              </w:rPr>
              <w:drawing>
                <wp:inline distT="0" distB="0" distL="0" distR="0">
                  <wp:extent cx="2082883" cy="1728000"/>
                  <wp:effectExtent l="19050" t="0" r="0" b="0"/>
                  <wp:docPr id="7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1736" w:type="pct"/>
            <w:vAlign w:val="bottom"/>
          </w:tcPr>
          <w:p w:rsidR="00B567BC" w:rsidRDefault="00B567BC" w:rsidP="00726024">
            <w:pPr>
              <w:ind w:left="-142" w:right="-192"/>
              <w:jc w:val="center"/>
            </w:pPr>
          </w:p>
        </w:tc>
      </w:tr>
    </w:tbl>
    <w:p w:rsidR="00BE41C7" w:rsidRDefault="00CD3CE6" w:rsidP="00BE41C7">
      <w:pPr>
        <w:pStyle w:val="Heading2"/>
      </w:pPr>
      <w:bookmarkStart w:id="167" w:name="_Toc282413182"/>
      <w:r>
        <w:rPr>
          <w:b w:val="0"/>
        </w:rPr>
        <w:lastRenderedPageBreak/>
        <w:t>2</w:t>
      </w:r>
      <w:r w:rsidR="00BE41C7" w:rsidRPr="009F6E8E">
        <w:rPr>
          <w:b w:val="0"/>
        </w:rPr>
        <w:t>.1</w:t>
      </w:r>
      <w:r w:rsidR="00B10C02">
        <w:rPr>
          <w:b w:val="0"/>
        </w:rPr>
        <w:t>4</w:t>
      </w:r>
      <w:r w:rsidR="00BE41C7" w:rsidRPr="009F6E8E">
        <w:rPr>
          <w:b w:val="0"/>
        </w:rPr>
        <w:t>.attēls.</w:t>
      </w:r>
      <w:r w:rsidR="00BE41C7" w:rsidRPr="009F6E8E">
        <w:t xml:space="preserve"> Papīra ražošanu un izdevējdarbību raksturojoši rādītāji</w:t>
      </w:r>
      <w:bookmarkEnd w:id="160"/>
      <w:bookmarkEnd w:id="161"/>
      <w:bookmarkEnd w:id="162"/>
      <w:bookmarkEnd w:id="163"/>
      <w:bookmarkEnd w:id="164"/>
      <w:bookmarkEnd w:id="165"/>
      <w:bookmarkEnd w:id="166"/>
      <w:bookmarkEnd w:id="16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B567BC" w:rsidRPr="00F32283" w:rsidTr="00726024">
        <w:tc>
          <w:tcPr>
            <w:tcW w:w="1632" w:type="pct"/>
            <w:vAlign w:val="bottom"/>
          </w:tcPr>
          <w:p w:rsidR="00B567BC" w:rsidRPr="00F32283" w:rsidRDefault="00B567BC" w:rsidP="00726024">
            <w:pPr>
              <w:spacing w:before="120" w:after="40"/>
              <w:ind w:left="142"/>
              <w:jc w:val="center"/>
              <w:rPr>
                <w:sz w:val="18"/>
                <w:szCs w:val="18"/>
              </w:rPr>
            </w:pPr>
            <w:bookmarkStart w:id="168" w:name="_Toc216077854"/>
            <w:bookmarkStart w:id="169" w:name="_Toc216079523"/>
            <w:bookmarkStart w:id="170" w:name="_Toc216079591"/>
            <w:bookmarkStart w:id="171" w:name="_Toc216079653"/>
            <w:bookmarkStart w:id="172" w:name="_Toc216079709"/>
            <w:bookmarkStart w:id="173" w:name="_Toc216079765"/>
            <w:bookmarkStart w:id="174" w:name="_Toc216079821"/>
            <w:r w:rsidRPr="00F32283">
              <w:rPr>
                <w:sz w:val="18"/>
                <w:szCs w:val="18"/>
              </w:rPr>
              <w:t>Produkcijas fiziskā apjoma indekss, sezonāli neizlīdzināti dati, 2005=100</w:t>
            </w:r>
          </w:p>
        </w:tc>
        <w:tc>
          <w:tcPr>
            <w:tcW w:w="1632" w:type="pct"/>
            <w:vAlign w:val="bottom"/>
          </w:tcPr>
          <w:p w:rsidR="00B567BC" w:rsidRPr="00F32283" w:rsidRDefault="00B567BC" w:rsidP="005E33D6">
            <w:pPr>
              <w:spacing w:before="120" w:after="40"/>
              <w:ind w:left="142"/>
              <w:jc w:val="center"/>
              <w:rPr>
                <w:sz w:val="18"/>
                <w:szCs w:val="18"/>
              </w:rPr>
            </w:pPr>
            <w:r w:rsidRPr="00F32283">
              <w:rPr>
                <w:sz w:val="18"/>
                <w:szCs w:val="18"/>
              </w:rPr>
              <w:t>Produkcijas fiziskā apjoma indekss, sezonāli izlīdzināti dati, 200</w:t>
            </w:r>
            <w:r w:rsidR="005E33D6">
              <w:rPr>
                <w:sz w:val="18"/>
                <w:szCs w:val="18"/>
              </w:rPr>
              <w:t>7 XII</w:t>
            </w:r>
            <w:r w:rsidRPr="00F32283">
              <w:rPr>
                <w:sz w:val="18"/>
                <w:szCs w:val="18"/>
              </w:rPr>
              <w:t>=100</w:t>
            </w:r>
          </w:p>
        </w:tc>
        <w:tc>
          <w:tcPr>
            <w:tcW w:w="1736" w:type="pct"/>
            <w:vAlign w:val="bottom"/>
          </w:tcPr>
          <w:p w:rsidR="00B567BC" w:rsidRPr="00F32283" w:rsidRDefault="00B567BC" w:rsidP="00726024">
            <w:pPr>
              <w:spacing w:before="120" w:after="40"/>
              <w:ind w:left="142"/>
              <w:jc w:val="center"/>
              <w:rPr>
                <w:sz w:val="18"/>
                <w:szCs w:val="18"/>
              </w:rPr>
            </w:pPr>
            <w:r w:rsidRPr="00F32283">
              <w:rPr>
                <w:sz w:val="18"/>
                <w:szCs w:val="18"/>
              </w:rPr>
              <w:t>Produkcijas realizācija faktiskās cenās, milj. latu</w:t>
            </w:r>
          </w:p>
        </w:tc>
      </w:tr>
      <w:tr w:rsidR="00B567BC" w:rsidTr="00726024">
        <w:tc>
          <w:tcPr>
            <w:tcW w:w="1632" w:type="pct"/>
            <w:vAlign w:val="bottom"/>
          </w:tcPr>
          <w:p w:rsidR="00B567BC" w:rsidRDefault="00B567BC" w:rsidP="00726024">
            <w:pPr>
              <w:ind w:left="-142" w:right="-193"/>
              <w:jc w:val="center"/>
            </w:pPr>
            <w:r w:rsidRPr="00ED5018">
              <w:rPr>
                <w:noProof/>
              </w:rPr>
              <w:drawing>
                <wp:inline distT="0" distB="0" distL="0" distR="0">
                  <wp:extent cx="2078182" cy="1728000"/>
                  <wp:effectExtent l="0" t="0" r="0" b="0"/>
                  <wp:docPr id="7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1632" w:type="pct"/>
            <w:vAlign w:val="bottom"/>
          </w:tcPr>
          <w:p w:rsidR="00B567BC" w:rsidRDefault="00B567BC" w:rsidP="00726024">
            <w:pPr>
              <w:ind w:left="-142" w:right="-193"/>
              <w:jc w:val="center"/>
            </w:pPr>
            <w:r w:rsidRPr="002C706C">
              <w:rPr>
                <w:noProof/>
              </w:rPr>
              <w:drawing>
                <wp:inline distT="0" distB="0" distL="0" distR="0">
                  <wp:extent cx="2078181" cy="1728000"/>
                  <wp:effectExtent l="0" t="0" r="0" b="0"/>
                  <wp:docPr id="8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1736" w:type="pct"/>
            <w:vAlign w:val="bottom"/>
          </w:tcPr>
          <w:p w:rsidR="00B567BC" w:rsidRDefault="00B567BC" w:rsidP="00726024">
            <w:pPr>
              <w:ind w:left="-142" w:right="-193"/>
              <w:jc w:val="center"/>
            </w:pPr>
            <w:r w:rsidRPr="00522BE0">
              <w:rPr>
                <w:noProof/>
              </w:rPr>
              <w:drawing>
                <wp:inline distT="0" distB="0" distL="0" distR="0">
                  <wp:extent cx="2161309" cy="1728000"/>
                  <wp:effectExtent l="0" t="0" r="0" b="0"/>
                  <wp:docPr id="8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B567BC" w:rsidRPr="00F32283" w:rsidTr="00726024">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B567BC" w:rsidRPr="00F32283" w:rsidRDefault="00B567BC" w:rsidP="00F44AB3">
            <w:pPr>
              <w:spacing w:before="40" w:after="40"/>
              <w:ind w:left="142"/>
              <w:jc w:val="center"/>
              <w:rPr>
                <w:sz w:val="18"/>
                <w:szCs w:val="18"/>
              </w:rPr>
            </w:pPr>
          </w:p>
        </w:tc>
      </w:tr>
      <w:tr w:rsidR="00B567BC" w:rsidTr="00726024">
        <w:tc>
          <w:tcPr>
            <w:tcW w:w="1632" w:type="pct"/>
            <w:vAlign w:val="bottom"/>
          </w:tcPr>
          <w:p w:rsidR="00B567BC" w:rsidRDefault="00B567BC" w:rsidP="00726024">
            <w:pPr>
              <w:ind w:left="-142" w:right="-192"/>
              <w:jc w:val="center"/>
            </w:pPr>
            <w:r w:rsidRPr="00372C02">
              <w:rPr>
                <w:noProof/>
              </w:rPr>
              <w:drawing>
                <wp:inline distT="0" distB="0" distL="0" distR="0">
                  <wp:extent cx="2078182" cy="1728000"/>
                  <wp:effectExtent l="0" t="0" r="0" b="0"/>
                  <wp:docPr id="8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1632" w:type="pct"/>
            <w:vAlign w:val="bottom"/>
          </w:tcPr>
          <w:p w:rsidR="00B567BC" w:rsidRDefault="00B567BC" w:rsidP="00726024">
            <w:pPr>
              <w:ind w:left="-142" w:right="-192"/>
              <w:jc w:val="center"/>
            </w:pPr>
            <w:r w:rsidRPr="00BB3A4B">
              <w:rPr>
                <w:noProof/>
              </w:rPr>
              <w:drawing>
                <wp:inline distT="0" distB="0" distL="0" distR="0">
                  <wp:extent cx="2082883" cy="1728000"/>
                  <wp:effectExtent l="19050" t="0" r="0" b="0"/>
                  <wp:docPr id="9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1736" w:type="pct"/>
            <w:vAlign w:val="bottom"/>
          </w:tcPr>
          <w:p w:rsidR="00B567BC" w:rsidRDefault="00B567BC" w:rsidP="00726024">
            <w:pPr>
              <w:ind w:left="-142" w:right="-192"/>
              <w:jc w:val="center"/>
            </w:pPr>
          </w:p>
        </w:tc>
      </w:tr>
    </w:tbl>
    <w:p w:rsidR="00B567BC" w:rsidRDefault="00B567BC" w:rsidP="00F158C6">
      <w:pPr>
        <w:pStyle w:val="Heading2"/>
        <w:rPr>
          <w:b w:val="0"/>
        </w:rPr>
      </w:pPr>
    </w:p>
    <w:p w:rsidR="00F158C6" w:rsidRPr="009F6E8E" w:rsidRDefault="00F158C6" w:rsidP="00F158C6">
      <w:pPr>
        <w:pStyle w:val="Heading2"/>
      </w:pPr>
      <w:bookmarkStart w:id="175" w:name="_Toc282413183"/>
      <w:r>
        <w:rPr>
          <w:b w:val="0"/>
        </w:rPr>
        <w:t>2</w:t>
      </w:r>
      <w:r w:rsidRPr="009F6E8E">
        <w:rPr>
          <w:b w:val="0"/>
        </w:rPr>
        <w:t>.1</w:t>
      </w:r>
      <w:r w:rsidR="00B10C02">
        <w:rPr>
          <w:b w:val="0"/>
        </w:rPr>
        <w:t>5</w:t>
      </w:r>
      <w:r w:rsidRPr="009F6E8E">
        <w:rPr>
          <w:b w:val="0"/>
        </w:rPr>
        <w:t>.attēls.</w:t>
      </w:r>
      <w:r w:rsidRPr="009F6E8E">
        <w:t xml:space="preserve"> Ķīmisk</w:t>
      </w:r>
      <w:r w:rsidR="001737BE">
        <w:t>o</w:t>
      </w:r>
      <w:r w:rsidR="00562485">
        <w:t xml:space="preserve"> rūpniecīb</w:t>
      </w:r>
      <w:r w:rsidR="001737BE">
        <w:t>u</w:t>
      </w:r>
      <w:r w:rsidR="00562485">
        <w:t xml:space="preserve"> un tās saskarnozares </w:t>
      </w:r>
      <w:r w:rsidRPr="009F6E8E">
        <w:t>raksturojoši rādītāji</w:t>
      </w:r>
      <w:bookmarkEnd w:id="168"/>
      <w:bookmarkEnd w:id="169"/>
      <w:bookmarkEnd w:id="170"/>
      <w:bookmarkEnd w:id="171"/>
      <w:bookmarkEnd w:id="172"/>
      <w:bookmarkEnd w:id="173"/>
      <w:bookmarkEnd w:id="174"/>
      <w:bookmarkEnd w:id="17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1737BE" w:rsidRPr="00F32283" w:rsidTr="00726024">
        <w:tc>
          <w:tcPr>
            <w:tcW w:w="1632" w:type="pct"/>
            <w:vAlign w:val="bottom"/>
          </w:tcPr>
          <w:p w:rsidR="001737BE" w:rsidRPr="00F32283" w:rsidRDefault="001737BE" w:rsidP="00726024">
            <w:pPr>
              <w:spacing w:before="120" w:after="40"/>
              <w:ind w:left="142"/>
              <w:jc w:val="center"/>
              <w:rPr>
                <w:sz w:val="18"/>
                <w:szCs w:val="18"/>
              </w:rPr>
            </w:pPr>
            <w:bookmarkStart w:id="176" w:name="_Toc216077855"/>
            <w:bookmarkStart w:id="177" w:name="_Toc216079524"/>
            <w:bookmarkStart w:id="178" w:name="_Toc216079592"/>
            <w:bookmarkStart w:id="179" w:name="_Toc216079654"/>
            <w:bookmarkStart w:id="180" w:name="_Toc216079710"/>
            <w:bookmarkStart w:id="181" w:name="_Toc216079766"/>
            <w:bookmarkStart w:id="182" w:name="_Toc216079822"/>
            <w:r w:rsidRPr="00F32283">
              <w:rPr>
                <w:sz w:val="18"/>
                <w:szCs w:val="18"/>
              </w:rPr>
              <w:t>Produkcijas fiziskā apjoma indekss, sezonāli neizlīdzināti dati, 2005=100</w:t>
            </w:r>
          </w:p>
        </w:tc>
        <w:tc>
          <w:tcPr>
            <w:tcW w:w="1632" w:type="pct"/>
            <w:vAlign w:val="bottom"/>
          </w:tcPr>
          <w:p w:rsidR="001737BE" w:rsidRPr="00F32283" w:rsidRDefault="001737BE" w:rsidP="0063749E">
            <w:pPr>
              <w:spacing w:before="120" w:after="40"/>
              <w:ind w:left="142"/>
              <w:jc w:val="center"/>
              <w:rPr>
                <w:sz w:val="18"/>
                <w:szCs w:val="18"/>
              </w:rPr>
            </w:pPr>
            <w:r w:rsidRPr="00F32283">
              <w:rPr>
                <w:sz w:val="18"/>
                <w:szCs w:val="18"/>
              </w:rPr>
              <w:t>Produkcijas fiziskā apjoma indekss, sezonāli izlīdzināti dati, 200</w:t>
            </w:r>
            <w:r w:rsidR="0063749E">
              <w:rPr>
                <w:sz w:val="18"/>
                <w:szCs w:val="18"/>
              </w:rPr>
              <w:t>7 XI</w:t>
            </w:r>
            <w:r w:rsidRPr="00F32283">
              <w:rPr>
                <w:sz w:val="18"/>
                <w:szCs w:val="18"/>
              </w:rPr>
              <w:t>=100</w:t>
            </w:r>
          </w:p>
        </w:tc>
        <w:tc>
          <w:tcPr>
            <w:tcW w:w="1736" w:type="pct"/>
            <w:vAlign w:val="bottom"/>
          </w:tcPr>
          <w:p w:rsidR="001737BE" w:rsidRPr="00F32283" w:rsidRDefault="001737BE" w:rsidP="00726024">
            <w:pPr>
              <w:spacing w:before="120" w:after="40"/>
              <w:ind w:left="142"/>
              <w:jc w:val="center"/>
              <w:rPr>
                <w:sz w:val="18"/>
                <w:szCs w:val="18"/>
              </w:rPr>
            </w:pPr>
            <w:r w:rsidRPr="00F32283">
              <w:rPr>
                <w:sz w:val="18"/>
                <w:szCs w:val="18"/>
              </w:rPr>
              <w:t>Produkcijas realizācija faktiskās cenās, milj. latu</w:t>
            </w:r>
          </w:p>
        </w:tc>
      </w:tr>
      <w:tr w:rsidR="001737BE" w:rsidTr="00726024">
        <w:tc>
          <w:tcPr>
            <w:tcW w:w="1632" w:type="pct"/>
            <w:vAlign w:val="bottom"/>
          </w:tcPr>
          <w:p w:rsidR="001737BE" w:rsidRDefault="001737BE" w:rsidP="00726024">
            <w:pPr>
              <w:ind w:left="-142" w:right="-193"/>
              <w:jc w:val="center"/>
            </w:pPr>
            <w:r w:rsidRPr="00ED5018">
              <w:rPr>
                <w:noProof/>
              </w:rPr>
              <w:drawing>
                <wp:inline distT="0" distB="0" distL="0" distR="0">
                  <wp:extent cx="2078182" cy="1728000"/>
                  <wp:effectExtent l="0" t="0" r="0" b="0"/>
                  <wp:docPr id="29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1632" w:type="pct"/>
            <w:vAlign w:val="bottom"/>
          </w:tcPr>
          <w:p w:rsidR="001737BE" w:rsidRDefault="001737BE" w:rsidP="00726024">
            <w:pPr>
              <w:ind w:left="-142" w:right="-193"/>
              <w:jc w:val="center"/>
            </w:pPr>
            <w:r w:rsidRPr="002C706C">
              <w:rPr>
                <w:noProof/>
              </w:rPr>
              <w:drawing>
                <wp:inline distT="0" distB="0" distL="0" distR="0">
                  <wp:extent cx="2078181" cy="1728000"/>
                  <wp:effectExtent l="0" t="0" r="0" b="0"/>
                  <wp:docPr id="29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1736" w:type="pct"/>
            <w:vAlign w:val="bottom"/>
          </w:tcPr>
          <w:p w:rsidR="001737BE" w:rsidRDefault="001737BE" w:rsidP="00726024">
            <w:pPr>
              <w:ind w:left="-142" w:right="-193"/>
              <w:jc w:val="center"/>
            </w:pPr>
            <w:r w:rsidRPr="00522BE0">
              <w:rPr>
                <w:noProof/>
              </w:rPr>
              <w:drawing>
                <wp:inline distT="0" distB="0" distL="0" distR="0">
                  <wp:extent cx="2161309" cy="1728000"/>
                  <wp:effectExtent l="0" t="0" r="0" b="0"/>
                  <wp:docPr id="29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1737BE" w:rsidRPr="00F32283" w:rsidTr="00726024">
        <w:tc>
          <w:tcPr>
            <w:tcW w:w="1632" w:type="pct"/>
            <w:vAlign w:val="bottom"/>
          </w:tcPr>
          <w:p w:rsidR="001737BE" w:rsidRPr="00F32283" w:rsidRDefault="001737BE"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1737BE" w:rsidRPr="00F32283" w:rsidRDefault="001737BE"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1737BE" w:rsidRPr="00F32283" w:rsidRDefault="001737BE" w:rsidP="00726024">
            <w:pPr>
              <w:spacing w:before="40" w:after="40"/>
              <w:ind w:left="142"/>
              <w:jc w:val="center"/>
              <w:rPr>
                <w:sz w:val="18"/>
                <w:szCs w:val="18"/>
              </w:rPr>
            </w:pPr>
          </w:p>
        </w:tc>
      </w:tr>
      <w:tr w:rsidR="001737BE" w:rsidTr="00726024">
        <w:tc>
          <w:tcPr>
            <w:tcW w:w="1632" w:type="pct"/>
            <w:vAlign w:val="bottom"/>
          </w:tcPr>
          <w:p w:rsidR="001737BE" w:rsidRDefault="001737BE" w:rsidP="00726024">
            <w:pPr>
              <w:ind w:left="-142" w:right="-192"/>
              <w:jc w:val="center"/>
            </w:pPr>
            <w:r w:rsidRPr="00372C02">
              <w:rPr>
                <w:noProof/>
              </w:rPr>
              <w:drawing>
                <wp:inline distT="0" distB="0" distL="0" distR="0">
                  <wp:extent cx="2078182" cy="1728000"/>
                  <wp:effectExtent l="0" t="0" r="0" b="0"/>
                  <wp:docPr id="29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1632" w:type="pct"/>
            <w:vAlign w:val="bottom"/>
          </w:tcPr>
          <w:p w:rsidR="001737BE" w:rsidRDefault="001737BE" w:rsidP="00726024">
            <w:pPr>
              <w:ind w:left="-142" w:right="-192"/>
              <w:jc w:val="center"/>
            </w:pPr>
            <w:r w:rsidRPr="00BB3A4B">
              <w:rPr>
                <w:noProof/>
              </w:rPr>
              <w:drawing>
                <wp:inline distT="0" distB="0" distL="0" distR="0">
                  <wp:extent cx="2082883" cy="1728000"/>
                  <wp:effectExtent l="19050" t="0" r="0" b="0"/>
                  <wp:docPr id="30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1736" w:type="pct"/>
            <w:vAlign w:val="bottom"/>
          </w:tcPr>
          <w:p w:rsidR="001737BE" w:rsidRDefault="001737BE" w:rsidP="00726024">
            <w:pPr>
              <w:ind w:left="-142" w:right="-192"/>
              <w:jc w:val="center"/>
            </w:pPr>
          </w:p>
        </w:tc>
      </w:tr>
    </w:tbl>
    <w:p w:rsidR="00B567BC" w:rsidRDefault="00B567BC">
      <w:pPr>
        <w:rPr>
          <w:rFonts w:eastAsiaTheme="majorEastAsia" w:cstheme="majorBidi"/>
          <w:bCs/>
          <w:color w:val="000000"/>
          <w:sz w:val="28"/>
          <w:szCs w:val="26"/>
        </w:rPr>
      </w:pPr>
      <w:r>
        <w:rPr>
          <w:b/>
          <w:color w:val="000000"/>
        </w:rPr>
        <w:br w:type="page"/>
      </w:r>
    </w:p>
    <w:p w:rsidR="00F158C6" w:rsidRDefault="00F158C6" w:rsidP="00F158C6">
      <w:pPr>
        <w:pStyle w:val="Heading2"/>
      </w:pPr>
      <w:bookmarkStart w:id="183" w:name="_Toc282413184"/>
      <w:r w:rsidRPr="00CD3CE6">
        <w:rPr>
          <w:b w:val="0"/>
          <w:color w:val="000000"/>
        </w:rPr>
        <w:lastRenderedPageBreak/>
        <w:t>2</w:t>
      </w:r>
      <w:r w:rsidRPr="00CD3CE6">
        <w:rPr>
          <w:b w:val="0"/>
        </w:rPr>
        <w:t>.1</w:t>
      </w:r>
      <w:r w:rsidR="00B10C02">
        <w:rPr>
          <w:b w:val="0"/>
        </w:rPr>
        <w:t>6</w:t>
      </w:r>
      <w:r w:rsidRPr="009F6E8E">
        <w:rPr>
          <w:b w:val="0"/>
        </w:rPr>
        <w:t xml:space="preserve">.attēls. </w:t>
      </w:r>
      <w:r w:rsidRPr="009F6E8E">
        <w:t>Nemetālisko minerālu izstrādājumu ražošanu raksturojoši rādītāji</w:t>
      </w:r>
      <w:bookmarkEnd w:id="176"/>
      <w:bookmarkEnd w:id="177"/>
      <w:bookmarkEnd w:id="178"/>
      <w:bookmarkEnd w:id="179"/>
      <w:bookmarkEnd w:id="180"/>
      <w:bookmarkEnd w:id="181"/>
      <w:bookmarkEnd w:id="182"/>
      <w:bookmarkEnd w:id="18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CE7359" w:rsidRPr="00F32283" w:rsidTr="00726024">
        <w:tc>
          <w:tcPr>
            <w:tcW w:w="1632" w:type="pct"/>
            <w:vAlign w:val="bottom"/>
          </w:tcPr>
          <w:p w:rsidR="00CE7359" w:rsidRPr="00F32283" w:rsidRDefault="00CE7359" w:rsidP="00726024">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CE7359" w:rsidRPr="00F32283" w:rsidRDefault="00CE7359" w:rsidP="00726024">
            <w:pPr>
              <w:spacing w:before="120" w:after="40"/>
              <w:ind w:left="142"/>
              <w:jc w:val="center"/>
              <w:rPr>
                <w:sz w:val="18"/>
                <w:szCs w:val="18"/>
              </w:rPr>
            </w:pPr>
            <w:r w:rsidRPr="00F32283">
              <w:rPr>
                <w:sz w:val="18"/>
                <w:szCs w:val="18"/>
              </w:rPr>
              <w:t>Produkcijas fiziskā apjoma indekss,</w:t>
            </w:r>
            <w:r w:rsidR="0063749E">
              <w:rPr>
                <w:sz w:val="18"/>
                <w:szCs w:val="18"/>
              </w:rPr>
              <w:t xml:space="preserve"> sezonāli izlīdzināti dati, 2007 XII</w:t>
            </w:r>
            <w:r w:rsidRPr="00F32283">
              <w:rPr>
                <w:sz w:val="18"/>
                <w:szCs w:val="18"/>
              </w:rPr>
              <w:t>=100</w:t>
            </w:r>
          </w:p>
        </w:tc>
        <w:tc>
          <w:tcPr>
            <w:tcW w:w="1736" w:type="pct"/>
            <w:vAlign w:val="bottom"/>
          </w:tcPr>
          <w:p w:rsidR="00CE7359" w:rsidRPr="00F32283" w:rsidRDefault="00CE7359" w:rsidP="00726024">
            <w:pPr>
              <w:spacing w:before="120" w:after="40"/>
              <w:ind w:left="142"/>
              <w:jc w:val="center"/>
              <w:rPr>
                <w:sz w:val="18"/>
                <w:szCs w:val="18"/>
              </w:rPr>
            </w:pPr>
            <w:r w:rsidRPr="00F32283">
              <w:rPr>
                <w:sz w:val="18"/>
                <w:szCs w:val="18"/>
              </w:rPr>
              <w:t>Produkcijas realizācija faktiskās cenās, milj. latu</w:t>
            </w:r>
          </w:p>
        </w:tc>
      </w:tr>
      <w:tr w:rsidR="00CE7359" w:rsidTr="00726024">
        <w:tc>
          <w:tcPr>
            <w:tcW w:w="1632" w:type="pct"/>
            <w:vAlign w:val="bottom"/>
          </w:tcPr>
          <w:p w:rsidR="00CE7359" w:rsidRDefault="00CE7359" w:rsidP="00726024">
            <w:pPr>
              <w:ind w:left="-142" w:right="-193"/>
              <w:jc w:val="center"/>
            </w:pPr>
            <w:r w:rsidRPr="00ED5018">
              <w:rPr>
                <w:noProof/>
              </w:rPr>
              <w:drawing>
                <wp:inline distT="0" distB="0" distL="0" distR="0">
                  <wp:extent cx="2078182" cy="1728000"/>
                  <wp:effectExtent l="0" t="0" r="0" b="0"/>
                  <wp:docPr id="30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1632" w:type="pct"/>
            <w:vAlign w:val="bottom"/>
          </w:tcPr>
          <w:p w:rsidR="00CE7359" w:rsidRDefault="00CE7359" w:rsidP="00726024">
            <w:pPr>
              <w:ind w:left="-142" w:right="-193"/>
              <w:jc w:val="center"/>
            </w:pPr>
            <w:r w:rsidRPr="002C706C">
              <w:rPr>
                <w:noProof/>
              </w:rPr>
              <w:drawing>
                <wp:inline distT="0" distB="0" distL="0" distR="0">
                  <wp:extent cx="2078181" cy="1728000"/>
                  <wp:effectExtent l="0" t="0" r="0" b="0"/>
                  <wp:docPr id="30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1736" w:type="pct"/>
            <w:vAlign w:val="bottom"/>
          </w:tcPr>
          <w:p w:rsidR="00CE7359" w:rsidRDefault="00CE7359" w:rsidP="00726024">
            <w:pPr>
              <w:ind w:left="-142" w:right="-193"/>
              <w:jc w:val="center"/>
            </w:pPr>
            <w:r w:rsidRPr="00522BE0">
              <w:rPr>
                <w:noProof/>
              </w:rPr>
              <w:drawing>
                <wp:inline distT="0" distB="0" distL="0" distR="0">
                  <wp:extent cx="2161309" cy="1728000"/>
                  <wp:effectExtent l="0" t="0" r="0" b="0"/>
                  <wp:docPr id="30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CE7359" w:rsidRPr="00F32283" w:rsidTr="00726024">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CE7359" w:rsidRPr="00F32283" w:rsidRDefault="00CE7359" w:rsidP="00F44AB3">
            <w:pPr>
              <w:spacing w:before="40" w:after="40"/>
              <w:ind w:left="142"/>
              <w:jc w:val="center"/>
              <w:rPr>
                <w:sz w:val="18"/>
                <w:szCs w:val="18"/>
              </w:rPr>
            </w:pPr>
          </w:p>
        </w:tc>
      </w:tr>
      <w:tr w:rsidR="00CE7359" w:rsidTr="00726024">
        <w:tc>
          <w:tcPr>
            <w:tcW w:w="1632" w:type="pct"/>
            <w:vAlign w:val="bottom"/>
          </w:tcPr>
          <w:p w:rsidR="00CE7359" w:rsidRDefault="00CE7359" w:rsidP="00726024">
            <w:pPr>
              <w:ind w:left="-142" w:right="-192"/>
              <w:jc w:val="center"/>
            </w:pPr>
            <w:r w:rsidRPr="00372C02">
              <w:rPr>
                <w:noProof/>
              </w:rPr>
              <w:drawing>
                <wp:inline distT="0" distB="0" distL="0" distR="0">
                  <wp:extent cx="2078182" cy="1728000"/>
                  <wp:effectExtent l="0" t="0" r="0" b="0"/>
                  <wp:docPr id="30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1632" w:type="pct"/>
            <w:vAlign w:val="bottom"/>
          </w:tcPr>
          <w:p w:rsidR="00CE7359" w:rsidRDefault="00CE7359" w:rsidP="00726024">
            <w:pPr>
              <w:ind w:left="-142" w:right="-192"/>
              <w:jc w:val="center"/>
            </w:pPr>
            <w:r w:rsidRPr="00BB3A4B">
              <w:rPr>
                <w:noProof/>
              </w:rPr>
              <w:drawing>
                <wp:inline distT="0" distB="0" distL="0" distR="0">
                  <wp:extent cx="2082883" cy="1728000"/>
                  <wp:effectExtent l="19050" t="0" r="0" b="0"/>
                  <wp:docPr id="30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1736" w:type="pct"/>
            <w:vAlign w:val="bottom"/>
          </w:tcPr>
          <w:p w:rsidR="00CE7359" w:rsidRDefault="00CE7359" w:rsidP="00726024">
            <w:pPr>
              <w:ind w:left="-142" w:right="-192"/>
              <w:jc w:val="center"/>
            </w:pPr>
          </w:p>
        </w:tc>
      </w:tr>
    </w:tbl>
    <w:p w:rsidR="005D4E6F" w:rsidRDefault="005D4E6F" w:rsidP="00F158C6">
      <w:pPr>
        <w:pStyle w:val="Heading2"/>
        <w:rPr>
          <w:b w:val="0"/>
        </w:rPr>
      </w:pPr>
    </w:p>
    <w:p w:rsidR="00F158C6" w:rsidRPr="009F6E8E" w:rsidRDefault="00F158C6" w:rsidP="00F158C6">
      <w:pPr>
        <w:pStyle w:val="Heading2"/>
      </w:pPr>
      <w:bookmarkStart w:id="184" w:name="_Toc282413185"/>
      <w:r>
        <w:rPr>
          <w:b w:val="0"/>
        </w:rPr>
        <w:t>2</w:t>
      </w:r>
      <w:r w:rsidRPr="009F6E8E">
        <w:rPr>
          <w:b w:val="0"/>
        </w:rPr>
        <w:t>.1</w:t>
      </w:r>
      <w:r w:rsidR="00B10C02">
        <w:rPr>
          <w:b w:val="0"/>
        </w:rPr>
        <w:t>7</w:t>
      </w:r>
      <w:r w:rsidRPr="009F6E8E">
        <w:rPr>
          <w:b w:val="0"/>
        </w:rPr>
        <w:t xml:space="preserve">.attēls. </w:t>
      </w:r>
      <w:r w:rsidRPr="009F6E8E">
        <w:t>Metāla un gatavo metāla izstrādājumu ražošanu raksturojoši rādītāji</w:t>
      </w:r>
      <w:bookmarkEnd w:id="18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CE7359" w:rsidRPr="00F32283" w:rsidTr="00726024">
        <w:tc>
          <w:tcPr>
            <w:tcW w:w="1632" w:type="pct"/>
            <w:vAlign w:val="bottom"/>
          </w:tcPr>
          <w:p w:rsidR="00CE7359" w:rsidRPr="00F32283" w:rsidRDefault="00CE7359" w:rsidP="00726024">
            <w:pPr>
              <w:spacing w:before="120" w:after="40"/>
              <w:ind w:left="142"/>
              <w:jc w:val="center"/>
              <w:rPr>
                <w:sz w:val="18"/>
                <w:szCs w:val="18"/>
              </w:rPr>
            </w:pPr>
            <w:bookmarkStart w:id="185" w:name="_Toc216077858"/>
            <w:bookmarkStart w:id="186" w:name="_Toc216079527"/>
            <w:bookmarkStart w:id="187" w:name="_Toc216079595"/>
            <w:bookmarkStart w:id="188" w:name="_Toc216079657"/>
            <w:bookmarkStart w:id="189" w:name="_Toc216079713"/>
            <w:bookmarkStart w:id="190" w:name="_Toc216079769"/>
            <w:bookmarkStart w:id="191" w:name="_Toc216079825"/>
            <w:r w:rsidRPr="00F32283">
              <w:rPr>
                <w:sz w:val="18"/>
                <w:szCs w:val="18"/>
              </w:rPr>
              <w:t>Produkcijas fiziskā apjoma indekss, sezonāli neizlīdzināti dati, 2005=100</w:t>
            </w:r>
          </w:p>
        </w:tc>
        <w:tc>
          <w:tcPr>
            <w:tcW w:w="1632" w:type="pct"/>
            <w:vAlign w:val="bottom"/>
          </w:tcPr>
          <w:p w:rsidR="00CE7359" w:rsidRPr="00F32283" w:rsidRDefault="00CE7359" w:rsidP="009900C5">
            <w:pPr>
              <w:spacing w:before="120" w:after="40"/>
              <w:ind w:left="142"/>
              <w:jc w:val="center"/>
              <w:rPr>
                <w:sz w:val="18"/>
                <w:szCs w:val="18"/>
              </w:rPr>
            </w:pPr>
            <w:r w:rsidRPr="00F32283">
              <w:rPr>
                <w:sz w:val="18"/>
                <w:szCs w:val="18"/>
              </w:rPr>
              <w:t>Produkcijas fiziskā apjoma indekss, sezonāli izlīdzināti dati, 200</w:t>
            </w:r>
            <w:r w:rsidR="009900C5">
              <w:rPr>
                <w:sz w:val="18"/>
                <w:szCs w:val="18"/>
              </w:rPr>
              <w:t>7 XII</w:t>
            </w:r>
            <w:r w:rsidRPr="00F32283">
              <w:rPr>
                <w:sz w:val="18"/>
                <w:szCs w:val="18"/>
              </w:rPr>
              <w:t>=100</w:t>
            </w:r>
          </w:p>
        </w:tc>
        <w:tc>
          <w:tcPr>
            <w:tcW w:w="1736" w:type="pct"/>
            <w:vAlign w:val="bottom"/>
          </w:tcPr>
          <w:p w:rsidR="00CE7359" w:rsidRPr="00F32283" w:rsidRDefault="00CE7359" w:rsidP="00726024">
            <w:pPr>
              <w:spacing w:before="120" w:after="40"/>
              <w:ind w:left="142"/>
              <w:jc w:val="center"/>
              <w:rPr>
                <w:sz w:val="18"/>
                <w:szCs w:val="18"/>
              </w:rPr>
            </w:pPr>
            <w:r w:rsidRPr="00F32283">
              <w:rPr>
                <w:sz w:val="18"/>
                <w:szCs w:val="18"/>
              </w:rPr>
              <w:t>Produkcijas realizācija faktiskās cenās, milj. latu</w:t>
            </w:r>
          </w:p>
        </w:tc>
      </w:tr>
      <w:tr w:rsidR="00CE7359" w:rsidTr="00726024">
        <w:tc>
          <w:tcPr>
            <w:tcW w:w="1632" w:type="pct"/>
            <w:vAlign w:val="bottom"/>
          </w:tcPr>
          <w:p w:rsidR="00CE7359" w:rsidRDefault="00CE7359" w:rsidP="00726024">
            <w:pPr>
              <w:ind w:left="-142" w:right="-193"/>
              <w:jc w:val="center"/>
            </w:pPr>
            <w:r w:rsidRPr="00ED5018">
              <w:rPr>
                <w:noProof/>
              </w:rPr>
              <w:drawing>
                <wp:inline distT="0" distB="0" distL="0" distR="0">
                  <wp:extent cx="2078182" cy="1728000"/>
                  <wp:effectExtent l="0" t="0" r="0" b="0"/>
                  <wp:docPr id="30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1632" w:type="pct"/>
            <w:vAlign w:val="bottom"/>
          </w:tcPr>
          <w:p w:rsidR="00CE7359" w:rsidRDefault="00CE7359" w:rsidP="00726024">
            <w:pPr>
              <w:ind w:left="-142" w:right="-193"/>
              <w:jc w:val="center"/>
            </w:pPr>
            <w:r w:rsidRPr="002C706C">
              <w:rPr>
                <w:noProof/>
              </w:rPr>
              <w:drawing>
                <wp:inline distT="0" distB="0" distL="0" distR="0">
                  <wp:extent cx="2078181" cy="1728000"/>
                  <wp:effectExtent l="0" t="0" r="0" b="0"/>
                  <wp:docPr id="30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1736" w:type="pct"/>
            <w:vAlign w:val="bottom"/>
          </w:tcPr>
          <w:p w:rsidR="00CE7359" w:rsidRDefault="00CE7359" w:rsidP="00726024">
            <w:pPr>
              <w:ind w:left="-142" w:right="-193"/>
              <w:jc w:val="center"/>
            </w:pPr>
            <w:r w:rsidRPr="00522BE0">
              <w:rPr>
                <w:noProof/>
              </w:rPr>
              <w:drawing>
                <wp:inline distT="0" distB="0" distL="0" distR="0">
                  <wp:extent cx="2161309" cy="1728000"/>
                  <wp:effectExtent l="0" t="0" r="0" b="0"/>
                  <wp:docPr id="31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CE7359" w:rsidRPr="00F32283" w:rsidTr="00726024">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CE7359" w:rsidRPr="00F32283" w:rsidRDefault="00CE7359" w:rsidP="00F44AB3">
            <w:pPr>
              <w:spacing w:before="40" w:after="40"/>
              <w:ind w:left="142"/>
              <w:jc w:val="center"/>
              <w:rPr>
                <w:sz w:val="18"/>
                <w:szCs w:val="18"/>
              </w:rPr>
            </w:pPr>
          </w:p>
        </w:tc>
      </w:tr>
      <w:tr w:rsidR="00CE7359" w:rsidTr="00726024">
        <w:tc>
          <w:tcPr>
            <w:tcW w:w="1632" w:type="pct"/>
            <w:vAlign w:val="bottom"/>
          </w:tcPr>
          <w:p w:rsidR="00CE7359" w:rsidRDefault="00CE7359" w:rsidP="00726024">
            <w:pPr>
              <w:ind w:left="-142" w:right="-192"/>
              <w:jc w:val="center"/>
            </w:pPr>
            <w:r w:rsidRPr="00372C02">
              <w:rPr>
                <w:noProof/>
              </w:rPr>
              <w:drawing>
                <wp:inline distT="0" distB="0" distL="0" distR="0">
                  <wp:extent cx="2078182" cy="1728000"/>
                  <wp:effectExtent l="0" t="0" r="0" b="0"/>
                  <wp:docPr id="31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1632" w:type="pct"/>
            <w:vAlign w:val="bottom"/>
          </w:tcPr>
          <w:p w:rsidR="00CE7359" w:rsidRDefault="00CE7359" w:rsidP="00726024">
            <w:pPr>
              <w:ind w:left="-142" w:right="-192"/>
              <w:jc w:val="center"/>
            </w:pPr>
            <w:r w:rsidRPr="00BB3A4B">
              <w:rPr>
                <w:noProof/>
              </w:rPr>
              <w:drawing>
                <wp:inline distT="0" distB="0" distL="0" distR="0">
                  <wp:extent cx="2082883" cy="1728000"/>
                  <wp:effectExtent l="19050" t="0" r="0" b="0"/>
                  <wp:docPr id="31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1736" w:type="pct"/>
            <w:vAlign w:val="bottom"/>
          </w:tcPr>
          <w:p w:rsidR="00CE7359" w:rsidRDefault="00CE7359" w:rsidP="00726024">
            <w:pPr>
              <w:ind w:left="-142" w:right="-192"/>
              <w:jc w:val="center"/>
            </w:pPr>
          </w:p>
        </w:tc>
      </w:tr>
    </w:tbl>
    <w:p w:rsidR="00B567BC" w:rsidRDefault="00B567BC">
      <w:pPr>
        <w:rPr>
          <w:rFonts w:eastAsiaTheme="majorEastAsia" w:cstheme="majorBidi"/>
          <w:bCs/>
          <w:sz w:val="28"/>
          <w:szCs w:val="26"/>
        </w:rPr>
      </w:pPr>
      <w:r>
        <w:rPr>
          <w:b/>
        </w:rPr>
        <w:br w:type="page"/>
      </w:r>
    </w:p>
    <w:p w:rsidR="00F158C6" w:rsidRDefault="00F158C6" w:rsidP="00F158C6">
      <w:pPr>
        <w:pStyle w:val="Heading2"/>
      </w:pPr>
      <w:bookmarkStart w:id="192" w:name="_Toc282413186"/>
      <w:r>
        <w:rPr>
          <w:b w:val="0"/>
        </w:rPr>
        <w:lastRenderedPageBreak/>
        <w:t>2</w:t>
      </w:r>
      <w:r w:rsidRPr="009F6E8E">
        <w:rPr>
          <w:b w:val="0"/>
        </w:rPr>
        <w:t>.</w:t>
      </w:r>
      <w:r>
        <w:rPr>
          <w:b w:val="0"/>
        </w:rPr>
        <w:t>1</w:t>
      </w:r>
      <w:r w:rsidR="00B10C02">
        <w:rPr>
          <w:b w:val="0"/>
        </w:rPr>
        <w:t>8</w:t>
      </w:r>
      <w:r w:rsidRPr="009F6E8E">
        <w:rPr>
          <w:b w:val="0"/>
        </w:rPr>
        <w:t>.attēls.</w:t>
      </w:r>
      <w:r w:rsidRPr="009F6E8E">
        <w:t xml:space="preserve"> Elektrisko un optisko iekārtu ražošanu raksturojoši rādītāji</w:t>
      </w:r>
      <w:bookmarkEnd w:id="185"/>
      <w:bookmarkEnd w:id="186"/>
      <w:bookmarkEnd w:id="187"/>
      <w:bookmarkEnd w:id="188"/>
      <w:bookmarkEnd w:id="189"/>
      <w:bookmarkEnd w:id="190"/>
      <w:bookmarkEnd w:id="191"/>
      <w:bookmarkEnd w:id="19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F44AB3" w:rsidRPr="00F32283" w:rsidTr="00726024">
        <w:tc>
          <w:tcPr>
            <w:tcW w:w="1632" w:type="pct"/>
            <w:vAlign w:val="bottom"/>
          </w:tcPr>
          <w:p w:rsidR="00F44AB3" w:rsidRPr="00F32283" w:rsidRDefault="00F44AB3" w:rsidP="00726024">
            <w:pPr>
              <w:spacing w:before="120" w:after="40"/>
              <w:ind w:left="142"/>
              <w:jc w:val="center"/>
              <w:rPr>
                <w:sz w:val="18"/>
                <w:szCs w:val="18"/>
              </w:rPr>
            </w:pPr>
            <w:bookmarkStart w:id="193" w:name="_Toc216077857"/>
            <w:bookmarkStart w:id="194" w:name="_Toc216079526"/>
            <w:bookmarkStart w:id="195" w:name="_Toc216079594"/>
            <w:bookmarkStart w:id="196" w:name="_Toc216079656"/>
            <w:bookmarkStart w:id="197" w:name="_Toc216079712"/>
            <w:bookmarkStart w:id="198" w:name="_Toc216079768"/>
            <w:bookmarkStart w:id="199" w:name="_Toc216079824"/>
            <w:r w:rsidRPr="00F32283">
              <w:rPr>
                <w:sz w:val="18"/>
                <w:szCs w:val="18"/>
              </w:rPr>
              <w:t>Produkcijas fiziskā apjoma indekss, sezonāli neizlīdzināti dati, 2005=100</w:t>
            </w:r>
          </w:p>
        </w:tc>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w:t>
            </w:r>
            <w:r w:rsidR="0074181C">
              <w:rPr>
                <w:sz w:val="18"/>
                <w:szCs w:val="18"/>
              </w:rPr>
              <w:t xml:space="preserve"> sezonāli izlīdzināti dati, 2007 XII</w:t>
            </w:r>
            <w:r w:rsidRPr="00F32283">
              <w:rPr>
                <w:sz w:val="18"/>
                <w:szCs w:val="18"/>
              </w:rPr>
              <w:t>=100</w:t>
            </w:r>
          </w:p>
        </w:tc>
        <w:tc>
          <w:tcPr>
            <w:tcW w:w="1736" w:type="pct"/>
            <w:vAlign w:val="bottom"/>
          </w:tcPr>
          <w:p w:rsidR="00F44AB3" w:rsidRPr="00F32283" w:rsidRDefault="00F44AB3" w:rsidP="00726024">
            <w:pPr>
              <w:spacing w:before="120" w:after="40"/>
              <w:ind w:left="142"/>
              <w:jc w:val="center"/>
              <w:rPr>
                <w:sz w:val="18"/>
                <w:szCs w:val="18"/>
              </w:rPr>
            </w:pPr>
            <w:r w:rsidRPr="00F32283">
              <w:rPr>
                <w:sz w:val="18"/>
                <w:szCs w:val="18"/>
              </w:rPr>
              <w:t>Produkcijas realizācija faktiskās cenās, milj. latu</w:t>
            </w:r>
          </w:p>
        </w:tc>
      </w:tr>
      <w:tr w:rsidR="00F44AB3" w:rsidTr="00726024">
        <w:tc>
          <w:tcPr>
            <w:tcW w:w="1632" w:type="pct"/>
            <w:vAlign w:val="bottom"/>
          </w:tcPr>
          <w:p w:rsidR="00F44AB3" w:rsidRDefault="00F44AB3" w:rsidP="00726024">
            <w:pPr>
              <w:ind w:left="-142" w:right="-193"/>
              <w:jc w:val="center"/>
            </w:pPr>
            <w:r w:rsidRPr="00ED5018">
              <w:rPr>
                <w:noProof/>
              </w:rPr>
              <w:drawing>
                <wp:inline distT="0" distB="0" distL="0" distR="0">
                  <wp:extent cx="2078182" cy="1728000"/>
                  <wp:effectExtent l="0" t="0" r="0" b="0"/>
                  <wp:docPr id="31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1632" w:type="pct"/>
            <w:vAlign w:val="bottom"/>
          </w:tcPr>
          <w:p w:rsidR="00F44AB3" w:rsidRDefault="00F44AB3" w:rsidP="00726024">
            <w:pPr>
              <w:ind w:left="-142" w:right="-193"/>
              <w:jc w:val="center"/>
            </w:pPr>
            <w:r w:rsidRPr="002C706C">
              <w:rPr>
                <w:noProof/>
              </w:rPr>
              <w:drawing>
                <wp:inline distT="0" distB="0" distL="0" distR="0">
                  <wp:extent cx="2078181" cy="1728000"/>
                  <wp:effectExtent l="0" t="0" r="0" b="0"/>
                  <wp:docPr id="31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1736" w:type="pct"/>
            <w:vAlign w:val="bottom"/>
          </w:tcPr>
          <w:p w:rsidR="00F44AB3" w:rsidRDefault="00F44AB3" w:rsidP="00726024">
            <w:pPr>
              <w:ind w:left="-142" w:right="-193"/>
              <w:jc w:val="center"/>
            </w:pPr>
            <w:r w:rsidRPr="00522BE0">
              <w:rPr>
                <w:noProof/>
              </w:rPr>
              <w:drawing>
                <wp:inline distT="0" distB="0" distL="0" distR="0">
                  <wp:extent cx="2161309" cy="1728000"/>
                  <wp:effectExtent l="0" t="0" r="0" b="0"/>
                  <wp:docPr id="3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F44AB3" w:rsidRPr="00F32283" w:rsidTr="00726024">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F44AB3" w:rsidRPr="00F32283" w:rsidRDefault="00F44AB3" w:rsidP="00726024">
            <w:pPr>
              <w:spacing w:before="40" w:after="40"/>
              <w:ind w:left="142"/>
              <w:jc w:val="center"/>
              <w:rPr>
                <w:sz w:val="18"/>
                <w:szCs w:val="18"/>
              </w:rPr>
            </w:pPr>
          </w:p>
        </w:tc>
      </w:tr>
      <w:tr w:rsidR="00F44AB3" w:rsidTr="00726024">
        <w:tc>
          <w:tcPr>
            <w:tcW w:w="1632" w:type="pct"/>
            <w:vAlign w:val="bottom"/>
          </w:tcPr>
          <w:p w:rsidR="00F44AB3" w:rsidRDefault="00F44AB3" w:rsidP="00726024">
            <w:pPr>
              <w:ind w:left="-142" w:right="-192"/>
              <w:jc w:val="center"/>
            </w:pPr>
            <w:r w:rsidRPr="00372C02">
              <w:rPr>
                <w:noProof/>
              </w:rPr>
              <w:drawing>
                <wp:inline distT="0" distB="0" distL="0" distR="0">
                  <wp:extent cx="2078182" cy="1728000"/>
                  <wp:effectExtent l="0" t="0" r="0" b="0"/>
                  <wp:docPr id="31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1632" w:type="pct"/>
            <w:vAlign w:val="bottom"/>
          </w:tcPr>
          <w:p w:rsidR="00F44AB3" w:rsidRDefault="00F44AB3" w:rsidP="00726024">
            <w:pPr>
              <w:ind w:left="-142" w:right="-192"/>
              <w:jc w:val="center"/>
            </w:pPr>
            <w:r w:rsidRPr="00BB3A4B">
              <w:rPr>
                <w:noProof/>
              </w:rPr>
              <w:drawing>
                <wp:inline distT="0" distB="0" distL="0" distR="0">
                  <wp:extent cx="2082883" cy="1728000"/>
                  <wp:effectExtent l="19050" t="0" r="0" b="0"/>
                  <wp:docPr id="31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1736" w:type="pct"/>
            <w:vAlign w:val="bottom"/>
          </w:tcPr>
          <w:p w:rsidR="00F44AB3" w:rsidRDefault="00F44AB3" w:rsidP="00726024">
            <w:pPr>
              <w:ind w:left="-142" w:right="-192"/>
              <w:jc w:val="center"/>
            </w:pPr>
          </w:p>
        </w:tc>
      </w:tr>
    </w:tbl>
    <w:p w:rsidR="005D4E6F" w:rsidRDefault="005D4E6F" w:rsidP="00BE41C7">
      <w:pPr>
        <w:pStyle w:val="Heading2"/>
        <w:rPr>
          <w:b w:val="0"/>
        </w:rPr>
      </w:pPr>
    </w:p>
    <w:p w:rsidR="00BE41C7" w:rsidRPr="009F6E8E" w:rsidRDefault="00CD3CE6" w:rsidP="00BE41C7">
      <w:pPr>
        <w:pStyle w:val="Heading2"/>
      </w:pPr>
      <w:bookmarkStart w:id="200" w:name="_Toc282413187"/>
      <w:r>
        <w:rPr>
          <w:b w:val="0"/>
        </w:rPr>
        <w:t>2</w:t>
      </w:r>
      <w:r w:rsidR="00BE41C7" w:rsidRPr="009F6E8E">
        <w:rPr>
          <w:b w:val="0"/>
        </w:rPr>
        <w:t>.</w:t>
      </w:r>
      <w:r w:rsidR="00B10C02">
        <w:rPr>
          <w:b w:val="0"/>
        </w:rPr>
        <w:t>19</w:t>
      </w:r>
      <w:r w:rsidR="00BE41C7" w:rsidRPr="009F6E8E">
        <w:rPr>
          <w:b w:val="0"/>
        </w:rPr>
        <w:t>.attēls.</w:t>
      </w:r>
      <w:r w:rsidR="00BE41C7" w:rsidRPr="009F6E8E">
        <w:t xml:space="preserve"> Mašīnu un iekārtu ražošanu raksturojoši rādītāji</w:t>
      </w:r>
      <w:bookmarkEnd w:id="193"/>
      <w:bookmarkEnd w:id="194"/>
      <w:bookmarkEnd w:id="195"/>
      <w:bookmarkEnd w:id="196"/>
      <w:bookmarkEnd w:id="197"/>
      <w:bookmarkEnd w:id="198"/>
      <w:bookmarkEnd w:id="199"/>
      <w:bookmarkEnd w:id="20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F44AB3" w:rsidRPr="00F32283" w:rsidTr="00726024">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 sezonāli izlīdzināti dati, 2005=100</w:t>
            </w:r>
          </w:p>
        </w:tc>
        <w:tc>
          <w:tcPr>
            <w:tcW w:w="1736" w:type="pct"/>
            <w:vAlign w:val="bottom"/>
          </w:tcPr>
          <w:p w:rsidR="00F44AB3" w:rsidRPr="00F32283" w:rsidRDefault="00F44AB3" w:rsidP="00726024">
            <w:pPr>
              <w:spacing w:before="120" w:after="40"/>
              <w:ind w:left="142"/>
              <w:jc w:val="center"/>
              <w:rPr>
                <w:sz w:val="18"/>
                <w:szCs w:val="18"/>
              </w:rPr>
            </w:pPr>
            <w:r w:rsidRPr="00F32283">
              <w:rPr>
                <w:sz w:val="18"/>
                <w:szCs w:val="18"/>
              </w:rPr>
              <w:t>Produkcijas realizācija faktiskās cenās, milj. latu</w:t>
            </w:r>
          </w:p>
        </w:tc>
      </w:tr>
      <w:tr w:rsidR="00F44AB3" w:rsidTr="00726024">
        <w:tc>
          <w:tcPr>
            <w:tcW w:w="1632" w:type="pct"/>
            <w:vAlign w:val="bottom"/>
          </w:tcPr>
          <w:p w:rsidR="00F44AB3" w:rsidRDefault="00F44AB3" w:rsidP="00726024">
            <w:pPr>
              <w:ind w:left="-142" w:right="-193"/>
              <w:jc w:val="center"/>
            </w:pPr>
            <w:r w:rsidRPr="00ED5018">
              <w:rPr>
                <w:noProof/>
              </w:rPr>
              <w:drawing>
                <wp:inline distT="0" distB="0" distL="0" distR="0">
                  <wp:extent cx="2078182" cy="1728000"/>
                  <wp:effectExtent l="0" t="0" r="0" b="0"/>
                  <wp:docPr id="9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1632" w:type="pct"/>
            <w:vAlign w:val="bottom"/>
          </w:tcPr>
          <w:p w:rsidR="00F44AB3" w:rsidRDefault="00F44AB3" w:rsidP="00726024">
            <w:pPr>
              <w:ind w:left="-142" w:right="-193"/>
              <w:jc w:val="center"/>
            </w:pPr>
            <w:r w:rsidRPr="002C706C">
              <w:rPr>
                <w:noProof/>
              </w:rPr>
              <w:drawing>
                <wp:inline distT="0" distB="0" distL="0" distR="0">
                  <wp:extent cx="2078181" cy="1728000"/>
                  <wp:effectExtent l="0" t="0" r="0" b="0"/>
                  <wp:docPr id="9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1736" w:type="pct"/>
            <w:vAlign w:val="bottom"/>
          </w:tcPr>
          <w:p w:rsidR="00F44AB3" w:rsidRDefault="00F44AB3" w:rsidP="00726024">
            <w:pPr>
              <w:ind w:left="-142" w:right="-193"/>
              <w:jc w:val="center"/>
            </w:pPr>
            <w:r w:rsidRPr="00522BE0">
              <w:rPr>
                <w:noProof/>
              </w:rPr>
              <w:drawing>
                <wp:inline distT="0" distB="0" distL="0" distR="0">
                  <wp:extent cx="2161309" cy="1728000"/>
                  <wp:effectExtent l="0" t="0" r="0" b="0"/>
                  <wp:docPr id="9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F44AB3" w:rsidRPr="00F32283" w:rsidTr="00726024">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F44AB3" w:rsidRPr="00F32283" w:rsidRDefault="00F44AB3" w:rsidP="00726024">
            <w:pPr>
              <w:spacing w:before="40" w:after="40"/>
              <w:ind w:left="142"/>
              <w:jc w:val="center"/>
              <w:rPr>
                <w:sz w:val="18"/>
                <w:szCs w:val="18"/>
              </w:rPr>
            </w:pPr>
          </w:p>
        </w:tc>
      </w:tr>
      <w:tr w:rsidR="00F44AB3" w:rsidTr="00726024">
        <w:tc>
          <w:tcPr>
            <w:tcW w:w="1632" w:type="pct"/>
            <w:vAlign w:val="bottom"/>
          </w:tcPr>
          <w:p w:rsidR="00F44AB3" w:rsidRDefault="00F44AB3" w:rsidP="00726024">
            <w:pPr>
              <w:ind w:left="-142" w:right="-192"/>
              <w:jc w:val="center"/>
            </w:pPr>
            <w:r w:rsidRPr="00372C02">
              <w:rPr>
                <w:noProof/>
              </w:rPr>
              <w:drawing>
                <wp:inline distT="0" distB="0" distL="0" distR="0">
                  <wp:extent cx="2078182" cy="1728000"/>
                  <wp:effectExtent l="0" t="0" r="0" b="0"/>
                  <wp:docPr id="9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1632" w:type="pct"/>
            <w:vAlign w:val="bottom"/>
          </w:tcPr>
          <w:p w:rsidR="00F44AB3" w:rsidRDefault="00F44AB3" w:rsidP="00726024">
            <w:pPr>
              <w:ind w:left="-142" w:right="-192"/>
              <w:jc w:val="center"/>
            </w:pPr>
            <w:r w:rsidRPr="00BB3A4B">
              <w:rPr>
                <w:noProof/>
              </w:rPr>
              <w:drawing>
                <wp:inline distT="0" distB="0" distL="0" distR="0">
                  <wp:extent cx="2082883" cy="1728000"/>
                  <wp:effectExtent l="19050" t="0" r="0" b="0"/>
                  <wp:docPr id="12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1736" w:type="pct"/>
            <w:vAlign w:val="bottom"/>
          </w:tcPr>
          <w:p w:rsidR="00F44AB3" w:rsidRDefault="00F44AB3" w:rsidP="00726024">
            <w:pPr>
              <w:ind w:left="-142" w:right="-192"/>
              <w:jc w:val="center"/>
            </w:pPr>
          </w:p>
        </w:tc>
      </w:tr>
    </w:tbl>
    <w:p w:rsidR="00E36D71" w:rsidRPr="009F6E8E" w:rsidRDefault="00E36D71" w:rsidP="00BE41C7">
      <w:pPr>
        <w:jc w:val="center"/>
        <w:rPr>
          <w:b/>
          <w:sz w:val="16"/>
        </w:rPr>
      </w:pPr>
    </w:p>
    <w:p w:rsidR="00BE41C7" w:rsidRPr="009F6E8E" w:rsidRDefault="00CD3CE6" w:rsidP="00BE41C7">
      <w:pPr>
        <w:pStyle w:val="Heading2"/>
      </w:pPr>
      <w:bookmarkStart w:id="201" w:name="_Toc216077859"/>
      <w:bookmarkStart w:id="202" w:name="_Toc216079528"/>
      <w:bookmarkStart w:id="203" w:name="_Toc216079596"/>
      <w:bookmarkStart w:id="204" w:name="_Toc216079658"/>
      <w:bookmarkStart w:id="205" w:name="_Toc216079714"/>
      <w:bookmarkStart w:id="206" w:name="_Toc216079770"/>
      <w:bookmarkStart w:id="207" w:name="_Toc216079826"/>
      <w:bookmarkStart w:id="208" w:name="_Toc282413188"/>
      <w:r>
        <w:rPr>
          <w:b w:val="0"/>
        </w:rPr>
        <w:lastRenderedPageBreak/>
        <w:t>2</w:t>
      </w:r>
      <w:r w:rsidR="00BE41C7" w:rsidRPr="009F6E8E">
        <w:rPr>
          <w:b w:val="0"/>
        </w:rPr>
        <w:t>.2</w:t>
      </w:r>
      <w:r w:rsidR="00B10C02">
        <w:rPr>
          <w:b w:val="0"/>
        </w:rPr>
        <w:t>0</w:t>
      </w:r>
      <w:r w:rsidR="00BE41C7" w:rsidRPr="009F6E8E">
        <w:rPr>
          <w:b w:val="0"/>
        </w:rPr>
        <w:t>.attēls.</w:t>
      </w:r>
      <w:r w:rsidR="00BE41C7" w:rsidRPr="009F6E8E">
        <w:t xml:space="preserve"> Transporta līdzekļu ražošanu raksturojoši rādītāji</w:t>
      </w:r>
      <w:bookmarkEnd w:id="201"/>
      <w:bookmarkEnd w:id="202"/>
      <w:bookmarkEnd w:id="203"/>
      <w:bookmarkEnd w:id="204"/>
      <w:bookmarkEnd w:id="205"/>
      <w:bookmarkEnd w:id="206"/>
      <w:bookmarkEnd w:id="207"/>
      <w:bookmarkEnd w:id="20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F44AB3" w:rsidRPr="00F32283" w:rsidTr="00726024">
        <w:tc>
          <w:tcPr>
            <w:tcW w:w="1632" w:type="pct"/>
            <w:vAlign w:val="bottom"/>
          </w:tcPr>
          <w:p w:rsidR="00F44AB3" w:rsidRPr="00F32283" w:rsidRDefault="00F44AB3" w:rsidP="00726024">
            <w:pPr>
              <w:spacing w:before="120" w:after="40"/>
              <w:ind w:left="142"/>
              <w:jc w:val="center"/>
              <w:rPr>
                <w:sz w:val="18"/>
                <w:szCs w:val="18"/>
              </w:rPr>
            </w:pPr>
            <w:bookmarkStart w:id="209" w:name="_Toc215389344"/>
            <w:bookmarkStart w:id="210" w:name="_Toc216077860"/>
            <w:bookmarkStart w:id="211" w:name="_Toc216079529"/>
            <w:bookmarkStart w:id="212" w:name="_Toc216079597"/>
            <w:bookmarkStart w:id="213" w:name="_Toc216079659"/>
            <w:bookmarkStart w:id="214" w:name="_Toc216079715"/>
            <w:bookmarkStart w:id="215" w:name="_Toc216079771"/>
            <w:bookmarkStart w:id="216" w:name="_Toc216079827"/>
            <w:r w:rsidRPr="00F32283">
              <w:rPr>
                <w:sz w:val="18"/>
                <w:szCs w:val="18"/>
              </w:rPr>
              <w:t>Produkcijas fiziskā apjoma indekss, sezonāli neizlīdzināti dati, 2005=100</w:t>
            </w:r>
          </w:p>
        </w:tc>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w:t>
            </w:r>
            <w:r w:rsidR="0074181C">
              <w:rPr>
                <w:sz w:val="18"/>
                <w:szCs w:val="18"/>
              </w:rPr>
              <w:t xml:space="preserve"> sezonāli izlīdzināti dati, 2007 XII</w:t>
            </w:r>
            <w:r w:rsidRPr="00F32283">
              <w:rPr>
                <w:sz w:val="18"/>
                <w:szCs w:val="18"/>
              </w:rPr>
              <w:t>=100</w:t>
            </w:r>
          </w:p>
        </w:tc>
        <w:tc>
          <w:tcPr>
            <w:tcW w:w="1736" w:type="pct"/>
            <w:vAlign w:val="bottom"/>
          </w:tcPr>
          <w:p w:rsidR="00F44AB3" w:rsidRPr="00F32283" w:rsidRDefault="00F44AB3" w:rsidP="00726024">
            <w:pPr>
              <w:spacing w:before="120" w:after="40"/>
              <w:ind w:left="142"/>
              <w:jc w:val="center"/>
              <w:rPr>
                <w:sz w:val="18"/>
                <w:szCs w:val="18"/>
              </w:rPr>
            </w:pPr>
            <w:r w:rsidRPr="00F32283">
              <w:rPr>
                <w:sz w:val="18"/>
                <w:szCs w:val="18"/>
              </w:rPr>
              <w:t>Produkcijas realizācija faktiskās cenās, milj. latu</w:t>
            </w:r>
          </w:p>
        </w:tc>
      </w:tr>
      <w:tr w:rsidR="00F44AB3" w:rsidTr="00726024">
        <w:tc>
          <w:tcPr>
            <w:tcW w:w="1632" w:type="pct"/>
            <w:vAlign w:val="bottom"/>
          </w:tcPr>
          <w:p w:rsidR="00F44AB3" w:rsidRDefault="00F44AB3" w:rsidP="00726024">
            <w:pPr>
              <w:ind w:left="-142" w:right="-193"/>
              <w:jc w:val="center"/>
            </w:pPr>
            <w:r w:rsidRPr="00ED5018">
              <w:rPr>
                <w:noProof/>
              </w:rPr>
              <w:drawing>
                <wp:inline distT="0" distB="0" distL="0" distR="0">
                  <wp:extent cx="2078182" cy="1728000"/>
                  <wp:effectExtent l="0" t="0" r="0" b="0"/>
                  <wp:docPr id="32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1632" w:type="pct"/>
            <w:vAlign w:val="bottom"/>
          </w:tcPr>
          <w:p w:rsidR="00F44AB3" w:rsidRDefault="00F44AB3" w:rsidP="00726024">
            <w:pPr>
              <w:ind w:left="-142" w:right="-193"/>
              <w:jc w:val="center"/>
            </w:pPr>
            <w:r w:rsidRPr="002C706C">
              <w:rPr>
                <w:noProof/>
              </w:rPr>
              <w:drawing>
                <wp:inline distT="0" distB="0" distL="0" distR="0">
                  <wp:extent cx="2078181" cy="1728000"/>
                  <wp:effectExtent l="0" t="0" r="0" b="0"/>
                  <wp:docPr id="32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1736" w:type="pct"/>
            <w:vAlign w:val="bottom"/>
          </w:tcPr>
          <w:p w:rsidR="00F44AB3" w:rsidRDefault="00F44AB3" w:rsidP="00726024">
            <w:pPr>
              <w:ind w:left="-142" w:right="-193"/>
              <w:jc w:val="center"/>
            </w:pPr>
            <w:r w:rsidRPr="00522BE0">
              <w:rPr>
                <w:noProof/>
              </w:rPr>
              <w:drawing>
                <wp:inline distT="0" distB="0" distL="0" distR="0">
                  <wp:extent cx="2161309" cy="1728000"/>
                  <wp:effectExtent l="0" t="0" r="0" b="0"/>
                  <wp:docPr id="32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F44AB3" w:rsidRPr="00F32283" w:rsidTr="00726024">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F44AB3" w:rsidRPr="00F32283" w:rsidRDefault="00F44AB3" w:rsidP="00726024">
            <w:pPr>
              <w:spacing w:before="40" w:after="40"/>
              <w:ind w:left="142"/>
              <w:jc w:val="center"/>
              <w:rPr>
                <w:sz w:val="18"/>
                <w:szCs w:val="18"/>
              </w:rPr>
            </w:pPr>
          </w:p>
        </w:tc>
      </w:tr>
      <w:tr w:rsidR="00F44AB3" w:rsidTr="00726024">
        <w:tc>
          <w:tcPr>
            <w:tcW w:w="1632" w:type="pct"/>
            <w:vAlign w:val="bottom"/>
          </w:tcPr>
          <w:p w:rsidR="00F44AB3" w:rsidRDefault="00F44AB3" w:rsidP="00726024">
            <w:pPr>
              <w:ind w:left="-142" w:right="-192"/>
              <w:jc w:val="center"/>
            </w:pPr>
            <w:r w:rsidRPr="00372C02">
              <w:rPr>
                <w:noProof/>
              </w:rPr>
              <w:drawing>
                <wp:inline distT="0" distB="0" distL="0" distR="0">
                  <wp:extent cx="2078182" cy="1728000"/>
                  <wp:effectExtent l="19050" t="0" r="0" b="0"/>
                  <wp:docPr id="32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1632" w:type="pct"/>
            <w:vAlign w:val="bottom"/>
          </w:tcPr>
          <w:p w:rsidR="00F44AB3" w:rsidRDefault="00F44AB3" w:rsidP="00726024">
            <w:pPr>
              <w:ind w:left="-142" w:right="-192"/>
              <w:jc w:val="center"/>
            </w:pPr>
            <w:r w:rsidRPr="00BB3A4B">
              <w:rPr>
                <w:noProof/>
              </w:rPr>
              <w:drawing>
                <wp:inline distT="0" distB="0" distL="0" distR="0">
                  <wp:extent cx="2082883" cy="1728000"/>
                  <wp:effectExtent l="19050" t="0" r="0" b="0"/>
                  <wp:docPr id="32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1736" w:type="pct"/>
            <w:vAlign w:val="bottom"/>
          </w:tcPr>
          <w:p w:rsidR="00F44AB3" w:rsidRDefault="00F44AB3" w:rsidP="00726024">
            <w:pPr>
              <w:ind w:left="-142" w:right="-192"/>
              <w:jc w:val="center"/>
            </w:pPr>
          </w:p>
        </w:tc>
      </w:tr>
    </w:tbl>
    <w:p w:rsidR="005D4E6F" w:rsidRDefault="005D4E6F">
      <w:pPr>
        <w:rPr>
          <w:rFonts w:eastAsiaTheme="majorEastAsia" w:cstheme="majorBidi"/>
          <w:b/>
          <w:bCs/>
          <w:sz w:val="32"/>
        </w:rPr>
      </w:pPr>
      <w:r>
        <w:br w:type="page"/>
      </w:r>
    </w:p>
    <w:p w:rsidR="00BE41C7" w:rsidRPr="009F6E8E" w:rsidRDefault="00CD3CE6" w:rsidP="00BE41C7">
      <w:pPr>
        <w:pStyle w:val="Heading1"/>
      </w:pPr>
      <w:bookmarkStart w:id="217" w:name="_Toc274580547"/>
      <w:bookmarkStart w:id="218" w:name="_Toc282413189"/>
      <w:r>
        <w:lastRenderedPageBreak/>
        <w:t>3</w:t>
      </w:r>
      <w:r w:rsidR="00BE41C7" w:rsidRPr="009F6E8E">
        <w:t xml:space="preserve">. </w:t>
      </w:r>
      <w:bookmarkEnd w:id="209"/>
      <w:r w:rsidR="00BE41C7" w:rsidRPr="009F6E8E">
        <w:t>Pieprasījums</w:t>
      </w:r>
      <w:bookmarkEnd w:id="210"/>
      <w:bookmarkEnd w:id="211"/>
      <w:bookmarkEnd w:id="212"/>
      <w:bookmarkEnd w:id="213"/>
      <w:bookmarkEnd w:id="214"/>
      <w:bookmarkEnd w:id="215"/>
      <w:bookmarkEnd w:id="216"/>
      <w:bookmarkEnd w:id="217"/>
      <w:bookmarkEnd w:id="218"/>
    </w:p>
    <w:p w:rsidR="00BE41C7" w:rsidRDefault="00BE41C7" w:rsidP="00BE41C7">
      <w:pPr>
        <w:ind w:right="283" w:firstLine="567"/>
        <w:jc w:val="both"/>
        <w:rPr>
          <w:sz w:val="28"/>
        </w:rPr>
      </w:pPr>
    </w:p>
    <w:p w:rsidR="007377A4" w:rsidRDefault="007377A4" w:rsidP="007377A4">
      <w:pPr>
        <w:ind w:firstLine="425"/>
        <w:jc w:val="both"/>
        <w:rPr>
          <w:sz w:val="28"/>
        </w:rPr>
      </w:pPr>
      <w:bookmarkStart w:id="219" w:name="_Toc216077861"/>
      <w:bookmarkStart w:id="220" w:name="_Toc216079530"/>
      <w:bookmarkStart w:id="221" w:name="_Toc216079598"/>
      <w:bookmarkStart w:id="222" w:name="_Toc216079660"/>
      <w:bookmarkStart w:id="223" w:name="_Toc216079716"/>
      <w:bookmarkStart w:id="224" w:name="_Toc216079772"/>
      <w:bookmarkStart w:id="225" w:name="_Toc216079828"/>
      <w:r>
        <w:rPr>
          <w:sz w:val="28"/>
        </w:rPr>
        <w:t xml:space="preserve">Pēdējos ceturkšņos pakāpeniski palielinās </w:t>
      </w:r>
      <w:r w:rsidRPr="002B3DE5">
        <w:rPr>
          <w:b/>
          <w:sz w:val="28"/>
        </w:rPr>
        <w:t>iekšzemes pieprasījums</w:t>
      </w:r>
      <w:r>
        <w:rPr>
          <w:sz w:val="28"/>
        </w:rPr>
        <w:t xml:space="preserve"> – </w:t>
      </w:r>
      <w:r>
        <w:rPr>
          <w:rFonts w:eastAsia="Times New Roman"/>
          <w:sz w:val="28"/>
          <w:lang w:eastAsia="lv-LV"/>
        </w:rPr>
        <w:t>2010.gada 4.ceturksnī, salīdzinot ar iepriekšējo ceturksni,</w:t>
      </w:r>
      <w:r w:rsidRPr="00F4769C">
        <w:rPr>
          <w:rFonts w:eastAsia="Times New Roman"/>
          <w:sz w:val="28"/>
          <w:lang w:eastAsia="lv-LV"/>
        </w:rPr>
        <w:t xml:space="preserve"> </w:t>
      </w:r>
      <w:r>
        <w:rPr>
          <w:sz w:val="28"/>
        </w:rPr>
        <w:t>– par 0,9% (pēc sezonāli izlīdzinātiem datiem)</w:t>
      </w:r>
      <w:r w:rsidR="00EC623F">
        <w:rPr>
          <w:sz w:val="28"/>
        </w:rPr>
        <w:t>. Salīdzinot ar zemāko iekšzemes pieprasījuma līmeni krīzes laikā (2009.gada 4.ceturksni), tas ir palielinājies par 4%.</w:t>
      </w:r>
      <w:r>
        <w:rPr>
          <w:sz w:val="28"/>
        </w:rPr>
        <w:t xml:space="preserve"> </w:t>
      </w:r>
      <w:r w:rsidR="00EC623F">
        <w:rPr>
          <w:sz w:val="28"/>
        </w:rPr>
        <w:t>I</w:t>
      </w:r>
      <w:r>
        <w:rPr>
          <w:sz w:val="28"/>
        </w:rPr>
        <w:t xml:space="preserve">ekšzemes pieprasījuma pieaugumu </w:t>
      </w:r>
      <w:r w:rsidR="00EC623F">
        <w:rPr>
          <w:sz w:val="28"/>
        </w:rPr>
        <w:t xml:space="preserve">2010.gadā </w:t>
      </w:r>
      <w:r>
        <w:rPr>
          <w:sz w:val="28"/>
        </w:rPr>
        <w:t>pamatā noteica būtisks krājumu apjomu kāpums, kas ir raksturīgi ekonomikai pēckrīzes periodā. Citu iekšzemes pi</w:t>
      </w:r>
      <w:r w:rsidR="00EC623F">
        <w:rPr>
          <w:sz w:val="28"/>
        </w:rPr>
        <w:t>eprasījuma komponenšu dinamika bija mērenāka</w:t>
      </w:r>
      <w:r>
        <w:rPr>
          <w:sz w:val="28"/>
        </w:rPr>
        <w:t>.</w:t>
      </w:r>
    </w:p>
    <w:p w:rsidR="007377A4" w:rsidRDefault="00EC623F" w:rsidP="007377A4">
      <w:pPr>
        <w:ind w:firstLine="425"/>
        <w:jc w:val="both"/>
        <w:rPr>
          <w:sz w:val="28"/>
        </w:rPr>
      </w:pPr>
      <w:r>
        <w:rPr>
          <w:sz w:val="28"/>
        </w:rPr>
        <w:t xml:space="preserve">2010.gadā stabilizējās </w:t>
      </w:r>
      <w:r w:rsidR="007377A4" w:rsidRPr="007D7C4D">
        <w:rPr>
          <w:sz w:val="28"/>
        </w:rPr>
        <w:t>privātais patēriņš, par ko liecina mazumtirdzniecības apgrozījuma dinamika. Privāto patēriņu pozitīvi ietekmē pakāpenisk</w:t>
      </w:r>
      <w:r>
        <w:rPr>
          <w:sz w:val="28"/>
        </w:rPr>
        <w:t>a</w:t>
      </w:r>
      <w:r w:rsidR="007377A4" w:rsidRPr="007D7C4D">
        <w:rPr>
          <w:sz w:val="28"/>
        </w:rPr>
        <w:t xml:space="preserve"> situācijas uzlabošanās darba tirgū –</w:t>
      </w:r>
      <w:r w:rsidR="00990A28">
        <w:rPr>
          <w:sz w:val="28"/>
        </w:rPr>
        <w:t xml:space="preserve"> </w:t>
      </w:r>
      <w:r>
        <w:rPr>
          <w:sz w:val="28"/>
        </w:rPr>
        <w:t>pieaug nodarbinātība</w:t>
      </w:r>
      <w:r w:rsidR="007377A4" w:rsidRPr="007D7C4D">
        <w:rPr>
          <w:sz w:val="28"/>
        </w:rPr>
        <w:t xml:space="preserve"> un darba samaksa vairs nesamazinās.</w:t>
      </w:r>
      <w:r w:rsidR="007377A4">
        <w:rPr>
          <w:sz w:val="28"/>
        </w:rPr>
        <w:t xml:space="preserve"> Privātais patēriņš 2010.gada 4.ceturksnī, </w:t>
      </w:r>
      <w:r w:rsidR="007377A4">
        <w:rPr>
          <w:rFonts w:eastAsia="Times New Roman"/>
          <w:sz w:val="28"/>
          <w:lang w:eastAsia="lv-LV"/>
        </w:rPr>
        <w:t>salīdzinot ar iepriekšējo ceturksni,</w:t>
      </w:r>
      <w:r w:rsidR="007377A4" w:rsidRPr="00F4769C">
        <w:rPr>
          <w:rFonts w:eastAsia="Times New Roman"/>
          <w:sz w:val="28"/>
          <w:lang w:eastAsia="lv-LV"/>
        </w:rPr>
        <w:t xml:space="preserve"> </w:t>
      </w:r>
      <w:r w:rsidR="007377A4">
        <w:rPr>
          <w:rFonts w:eastAsia="Times New Roman"/>
          <w:sz w:val="28"/>
          <w:lang w:eastAsia="lv-LV"/>
        </w:rPr>
        <w:t>pieauga par 1,7</w:t>
      </w:r>
      <w:r w:rsidR="007377A4">
        <w:rPr>
          <w:sz w:val="28"/>
        </w:rPr>
        <w:t>% (pēc sezonāli izlīdzinātiem datiem)</w:t>
      </w:r>
      <w:r>
        <w:rPr>
          <w:sz w:val="28"/>
        </w:rPr>
        <w:t>. S</w:t>
      </w:r>
      <w:r w:rsidR="007377A4">
        <w:rPr>
          <w:sz w:val="28"/>
        </w:rPr>
        <w:t xml:space="preserve">alīdzinot ar </w:t>
      </w:r>
      <w:r>
        <w:rPr>
          <w:sz w:val="28"/>
        </w:rPr>
        <w:t xml:space="preserve">2009.gada 4.ceturksni, </w:t>
      </w:r>
      <w:r w:rsidR="007377A4">
        <w:rPr>
          <w:sz w:val="28"/>
        </w:rPr>
        <w:t>privātais patēriņš palielinājās par 5,2</w:t>
      </w:r>
      <w:r>
        <w:rPr>
          <w:sz w:val="28"/>
        </w:rPr>
        <w:t xml:space="preserve"> procentiem</w:t>
      </w:r>
      <w:r w:rsidR="007377A4">
        <w:rPr>
          <w:sz w:val="28"/>
        </w:rPr>
        <w:t xml:space="preserve">. </w:t>
      </w:r>
    </w:p>
    <w:p w:rsidR="007377A4" w:rsidRDefault="007377A4" w:rsidP="007377A4">
      <w:pPr>
        <w:ind w:firstLine="425"/>
        <w:jc w:val="both"/>
        <w:rPr>
          <w:sz w:val="28"/>
        </w:rPr>
      </w:pPr>
      <w:r w:rsidRPr="00D618C3">
        <w:rPr>
          <w:sz w:val="28"/>
        </w:rPr>
        <w:t>Sabiedriskais patēriņš 2010.gada 4.ceturksnī turpināja sarukt un bija par 9,4% zemākā līmenī nekā pirms gada. Sabiedriskā patēriņa dinamika ir cieši saistīta ar budžeta konsolidācijas pasākumu īstenošanu.</w:t>
      </w:r>
      <w:r>
        <w:rPr>
          <w:sz w:val="28"/>
        </w:rPr>
        <w:t xml:space="preserve"> </w:t>
      </w:r>
    </w:p>
    <w:p w:rsidR="007377A4" w:rsidRPr="00327AF6" w:rsidRDefault="007377A4" w:rsidP="007377A4">
      <w:pPr>
        <w:ind w:firstLine="425"/>
        <w:jc w:val="both"/>
        <w:rPr>
          <w:sz w:val="28"/>
        </w:rPr>
      </w:pPr>
      <w:r>
        <w:rPr>
          <w:sz w:val="28"/>
        </w:rPr>
        <w:t>I</w:t>
      </w:r>
      <w:r w:rsidRPr="007D7C4D">
        <w:rPr>
          <w:sz w:val="28"/>
        </w:rPr>
        <w:t>nvestīciju aktivitātes aizvadītajā gadā bija ļoti zemā līmenī un to atjaunošanās norit lēni. 2010.gadā investīcijas Latvijas tautsaimniecībā bija par gandrīz 20% mazākas nekā 2009.gadā</w:t>
      </w:r>
      <w:r>
        <w:rPr>
          <w:sz w:val="28"/>
        </w:rPr>
        <w:t>.</w:t>
      </w:r>
      <w:r w:rsidRPr="007D7C4D">
        <w:rPr>
          <w:sz w:val="28"/>
        </w:rPr>
        <w:t xml:space="preserve"> </w:t>
      </w:r>
      <w:r w:rsidRPr="00D618C3">
        <w:rPr>
          <w:sz w:val="28"/>
        </w:rPr>
        <w:t>Sevišķi zemas ir investīcijas pamatlīdzekļos, kas šajā laik</w:t>
      </w:r>
      <w:r w:rsidR="00990A28">
        <w:rPr>
          <w:sz w:val="28"/>
        </w:rPr>
        <w:t xml:space="preserve">ā </w:t>
      </w:r>
      <w:r w:rsidRPr="00D618C3">
        <w:rPr>
          <w:sz w:val="28"/>
        </w:rPr>
        <w:t>ir samazinājušās uz pusi. Investīciju pieaugumu kavē ierobežoti uzņēmumu finanšu līdzekļi un piesardzīgā banku kreditēšanas politika.</w:t>
      </w:r>
      <w:r>
        <w:rPr>
          <w:sz w:val="28"/>
        </w:rPr>
        <w:t xml:space="preserve"> Lai gan 2010.gada otrajā pusē b</w:t>
      </w:r>
      <w:r w:rsidRPr="00662EF3">
        <w:rPr>
          <w:sz w:val="28"/>
        </w:rPr>
        <w:t>ruto pamatkapitāla veidošana</w:t>
      </w:r>
      <w:r>
        <w:rPr>
          <w:sz w:val="28"/>
        </w:rPr>
        <w:t xml:space="preserve"> palielinājās (3.ceturksnī – par 6,3%, 4.ceturksnī – par 0,1</w:t>
      </w:r>
      <w:r w:rsidR="00990A28">
        <w:rPr>
          <w:sz w:val="28"/>
        </w:rPr>
        <w:t>%,</w:t>
      </w:r>
      <w:r w:rsidR="00990A28" w:rsidRPr="00990A28">
        <w:rPr>
          <w:sz w:val="28"/>
        </w:rPr>
        <w:t xml:space="preserve"> </w:t>
      </w:r>
      <w:r w:rsidR="00990A28">
        <w:rPr>
          <w:sz w:val="28"/>
        </w:rPr>
        <w:t>salīdzinot ar iepriekšējo ceturksni pēc sezonāli izlīdzinātiem datiem</w:t>
      </w:r>
      <w:r>
        <w:rPr>
          <w:sz w:val="28"/>
        </w:rPr>
        <w:t xml:space="preserve">), tomēr šis pieaugums nekompensēja gada pirmajos ceturkšņos piedzīvoto investīciju apjomu mazināšanos un 2010.gada 4.ceturksnī tie saglabājās </w:t>
      </w:r>
      <w:r w:rsidRPr="004A533A">
        <w:rPr>
          <w:sz w:val="28"/>
        </w:rPr>
        <w:t>2009.gada 3.cetu</w:t>
      </w:r>
      <w:r w:rsidR="00EC623F">
        <w:rPr>
          <w:sz w:val="28"/>
        </w:rPr>
        <w:t>r</w:t>
      </w:r>
      <w:r w:rsidRPr="004A533A">
        <w:rPr>
          <w:sz w:val="28"/>
        </w:rPr>
        <w:t>k</w:t>
      </w:r>
      <w:r w:rsidR="00EC623F">
        <w:rPr>
          <w:sz w:val="28"/>
        </w:rPr>
        <w:t>š</w:t>
      </w:r>
      <w:r w:rsidRPr="004A533A">
        <w:rPr>
          <w:sz w:val="28"/>
        </w:rPr>
        <w:t>ņa līmenī.</w:t>
      </w:r>
    </w:p>
    <w:p w:rsidR="009B4B86" w:rsidRPr="009B4B86" w:rsidRDefault="009B4B86" w:rsidP="007377A4">
      <w:pPr>
        <w:ind w:firstLine="425"/>
        <w:jc w:val="both"/>
        <w:rPr>
          <w:sz w:val="12"/>
          <w:szCs w:val="12"/>
        </w:rPr>
      </w:pPr>
    </w:p>
    <w:p w:rsidR="007377A4" w:rsidRPr="00137EE6" w:rsidRDefault="007377A4" w:rsidP="007377A4">
      <w:pPr>
        <w:ind w:firstLine="425"/>
        <w:jc w:val="both"/>
        <w:rPr>
          <w:sz w:val="28"/>
        </w:rPr>
      </w:pPr>
      <w:r>
        <w:rPr>
          <w:sz w:val="28"/>
        </w:rPr>
        <w:t xml:space="preserve">Jau kopš </w:t>
      </w:r>
      <w:r w:rsidRPr="00137EE6">
        <w:rPr>
          <w:sz w:val="28"/>
        </w:rPr>
        <w:t>2009.gad</w:t>
      </w:r>
      <w:r>
        <w:rPr>
          <w:sz w:val="28"/>
        </w:rPr>
        <w:t xml:space="preserve">a vidus, pakāpeniski uzlabojoties ekonomiskajai situācijai vairumā mūsu galveno tirdzniecības partnervalstu, palielinās </w:t>
      </w:r>
      <w:r>
        <w:rPr>
          <w:b/>
          <w:sz w:val="28"/>
        </w:rPr>
        <w:t>ārējais</w:t>
      </w:r>
      <w:r w:rsidRPr="00890554">
        <w:rPr>
          <w:b/>
          <w:sz w:val="28"/>
        </w:rPr>
        <w:t xml:space="preserve"> pieprasījums</w:t>
      </w:r>
      <w:r>
        <w:rPr>
          <w:b/>
          <w:sz w:val="28"/>
        </w:rPr>
        <w:t xml:space="preserve"> </w:t>
      </w:r>
      <w:r>
        <w:rPr>
          <w:sz w:val="28"/>
        </w:rPr>
        <w:t xml:space="preserve">(skat. arī 4.nodaļu). </w:t>
      </w:r>
      <w:r w:rsidRPr="0016375E">
        <w:rPr>
          <w:sz w:val="28"/>
        </w:rPr>
        <w:t>2010. gadā eksporta pieauguma temp</w:t>
      </w:r>
      <w:r>
        <w:rPr>
          <w:sz w:val="28"/>
        </w:rPr>
        <w:t xml:space="preserve">i bija diezgan ievērojami un </w:t>
      </w:r>
      <w:r w:rsidR="00076B42">
        <w:rPr>
          <w:sz w:val="28"/>
        </w:rPr>
        <w:t>gada otrajā pusē jau</w:t>
      </w:r>
      <w:r w:rsidRPr="0016375E">
        <w:rPr>
          <w:sz w:val="28"/>
        </w:rPr>
        <w:t xml:space="preserve"> pārsniedza pirmskrīzes līmeni.</w:t>
      </w:r>
      <w:r>
        <w:rPr>
          <w:sz w:val="28"/>
        </w:rPr>
        <w:t xml:space="preserve"> 2010.gada 4.ceturksnī, salīdzinot ar iepriekšējo ceturksni, eksporta apjomi salīdzināmās cenās pieauga par 3,8% (</w:t>
      </w:r>
      <w:r w:rsidRPr="00327AF6">
        <w:rPr>
          <w:sz w:val="28"/>
        </w:rPr>
        <w:t>pēc</w:t>
      </w:r>
      <w:r>
        <w:rPr>
          <w:sz w:val="28"/>
        </w:rPr>
        <w:t xml:space="preserve"> sezonāli izlīdzinātiem datiem), bet, salīdzinot ar 2009.gada atbilstošo periodu, eksporta apjomi ir auguši par 13,8 procentiem.</w:t>
      </w:r>
    </w:p>
    <w:p w:rsidR="007377A4" w:rsidRPr="00EE5144" w:rsidRDefault="007377A4" w:rsidP="007377A4">
      <w:pPr>
        <w:ind w:firstLine="425"/>
        <w:jc w:val="both"/>
        <w:rPr>
          <w:sz w:val="28"/>
        </w:rPr>
      </w:pPr>
      <w:r>
        <w:rPr>
          <w:sz w:val="28"/>
        </w:rPr>
        <w:t>E</w:t>
      </w:r>
      <w:r w:rsidRPr="0016375E">
        <w:rPr>
          <w:sz w:val="28"/>
        </w:rPr>
        <w:t xml:space="preserve">ksportam ir </w:t>
      </w:r>
      <w:r>
        <w:rPr>
          <w:sz w:val="28"/>
        </w:rPr>
        <w:t>ļoti</w:t>
      </w:r>
      <w:r w:rsidRPr="0016375E">
        <w:rPr>
          <w:sz w:val="28"/>
        </w:rPr>
        <w:t xml:space="preserve"> liela loma Latvijas tautsaimniecības atveseļošanās procesā</w:t>
      </w:r>
      <w:r>
        <w:rPr>
          <w:sz w:val="28"/>
        </w:rPr>
        <w:t xml:space="preserve">, pie tam </w:t>
      </w:r>
      <w:r w:rsidRPr="00EE5144">
        <w:rPr>
          <w:sz w:val="28"/>
        </w:rPr>
        <w:t xml:space="preserve">eksporta pieaugumu nosaka ne tikai situācijas uzlabošanās ārvalstu tirgos un pieprasījuma pieaugums, bet arī </w:t>
      </w:r>
      <w:r>
        <w:rPr>
          <w:sz w:val="28"/>
        </w:rPr>
        <w:t>Latvijas ražotāju</w:t>
      </w:r>
      <w:r w:rsidRPr="00EE5144">
        <w:rPr>
          <w:sz w:val="28"/>
        </w:rPr>
        <w:t xml:space="preserve"> preču konkurētspējas palielināšanās.</w:t>
      </w:r>
    </w:p>
    <w:p w:rsidR="007377A4" w:rsidRDefault="007377A4" w:rsidP="007377A4">
      <w:pPr>
        <w:ind w:firstLine="425"/>
        <w:jc w:val="both"/>
        <w:rPr>
          <w:sz w:val="28"/>
        </w:rPr>
      </w:pPr>
      <w:r>
        <w:rPr>
          <w:sz w:val="28"/>
        </w:rPr>
        <w:t xml:space="preserve">Gan </w:t>
      </w:r>
      <w:r w:rsidR="00076B42">
        <w:rPr>
          <w:sz w:val="28"/>
        </w:rPr>
        <w:t>eksporta apjomu palielināšanās</w:t>
      </w:r>
      <w:r w:rsidR="00076B42" w:rsidRPr="00577004">
        <w:rPr>
          <w:sz w:val="28"/>
        </w:rPr>
        <w:t xml:space="preserve"> </w:t>
      </w:r>
      <w:r w:rsidR="00076B42">
        <w:rPr>
          <w:sz w:val="28"/>
        </w:rPr>
        <w:t>(</w:t>
      </w:r>
      <w:r w:rsidR="00076B42" w:rsidRPr="00EE5144">
        <w:rPr>
          <w:sz w:val="28"/>
        </w:rPr>
        <w:t>starppatēriņa preču pie</w:t>
      </w:r>
      <w:r w:rsidR="00076B42">
        <w:rPr>
          <w:sz w:val="28"/>
        </w:rPr>
        <w:t xml:space="preserve">prasījuma pieaugums apstrādes rūpniecībā), gan situācijas stabilizēšanās </w:t>
      </w:r>
      <w:r>
        <w:rPr>
          <w:sz w:val="28"/>
        </w:rPr>
        <w:t>iekš</w:t>
      </w:r>
      <w:r w:rsidR="00076B42">
        <w:rPr>
          <w:sz w:val="28"/>
        </w:rPr>
        <w:t xml:space="preserve">ējā tirgū </w:t>
      </w:r>
      <w:r>
        <w:rPr>
          <w:sz w:val="28"/>
        </w:rPr>
        <w:t xml:space="preserve">(privātā patēriņa palielinājums, </w:t>
      </w:r>
      <w:r w:rsidRPr="00EE5144">
        <w:rPr>
          <w:sz w:val="28"/>
        </w:rPr>
        <w:t>krājumu atjaunošana</w:t>
      </w:r>
      <w:r w:rsidR="00076B42">
        <w:rPr>
          <w:sz w:val="28"/>
        </w:rPr>
        <w:t xml:space="preserve"> pēckrīzes periodā)</w:t>
      </w:r>
      <w:r>
        <w:rPr>
          <w:sz w:val="28"/>
        </w:rPr>
        <w:t xml:space="preserve"> veicina </w:t>
      </w:r>
      <w:r w:rsidRPr="00577004">
        <w:rPr>
          <w:b/>
          <w:sz w:val="28"/>
        </w:rPr>
        <w:t>importa</w:t>
      </w:r>
      <w:r>
        <w:rPr>
          <w:sz w:val="28"/>
        </w:rPr>
        <w:t xml:space="preserve"> pieaugumu.</w:t>
      </w:r>
      <w:r w:rsidR="00076B42">
        <w:rPr>
          <w:sz w:val="28"/>
        </w:rPr>
        <w:t xml:space="preserve"> </w:t>
      </w:r>
      <w:r>
        <w:rPr>
          <w:sz w:val="28"/>
        </w:rPr>
        <w:t xml:space="preserve">2010.gada 4.ceturksnī </w:t>
      </w:r>
      <w:r w:rsidRPr="0016375E">
        <w:rPr>
          <w:sz w:val="28"/>
        </w:rPr>
        <w:t>imports</w:t>
      </w:r>
      <w:r>
        <w:rPr>
          <w:sz w:val="28"/>
        </w:rPr>
        <w:t xml:space="preserve"> palielinājās tikai par 1%, salīdzinot ar 2010.gada 3.ceturksni </w:t>
      </w:r>
      <w:r w:rsidRPr="00327AF6">
        <w:rPr>
          <w:sz w:val="28"/>
        </w:rPr>
        <w:t>(pēc</w:t>
      </w:r>
      <w:r>
        <w:rPr>
          <w:sz w:val="28"/>
        </w:rPr>
        <w:t xml:space="preserve"> sezonāli izlīdzinātiem datiem), bet gada griezumā importa pieauguma tempi jau apsteidza eksporta pieauguma tempu (salīdzinot ar 2009.gada </w:t>
      </w:r>
      <w:r>
        <w:rPr>
          <w:sz w:val="28"/>
        </w:rPr>
        <w:lastRenderedPageBreak/>
        <w:t>4.ceturksni</w:t>
      </w:r>
      <w:r w:rsidR="009B4B86">
        <w:rPr>
          <w:sz w:val="28"/>
        </w:rPr>
        <w:t>,</w:t>
      </w:r>
      <w:r>
        <w:rPr>
          <w:sz w:val="28"/>
        </w:rPr>
        <w:t xml:space="preserve"> kāpums par 16,7%). Tomēr jāatzīmē, ka importa apjomi ievērojami atpaliek no pirmskrīzes līmeņa un </w:t>
      </w:r>
      <w:r w:rsidRPr="0016375E">
        <w:rPr>
          <w:sz w:val="28"/>
        </w:rPr>
        <w:t>Latvijas eksporta – importa bilance ir krietni uzlabojusies</w:t>
      </w:r>
      <w:r>
        <w:rPr>
          <w:sz w:val="28"/>
        </w:rPr>
        <w:t>.</w:t>
      </w:r>
      <w:r w:rsidRPr="0016375E">
        <w:rPr>
          <w:sz w:val="28"/>
        </w:rPr>
        <w:t xml:space="preserve"> </w:t>
      </w:r>
      <w:r w:rsidRPr="00D618C3">
        <w:rPr>
          <w:sz w:val="28"/>
        </w:rPr>
        <w:t xml:space="preserve">2010.gadā eksporta </w:t>
      </w:r>
      <w:r w:rsidR="009B4B86">
        <w:rPr>
          <w:sz w:val="28"/>
        </w:rPr>
        <w:t>-</w:t>
      </w:r>
      <w:r w:rsidRPr="00D618C3">
        <w:rPr>
          <w:sz w:val="28"/>
        </w:rPr>
        <w:t xml:space="preserve"> importa saldo bija -0,8% no IKP. Salīdzinājumam straujās izaugsmes gados eksporta </w:t>
      </w:r>
      <w:r w:rsidR="009B4B86">
        <w:rPr>
          <w:sz w:val="28"/>
        </w:rPr>
        <w:t>-</w:t>
      </w:r>
      <w:r w:rsidRPr="00D618C3">
        <w:rPr>
          <w:sz w:val="28"/>
        </w:rPr>
        <w:t xml:space="preserve"> importa bilances negatīvais saldo bija 20% līmenī no IKP.</w:t>
      </w:r>
    </w:p>
    <w:p w:rsidR="007377A4" w:rsidRPr="00076B42" w:rsidRDefault="007377A4" w:rsidP="007377A4">
      <w:pPr>
        <w:ind w:firstLine="425"/>
        <w:jc w:val="both"/>
        <w:rPr>
          <w:sz w:val="20"/>
        </w:rPr>
      </w:pPr>
    </w:p>
    <w:p w:rsidR="007377A4" w:rsidRPr="00850001" w:rsidRDefault="007377A4" w:rsidP="007377A4">
      <w:pPr>
        <w:ind w:firstLine="425"/>
        <w:jc w:val="both"/>
        <w:rPr>
          <w:sz w:val="28"/>
        </w:rPr>
      </w:pPr>
      <w:r>
        <w:rPr>
          <w:sz w:val="28"/>
        </w:rPr>
        <w:t>Nodaļas t</w:t>
      </w:r>
      <w:r w:rsidRPr="00850001">
        <w:rPr>
          <w:sz w:val="28"/>
        </w:rPr>
        <w:t>urp</w:t>
      </w:r>
      <w:r>
        <w:rPr>
          <w:sz w:val="28"/>
        </w:rPr>
        <w:t>inājum</w:t>
      </w:r>
      <w:r w:rsidRPr="00850001">
        <w:rPr>
          <w:sz w:val="28"/>
        </w:rPr>
        <w:t xml:space="preserve">ā ir </w:t>
      </w:r>
      <w:r>
        <w:rPr>
          <w:sz w:val="28"/>
        </w:rPr>
        <w:t xml:space="preserve">atspoguļota </w:t>
      </w:r>
      <w:r w:rsidRPr="00850001">
        <w:rPr>
          <w:sz w:val="28"/>
        </w:rPr>
        <w:t>statistiskā informācija par IKP komponentēm no izlietojuma puses, t.i., privātā un sabiedriskā patēriņa, bruto pamatkapitāla veidošanas, kā arī eksporta un importa dinamiku, struktūru un devumu iekšzemes kopproduktā.</w:t>
      </w:r>
    </w:p>
    <w:p w:rsidR="00006E30" w:rsidRDefault="00006E30" w:rsidP="00892396">
      <w:pPr>
        <w:spacing w:after="40"/>
        <w:ind w:firstLine="567"/>
        <w:jc w:val="both"/>
        <w:rPr>
          <w:rFonts w:eastAsiaTheme="majorEastAsia" w:cstheme="majorBidi"/>
          <w:bCs/>
          <w:sz w:val="28"/>
          <w:szCs w:val="26"/>
        </w:rPr>
      </w:pPr>
      <w:r>
        <w:rPr>
          <w:b/>
        </w:rPr>
        <w:br w:type="page"/>
      </w:r>
    </w:p>
    <w:p w:rsidR="00006E30" w:rsidRDefault="00006E30" w:rsidP="00BE41C7">
      <w:pPr>
        <w:pStyle w:val="Heading2"/>
        <w:rPr>
          <w:b w:val="0"/>
        </w:rPr>
      </w:pPr>
    </w:p>
    <w:p w:rsidR="00BE41C7" w:rsidRDefault="00CD3CE6" w:rsidP="00BE41C7">
      <w:pPr>
        <w:pStyle w:val="Heading2"/>
      </w:pPr>
      <w:bookmarkStart w:id="226" w:name="_Toc282413190"/>
      <w:r>
        <w:rPr>
          <w:b w:val="0"/>
        </w:rPr>
        <w:t>3</w:t>
      </w:r>
      <w:r w:rsidR="00BE41C7" w:rsidRPr="009F6E8E">
        <w:rPr>
          <w:b w:val="0"/>
        </w:rPr>
        <w:t>.1.tabula.</w:t>
      </w:r>
      <w:r w:rsidR="00BE41C7" w:rsidRPr="009F6E8E">
        <w:t xml:space="preserve"> IKP no izlietojuma puses</w:t>
      </w:r>
      <w:bookmarkEnd w:id="219"/>
      <w:bookmarkEnd w:id="220"/>
      <w:bookmarkEnd w:id="221"/>
      <w:bookmarkEnd w:id="222"/>
      <w:bookmarkEnd w:id="223"/>
      <w:bookmarkEnd w:id="224"/>
      <w:bookmarkEnd w:id="225"/>
      <w:bookmarkEnd w:id="226"/>
    </w:p>
    <w:p w:rsidR="00BE41C7" w:rsidRDefault="00BE41C7" w:rsidP="00BE41C7"/>
    <w:tbl>
      <w:tblPr>
        <w:tblStyle w:val="LightShading2"/>
        <w:tblW w:w="4874" w:type="pct"/>
        <w:tblLook w:val="04A0"/>
      </w:tblPr>
      <w:tblGrid>
        <w:gridCol w:w="1923"/>
        <w:gridCol w:w="712"/>
        <w:gridCol w:w="701"/>
        <w:gridCol w:w="702"/>
        <w:gridCol w:w="368"/>
        <w:gridCol w:w="648"/>
        <w:gridCol w:w="652"/>
        <w:gridCol w:w="652"/>
        <w:gridCol w:w="642"/>
        <w:gridCol w:w="648"/>
        <w:gridCol w:w="648"/>
        <w:gridCol w:w="663"/>
        <w:gridCol w:w="648"/>
      </w:tblGrid>
      <w:tr w:rsidR="00CF4038" w:rsidRPr="009E43F2" w:rsidTr="00076B42">
        <w:trPr>
          <w:cnfStyle w:val="100000000000"/>
        </w:trPr>
        <w:tc>
          <w:tcPr>
            <w:cnfStyle w:val="001000000000"/>
            <w:tcW w:w="4361" w:type="pct"/>
            <w:gridSpan w:val="11"/>
            <w:tcBorders>
              <w:top w:val="single" w:sz="8" w:space="0" w:color="0070C0"/>
              <w:bottom w:val="single" w:sz="8" w:space="0" w:color="0070C0"/>
            </w:tcBorders>
          </w:tcPr>
          <w:p w:rsidR="00CF4038" w:rsidRPr="00E75F96" w:rsidRDefault="00CF4038" w:rsidP="007377A4">
            <w:pPr>
              <w:pStyle w:val="ListParagraph"/>
              <w:spacing w:before="40" w:after="40"/>
              <w:ind w:left="0"/>
              <w:contextualSpacing w:val="0"/>
              <w:jc w:val="center"/>
              <w:rPr>
                <w:sz w:val="18"/>
                <w:szCs w:val="18"/>
              </w:rPr>
            </w:pPr>
            <w:r w:rsidRPr="00E75F96">
              <w:rPr>
                <w:color w:val="auto"/>
                <w:sz w:val="18"/>
                <w:szCs w:val="18"/>
              </w:rPr>
              <w:t xml:space="preserve">Pieauguma tempi, </w:t>
            </w:r>
            <w:r w:rsidRPr="00E75F96">
              <w:rPr>
                <w:b w:val="0"/>
                <w:color w:val="auto"/>
                <w:sz w:val="18"/>
                <w:szCs w:val="18"/>
              </w:rPr>
              <w:t>% pret iepriekšējā gada atbilstošo periodu</w:t>
            </w:r>
            <w:r>
              <w:rPr>
                <w:b w:val="0"/>
                <w:color w:val="auto"/>
                <w:sz w:val="18"/>
                <w:szCs w:val="18"/>
              </w:rPr>
              <w:t>, sezonāli neizlīdzināti dati</w:t>
            </w:r>
          </w:p>
        </w:tc>
        <w:tc>
          <w:tcPr>
            <w:tcW w:w="639" w:type="pct"/>
            <w:gridSpan w:val="2"/>
            <w:tcBorders>
              <w:top w:val="single" w:sz="8" w:space="0" w:color="0070C0"/>
              <w:bottom w:val="single" w:sz="8" w:space="0" w:color="0070C0"/>
            </w:tcBorders>
          </w:tcPr>
          <w:p w:rsidR="00CF4038" w:rsidRPr="00E75F96" w:rsidRDefault="00CF4038" w:rsidP="007377A4">
            <w:pPr>
              <w:pStyle w:val="ListParagraph"/>
              <w:spacing w:before="40" w:after="40"/>
              <w:ind w:left="0"/>
              <w:contextualSpacing w:val="0"/>
              <w:jc w:val="center"/>
              <w:cnfStyle w:val="100000000000"/>
              <w:rPr>
                <w:sz w:val="18"/>
                <w:szCs w:val="18"/>
              </w:rPr>
            </w:pPr>
          </w:p>
        </w:tc>
      </w:tr>
      <w:tr w:rsidR="007377A4" w:rsidRPr="009E43F2" w:rsidTr="00076B42">
        <w:trPr>
          <w:cnfStyle w:val="000000100000"/>
        </w:trPr>
        <w:tc>
          <w:tcPr>
            <w:cnfStyle w:val="001000000000"/>
            <w:tcW w:w="1006" w:type="pct"/>
            <w:tcBorders>
              <w:top w:val="single" w:sz="8" w:space="0" w:color="0070C0"/>
            </w:tcBorders>
          </w:tcPr>
          <w:p w:rsidR="007377A4" w:rsidRPr="009E43F2" w:rsidRDefault="007377A4" w:rsidP="007377A4">
            <w:pPr>
              <w:pStyle w:val="ListParagraph"/>
              <w:spacing w:before="40" w:after="40"/>
              <w:ind w:left="0"/>
              <w:contextualSpacing w:val="0"/>
              <w:jc w:val="center"/>
              <w:rPr>
                <w:b w:val="0"/>
                <w:color w:val="auto"/>
                <w:sz w:val="18"/>
              </w:rPr>
            </w:pPr>
          </w:p>
        </w:tc>
        <w:tc>
          <w:tcPr>
            <w:tcW w:w="376" w:type="pct"/>
            <w:tcBorders>
              <w:top w:val="single" w:sz="8" w:space="0" w:color="0070C0"/>
            </w:tcBorders>
          </w:tcPr>
          <w:p w:rsidR="007377A4" w:rsidRPr="009E43F2" w:rsidRDefault="007377A4" w:rsidP="007377A4">
            <w:pPr>
              <w:pStyle w:val="ListParagraph"/>
              <w:spacing w:before="40" w:after="40"/>
              <w:ind w:left="0"/>
              <w:contextualSpacing w:val="0"/>
              <w:jc w:val="center"/>
              <w:cnfStyle w:val="000000100000"/>
              <w:rPr>
                <w:bCs/>
                <w:sz w:val="18"/>
              </w:rPr>
            </w:pPr>
          </w:p>
        </w:tc>
        <w:tc>
          <w:tcPr>
            <w:tcW w:w="370" w:type="pct"/>
            <w:tcBorders>
              <w:top w:val="single" w:sz="8" w:space="0" w:color="0070C0"/>
            </w:tcBorders>
          </w:tcPr>
          <w:p w:rsidR="007377A4" w:rsidRPr="009E43F2" w:rsidRDefault="007377A4" w:rsidP="007377A4">
            <w:pPr>
              <w:pStyle w:val="ListParagraph"/>
              <w:spacing w:before="40" w:after="40"/>
              <w:ind w:left="0"/>
              <w:contextualSpacing w:val="0"/>
              <w:jc w:val="center"/>
              <w:cnfStyle w:val="000000100000"/>
              <w:rPr>
                <w:b/>
                <w:color w:val="auto"/>
                <w:sz w:val="18"/>
                <w:szCs w:val="20"/>
              </w:rPr>
            </w:pPr>
            <w:r w:rsidRPr="009E43F2">
              <w:rPr>
                <w:b/>
                <w:color w:val="auto"/>
                <w:sz w:val="18"/>
                <w:szCs w:val="20"/>
              </w:rPr>
              <w:t>2009</w:t>
            </w:r>
          </w:p>
        </w:tc>
        <w:tc>
          <w:tcPr>
            <w:tcW w:w="370" w:type="pct"/>
            <w:tcBorders>
              <w:top w:val="single" w:sz="8" w:space="0" w:color="0070C0"/>
            </w:tcBorders>
          </w:tcPr>
          <w:p w:rsidR="007377A4" w:rsidRPr="009E43F2" w:rsidRDefault="007377A4" w:rsidP="007377A4">
            <w:pPr>
              <w:pStyle w:val="ListParagraph"/>
              <w:spacing w:before="40" w:after="40"/>
              <w:ind w:left="0"/>
              <w:contextualSpacing w:val="0"/>
              <w:jc w:val="center"/>
              <w:cnfStyle w:val="000000100000"/>
              <w:rPr>
                <w:b/>
                <w:color w:val="auto"/>
                <w:sz w:val="18"/>
                <w:szCs w:val="20"/>
              </w:rPr>
            </w:pPr>
            <w:r w:rsidRPr="009E43F2">
              <w:rPr>
                <w:b/>
                <w:color w:val="auto"/>
                <w:sz w:val="18"/>
                <w:szCs w:val="20"/>
              </w:rPr>
              <w:t>20</w:t>
            </w:r>
            <w:r>
              <w:rPr>
                <w:b/>
                <w:color w:val="auto"/>
                <w:sz w:val="18"/>
                <w:szCs w:val="20"/>
              </w:rPr>
              <w:t>10</w:t>
            </w:r>
          </w:p>
        </w:tc>
        <w:tc>
          <w:tcPr>
            <w:tcW w:w="196" w:type="pct"/>
            <w:tcBorders>
              <w:top w:val="single" w:sz="8" w:space="0" w:color="0070C0"/>
            </w:tcBorders>
          </w:tcPr>
          <w:p w:rsidR="007377A4" w:rsidRPr="009E43F2" w:rsidRDefault="007377A4" w:rsidP="007377A4">
            <w:pPr>
              <w:pStyle w:val="ListParagraph"/>
              <w:spacing w:before="40" w:after="40"/>
              <w:ind w:left="0"/>
              <w:contextualSpacing w:val="0"/>
              <w:jc w:val="center"/>
              <w:cnfStyle w:val="000000100000"/>
              <w:rPr>
                <w:b/>
                <w:color w:val="auto"/>
                <w:sz w:val="18"/>
                <w:szCs w:val="20"/>
              </w:rPr>
            </w:pPr>
          </w:p>
        </w:tc>
        <w:tc>
          <w:tcPr>
            <w:tcW w:w="1369" w:type="pct"/>
            <w:gridSpan w:val="4"/>
            <w:tcBorders>
              <w:top w:val="single" w:sz="8" w:space="0" w:color="0070C0"/>
            </w:tcBorders>
          </w:tcPr>
          <w:p w:rsidR="007377A4" w:rsidRPr="009E43F2" w:rsidRDefault="007377A4" w:rsidP="007377A4">
            <w:pPr>
              <w:pStyle w:val="ListParagraph"/>
              <w:spacing w:before="40" w:after="40"/>
              <w:ind w:left="0"/>
              <w:contextualSpacing w:val="0"/>
              <w:cnfStyle w:val="000000100000"/>
              <w:rPr>
                <w:b/>
                <w:color w:val="auto"/>
                <w:sz w:val="18"/>
                <w:szCs w:val="20"/>
              </w:rPr>
            </w:pPr>
            <w:r w:rsidRPr="009E43F2">
              <w:rPr>
                <w:b/>
                <w:color w:val="auto"/>
                <w:sz w:val="18"/>
                <w:szCs w:val="20"/>
              </w:rPr>
              <w:t>2009</w:t>
            </w:r>
          </w:p>
        </w:tc>
        <w:tc>
          <w:tcPr>
            <w:tcW w:w="1024" w:type="pct"/>
            <w:gridSpan w:val="3"/>
            <w:tcBorders>
              <w:top w:val="single" w:sz="8" w:space="0" w:color="0070C0"/>
              <w:bottom w:val="nil"/>
            </w:tcBorders>
          </w:tcPr>
          <w:p w:rsidR="007377A4" w:rsidRPr="00726024" w:rsidRDefault="007377A4" w:rsidP="007377A4">
            <w:pPr>
              <w:pStyle w:val="ListParagraph"/>
              <w:spacing w:before="40" w:after="40"/>
              <w:ind w:left="0"/>
              <w:contextualSpacing w:val="0"/>
              <w:cnfStyle w:val="000000100000"/>
              <w:rPr>
                <w:b/>
                <w:sz w:val="18"/>
                <w:szCs w:val="20"/>
              </w:rPr>
            </w:pPr>
            <w:r w:rsidRPr="00726024">
              <w:rPr>
                <w:b/>
                <w:color w:val="auto"/>
                <w:sz w:val="18"/>
                <w:szCs w:val="20"/>
              </w:rPr>
              <w:t>2010</w:t>
            </w:r>
          </w:p>
        </w:tc>
        <w:tc>
          <w:tcPr>
            <w:tcW w:w="290" w:type="pct"/>
            <w:tcBorders>
              <w:top w:val="single" w:sz="8" w:space="0" w:color="0070C0"/>
            </w:tcBorders>
          </w:tcPr>
          <w:p w:rsidR="007377A4" w:rsidRPr="00726024" w:rsidRDefault="007377A4" w:rsidP="007377A4">
            <w:pPr>
              <w:pStyle w:val="ListParagraph"/>
              <w:spacing w:before="40" w:after="40"/>
              <w:ind w:left="0"/>
              <w:contextualSpacing w:val="0"/>
              <w:cnfStyle w:val="000000100000"/>
              <w:rPr>
                <w:b/>
                <w:sz w:val="18"/>
                <w:szCs w:val="20"/>
              </w:rPr>
            </w:pPr>
          </w:p>
        </w:tc>
      </w:tr>
      <w:tr w:rsidR="007377A4" w:rsidRPr="009E43F2" w:rsidTr="007377A4">
        <w:tc>
          <w:tcPr>
            <w:cnfStyle w:val="001000000000"/>
            <w:tcW w:w="1006" w:type="pct"/>
          </w:tcPr>
          <w:p w:rsidR="007377A4" w:rsidRPr="009E43F2" w:rsidRDefault="007377A4" w:rsidP="007377A4">
            <w:pPr>
              <w:pStyle w:val="ListParagraph"/>
              <w:spacing w:before="40" w:after="40"/>
              <w:ind w:left="0"/>
              <w:contextualSpacing w:val="0"/>
              <w:jc w:val="center"/>
              <w:rPr>
                <w:b w:val="0"/>
                <w:color w:val="auto"/>
                <w:sz w:val="18"/>
              </w:rPr>
            </w:pPr>
          </w:p>
        </w:tc>
        <w:tc>
          <w:tcPr>
            <w:tcW w:w="376" w:type="pct"/>
          </w:tcPr>
          <w:p w:rsidR="007377A4" w:rsidRPr="009E43F2" w:rsidRDefault="007377A4" w:rsidP="007377A4">
            <w:pPr>
              <w:pStyle w:val="ListParagraph"/>
              <w:spacing w:before="40" w:after="40"/>
              <w:ind w:left="0"/>
              <w:contextualSpacing w:val="0"/>
              <w:jc w:val="center"/>
              <w:cnfStyle w:val="000000000000"/>
              <w:rPr>
                <w:bCs/>
                <w:sz w:val="18"/>
              </w:rPr>
            </w:pPr>
          </w:p>
        </w:tc>
        <w:tc>
          <w:tcPr>
            <w:tcW w:w="370" w:type="pct"/>
          </w:tcPr>
          <w:p w:rsidR="007377A4" w:rsidRPr="009E43F2" w:rsidRDefault="007377A4" w:rsidP="007377A4">
            <w:pPr>
              <w:pStyle w:val="ListParagraph"/>
              <w:spacing w:before="40" w:after="40"/>
              <w:ind w:left="0"/>
              <w:contextualSpacing w:val="0"/>
              <w:jc w:val="center"/>
              <w:cnfStyle w:val="000000000000"/>
              <w:rPr>
                <w:b/>
                <w:color w:val="auto"/>
                <w:sz w:val="18"/>
                <w:szCs w:val="20"/>
              </w:rPr>
            </w:pPr>
          </w:p>
        </w:tc>
        <w:tc>
          <w:tcPr>
            <w:tcW w:w="370" w:type="pct"/>
          </w:tcPr>
          <w:p w:rsidR="007377A4" w:rsidRPr="009E43F2" w:rsidRDefault="007377A4" w:rsidP="007377A4">
            <w:pPr>
              <w:pStyle w:val="ListParagraph"/>
              <w:spacing w:before="40" w:after="40"/>
              <w:ind w:left="0"/>
              <w:contextualSpacing w:val="0"/>
              <w:jc w:val="center"/>
              <w:cnfStyle w:val="000000000000"/>
              <w:rPr>
                <w:b/>
                <w:color w:val="auto"/>
                <w:sz w:val="18"/>
                <w:szCs w:val="20"/>
              </w:rPr>
            </w:pPr>
          </w:p>
        </w:tc>
        <w:tc>
          <w:tcPr>
            <w:tcW w:w="196" w:type="pct"/>
          </w:tcPr>
          <w:p w:rsidR="007377A4" w:rsidRPr="009E43F2" w:rsidRDefault="007377A4" w:rsidP="007377A4">
            <w:pPr>
              <w:pStyle w:val="ListParagraph"/>
              <w:spacing w:before="40" w:after="40"/>
              <w:ind w:left="0"/>
              <w:contextualSpacing w:val="0"/>
              <w:jc w:val="center"/>
              <w:cnfStyle w:val="000000000000"/>
              <w:rPr>
                <w:b/>
                <w:color w:val="auto"/>
                <w:sz w:val="18"/>
                <w:szCs w:val="20"/>
              </w:rPr>
            </w:pPr>
          </w:p>
        </w:tc>
        <w:tc>
          <w:tcPr>
            <w:tcW w:w="342" w:type="pct"/>
          </w:tcPr>
          <w:p w:rsidR="007377A4" w:rsidRPr="009E43F2" w:rsidRDefault="007377A4" w:rsidP="007377A4">
            <w:pPr>
              <w:spacing w:before="40" w:after="40"/>
              <w:jc w:val="center"/>
              <w:cnfStyle w:val="000000000000"/>
              <w:rPr>
                <w:b/>
                <w:color w:val="auto"/>
                <w:sz w:val="18"/>
                <w:szCs w:val="20"/>
              </w:rPr>
            </w:pPr>
            <w:r w:rsidRPr="009E43F2">
              <w:rPr>
                <w:b/>
                <w:color w:val="auto"/>
                <w:sz w:val="18"/>
                <w:szCs w:val="20"/>
              </w:rPr>
              <w:t>I</w:t>
            </w:r>
          </w:p>
        </w:tc>
        <w:tc>
          <w:tcPr>
            <w:tcW w:w="344" w:type="pct"/>
          </w:tcPr>
          <w:p w:rsidR="007377A4" w:rsidRPr="00726024" w:rsidRDefault="007377A4" w:rsidP="007377A4">
            <w:pPr>
              <w:spacing w:before="40" w:after="40"/>
              <w:jc w:val="center"/>
              <w:cnfStyle w:val="000000000000"/>
              <w:rPr>
                <w:b/>
                <w:color w:val="auto"/>
                <w:sz w:val="18"/>
                <w:szCs w:val="20"/>
              </w:rPr>
            </w:pPr>
            <w:r w:rsidRPr="00726024">
              <w:rPr>
                <w:b/>
                <w:color w:val="auto"/>
                <w:sz w:val="18"/>
                <w:szCs w:val="20"/>
              </w:rPr>
              <w:t>I</w:t>
            </w:r>
          </w:p>
        </w:tc>
        <w:tc>
          <w:tcPr>
            <w:tcW w:w="344" w:type="pct"/>
          </w:tcPr>
          <w:p w:rsidR="007377A4" w:rsidRPr="009E43F2" w:rsidRDefault="007377A4" w:rsidP="007377A4">
            <w:pPr>
              <w:spacing w:before="40" w:after="40"/>
              <w:jc w:val="center"/>
              <w:cnfStyle w:val="000000000000"/>
              <w:rPr>
                <w:b/>
                <w:color w:val="auto"/>
                <w:sz w:val="18"/>
                <w:szCs w:val="20"/>
              </w:rPr>
            </w:pPr>
            <w:r w:rsidRPr="009E43F2">
              <w:rPr>
                <w:b/>
                <w:color w:val="auto"/>
                <w:sz w:val="18"/>
                <w:szCs w:val="20"/>
              </w:rPr>
              <w:t>III</w:t>
            </w:r>
          </w:p>
        </w:tc>
        <w:tc>
          <w:tcPr>
            <w:tcW w:w="339" w:type="pct"/>
          </w:tcPr>
          <w:p w:rsidR="007377A4" w:rsidRPr="009E43F2" w:rsidRDefault="007377A4" w:rsidP="007377A4">
            <w:pPr>
              <w:spacing w:before="40" w:after="40"/>
              <w:jc w:val="center"/>
              <w:cnfStyle w:val="000000000000"/>
              <w:rPr>
                <w:b/>
                <w:color w:val="auto"/>
                <w:sz w:val="18"/>
                <w:szCs w:val="20"/>
              </w:rPr>
            </w:pPr>
            <w:r w:rsidRPr="009E43F2">
              <w:rPr>
                <w:b/>
                <w:color w:val="auto"/>
                <w:sz w:val="18"/>
                <w:szCs w:val="20"/>
              </w:rPr>
              <w:t>IV</w:t>
            </w:r>
          </w:p>
        </w:tc>
        <w:tc>
          <w:tcPr>
            <w:tcW w:w="337" w:type="pct"/>
          </w:tcPr>
          <w:p w:rsidR="007377A4" w:rsidRPr="00726024" w:rsidRDefault="007377A4" w:rsidP="007377A4">
            <w:pPr>
              <w:spacing w:before="40" w:after="40"/>
              <w:jc w:val="center"/>
              <w:cnfStyle w:val="000000000000"/>
              <w:rPr>
                <w:b/>
                <w:sz w:val="18"/>
                <w:szCs w:val="20"/>
              </w:rPr>
            </w:pPr>
            <w:r>
              <w:rPr>
                <w:b/>
                <w:sz w:val="18"/>
                <w:szCs w:val="20"/>
              </w:rPr>
              <w:t>I</w:t>
            </w:r>
          </w:p>
        </w:tc>
        <w:tc>
          <w:tcPr>
            <w:tcW w:w="337" w:type="pct"/>
          </w:tcPr>
          <w:p w:rsidR="007377A4" w:rsidRPr="00726024" w:rsidRDefault="007377A4" w:rsidP="007377A4">
            <w:pPr>
              <w:spacing w:before="40" w:after="40"/>
              <w:jc w:val="center"/>
              <w:cnfStyle w:val="000000000000"/>
              <w:rPr>
                <w:b/>
                <w:color w:val="auto"/>
                <w:sz w:val="18"/>
                <w:szCs w:val="20"/>
              </w:rPr>
            </w:pPr>
            <w:r>
              <w:rPr>
                <w:b/>
                <w:color w:val="auto"/>
                <w:sz w:val="18"/>
                <w:szCs w:val="20"/>
              </w:rPr>
              <w:t>II</w:t>
            </w:r>
          </w:p>
        </w:tc>
        <w:tc>
          <w:tcPr>
            <w:tcW w:w="349" w:type="pct"/>
            <w:tcBorders>
              <w:top w:val="nil"/>
              <w:bottom w:val="nil"/>
              <w:right w:val="nil"/>
            </w:tcBorders>
          </w:tcPr>
          <w:p w:rsidR="007377A4" w:rsidRDefault="007377A4" w:rsidP="007377A4">
            <w:pPr>
              <w:spacing w:before="40" w:after="40"/>
              <w:jc w:val="center"/>
              <w:cnfStyle w:val="000000000000"/>
              <w:rPr>
                <w:b/>
                <w:sz w:val="18"/>
                <w:szCs w:val="20"/>
              </w:rPr>
            </w:pPr>
            <w:r>
              <w:rPr>
                <w:b/>
                <w:sz w:val="18"/>
                <w:szCs w:val="20"/>
              </w:rPr>
              <w:t>III</w:t>
            </w:r>
          </w:p>
        </w:tc>
        <w:tc>
          <w:tcPr>
            <w:tcW w:w="290" w:type="pct"/>
            <w:tcBorders>
              <w:left w:val="nil"/>
            </w:tcBorders>
          </w:tcPr>
          <w:p w:rsidR="007377A4" w:rsidRDefault="007377A4" w:rsidP="007377A4">
            <w:pPr>
              <w:spacing w:before="40" w:after="40"/>
              <w:jc w:val="center"/>
              <w:cnfStyle w:val="000000000000"/>
              <w:rPr>
                <w:b/>
                <w:sz w:val="18"/>
                <w:szCs w:val="20"/>
              </w:rPr>
            </w:pPr>
            <w:r>
              <w:rPr>
                <w:b/>
                <w:sz w:val="18"/>
                <w:szCs w:val="20"/>
              </w:rPr>
              <w:t>IV</w:t>
            </w:r>
          </w:p>
        </w:tc>
      </w:tr>
      <w:tr w:rsidR="00AD310F" w:rsidRPr="009E43F2" w:rsidTr="00350DE4">
        <w:trPr>
          <w:cnfStyle w:val="000000100000"/>
        </w:trPr>
        <w:tc>
          <w:tcPr>
            <w:cnfStyle w:val="001000000000"/>
            <w:tcW w:w="1381"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Privātais patēriņš</w:t>
            </w:r>
          </w:p>
        </w:tc>
        <w:tc>
          <w:tcPr>
            <w:tcW w:w="370"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-24,1</w:t>
            </w:r>
          </w:p>
        </w:tc>
        <w:tc>
          <w:tcPr>
            <w:tcW w:w="370"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w:t>
            </w:r>
            <w:r>
              <w:rPr>
                <w:color w:val="auto"/>
                <w:sz w:val="18"/>
                <w:szCs w:val="18"/>
              </w:rPr>
              <w:t>0,1</w:t>
            </w:r>
          </w:p>
        </w:tc>
        <w:tc>
          <w:tcPr>
            <w:tcW w:w="196" w:type="pct"/>
          </w:tcPr>
          <w:p w:rsidR="00AD310F" w:rsidRPr="00B12C8D" w:rsidRDefault="00AD310F" w:rsidP="00AD310F">
            <w:pPr>
              <w:pStyle w:val="ListParagraph"/>
              <w:tabs>
                <w:tab w:val="decimal" w:pos="296"/>
              </w:tabs>
              <w:spacing w:before="40" w:after="40"/>
              <w:ind w:left="0"/>
              <w:contextualSpacing w:val="0"/>
              <w:jc w:val="center"/>
              <w:cnfStyle w:val="000000100000"/>
              <w:rPr>
                <w:color w:val="auto"/>
                <w:sz w:val="18"/>
                <w:szCs w:val="18"/>
              </w:rPr>
            </w:pPr>
          </w:p>
        </w:tc>
        <w:tc>
          <w:tcPr>
            <w:tcW w:w="342"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-22,3</w:t>
            </w:r>
          </w:p>
        </w:tc>
        <w:tc>
          <w:tcPr>
            <w:tcW w:w="344"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-26,7</w:t>
            </w:r>
          </w:p>
        </w:tc>
        <w:tc>
          <w:tcPr>
            <w:tcW w:w="344"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-27,2</w:t>
            </w:r>
          </w:p>
        </w:tc>
        <w:tc>
          <w:tcPr>
            <w:tcW w:w="339"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-19,6</w:t>
            </w:r>
          </w:p>
        </w:tc>
        <w:tc>
          <w:tcPr>
            <w:tcW w:w="337"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w:t>
            </w:r>
            <w:r>
              <w:rPr>
                <w:color w:val="auto"/>
                <w:sz w:val="18"/>
                <w:szCs w:val="18"/>
              </w:rPr>
              <w:t>6,2</w:t>
            </w:r>
          </w:p>
        </w:tc>
        <w:tc>
          <w:tcPr>
            <w:tcW w:w="337"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w:t>
            </w:r>
            <w:r>
              <w:rPr>
                <w:color w:val="auto"/>
                <w:sz w:val="18"/>
                <w:szCs w:val="18"/>
              </w:rPr>
              <w:t>2,4</w:t>
            </w:r>
          </w:p>
        </w:tc>
        <w:tc>
          <w:tcPr>
            <w:tcW w:w="349" w:type="pct"/>
            <w:tcBorders>
              <w:top w:val="nil"/>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2,</w:t>
            </w:r>
            <w:r>
              <w:rPr>
                <w:color w:val="auto"/>
                <w:sz w:val="18"/>
                <w:szCs w:val="18"/>
              </w:rPr>
              <w:t>9</w:t>
            </w:r>
          </w:p>
        </w:tc>
        <w:tc>
          <w:tcPr>
            <w:tcW w:w="290" w:type="pct"/>
          </w:tcPr>
          <w:p w:rsidR="00AD310F" w:rsidRPr="00117663" w:rsidRDefault="00AD310F" w:rsidP="00AD310F">
            <w:pPr>
              <w:tabs>
                <w:tab w:val="decimal" w:pos="296"/>
              </w:tabs>
              <w:spacing w:before="40" w:after="40"/>
              <w:jc w:val="center"/>
              <w:cnfStyle w:val="000000100000"/>
              <w:rPr>
                <w:sz w:val="18"/>
                <w:szCs w:val="18"/>
              </w:rPr>
            </w:pPr>
            <w:r>
              <w:rPr>
                <w:sz w:val="18"/>
                <w:szCs w:val="18"/>
              </w:rPr>
              <w:t>5,2</w:t>
            </w:r>
          </w:p>
        </w:tc>
      </w:tr>
      <w:tr w:rsidR="00AD310F" w:rsidRPr="009E43F2" w:rsidTr="00350DE4">
        <w:tc>
          <w:tcPr>
            <w:cnfStyle w:val="001000000000"/>
            <w:tcW w:w="1381"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Valsts patēriņš</w:t>
            </w:r>
          </w:p>
        </w:tc>
        <w:tc>
          <w:tcPr>
            <w:tcW w:w="370"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-9,2</w:t>
            </w:r>
          </w:p>
        </w:tc>
        <w:tc>
          <w:tcPr>
            <w:tcW w:w="370"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w:t>
            </w:r>
            <w:r>
              <w:rPr>
                <w:color w:val="auto"/>
                <w:sz w:val="18"/>
                <w:szCs w:val="18"/>
              </w:rPr>
              <w:t>11,0</w:t>
            </w:r>
          </w:p>
        </w:tc>
        <w:tc>
          <w:tcPr>
            <w:tcW w:w="196" w:type="pct"/>
          </w:tcPr>
          <w:p w:rsidR="00AD310F" w:rsidRPr="00B12C8D" w:rsidRDefault="00AD310F" w:rsidP="00AD310F">
            <w:pPr>
              <w:pStyle w:val="ListParagraph"/>
              <w:tabs>
                <w:tab w:val="decimal" w:pos="296"/>
              </w:tabs>
              <w:spacing w:before="40" w:after="40"/>
              <w:ind w:left="0"/>
              <w:contextualSpacing w:val="0"/>
              <w:jc w:val="center"/>
              <w:cnfStyle w:val="000000000000"/>
              <w:rPr>
                <w:color w:val="auto"/>
                <w:sz w:val="18"/>
                <w:szCs w:val="18"/>
              </w:rPr>
            </w:pPr>
          </w:p>
        </w:tc>
        <w:tc>
          <w:tcPr>
            <w:tcW w:w="342"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-1,2</w:t>
            </w:r>
          </w:p>
        </w:tc>
        <w:tc>
          <w:tcPr>
            <w:tcW w:w="344"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-6,9</w:t>
            </w:r>
          </w:p>
        </w:tc>
        <w:tc>
          <w:tcPr>
            <w:tcW w:w="344"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-12,4</w:t>
            </w:r>
          </w:p>
        </w:tc>
        <w:tc>
          <w:tcPr>
            <w:tcW w:w="339"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-14,3</w:t>
            </w:r>
          </w:p>
        </w:tc>
        <w:tc>
          <w:tcPr>
            <w:tcW w:w="337"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-1</w:t>
            </w:r>
            <w:r>
              <w:rPr>
                <w:color w:val="auto"/>
                <w:sz w:val="18"/>
                <w:szCs w:val="18"/>
              </w:rPr>
              <w:t>4</w:t>
            </w:r>
            <w:r w:rsidRPr="00117663">
              <w:rPr>
                <w:color w:val="auto"/>
                <w:sz w:val="18"/>
                <w:szCs w:val="18"/>
              </w:rPr>
              <w:t>,</w:t>
            </w:r>
            <w:r>
              <w:rPr>
                <w:color w:val="auto"/>
                <w:sz w:val="18"/>
                <w:szCs w:val="18"/>
              </w:rPr>
              <w:t>6</w:t>
            </w:r>
          </w:p>
        </w:tc>
        <w:tc>
          <w:tcPr>
            <w:tcW w:w="337"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w:t>
            </w:r>
            <w:r>
              <w:rPr>
                <w:color w:val="auto"/>
                <w:sz w:val="18"/>
                <w:szCs w:val="18"/>
              </w:rPr>
              <w:t>13,9</w:t>
            </w:r>
          </w:p>
        </w:tc>
        <w:tc>
          <w:tcPr>
            <w:tcW w:w="349" w:type="pct"/>
            <w:tcBorders>
              <w:top w:val="nil"/>
              <w:bottom w:val="nil"/>
              <w:right w:val="nil"/>
            </w:tcBorders>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w:t>
            </w:r>
            <w:r>
              <w:rPr>
                <w:color w:val="auto"/>
                <w:sz w:val="18"/>
                <w:szCs w:val="18"/>
              </w:rPr>
              <w:t>6,0</w:t>
            </w:r>
          </w:p>
        </w:tc>
        <w:tc>
          <w:tcPr>
            <w:tcW w:w="290" w:type="pct"/>
            <w:tcBorders>
              <w:left w:val="nil"/>
            </w:tcBorders>
          </w:tcPr>
          <w:p w:rsidR="00AD310F" w:rsidRPr="00117663" w:rsidRDefault="00AD310F" w:rsidP="00AD310F">
            <w:pPr>
              <w:tabs>
                <w:tab w:val="decimal" w:pos="296"/>
              </w:tabs>
              <w:spacing w:before="40" w:after="40"/>
              <w:jc w:val="center"/>
              <w:cnfStyle w:val="000000000000"/>
              <w:rPr>
                <w:sz w:val="18"/>
                <w:szCs w:val="18"/>
              </w:rPr>
            </w:pPr>
            <w:r>
              <w:rPr>
                <w:sz w:val="18"/>
                <w:szCs w:val="18"/>
              </w:rPr>
              <w:t>-9,4</w:t>
            </w:r>
          </w:p>
        </w:tc>
      </w:tr>
      <w:tr w:rsidR="00AD310F" w:rsidRPr="009E43F2" w:rsidTr="00350DE4">
        <w:trPr>
          <w:cnfStyle w:val="000000100000"/>
        </w:trPr>
        <w:tc>
          <w:tcPr>
            <w:cnfStyle w:val="001000000000"/>
            <w:tcW w:w="1381" w:type="pct"/>
            <w:gridSpan w:val="2"/>
          </w:tcPr>
          <w:p w:rsidR="00AD310F" w:rsidRPr="00E75F96" w:rsidRDefault="00AD310F" w:rsidP="007377A4">
            <w:pPr>
              <w:spacing w:before="40" w:after="40"/>
              <w:rPr>
                <w:b w:val="0"/>
                <w:color w:val="auto"/>
                <w:spacing w:val="-10"/>
                <w:sz w:val="18"/>
                <w:szCs w:val="18"/>
              </w:rPr>
            </w:pPr>
            <w:r w:rsidRPr="00E75F96">
              <w:rPr>
                <w:b w:val="0"/>
                <w:color w:val="auto"/>
                <w:sz w:val="18"/>
                <w:szCs w:val="18"/>
              </w:rPr>
              <w:t>Kopējā pamatkapitāla veidošana</w:t>
            </w:r>
          </w:p>
        </w:tc>
        <w:tc>
          <w:tcPr>
            <w:tcW w:w="370"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-37,3</w:t>
            </w:r>
          </w:p>
        </w:tc>
        <w:tc>
          <w:tcPr>
            <w:tcW w:w="370"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w:t>
            </w:r>
            <w:r>
              <w:rPr>
                <w:color w:val="auto"/>
                <w:sz w:val="18"/>
                <w:szCs w:val="18"/>
              </w:rPr>
              <w:t>19,5</w:t>
            </w:r>
          </w:p>
        </w:tc>
        <w:tc>
          <w:tcPr>
            <w:tcW w:w="196" w:type="pct"/>
          </w:tcPr>
          <w:p w:rsidR="00AD310F" w:rsidRPr="00B12C8D" w:rsidRDefault="00AD310F" w:rsidP="00AD310F">
            <w:pPr>
              <w:pStyle w:val="ListParagraph"/>
              <w:tabs>
                <w:tab w:val="decimal" w:pos="296"/>
              </w:tabs>
              <w:spacing w:before="40" w:after="40"/>
              <w:ind w:left="0"/>
              <w:contextualSpacing w:val="0"/>
              <w:jc w:val="center"/>
              <w:cnfStyle w:val="000000100000"/>
              <w:rPr>
                <w:color w:val="auto"/>
                <w:sz w:val="18"/>
                <w:szCs w:val="18"/>
              </w:rPr>
            </w:pPr>
          </w:p>
        </w:tc>
        <w:tc>
          <w:tcPr>
            <w:tcW w:w="342"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-34,1</w:t>
            </w:r>
          </w:p>
        </w:tc>
        <w:tc>
          <w:tcPr>
            <w:tcW w:w="344"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-36,6</w:t>
            </w:r>
          </w:p>
        </w:tc>
        <w:tc>
          <w:tcPr>
            <w:tcW w:w="344"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-39,4</w:t>
            </w:r>
          </w:p>
        </w:tc>
        <w:tc>
          <w:tcPr>
            <w:tcW w:w="339"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-38,3</w:t>
            </w:r>
          </w:p>
        </w:tc>
        <w:tc>
          <w:tcPr>
            <w:tcW w:w="337"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-44,4</w:t>
            </w:r>
          </w:p>
        </w:tc>
        <w:tc>
          <w:tcPr>
            <w:tcW w:w="337" w:type="pct"/>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-35,9</w:t>
            </w:r>
          </w:p>
        </w:tc>
        <w:tc>
          <w:tcPr>
            <w:tcW w:w="349" w:type="pct"/>
            <w:tcBorders>
              <w:top w:val="nil"/>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0,</w:t>
            </w:r>
            <w:r>
              <w:rPr>
                <w:color w:val="auto"/>
                <w:sz w:val="18"/>
                <w:szCs w:val="18"/>
              </w:rPr>
              <w:t>3</w:t>
            </w:r>
          </w:p>
        </w:tc>
        <w:tc>
          <w:tcPr>
            <w:tcW w:w="290" w:type="pct"/>
          </w:tcPr>
          <w:p w:rsidR="00AD310F" w:rsidRPr="00117663" w:rsidRDefault="00AD310F" w:rsidP="00AD310F">
            <w:pPr>
              <w:tabs>
                <w:tab w:val="decimal" w:pos="296"/>
              </w:tabs>
              <w:spacing w:before="40" w:after="40"/>
              <w:jc w:val="center"/>
              <w:cnfStyle w:val="000000100000"/>
              <w:rPr>
                <w:sz w:val="18"/>
                <w:szCs w:val="18"/>
              </w:rPr>
            </w:pPr>
            <w:r>
              <w:rPr>
                <w:sz w:val="18"/>
                <w:szCs w:val="18"/>
              </w:rPr>
              <w:t>-1,8</w:t>
            </w:r>
          </w:p>
        </w:tc>
      </w:tr>
      <w:tr w:rsidR="00AD310F" w:rsidRPr="009E43F2" w:rsidTr="00350DE4">
        <w:tc>
          <w:tcPr>
            <w:cnfStyle w:val="001000000000"/>
            <w:tcW w:w="1381"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Eksports</w:t>
            </w:r>
          </w:p>
        </w:tc>
        <w:tc>
          <w:tcPr>
            <w:tcW w:w="370"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-14,1</w:t>
            </w:r>
          </w:p>
        </w:tc>
        <w:tc>
          <w:tcPr>
            <w:tcW w:w="370" w:type="pct"/>
            <w:vAlign w:val="bottom"/>
          </w:tcPr>
          <w:p w:rsidR="00AD310F" w:rsidRPr="00117663" w:rsidRDefault="00AD310F" w:rsidP="00AD310F">
            <w:pPr>
              <w:tabs>
                <w:tab w:val="decimal" w:pos="296"/>
              </w:tabs>
              <w:spacing w:before="40" w:after="40"/>
              <w:jc w:val="center"/>
              <w:cnfStyle w:val="000000000000"/>
              <w:rPr>
                <w:color w:val="auto"/>
                <w:sz w:val="18"/>
                <w:szCs w:val="18"/>
              </w:rPr>
            </w:pPr>
            <w:r>
              <w:rPr>
                <w:color w:val="auto"/>
                <w:sz w:val="18"/>
                <w:szCs w:val="18"/>
              </w:rPr>
              <w:t>10,3</w:t>
            </w:r>
          </w:p>
        </w:tc>
        <w:tc>
          <w:tcPr>
            <w:tcW w:w="196" w:type="pct"/>
          </w:tcPr>
          <w:p w:rsidR="00AD310F" w:rsidRPr="00B12C8D" w:rsidRDefault="00AD310F" w:rsidP="00AD310F">
            <w:pPr>
              <w:pStyle w:val="ListParagraph"/>
              <w:tabs>
                <w:tab w:val="decimal" w:pos="296"/>
              </w:tabs>
              <w:spacing w:before="40" w:after="40"/>
              <w:ind w:left="0"/>
              <w:contextualSpacing w:val="0"/>
              <w:jc w:val="center"/>
              <w:cnfStyle w:val="000000000000"/>
              <w:rPr>
                <w:color w:val="auto"/>
                <w:sz w:val="18"/>
                <w:szCs w:val="18"/>
              </w:rPr>
            </w:pPr>
          </w:p>
        </w:tc>
        <w:tc>
          <w:tcPr>
            <w:tcW w:w="342"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-19,0</w:t>
            </w:r>
          </w:p>
        </w:tc>
        <w:tc>
          <w:tcPr>
            <w:tcW w:w="344"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-18,9</w:t>
            </w:r>
          </w:p>
        </w:tc>
        <w:tc>
          <w:tcPr>
            <w:tcW w:w="344"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-13,8</w:t>
            </w:r>
          </w:p>
        </w:tc>
        <w:tc>
          <w:tcPr>
            <w:tcW w:w="339"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-3,9</w:t>
            </w:r>
          </w:p>
        </w:tc>
        <w:tc>
          <w:tcPr>
            <w:tcW w:w="337"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3,</w:t>
            </w:r>
            <w:r>
              <w:rPr>
                <w:color w:val="auto"/>
                <w:sz w:val="18"/>
                <w:szCs w:val="18"/>
              </w:rPr>
              <w:t>8</w:t>
            </w:r>
          </w:p>
        </w:tc>
        <w:tc>
          <w:tcPr>
            <w:tcW w:w="337" w:type="pct"/>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7,5</w:t>
            </w:r>
          </w:p>
        </w:tc>
        <w:tc>
          <w:tcPr>
            <w:tcW w:w="349" w:type="pct"/>
            <w:tcBorders>
              <w:top w:val="nil"/>
              <w:bottom w:val="nil"/>
              <w:right w:val="nil"/>
            </w:tcBorders>
            <w:vAlign w:val="bottom"/>
          </w:tcPr>
          <w:p w:rsidR="00AD310F" w:rsidRPr="00117663" w:rsidRDefault="00AD310F" w:rsidP="00AD310F">
            <w:pPr>
              <w:tabs>
                <w:tab w:val="decimal" w:pos="296"/>
              </w:tabs>
              <w:spacing w:before="40" w:after="40"/>
              <w:jc w:val="center"/>
              <w:cnfStyle w:val="000000000000"/>
              <w:rPr>
                <w:color w:val="auto"/>
                <w:sz w:val="18"/>
                <w:szCs w:val="18"/>
              </w:rPr>
            </w:pPr>
            <w:r w:rsidRPr="00117663">
              <w:rPr>
                <w:color w:val="auto"/>
                <w:sz w:val="18"/>
                <w:szCs w:val="18"/>
              </w:rPr>
              <w:t>15,5</w:t>
            </w:r>
          </w:p>
        </w:tc>
        <w:tc>
          <w:tcPr>
            <w:tcW w:w="290" w:type="pct"/>
            <w:tcBorders>
              <w:left w:val="nil"/>
            </w:tcBorders>
          </w:tcPr>
          <w:p w:rsidR="00AD310F" w:rsidRPr="00117663" w:rsidRDefault="00AD310F" w:rsidP="00AD310F">
            <w:pPr>
              <w:tabs>
                <w:tab w:val="decimal" w:pos="296"/>
              </w:tabs>
              <w:spacing w:before="40" w:after="40"/>
              <w:jc w:val="center"/>
              <w:cnfStyle w:val="000000000000"/>
              <w:rPr>
                <w:sz w:val="18"/>
                <w:szCs w:val="18"/>
              </w:rPr>
            </w:pPr>
            <w:r>
              <w:rPr>
                <w:sz w:val="18"/>
                <w:szCs w:val="18"/>
              </w:rPr>
              <w:t>13,8</w:t>
            </w:r>
          </w:p>
        </w:tc>
      </w:tr>
      <w:tr w:rsidR="00AD310F" w:rsidRPr="009E43F2" w:rsidTr="00076B42">
        <w:trPr>
          <w:cnfStyle w:val="000000100000"/>
        </w:trPr>
        <w:tc>
          <w:tcPr>
            <w:cnfStyle w:val="001000000000"/>
            <w:tcW w:w="1381" w:type="pct"/>
            <w:gridSpan w:val="2"/>
            <w:tcBorders>
              <w:bottom w:val="nil"/>
            </w:tcBorders>
          </w:tcPr>
          <w:p w:rsidR="00AD310F" w:rsidRPr="00E75F96" w:rsidRDefault="00AD310F" w:rsidP="007377A4">
            <w:pPr>
              <w:spacing w:before="40" w:after="40"/>
              <w:rPr>
                <w:b w:val="0"/>
                <w:color w:val="auto"/>
                <w:sz w:val="18"/>
                <w:szCs w:val="18"/>
              </w:rPr>
            </w:pPr>
            <w:r w:rsidRPr="00E75F96">
              <w:rPr>
                <w:b w:val="0"/>
                <w:color w:val="auto"/>
                <w:sz w:val="18"/>
                <w:szCs w:val="18"/>
              </w:rPr>
              <w:t>Imports</w:t>
            </w:r>
          </w:p>
        </w:tc>
        <w:tc>
          <w:tcPr>
            <w:tcW w:w="370" w:type="pct"/>
            <w:tcBorders>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-33,5</w:t>
            </w:r>
          </w:p>
        </w:tc>
        <w:tc>
          <w:tcPr>
            <w:tcW w:w="370" w:type="pct"/>
            <w:tcBorders>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Pr>
                <w:color w:val="auto"/>
                <w:sz w:val="18"/>
                <w:szCs w:val="18"/>
              </w:rPr>
              <w:t>8,6</w:t>
            </w:r>
          </w:p>
        </w:tc>
        <w:tc>
          <w:tcPr>
            <w:tcW w:w="196" w:type="pct"/>
            <w:tcBorders>
              <w:bottom w:val="nil"/>
            </w:tcBorders>
          </w:tcPr>
          <w:p w:rsidR="00AD310F" w:rsidRPr="00B12C8D" w:rsidRDefault="00AD310F" w:rsidP="00AD310F">
            <w:pPr>
              <w:pStyle w:val="ListParagraph"/>
              <w:tabs>
                <w:tab w:val="decimal" w:pos="296"/>
              </w:tabs>
              <w:spacing w:before="40" w:after="40"/>
              <w:ind w:left="0"/>
              <w:contextualSpacing w:val="0"/>
              <w:jc w:val="center"/>
              <w:cnfStyle w:val="000000100000"/>
              <w:rPr>
                <w:color w:val="auto"/>
                <w:sz w:val="18"/>
                <w:szCs w:val="18"/>
              </w:rPr>
            </w:pPr>
          </w:p>
        </w:tc>
        <w:tc>
          <w:tcPr>
            <w:tcW w:w="342" w:type="pct"/>
            <w:tcBorders>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-34,0</w:t>
            </w:r>
          </w:p>
        </w:tc>
        <w:tc>
          <w:tcPr>
            <w:tcW w:w="344" w:type="pct"/>
            <w:tcBorders>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-38,8</w:t>
            </w:r>
          </w:p>
        </w:tc>
        <w:tc>
          <w:tcPr>
            <w:tcW w:w="344" w:type="pct"/>
            <w:tcBorders>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-33,9</w:t>
            </w:r>
          </w:p>
        </w:tc>
        <w:tc>
          <w:tcPr>
            <w:tcW w:w="339" w:type="pct"/>
            <w:tcBorders>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-26,5</w:t>
            </w:r>
          </w:p>
        </w:tc>
        <w:tc>
          <w:tcPr>
            <w:tcW w:w="337" w:type="pct"/>
            <w:tcBorders>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w:t>
            </w:r>
            <w:r>
              <w:rPr>
                <w:color w:val="auto"/>
                <w:sz w:val="18"/>
                <w:szCs w:val="18"/>
              </w:rPr>
              <w:t>3,0</w:t>
            </w:r>
          </w:p>
        </w:tc>
        <w:tc>
          <w:tcPr>
            <w:tcW w:w="337" w:type="pct"/>
            <w:tcBorders>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Pr>
                <w:color w:val="auto"/>
                <w:sz w:val="18"/>
                <w:szCs w:val="18"/>
              </w:rPr>
              <w:t>7,1</w:t>
            </w:r>
          </w:p>
        </w:tc>
        <w:tc>
          <w:tcPr>
            <w:tcW w:w="349" w:type="pct"/>
            <w:tcBorders>
              <w:top w:val="nil"/>
              <w:bottom w:val="nil"/>
            </w:tcBorders>
            <w:vAlign w:val="bottom"/>
          </w:tcPr>
          <w:p w:rsidR="00AD310F" w:rsidRPr="00117663" w:rsidRDefault="00AD310F" w:rsidP="00AD310F">
            <w:pPr>
              <w:tabs>
                <w:tab w:val="decimal" w:pos="296"/>
              </w:tabs>
              <w:spacing w:before="40" w:after="40"/>
              <w:jc w:val="center"/>
              <w:cnfStyle w:val="000000100000"/>
              <w:rPr>
                <w:color w:val="auto"/>
                <w:sz w:val="18"/>
                <w:szCs w:val="18"/>
              </w:rPr>
            </w:pPr>
            <w:r w:rsidRPr="00117663">
              <w:rPr>
                <w:color w:val="auto"/>
                <w:sz w:val="18"/>
                <w:szCs w:val="18"/>
              </w:rPr>
              <w:t>12,8</w:t>
            </w:r>
          </w:p>
        </w:tc>
        <w:tc>
          <w:tcPr>
            <w:tcW w:w="290" w:type="pct"/>
            <w:tcBorders>
              <w:bottom w:val="nil"/>
            </w:tcBorders>
          </w:tcPr>
          <w:p w:rsidR="00AD310F" w:rsidRPr="00117663" w:rsidRDefault="00AD310F" w:rsidP="00AD310F">
            <w:pPr>
              <w:tabs>
                <w:tab w:val="decimal" w:pos="296"/>
              </w:tabs>
              <w:spacing w:before="40" w:after="40"/>
              <w:jc w:val="center"/>
              <w:cnfStyle w:val="000000100000"/>
              <w:rPr>
                <w:sz w:val="18"/>
                <w:szCs w:val="18"/>
              </w:rPr>
            </w:pPr>
            <w:r>
              <w:rPr>
                <w:sz w:val="18"/>
                <w:szCs w:val="18"/>
              </w:rPr>
              <w:t>16,7</w:t>
            </w:r>
          </w:p>
        </w:tc>
      </w:tr>
      <w:tr w:rsidR="00AD310F" w:rsidRPr="00726024" w:rsidTr="00076B42">
        <w:tc>
          <w:tcPr>
            <w:cnfStyle w:val="001000000000"/>
            <w:tcW w:w="1381" w:type="pct"/>
            <w:gridSpan w:val="2"/>
            <w:tcBorders>
              <w:top w:val="nil"/>
              <w:bottom w:val="single" w:sz="8" w:space="0" w:color="0070C0"/>
            </w:tcBorders>
          </w:tcPr>
          <w:p w:rsidR="00AD310F" w:rsidRPr="00726024" w:rsidRDefault="00AD310F" w:rsidP="007377A4">
            <w:pPr>
              <w:spacing w:before="40" w:after="40"/>
              <w:rPr>
                <w:color w:val="auto"/>
                <w:sz w:val="20"/>
                <w:szCs w:val="20"/>
              </w:rPr>
            </w:pPr>
            <w:r w:rsidRPr="00726024">
              <w:rPr>
                <w:color w:val="auto"/>
                <w:sz w:val="20"/>
                <w:szCs w:val="20"/>
              </w:rPr>
              <w:t>IKP</w:t>
            </w:r>
          </w:p>
        </w:tc>
        <w:tc>
          <w:tcPr>
            <w:tcW w:w="370" w:type="pct"/>
            <w:tcBorders>
              <w:top w:val="nil"/>
              <w:bottom w:val="single" w:sz="8" w:space="0" w:color="0070C0"/>
            </w:tcBorders>
            <w:vAlign w:val="center"/>
          </w:tcPr>
          <w:p w:rsidR="00AD310F" w:rsidRPr="00117663" w:rsidRDefault="00AD310F" w:rsidP="00AD310F">
            <w:pPr>
              <w:tabs>
                <w:tab w:val="decimal" w:pos="296"/>
              </w:tabs>
              <w:spacing w:before="40" w:after="40"/>
              <w:jc w:val="center"/>
              <w:cnfStyle w:val="000000000000"/>
              <w:rPr>
                <w:b/>
                <w:color w:val="auto"/>
                <w:sz w:val="20"/>
                <w:szCs w:val="20"/>
              </w:rPr>
            </w:pPr>
            <w:r w:rsidRPr="00117663">
              <w:rPr>
                <w:b/>
                <w:color w:val="auto"/>
                <w:sz w:val="20"/>
                <w:szCs w:val="20"/>
              </w:rPr>
              <w:t>-18,0</w:t>
            </w:r>
          </w:p>
        </w:tc>
        <w:tc>
          <w:tcPr>
            <w:tcW w:w="370" w:type="pct"/>
            <w:tcBorders>
              <w:top w:val="nil"/>
              <w:bottom w:val="single" w:sz="8" w:space="0" w:color="0070C0"/>
            </w:tcBorders>
            <w:vAlign w:val="center"/>
          </w:tcPr>
          <w:p w:rsidR="00AD310F" w:rsidRPr="00117663" w:rsidRDefault="00AD310F" w:rsidP="00AD310F">
            <w:pPr>
              <w:tabs>
                <w:tab w:val="decimal" w:pos="296"/>
              </w:tabs>
              <w:spacing w:before="40" w:after="40"/>
              <w:jc w:val="center"/>
              <w:cnfStyle w:val="000000000000"/>
              <w:rPr>
                <w:b/>
                <w:color w:val="auto"/>
                <w:sz w:val="20"/>
                <w:szCs w:val="20"/>
              </w:rPr>
            </w:pPr>
            <w:r w:rsidRPr="00117663">
              <w:rPr>
                <w:b/>
                <w:color w:val="auto"/>
                <w:sz w:val="20"/>
                <w:szCs w:val="20"/>
              </w:rPr>
              <w:t>-</w:t>
            </w:r>
            <w:r>
              <w:rPr>
                <w:b/>
                <w:color w:val="auto"/>
                <w:sz w:val="20"/>
                <w:szCs w:val="20"/>
              </w:rPr>
              <w:t>0,3</w:t>
            </w:r>
          </w:p>
        </w:tc>
        <w:tc>
          <w:tcPr>
            <w:tcW w:w="196" w:type="pct"/>
            <w:tcBorders>
              <w:top w:val="nil"/>
              <w:bottom w:val="single" w:sz="8" w:space="0" w:color="0070C0"/>
            </w:tcBorders>
            <w:vAlign w:val="center"/>
          </w:tcPr>
          <w:p w:rsidR="00AD310F" w:rsidRPr="00117663" w:rsidRDefault="00AD310F" w:rsidP="00AD310F">
            <w:pPr>
              <w:pStyle w:val="ListParagraph"/>
              <w:tabs>
                <w:tab w:val="decimal" w:pos="296"/>
              </w:tabs>
              <w:spacing w:before="40" w:after="40"/>
              <w:ind w:left="0"/>
              <w:contextualSpacing w:val="0"/>
              <w:jc w:val="center"/>
              <w:cnfStyle w:val="000000000000"/>
              <w:rPr>
                <w:b/>
                <w:color w:val="auto"/>
                <w:sz w:val="20"/>
                <w:szCs w:val="20"/>
              </w:rPr>
            </w:pPr>
          </w:p>
        </w:tc>
        <w:tc>
          <w:tcPr>
            <w:tcW w:w="342" w:type="pct"/>
            <w:tcBorders>
              <w:top w:val="nil"/>
              <w:bottom w:val="single" w:sz="8" w:space="0" w:color="0070C0"/>
            </w:tcBorders>
            <w:vAlign w:val="center"/>
          </w:tcPr>
          <w:p w:rsidR="00AD310F" w:rsidRPr="00117663" w:rsidRDefault="00AD310F" w:rsidP="00AD310F">
            <w:pPr>
              <w:spacing w:before="40" w:after="40"/>
              <w:jc w:val="center"/>
              <w:cnfStyle w:val="000000000000"/>
              <w:rPr>
                <w:b/>
                <w:bCs/>
                <w:color w:val="000000"/>
                <w:sz w:val="20"/>
                <w:szCs w:val="20"/>
              </w:rPr>
            </w:pPr>
            <w:r w:rsidRPr="00117663">
              <w:rPr>
                <w:b/>
                <w:bCs/>
                <w:color w:val="000000"/>
                <w:sz w:val="20"/>
                <w:szCs w:val="20"/>
              </w:rPr>
              <w:t>-17,8</w:t>
            </w:r>
          </w:p>
        </w:tc>
        <w:tc>
          <w:tcPr>
            <w:tcW w:w="344" w:type="pct"/>
            <w:tcBorders>
              <w:top w:val="nil"/>
              <w:bottom w:val="single" w:sz="8" w:space="0" w:color="0070C0"/>
            </w:tcBorders>
            <w:vAlign w:val="center"/>
          </w:tcPr>
          <w:p w:rsidR="00AD310F" w:rsidRPr="00117663" w:rsidRDefault="00AD310F" w:rsidP="00AD310F">
            <w:pPr>
              <w:spacing w:before="40" w:after="40"/>
              <w:jc w:val="center"/>
              <w:cnfStyle w:val="000000000000"/>
              <w:rPr>
                <w:b/>
                <w:bCs/>
                <w:color w:val="000000"/>
                <w:sz w:val="20"/>
                <w:szCs w:val="20"/>
              </w:rPr>
            </w:pPr>
            <w:r w:rsidRPr="00117663">
              <w:rPr>
                <w:b/>
                <w:bCs/>
                <w:color w:val="000000"/>
                <w:sz w:val="20"/>
                <w:szCs w:val="20"/>
              </w:rPr>
              <w:t>-18,1</w:t>
            </w:r>
          </w:p>
        </w:tc>
        <w:tc>
          <w:tcPr>
            <w:tcW w:w="344" w:type="pct"/>
            <w:tcBorders>
              <w:top w:val="nil"/>
              <w:bottom w:val="single" w:sz="8" w:space="0" w:color="0070C0"/>
            </w:tcBorders>
            <w:vAlign w:val="center"/>
          </w:tcPr>
          <w:p w:rsidR="00AD310F" w:rsidRPr="00117663" w:rsidRDefault="00AD310F" w:rsidP="00AD310F">
            <w:pPr>
              <w:spacing w:before="40" w:after="40"/>
              <w:jc w:val="center"/>
              <w:cnfStyle w:val="000000000000"/>
              <w:rPr>
                <w:b/>
                <w:bCs/>
                <w:color w:val="000000"/>
                <w:sz w:val="20"/>
                <w:szCs w:val="20"/>
              </w:rPr>
            </w:pPr>
            <w:r w:rsidRPr="00117663">
              <w:rPr>
                <w:b/>
                <w:bCs/>
                <w:color w:val="000000"/>
                <w:sz w:val="20"/>
                <w:szCs w:val="20"/>
              </w:rPr>
              <w:t>-19,1</w:t>
            </w:r>
          </w:p>
        </w:tc>
        <w:tc>
          <w:tcPr>
            <w:tcW w:w="339" w:type="pct"/>
            <w:tcBorders>
              <w:top w:val="nil"/>
              <w:bottom w:val="single" w:sz="8" w:space="0" w:color="0070C0"/>
            </w:tcBorders>
            <w:vAlign w:val="center"/>
          </w:tcPr>
          <w:p w:rsidR="00AD310F" w:rsidRPr="00117663" w:rsidRDefault="00AD310F" w:rsidP="00AD310F">
            <w:pPr>
              <w:spacing w:before="40" w:after="40"/>
              <w:jc w:val="center"/>
              <w:cnfStyle w:val="000000000000"/>
              <w:rPr>
                <w:b/>
                <w:bCs/>
                <w:color w:val="000000"/>
                <w:sz w:val="20"/>
                <w:szCs w:val="20"/>
              </w:rPr>
            </w:pPr>
            <w:r w:rsidRPr="00117663">
              <w:rPr>
                <w:b/>
                <w:bCs/>
                <w:color w:val="000000"/>
                <w:sz w:val="20"/>
                <w:szCs w:val="20"/>
              </w:rPr>
              <w:t>-16,8</w:t>
            </w:r>
          </w:p>
        </w:tc>
        <w:tc>
          <w:tcPr>
            <w:tcW w:w="337" w:type="pct"/>
            <w:tcBorders>
              <w:top w:val="nil"/>
              <w:bottom w:val="single" w:sz="8" w:space="0" w:color="0070C0"/>
            </w:tcBorders>
            <w:vAlign w:val="center"/>
          </w:tcPr>
          <w:p w:rsidR="00AD310F" w:rsidRPr="00117663" w:rsidRDefault="00AD310F" w:rsidP="00AD310F">
            <w:pPr>
              <w:spacing w:before="40" w:after="40"/>
              <w:jc w:val="center"/>
              <w:cnfStyle w:val="000000000000"/>
              <w:rPr>
                <w:b/>
                <w:bCs/>
                <w:color w:val="000000"/>
                <w:sz w:val="20"/>
                <w:szCs w:val="20"/>
              </w:rPr>
            </w:pPr>
            <w:r w:rsidRPr="00117663">
              <w:rPr>
                <w:b/>
                <w:bCs/>
                <w:color w:val="000000"/>
                <w:sz w:val="20"/>
                <w:szCs w:val="20"/>
              </w:rPr>
              <w:t>-6,</w:t>
            </w:r>
            <w:r>
              <w:rPr>
                <w:b/>
                <w:bCs/>
                <w:color w:val="000000"/>
                <w:sz w:val="20"/>
                <w:szCs w:val="20"/>
              </w:rPr>
              <w:t>1</w:t>
            </w:r>
          </w:p>
        </w:tc>
        <w:tc>
          <w:tcPr>
            <w:tcW w:w="337" w:type="pct"/>
            <w:tcBorders>
              <w:top w:val="nil"/>
              <w:bottom w:val="single" w:sz="8" w:space="0" w:color="0070C0"/>
            </w:tcBorders>
            <w:vAlign w:val="center"/>
          </w:tcPr>
          <w:p w:rsidR="00AD310F" w:rsidRPr="00117663" w:rsidRDefault="00AD310F" w:rsidP="00AD310F">
            <w:pPr>
              <w:spacing w:before="40" w:after="40"/>
              <w:jc w:val="center"/>
              <w:cnfStyle w:val="000000000000"/>
              <w:rPr>
                <w:b/>
                <w:bCs/>
                <w:color w:val="000000"/>
                <w:sz w:val="20"/>
                <w:szCs w:val="20"/>
              </w:rPr>
            </w:pPr>
            <w:r w:rsidRPr="00117663">
              <w:rPr>
                <w:b/>
                <w:bCs/>
                <w:color w:val="000000"/>
                <w:sz w:val="20"/>
                <w:szCs w:val="20"/>
              </w:rPr>
              <w:t>-2,</w:t>
            </w:r>
            <w:r>
              <w:rPr>
                <w:b/>
                <w:bCs/>
                <w:color w:val="000000"/>
                <w:sz w:val="20"/>
                <w:szCs w:val="20"/>
              </w:rPr>
              <w:t>6</w:t>
            </w:r>
          </w:p>
        </w:tc>
        <w:tc>
          <w:tcPr>
            <w:tcW w:w="349" w:type="pct"/>
            <w:tcBorders>
              <w:top w:val="nil"/>
              <w:bottom w:val="single" w:sz="8" w:space="0" w:color="0070C0"/>
              <w:right w:val="nil"/>
            </w:tcBorders>
            <w:vAlign w:val="center"/>
          </w:tcPr>
          <w:p w:rsidR="00AD310F" w:rsidRPr="00117663" w:rsidRDefault="00AD310F" w:rsidP="00AD310F">
            <w:pPr>
              <w:spacing w:before="40" w:after="40"/>
              <w:jc w:val="center"/>
              <w:cnfStyle w:val="000000000000"/>
              <w:rPr>
                <w:b/>
                <w:bCs/>
                <w:color w:val="000000"/>
                <w:sz w:val="20"/>
                <w:szCs w:val="20"/>
              </w:rPr>
            </w:pPr>
            <w:r w:rsidRPr="00117663">
              <w:rPr>
                <w:b/>
                <w:bCs/>
                <w:color w:val="000000"/>
                <w:sz w:val="20"/>
                <w:szCs w:val="20"/>
              </w:rPr>
              <w:t>2,</w:t>
            </w:r>
            <w:r>
              <w:rPr>
                <w:b/>
                <w:bCs/>
                <w:color w:val="000000"/>
                <w:sz w:val="20"/>
                <w:szCs w:val="20"/>
              </w:rPr>
              <w:t>8</w:t>
            </w:r>
          </w:p>
        </w:tc>
        <w:tc>
          <w:tcPr>
            <w:tcW w:w="290" w:type="pct"/>
            <w:tcBorders>
              <w:top w:val="nil"/>
              <w:left w:val="nil"/>
              <w:bottom w:val="single" w:sz="8" w:space="0" w:color="0070C0"/>
            </w:tcBorders>
            <w:vAlign w:val="center"/>
          </w:tcPr>
          <w:p w:rsidR="00AD310F" w:rsidRPr="00117663" w:rsidRDefault="00AD310F" w:rsidP="00AD310F">
            <w:pPr>
              <w:spacing w:before="40" w:after="40"/>
              <w:jc w:val="center"/>
              <w:cnfStyle w:val="000000000000"/>
              <w:rPr>
                <w:b/>
                <w:bCs/>
                <w:color w:val="000000"/>
                <w:sz w:val="20"/>
                <w:szCs w:val="20"/>
              </w:rPr>
            </w:pPr>
            <w:r>
              <w:rPr>
                <w:b/>
                <w:bCs/>
                <w:color w:val="000000"/>
                <w:sz w:val="20"/>
                <w:szCs w:val="20"/>
              </w:rPr>
              <w:t>3,6</w:t>
            </w:r>
          </w:p>
        </w:tc>
      </w:tr>
    </w:tbl>
    <w:p w:rsidR="00E75F96" w:rsidRPr="007377A4" w:rsidRDefault="00E75F96" w:rsidP="00E75F96">
      <w:pPr>
        <w:pStyle w:val="ListParagraph"/>
        <w:ind w:left="0"/>
        <w:rPr>
          <w:szCs w:val="16"/>
        </w:rPr>
      </w:pPr>
    </w:p>
    <w:p w:rsidR="007377A4" w:rsidRPr="007377A4" w:rsidRDefault="007377A4" w:rsidP="00E75F96">
      <w:pPr>
        <w:pStyle w:val="ListParagraph"/>
        <w:ind w:left="0"/>
        <w:rPr>
          <w:szCs w:val="16"/>
        </w:rPr>
      </w:pPr>
    </w:p>
    <w:tbl>
      <w:tblPr>
        <w:tblStyle w:val="LightShading2"/>
        <w:tblW w:w="4874" w:type="pct"/>
        <w:tblLook w:val="04A0"/>
      </w:tblPr>
      <w:tblGrid>
        <w:gridCol w:w="1924"/>
        <w:gridCol w:w="715"/>
        <w:gridCol w:w="698"/>
        <w:gridCol w:w="700"/>
        <w:gridCol w:w="369"/>
        <w:gridCol w:w="653"/>
        <w:gridCol w:w="654"/>
        <w:gridCol w:w="654"/>
        <w:gridCol w:w="648"/>
        <w:gridCol w:w="648"/>
        <w:gridCol w:w="648"/>
        <w:gridCol w:w="648"/>
        <w:gridCol w:w="648"/>
      </w:tblGrid>
      <w:tr w:rsidR="00CF4038" w:rsidRPr="009E43F2" w:rsidTr="00076B42">
        <w:trPr>
          <w:cnfStyle w:val="100000000000"/>
        </w:trPr>
        <w:tc>
          <w:tcPr>
            <w:cnfStyle w:val="001000000000"/>
            <w:tcW w:w="4372" w:type="pct"/>
            <w:gridSpan w:val="11"/>
            <w:tcBorders>
              <w:top w:val="single" w:sz="8" w:space="0" w:color="0070C0"/>
              <w:bottom w:val="single" w:sz="8" w:space="0" w:color="0070C0"/>
            </w:tcBorders>
          </w:tcPr>
          <w:p w:rsidR="00CF4038" w:rsidRPr="00E75F96" w:rsidRDefault="00CF4038" w:rsidP="007377A4">
            <w:pPr>
              <w:pStyle w:val="ListParagraph"/>
              <w:spacing w:before="40" w:after="40"/>
              <w:ind w:left="0"/>
              <w:contextualSpacing w:val="0"/>
              <w:jc w:val="center"/>
              <w:rPr>
                <w:sz w:val="18"/>
                <w:szCs w:val="18"/>
              </w:rPr>
            </w:pPr>
            <w:r w:rsidRPr="00E75F96">
              <w:rPr>
                <w:color w:val="auto"/>
                <w:sz w:val="18"/>
                <w:szCs w:val="18"/>
              </w:rPr>
              <w:t>Struktūra,</w:t>
            </w:r>
            <w:r w:rsidRPr="00056EA9">
              <w:rPr>
                <w:b w:val="0"/>
                <w:color w:val="auto"/>
                <w:sz w:val="18"/>
                <w:szCs w:val="18"/>
              </w:rPr>
              <w:t xml:space="preserve"> % no IKP</w:t>
            </w:r>
          </w:p>
        </w:tc>
        <w:tc>
          <w:tcPr>
            <w:tcW w:w="628" w:type="pct"/>
            <w:gridSpan w:val="2"/>
            <w:tcBorders>
              <w:top w:val="single" w:sz="8" w:space="0" w:color="0070C0"/>
              <w:bottom w:val="single" w:sz="8" w:space="0" w:color="0070C0"/>
            </w:tcBorders>
          </w:tcPr>
          <w:p w:rsidR="00CF4038" w:rsidRPr="00E75F96" w:rsidRDefault="00CF4038" w:rsidP="007377A4">
            <w:pPr>
              <w:pStyle w:val="ListParagraph"/>
              <w:spacing w:before="40" w:after="40"/>
              <w:ind w:left="0"/>
              <w:contextualSpacing w:val="0"/>
              <w:jc w:val="center"/>
              <w:cnfStyle w:val="100000000000"/>
              <w:rPr>
                <w:sz w:val="18"/>
                <w:szCs w:val="18"/>
              </w:rPr>
            </w:pPr>
          </w:p>
        </w:tc>
      </w:tr>
      <w:tr w:rsidR="003D3B2B" w:rsidRPr="003D3B2B" w:rsidTr="00076B42">
        <w:trPr>
          <w:cnfStyle w:val="000000100000"/>
        </w:trPr>
        <w:tc>
          <w:tcPr>
            <w:cnfStyle w:val="001000000000"/>
            <w:tcW w:w="1007" w:type="pct"/>
            <w:tcBorders>
              <w:top w:val="single" w:sz="8" w:space="0" w:color="0070C0"/>
            </w:tcBorders>
          </w:tcPr>
          <w:p w:rsidR="003D3B2B" w:rsidRPr="003D3B2B" w:rsidRDefault="003D3B2B" w:rsidP="007377A4">
            <w:pPr>
              <w:pStyle w:val="ListParagraph"/>
              <w:spacing w:before="40" w:after="40"/>
              <w:ind w:left="0"/>
              <w:contextualSpacing w:val="0"/>
              <w:jc w:val="center"/>
              <w:rPr>
                <w:b w:val="0"/>
                <w:color w:val="auto"/>
                <w:sz w:val="18"/>
                <w:szCs w:val="18"/>
              </w:rPr>
            </w:pPr>
          </w:p>
        </w:tc>
        <w:tc>
          <w:tcPr>
            <w:tcW w:w="378" w:type="pct"/>
            <w:tcBorders>
              <w:top w:val="single" w:sz="8" w:space="0" w:color="0070C0"/>
            </w:tcBorders>
          </w:tcPr>
          <w:p w:rsidR="003D3B2B" w:rsidRPr="003D3B2B" w:rsidRDefault="003D3B2B" w:rsidP="007377A4">
            <w:pPr>
              <w:pStyle w:val="ListParagraph"/>
              <w:spacing w:before="40" w:after="40"/>
              <w:ind w:left="0"/>
              <w:contextualSpacing w:val="0"/>
              <w:jc w:val="center"/>
              <w:cnfStyle w:val="000000100000"/>
              <w:rPr>
                <w:bCs/>
                <w:sz w:val="18"/>
                <w:szCs w:val="18"/>
              </w:rPr>
            </w:pPr>
          </w:p>
        </w:tc>
        <w:tc>
          <w:tcPr>
            <w:tcW w:w="369" w:type="pct"/>
            <w:tcBorders>
              <w:top w:val="single" w:sz="8" w:space="0" w:color="0070C0"/>
            </w:tcBorders>
          </w:tcPr>
          <w:p w:rsidR="003D3B2B" w:rsidRPr="003D3B2B" w:rsidRDefault="003D3B2B" w:rsidP="007377A4">
            <w:pPr>
              <w:pStyle w:val="ListParagraph"/>
              <w:spacing w:before="40" w:after="40"/>
              <w:ind w:left="0"/>
              <w:contextualSpacing w:val="0"/>
              <w:jc w:val="center"/>
              <w:cnfStyle w:val="000000100000"/>
              <w:rPr>
                <w:b/>
                <w:color w:val="auto"/>
                <w:sz w:val="18"/>
                <w:szCs w:val="18"/>
              </w:rPr>
            </w:pPr>
            <w:r w:rsidRPr="003D3B2B">
              <w:rPr>
                <w:b/>
                <w:color w:val="auto"/>
                <w:sz w:val="18"/>
                <w:szCs w:val="18"/>
              </w:rPr>
              <w:t>2009</w:t>
            </w:r>
          </w:p>
        </w:tc>
        <w:tc>
          <w:tcPr>
            <w:tcW w:w="370" w:type="pct"/>
            <w:tcBorders>
              <w:top w:val="single" w:sz="8" w:space="0" w:color="0070C0"/>
            </w:tcBorders>
          </w:tcPr>
          <w:p w:rsidR="003D3B2B" w:rsidRPr="003D3B2B" w:rsidRDefault="003D3B2B" w:rsidP="007377A4">
            <w:pPr>
              <w:pStyle w:val="ListParagraph"/>
              <w:spacing w:before="40" w:after="40"/>
              <w:ind w:left="0"/>
              <w:contextualSpacing w:val="0"/>
              <w:jc w:val="center"/>
              <w:cnfStyle w:val="000000100000"/>
              <w:rPr>
                <w:b/>
                <w:color w:val="auto"/>
                <w:sz w:val="18"/>
                <w:szCs w:val="18"/>
              </w:rPr>
            </w:pPr>
            <w:r w:rsidRPr="003D3B2B">
              <w:rPr>
                <w:b/>
                <w:color w:val="auto"/>
                <w:sz w:val="18"/>
                <w:szCs w:val="18"/>
              </w:rPr>
              <w:t>2010</w:t>
            </w:r>
          </w:p>
        </w:tc>
        <w:tc>
          <w:tcPr>
            <w:tcW w:w="198" w:type="pct"/>
            <w:tcBorders>
              <w:top w:val="single" w:sz="8" w:space="0" w:color="0070C0"/>
            </w:tcBorders>
          </w:tcPr>
          <w:p w:rsidR="003D3B2B" w:rsidRPr="003D3B2B" w:rsidRDefault="003D3B2B" w:rsidP="007377A4">
            <w:pPr>
              <w:pStyle w:val="ListParagraph"/>
              <w:spacing w:before="40" w:after="40"/>
              <w:ind w:left="0"/>
              <w:contextualSpacing w:val="0"/>
              <w:jc w:val="center"/>
              <w:cnfStyle w:val="000000100000"/>
              <w:rPr>
                <w:b/>
                <w:color w:val="auto"/>
                <w:sz w:val="18"/>
                <w:szCs w:val="18"/>
              </w:rPr>
            </w:pPr>
          </w:p>
        </w:tc>
        <w:tc>
          <w:tcPr>
            <w:tcW w:w="1374" w:type="pct"/>
            <w:gridSpan w:val="4"/>
            <w:tcBorders>
              <w:top w:val="single" w:sz="8" w:space="0" w:color="0070C0"/>
            </w:tcBorders>
          </w:tcPr>
          <w:p w:rsidR="003D3B2B" w:rsidRPr="003D3B2B" w:rsidRDefault="003D3B2B" w:rsidP="007377A4">
            <w:pPr>
              <w:pStyle w:val="ListParagraph"/>
              <w:spacing w:before="40" w:after="40"/>
              <w:ind w:left="0"/>
              <w:contextualSpacing w:val="0"/>
              <w:cnfStyle w:val="000000100000"/>
              <w:rPr>
                <w:b/>
                <w:color w:val="auto"/>
                <w:sz w:val="18"/>
                <w:szCs w:val="18"/>
              </w:rPr>
            </w:pPr>
            <w:r w:rsidRPr="003D3B2B">
              <w:rPr>
                <w:b/>
                <w:color w:val="auto"/>
                <w:sz w:val="18"/>
                <w:szCs w:val="18"/>
              </w:rPr>
              <w:t>2009</w:t>
            </w:r>
          </w:p>
        </w:tc>
        <w:tc>
          <w:tcPr>
            <w:tcW w:w="1305" w:type="pct"/>
            <w:gridSpan w:val="4"/>
            <w:tcBorders>
              <w:top w:val="single" w:sz="8" w:space="0" w:color="0070C0"/>
            </w:tcBorders>
          </w:tcPr>
          <w:p w:rsidR="003D3B2B" w:rsidRPr="003D3B2B" w:rsidRDefault="003D3B2B" w:rsidP="003D3B2B">
            <w:pPr>
              <w:pStyle w:val="ListParagraph"/>
              <w:spacing w:before="40" w:after="40"/>
              <w:ind w:left="0"/>
              <w:contextualSpacing w:val="0"/>
              <w:cnfStyle w:val="000000100000"/>
              <w:rPr>
                <w:b/>
                <w:sz w:val="18"/>
                <w:szCs w:val="18"/>
              </w:rPr>
            </w:pPr>
            <w:r w:rsidRPr="003D3B2B">
              <w:rPr>
                <w:b/>
                <w:color w:val="auto"/>
                <w:sz w:val="18"/>
                <w:szCs w:val="18"/>
              </w:rPr>
              <w:t>2010</w:t>
            </w:r>
          </w:p>
        </w:tc>
      </w:tr>
      <w:tr w:rsidR="003D3B2B" w:rsidRPr="00CF4038" w:rsidTr="00AD310F">
        <w:tc>
          <w:tcPr>
            <w:cnfStyle w:val="001000000000"/>
            <w:tcW w:w="1007" w:type="pct"/>
          </w:tcPr>
          <w:p w:rsidR="003D3B2B" w:rsidRPr="00CF4038" w:rsidRDefault="003D3B2B" w:rsidP="007377A4">
            <w:pPr>
              <w:pStyle w:val="ListParagraph"/>
              <w:spacing w:before="40" w:after="40"/>
              <w:ind w:left="0"/>
              <w:contextualSpacing w:val="0"/>
              <w:jc w:val="center"/>
              <w:rPr>
                <w:b w:val="0"/>
                <w:color w:val="auto"/>
                <w:sz w:val="18"/>
                <w:szCs w:val="18"/>
              </w:rPr>
            </w:pPr>
          </w:p>
        </w:tc>
        <w:tc>
          <w:tcPr>
            <w:tcW w:w="378" w:type="pct"/>
          </w:tcPr>
          <w:p w:rsidR="003D3B2B" w:rsidRPr="00CF4038" w:rsidRDefault="003D3B2B" w:rsidP="007377A4">
            <w:pPr>
              <w:pStyle w:val="ListParagraph"/>
              <w:spacing w:before="40" w:after="40"/>
              <w:ind w:left="0"/>
              <w:contextualSpacing w:val="0"/>
              <w:jc w:val="center"/>
              <w:cnfStyle w:val="000000000000"/>
              <w:rPr>
                <w:bCs/>
                <w:sz w:val="18"/>
                <w:szCs w:val="18"/>
              </w:rPr>
            </w:pPr>
          </w:p>
        </w:tc>
        <w:tc>
          <w:tcPr>
            <w:tcW w:w="369" w:type="pct"/>
          </w:tcPr>
          <w:p w:rsidR="003D3B2B" w:rsidRPr="00CF4038" w:rsidRDefault="003D3B2B" w:rsidP="007377A4">
            <w:pPr>
              <w:pStyle w:val="ListParagraph"/>
              <w:spacing w:before="40" w:after="40"/>
              <w:ind w:left="0"/>
              <w:contextualSpacing w:val="0"/>
              <w:jc w:val="center"/>
              <w:cnfStyle w:val="000000000000"/>
              <w:rPr>
                <w:b/>
                <w:color w:val="auto"/>
                <w:sz w:val="18"/>
                <w:szCs w:val="18"/>
              </w:rPr>
            </w:pPr>
          </w:p>
        </w:tc>
        <w:tc>
          <w:tcPr>
            <w:tcW w:w="370" w:type="pct"/>
          </w:tcPr>
          <w:p w:rsidR="003D3B2B" w:rsidRPr="00CF4038" w:rsidRDefault="003D3B2B" w:rsidP="007377A4">
            <w:pPr>
              <w:pStyle w:val="ListParagraph"/>
              <w:spacing w:before="40" w:after="40"/>
              <w:ind w:left="0"/>
              <w:contextualSpacing w:val="0"/>
              <w:jc w:val="center"/>
              <w:cnfStyle w:val="000000000000"/>
              <w:rPr>
                <w:b/>
                <w:color w:val="auto"/>
                <w:sz w:val="18"/>
                <w:szCs w:val="18"/>
              </w:rPr>
            </w:pPr>
          </w:p>
        </w:tc>
        <w:tc>
          <w:tcPr>
            <w:tcW w:w="198" w:type="pct"/>
          </w:tcPr>
          <w:p w:rsidR="003D3B2B" w:rsidRPr="00CF4038" w:rsidRDefault="003D3B2B" w:rsidP="007377A4">
            <w:pPr>
              <w:pStyle w:val="ListParagraph"/>
              <w:spacing w:before="40" w:after="40"/>
              <w:ind w:left="0"/>
              <w:contextualSpacing w:val="0"/>
              <w:jc w:val="center"/>
              <w:cnfStyle w:val="000000000000"/>
              <w:rPr>
                <w:b/>
                <w:color w:val="auto"/>
                <w:sz w:val="18"/>
                <w:szCs w:val="18"/>
              </w:rPr>
            </w:pPr>
          </w:p>
        </w:tc>
        <w:tc>
          <w:tcPr>
            <w:tcW w:w="345" w:type="pct"/>
          </w:tcPr>
          <w:p w:rsidR="003D3B2B" w:rsidRPr="00CF4038" w:rsidRDefault="003D3B2B" w:rsidP="007377A4">
            <w:pPr>
              <w:spacing w:before="40" w:after="40"/>
              <w:jc w:val="center"/>
              <w:cnfStyle w:val="000000000000"/>
              <w:rPr>
                <w:b/>
                <w:color w:val="auto"/>
                <w:sz w:val="18"/>
                <w:szCs w:val="18"/>
              </w:rPr>
            </w:pPr>
            <w:r w:rsidRPr="00CF4038">
              <w:rPr>
                <w:b/>
                <w:color w:val="auto"/>
                <w:sz w:val="18"/>
                <w:szCs w:val="18"/>
              </w:rPr>
              <w:t>I</w:t>
            </w:r>
          </w:p>
        </w:tc>
        <w:tc>
          <w:tcPr>
            <w:tcW w:w="345" w:type="pct"/>
          </w:tcPr>
          <w:p w:rsidR="003D3B2B" w:rsidRPr="00CF4038" w:rsidRDefault="003D3B2B" w:rsidP="007377A4">
            <w:pPr>
              <w:spacing w:before="40" w:after="40"/>
              <w:jc w:val="center"/>
              <w:cnfStyle w:val="000000000000"/>
              <w:rPr>
                <w:b/>
                <w:color w:val="auto"/>
                <w:sz w:val="18"/>
                <w:szCs w:val="18"/>
              </w:rPr>
            </w:pPr>
            <w:r w:rsidRPr="00CF4038">
              <w:rPr>
                <w:b/>
                <w:color w:val="auto"/>
                <w:sz w:val="18"/>
                <w:szCs w:val="18"/>
              </w:rPr>
              <w:t>II</w:t>
            </w:r>
          </w:p>
        </w:tc>
        <w:tc>
          <w:tcPr>
            <w:tcW w:w="345" w:type="pct"/>
          </w:tcPr>
          <w:p w:rsidR="003D3B2B" w:rsidRPr="00CF4038" w:rsidRDefault="003D3B2B" w:rsidP="007377A4">
            <w:pPr>
              <w:spacing w:before="40" w:after="40"/>
              <w:jc w:val="center"/>
              <w:cnfStyle w:val="000000000000"/>
              <w:rPr>
                <w:b/>
                <w:color w:val="auto"/>
                <w:sz w:val="18"/>
                <w:szCs w:val="18"/>
              </w:rPr>
            </w:pPr>
            <w:r w:rsidRPr="00CF4038">
              <w:rPr>
                <w:b/>
                <w:color w:val="auto"/>
                <w:sz w:val="18"/>
                <w:szCs w:val="18"/>
              </w:rPr>
              <w:t>III</w:t>
            </w:r>
          </w:p>
        </w:tc>
        <w:tc>
          <w:tcPr>
            <w:tcW w:w="339" w:type="pct"/>
          </w:tcPr>
          <w:p w:rsidR="003D3B2B" w:rsidRPr="00CF4038" w:rsidRDefault="003D3B2B" w:rsidP="007377A4">
            <w:pPr>
              <w:spacing w:before="40" w:after="40"/>
              <w:jc w:val="center"/>
              <w:cnfStyle w:val="000000000000"/>
              <w:rPr>
                <w:b/>
                <w:color w:val="auto"/>
                <w:sz w:val="18"/>
                <w:szCs w:val="18"/>
              </w:rPr>
            </w:pPr>
            <w:r w:rsidRPr="00CF4038">
              <w:rPr>
                <w:b/>
                <w:color w:val="auto"/>
                <w:sz w:val="18"/>
                <w:szCs w:val="18"/>
              </w:rPr>
              <w:t>IV</w:t>
            </w:r>
          </w:p>
        </w:tc>
        <w:tc>
          <w:tcPr>
            <w:tcW w:w="337" w:type="pct"/>
          </w:tcPr>
          <w:p w:rsidR="003D3B2B" w:rsidRPr="00CF4038" w:rsidRDefault="003D3B2B" w:rsidP="007377A4">
            <w:pPr>
              <w:spacing w:before="40" w:after="40"/>
              <w:jc w:val="center"/>
              <w:cnfStyle w:val="000000000000"/>
              <w:rPr>
                <w:b/>
                <w:sz w:val="18"/>
                <w:szCs w:val="18"/>
              </w:rPr>
            </w:pPr>
            <w:r w:rsidRPr="00CF4038">
              <w:rPr>
                <w:b/>
                <w:color w:val="auto"/>
                <w:sz w:val="18"/>
                <w:szCs w:val="18"/>
              </w:rPr>
              <w:t>I</w:t>
            </w:r>
          </w:p>
        </w:tc>
        <w:tc>
          <w:tcPr>
            <w:tcW w:w="340" w:type="pct"/>
          </w:tcPr>
          <w:p w:rsidR="003D3B2B" w:rsidRPr="00CF4038" w:rsidRDefault="003D3B2B" w:rsidP="007377A4">
            <w:pPr>
              <w:spacing w:before="40" w:after="40"/>
              <w:jc w:val="center"/>
              <w:cnfStyle w:val="000000000000"/>
              <w:rPr>
                <w:b/>
                <w:color w:val="auto"/>
                <w:sz w:val="18"/>
                <w:szCs w:val="18"/>
              </w:rPr>
            </w:pPr>
            <w:r w:rsidRPr="00CF4038">
              <w:rPr>
                <w:b/>
                <w:color w:val="auto"/>
                <w:sz w:val="18"/>
                <w:szCs w:val="18"/>
              </w:rPr>
              <w:t>II</w:t>
            </w:r>
          </w:p>
        </w:tc>
        <w:tc>
          <w:tcPr>
            <w:tcW w:w="339" w:type="pct"/>
            <w:tcBorders>
              <w:top w:val="nil"/>
              <w:bottom w:val="nil"/>
              <w:right w:val="nil"/>
            </w:tcBorders>
          </w:tcPr>
          <w:p w:rsidR="003D3B2B" w:rsidRPr="00CF4038" w:rsidRDefault="003D3B2B" w:rsidP="007377A4">
            <w:pPr>
              <w:spacing w:before="40" w:after="40"/>
              <w:jc w:val="center"/>
              <w:cnfStyle w:val="000000000000"/>
              <w:rPr>
                <w:b/>
                <w:sz w:val="18"/>
                <w:szCs w:val="18"/>
              </w:rPr>
            </w:pPr>
            <w:r w:rsidRPr="00CF4038">
              <w:rPr>
                <w:b/>
                <w:sz w:val="18"/>
                <w:szCs w:val="18"/>
              </w:rPr>
              <w:t>III</w:t>
            </w:r>
          </w:p>
        </w:tc>
        <w:tc>
          <w:tcPr>
            <w:tcW w:w="289" w:type="pct"/>
            <w:tcBorders>
              <w:left w:val="nil"/>
            </w:tcBorders>
          </w:tcPr>
          <w:p w:rsidR="003D3B2B" w:rsidRPr="00CF4038" w:rsidRDefault="003D3B2B" w:rsidP="007377A4">
            <w:pPr>
              <w:spacing w:before="40" w:after="40"/>
              <w:jc w:val="center"/>
              <w:cnfStyle w:val="000000000000"/>
              <w:rPr>
                <w:b/>
                <w:sz w:val="18"/>
                <w:szCs w:val="18"/>
              </w:rPr>
            </w:pPr>
            <w:r>
              <w:rPr>
                <w:b/>
                <w:sz w:val="18"/>
                <w:szCs w:val="18"/>
              </w:rPr>
              <w:t>IV</w:t>
            </w:r>
          </w:p>
        </w:tc>
      </w:tr>
      <w:tr w:rsidR="00AD310F" w:rsidRPr="00B12C8D" w:rsidTr="00AD310F">
        <w:trPr>
          <w:cnfStyle w:val="000000100000"/>
        </w:trPr>
        <w:tc>
          <w:tcPr>
            <w:cnfStyle w:val="001000000000"/>
            <w:tcW w:w="1384"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Privātais patēriņš</w:t>
            </w:r>
          </w:p>
        </w:tc>
        <w:tc>
          <w:tcPr>
            <w:tcW w:w="369"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61,6</w:t>
            </w:r>
          </w:p>
        </w:tc>
        <w:tc>
          <w:tcPr>
            <w:tcW w:w="370" w:type="pct"/>
            <w:vAlign w:val="bottom"/>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63,0</w:t>
            </w:r>
          </w:p>
        </w:tc>
        <w:tc>
          <w:tcPr>
            <w:tcW w:w="198" w:type="pct"/>
          </w:tcPr>
          <w:p w:rsidR="00AD310F" w:rsidRPr="00B12C8D" w:rsidRDefault="00AD310F" w:rsidP="00AD310F">
            <w:pPr>
              <w:tabs>
                <w:tab w:val="decimal" w:pos="296"/>
              </w:tabs>
              <w:spacing w:before="40" w:after="40"/>
              <w:jc w:val="center"/>
              <w:cnfStyle w:val="000000100000"/>
              <w:rPr>
                <w:color w:val="auto"/>
                <w:sz w:val="18"/>
                <w:szCs w:val="18"/>
              </w:rPr>
            </w:pPr>
          </w:p>
        </w:tc>
        <w:tc>
          <w:tcPr>
            <w:tcW w:w="345"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61,4</w:t>
            </w:r>
          </w:p>
        </w:tc>
        <w:tc>
          <w:tcPr>
            <w:tcW w:w="345"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61,1</w:t>
            </w:r>
          </w:p>
        </w:tc>
        <w:tc>
          <w:tcPr>
            <w:tcW w:w="345"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61,4</w:t>
            </w:r>
          </w:p>
        </w:tc>
        <w:tc>
          <w:tcPr>
            <w:tcW w:w="339"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62,4</w:t>
            </w:r>
          </w:p>
        </w:tc>
        <w:tc>
          <w:tcPr>
            <w:tcW w:w="337"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65,</w:t>
            </w:r>
            <w:r>
              <w:rPr>
                <w:color w:val="auto"/>
                <w:sz w:val="18"/>
                <w:szCs w:val="18"/>
              </w:rPr>
              <w:t>5</w:t>
            </w:r>
          </w:p>
        </w:tc>
        <w:tc>
          <w:tcPr>
            <w:tcW w:w="340"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62,9</w:t>
            </w:r>
          </w:p>
        </w:tc>
        <w:tc>
          <w:tcPr>
            <w:tcW w:w="339" w:type="pct"/>
            <w:tcBorders>
              <w:top w:val="nil"/>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62,</w:t>
            </w:r>
            <w:r>
              <w:rPr>
                <w:color w:val="auto"/>
                <w:sz w:val="18"/>
                <w:szCs w:val="18"/>
              </w:rPr>
              <w:t>0</w:t>
            </w:r>
          </w:p>
        </w:tc>
        <w:tc>
          <w:tcPr>
            <w:tcW w:w="289" w:type="pct"/>
          </w:tcPr>
          <w:p w:rsidR="00AD310F" w:rsidRPr="00200473" w:rsidRDefault="00AD310F" w:rsidP="00AD310F">
            <w:pPr>
              <w:tabs>
                <w:tab w:val="decimal" w:pos="296"/>
              </w:tabs>
              <w:spacing w:before="40" w:after="40"/>
              <w:jc w:val="center"/>
              <w:cnfStyle w:val="000000100000"/>
              <w:rPr>
                <w:sz w:val="18"/>
                <w:szCs w:val="18"/>
              </w:rPr>
            </w:pPr>
            <w:r>
              <w:rPr>
                <w:sz w:val="18"/>
                <w:szCs w:val="18"/>
              </w:rPr>
              <w:t>61,9</w:t>
            </w:r>
          </w:p>
        </w:tc>
      </w:tr>
      <w:tr w:rsidR="00AD310F" w:rsidRPr="00B12C8D" w:rsidTr="00AD310F">
        <w:tc>
          <w:tcPr>
            <w:cnfStyle w:val="001000000000"/>
            <w:tcW w:w="1384"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Valsts patēriņš</w:t>
            </w:r>
          </w:p>
        </w:tc>
        <w:tc>
          <w:tcPr>
            <w:tcW w:w="369"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19,6</w:t>
            </w:r>
          </w:p>
        </w:tc>
        <w:tc>
          <w:tcPr>
            <w:tcW w:w="370" w:type="pct"/>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17,2</w:t>
            </w:r>
          </w:p>
        </w:tc>
        <w:tc>
          <w:tcPr>
            <w:tcW w:w="198" w:type="pct"/>
          </w:tcPr>
          <w:p w:rsidR="00AD310F" w:rsidRPr="00B12C8D" w:rsidRDefault="00AD310F" w:rsidP="00AD310F">
            <w:pPr>
              <w:tabs>
                <w:tab w:val="decimal" w:pos="296"/>
              </w:tabs>
              <w:spacing w:before="40" w:after="40"/>
              <w:jc w:val="center"/>
              <w:cnfStyle w:val="000000000000"/>
              <w:rPr>
                <w:color w:val="auto"/>
                <w:sz w:val="18"/>
                <w:szCs w:val="18"/>
              </w:rPr>
            </w:pPr>
          </w:p>
        </w:tc>
        <w:tc>
          <w:tcPr>
            <w:tcW w:w="345"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21,4</w:t>
            </w:r>
          </w:p>
        </w:tc>
        <w:tc>
          <w:tcPr>
            <w:tcW w:w="345"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21,3</w:t>
            </w:r>
          </w:p>
        </w:tc>
        <w:tc>
          <w:tcPr>
            <w:tcW w:w="345"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16,6</w:t>
            </w:r>
          </w:p>
        </w:tc>
        <w:tc>
          <w:tcPr>
            <w:tcW w:w="339"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19,1</w:t>
            </w:r>
          </w:p>
        </w:tc>
        <w:tc>
          <w:tcPr>
            <w:tcW w:w="337" w:type="pct"/>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17,5</w:t>
            </w:r>
          </w:p>
        </w:tc>
        <w:tc>
          <w:tcPr>
            <w:tcW w:w="340"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17,9</w:t>
            </w:r>
          </w:p>
        </w:tc>
        <w:tc>
          <w:tcPr>
            <w:tcW w:w="339" w:type="pct"/>
            <w:tcBorders>
              <w:top w:val="nil"/>
              <w:bottom w:val="nil"/>
              <w:right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14,6</w:t>
            </w:r>
          </w:p>
        </w:tc>
        <w:tc>
          <w:tcPr>
            <w:tcW w:w="289" w:type="pct"/>
            <w:tcBorders>
              <w:left w:val="nil"/>
            </w:tcBorders>
          </w:tcPr>
          <w:p w:rsidR="00AD310F" w:rsidRPr="00200473" w:rsidRDefault="00AD310F" w:rsidP="00AD310F">
            <w:pPr>
              <w:tabs>
                <w:tab w:val="decimal" w:pos="296"/>
              </w:tabs>
              <w:spacing w:before="40" w:after="40"/>
              <w:jc w:val="center"/>
              <w:cnfStyle w:val="000000000000"/>
              <w:rPr>
                <w:sz w:val="18"/>
                <w:szCs w:val="18"/>
              </w:rPr>
            </w:pPr>
            <w:r>
              <w:rPr>
                <w:sz w:val="18"/>
                <w:szCs w:val="18"/>
              </w:rPr>
              <w:t>18,7</w:t>
            </w:r>
          </w:p>
        </w:tc>
      </w:tr>
      <w:tr w:rsidR="00AD310F" w:rsidRPr="00B12C8D" w:rsidTr="00AD310F">
        <w:trPr>
          <w:cnfStyle w:val="000000100000"/>
        </w:trPr>
        <w:tc>
          <w:tcPr>
            <w:cnfStyle w:val="001000000000"/>
            <w:tcW w:w="1384" w:type="pct"/>
            <w:gridSpan w:val="2"/>
          </w:tcPr>
          <w:p w:rsidR="00AD310F" w:rsidRPr="00B12C8D" w:rsidRDefault="00AD310F" w:rsidP="007377A4">
            <w:pPr>
              <w:spacing w:before="40" w:after="40"/>
              <w:rPr>
                <w:b w:val="0"/>
                <w:color w:val="auto"/>
                <w:sz w:val="18"/>
                <w:szCs w:val="18"/>
              </w:rPr>
            </w:pPr>
            <w:r w:rsidRPr="00E75F96">
              <w:rPr>
                <w:b w:val="0"/>
                <w:color w:val="auto"/>
                <w:sz w:val="18"/>
                <w:szCs w:val="18"/>
              </w:rPr>
              <w:t>Kopējā pamatkapitāla veidošana</w:t>
            </w:r>
          </w:p>
        </w:tc>
        <w:tc>
          <w:tcPr>
            <w:tcW w:w="369"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21,5</w:t>
            </w:r>
          </w:p>
        </w:tc>
        <w:tc>
          <w:tcPr>
            <w:tcW w:w="370" w:type="pct"/>
            <w:vAlign w:val="bottom"/>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18,0</w:t>
            </w:r>
          </w:p>
        </w:tc>
        <w:tc>
          <w:tcPr>
            <w:tcW w:w="198" w:type="pct"/>
          </w:tcPr>
          <w:p w:rsidR="00AD310F" w:rsidRPr="00B12C8D" w:rsidRDefault="00AD310F" w:rsidP="00AD310F">
            <w:pPr>
              <w:tabs>
                <w:tab w:val="decimal" w:pos="296"/>
              </w:tabs>
              <w:spacing w:before="40" w:after="40"/>
              <w:jc w:val="center"/>
              <w:cnfStyle w:val="000000100000"/>
              <w:rPr>
                <w:color w:val="auto"/>
                <w:sz w:val="18"/>
                <w:szCs w:val="18"/>
              </w:rPr>
            </w:pPr>
          </w:p>
        </w:tc>
        <w:tc>
          <w:tcPr>
            <w:tcW w:w="345"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19,4</w:t>
            </w:r>
          </w:p>
        </w:tc>
        <w:tc>
          <w:tcPr>
            <w:tcW w:w="345"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22,1</w:t>
            </w:r>
          </w:p>
        </w:tc>
        <w:tc>
          <w:tcPr>
            <w:tcW w:w="345"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21,7</w:t>
            </w:r>
          </w:p>
        </w:tc>
        <w:tc>
          <w:tcPr>
            <w:tcW w:w="339"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22,7</w:t>
            </w:r>
          </w:p>
        </w:tc>
        <w:tc>
          <w:tcPr>
            <w:tcW w:w="337"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11,9</w:t>
            </w:r>
          </w:p>
        </w:tc>
        <w:tc>
          <w:tcPr>
            <w:tcW w:w="340"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15,1</w:t>
            </w:r>
          </w:p>
        </w:tc>
        <w:tc>
          <w:tcPr>
            <w:tcW w:w="339" w:type="pct"/>
            <w:tcBorders>
              <w:top w:val="nil"/>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21,7</w:t>
            </w:r>
          </w:p>
        </w:tc>
        <w:tc>
          <w:tcPr>
            <w:tcW w:w="289" w:type="pct"/>
          </w:tcPr>
          <w:p w:rsidR="00AD310F" w:rsidRPr="00200473" w:rsidRDefault="00AD310F" w:rsidP="00AD310F">
            <w:pPr>
              <w:tabs>
                <w:tab w:val="decimal" w:pos="296"/>
              </w:tabs>
              <w:spacing w:before="40" w:after="40"/>
              <w:jc w:val="center"/>
              <w:cnfStyle w:val="000000100000"/>
              <w:rPr>
                <w:sz w:val="18"/>
                <w:szCs w:val="18"/>
              </w:rPr>
            </w:pPr>
            <w:r>
              <w:rPr>
                <w:sz w:val="18"/>
                <w:szCs w:val="18"/>
              </w:rPr>
              <w:t>21,9</w:t>
            </w:r>
          </w:p>
        </w:tc>
      </w:tr>
      <w:tr w:rsidR="00AD310F" w:rsidRPr="00B12C8D" w:rsidTr="00AD310F">
        <w:tc>
          <w:tcPr>
            <w:cnfStyle w:val="001000000000"/>
            <w:tcW w:w="1384"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Izmaiņas krājumos</w:t>
            </w:r>
          </w:p>
        </w:tc>
        <w:tc>
          <w:tcPr>
            <w:tcW w:w="369"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-1,2</w:t>
            </w:r>
          </w:p>
        </w:tc>
        <w:tc>
          <w:tcPr>
            <w:tcW w:w="370" w:type="pct"/>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2,7</w:t>
            </w:r>
          </w:p>
        </w:tc>
        <w:tc>
          <w:tcPr>
            <w:tcW w:w="198" w:type="pct"/>
          </w:tcPr>
          <w:p w:rsidR="00AD310F" w:rsidRPr="00B12C8D" w:rsidRDefault="00AD310F" w:rsidP="00AD310F">
            <w:pPr>
              <w:tabs>
                <w:tab w:val="decimal" w:pos="296"/>
              </w:tabs>
              <w:spacing w:before="40" w:after="40"/>
              <w:jc w:val="center"/>
              <w:cnfStyle w:val="000000000000"/>
              <w:rPr>
                <w:color w:val="auto"/>
                <w:sz w:val="18"/>
                <w:szCs w:val="18"/>
              </w:rPr>
            </w:pPr>
          </w:p>
        </w:tc>
        <w:tc>
          <w:tcPr>
            <w:tcW w:w="345"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2,3</w:t>
            </w:r>
          </w:p>
        </w:tc>
        <w:tc>
          <w:tcPr>
            <w:tcW w:w="345"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-3,8</w:t>
            </w:r>
          </w:p>
        </w:tc>
        <w:tc>
          <w:tcPr>
            <w:tcW w:w="345"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2,1</w:t>
            </w:r>
          </w:p>
        </w:tc>
        <w:tc>
          <w:tcPr>
            <w:tcW w:w="339"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-5,1</w:t>
            </w:r>
          </w:p>
        </w:tc>
        <w:tc>
          <w:tcPr>
            <w:tcW w:w="337" w:type="pct"/>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5,7</w:t>
            </w:r>
          </w:p>
        </w:tc>
        <w:tc>
          <w:tcPr>
            <w:tcW w:w="340"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3,5</w:t>
            </w:r>
          </w:p>
        </w:tc>
        <w:tc>
          <w:tcPr>
            <w:tcW w:w="339" w:type="pct"/>
            <w:tcBorders>
              <w:top w:val="nil"/>
              <w:bottom w:val="nil"/>
              <w:right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3,</w:t>
            </w:r>
            <w:r>
              <w:rPr>
                <w:color w:val="auto"/>
                <w:sz w:val="18"/>
                <w:szCs w:val="18"/>
              </w:rPr>
              <w:t>2</w:t>
            </w:r>
          </w:p>
        </w:tc>
        <w:tc>
          <w:tcPr>
            <w:tcW w:w="289" w:type="pct"/>
            <w:tcBorders>
              <w:left w:val="nil"/>
            </w:tcBorders>
          </w:tcPr>
          <w:p w:rsidR="00AD310F" w:rsidRPr="00200473" w:rsidRDefault="00AD310F" w:rsidP="00AD310F">
            <w:pPr>
              <w:tabs>
                <w:tab w:val="decimal" w:pos="296"/>
              </w:tabs>
              <w:spacing w:before="40" w:after="40"/>
              <w:jc w:val="center"/>
              <w:cnfStyle w:val="000000000000"/>
              <w:rPr>
                <w:sz w:val="18"/>
                <w:szCs w:val="18"/>
              </w:rPr>
            </w:pPr>
            <w:r>
              <w:rPr>
                <w:sz w:val="18"/>
                <w:szCs w:val="18"/>
              </w:rPr>
              <w:t>-0,9</w:t>
            </w:r>
          </w:p>
        </w:tc>
      </w:tr>
      <w:tr w:rsidR="00AD310F" w:rsidRPr="00B12C8D" w:rsidTr="00AD310F">
        <w:trPr>
          <w:cnfStyle w:val="000000100000"/>
        </w:trPr>
        <w:tc>
          <w:tcPr>
            <w:cnfStyle w:val="001000000000"/>
            <w:tcW w:w="1384"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Eksports</w:t>
            </w:r>
          </w:p>
        </w:tc>
        <w:tc>
          <w:tcPr>
            <w:tcW w:w="369"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43,9</w:t>
            </w:r>
          </w:p>
        </w:tc>
        <w:tc>
          <w:tcPr>
            <w:tcW w:w="370" w:type="pct"/>
            <w:vAlign w:val="bottom"/>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53,4</w:t>
            </w:r>
          </w:p>
        </w:tc>
        <w:tc>
          <w:tcPr>
            <w:tcW w:w="198" w:type="pct"/>
          </w:tcPr>
          <w:p w:rsidR="00AD310F" w:rsidRPr="00B12C8D" w:rsidRDefault="00AD310F" w:rsidP="00AD310F">
            <w:pPr>
              <w:tabs>
                <w:tab w:val="decimal" w:pos="296"/>
              </w:tabs>
              <w:spacing w:before="40" w:after="40"/>
              <w:jc w:val="center"/>
              <w:cnfStyle w:val="000000100000"/>
              <w:rPr>
                <w:color w:val="auto"/>
                <w:sz w:val="18"/>
                <w:szCs w:val="18"/>
              </w:rPr>
            </w:pPr>
          </w:p>
        </w:tc>
        <w:tc>
          <w:tcPr>
            <w:tcW w:w="345"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40,7</w:t>
            </w:r>
          </w:p>
        </w:tc>
        <w:tc>
          <w:tcPr>
            <w:tcW w:w="345"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41,3</w:t>
            </w:r>
          </w:p>
        </w:tc>
        <w:tc>
          <w:tcPr>
            <w:tcW w:w="345"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45,0</w:t>
            </w:r>
          </w:p>
        </w:tc>
        <w:tc>
          <w:tcPr>
            <w:tcW w:w="339"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48,7</w:t>
            </w:r>
          </w:p>
        </w:tc>
        <w:tc>
          <w:tcPr>
            <w:tcW w:w="337"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49,</w:t>
            </w:r>
            <w:r>
              <w:rPr>
                <w:color w:val="auto"/>
                <w:sz w:val="18"/>
                <w:szCs w:val="18"/>
              </w:rPr>
              <w:t>5</w:t>
            </w:r>
          </w:p>
        </w:tc>
        <w:tc>
          <w:tcPr>
            <w:tcW w:w="340"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52,2</w:t>
            </w:r>
          </w:p>
        </w:tc>
        <w:tc>
          <w:tcPr>
            <w:tcW w:w="339" w:type="pct"/>
            <w:tcBorders>
              <w:top w:val="nil"/>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55,</w:t>
            </w:r>
            <w:r>
              <w:rPr>
                <w:color w:val="auto"/>
                <w:sz w:val="18"/>
                <w:szCs w:val="18"/>
              </w:rPr>
              <w:t>7</w:t>
            </w:r>
          </w:p>
        </w:tc>
        <w:tc>
          <w:tcPr>
            <w:tcW w:w="289" w:type="pct"/>
          </w:tcPr>
          <w:p w:rsidR="00AD310F" w:rsidRPr="00200473" w:rsidRDefault="00AD310F" w:rsidP="00AD310F">
            <w:pPr>
              <w:tabs>
                <w:tab w:val="decimal" w:pos="296"/>
              </w:tabs>
              <w:spacing w:before="40" w:after="40"/>
              <w:jc w:val="center"/>
              <w:cnfStyle w:val="000000100000"/>
              <w:rPr>
                <w:sz w:val="18"/>
                <w:szCs w:val="18"/>
              </w:rPr>
            </w:pPr>
            <w:r>
              <w:rPr>
                <w:sz w:val="18"/>
                <w:szCs w:val="18"/>
              </w:rPr>
              <w:t>55,3</w:t>
            </w:r>
          </w:p>
        </w:tc>
      </w:tr>
      <w:tr w:rsidR="00AD310F" w:rsidRPr="00B12C8D" w:rsidTr="00AD310F">
        <w:tc>
          <w:tcPr>
            <w:cnfStyle w:val="001000000000"/>
            <w:tcW w:w="1384"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Imports</w:t>
            </w:r>
          </w:p>
        </w:tc>
        <w:tc>
          <w:tcPr>
            <w:tcW w:w="369"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45,4</w:t>
            </w:r>
          </w:p>
        </w:tc>
        <w:tc>
          <w:tcPr>
            <w:tcW w:w="370" w:type="pct"/>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54,2</w:t>
            </w:r>
          </w:p>
        </w:tc>
        <w:tc>
          <w:tcPr>
            <w:tcW w:w="198" w:type="pct"/>
          </w:tcPr>
          <w:p w:rsidR="00AD310F" w:rsidRPr="00B12C8D" w:rsidRDefault="00AD310F" w:rsidP="00AD310F">
            <w:pPr>
              <w:tabs>
                <w:tab w:val="decimal" w:pos="296"/>
              </w:tabs>
              <w:spacing w:before="40" w:after="40"/>
              <w:jc w:val="center"/>
              <w:cnfStyle w:val="000000000000"/>
              <w:rPr>
                <w:color w:val="auto"/>
                <w:sz w:val="18"/>
                <w:szCs w:val="18"/>
              </w:rPr>
            </w:pPr>
          </w:p>
        </w:tc>
        <w:tc>
          <w:tcPr>
            <w:tcW w:w="345"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-45,2</w:t>
            </w:r>
          </w:p>
        </w:tc>
        <w:tc>
          <w:tcPr>
            <w:tcW w:w="345"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-41,9</w:t>
            </w:r>
          </w:p>
        </w:tc>
        <w:tc>
          <w:tcPr>
            <w:tcW w:w="345"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-46,7</w:t>
            </w:r>
          </w:p>
        </w:tc>
        <w:tc>
          <w:tcPr>
            <w:tcW w:w="339"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-47,8</w:t>
            </w:r>
          </w:p>
        </w:tc>
        <w:tc>
          <w:tcPr>
            <w:tcW w:w="337"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50,3</w:t>
            </w:r>
          </w:p>
        </w:tc>
        <w:tc>
          <w:tcPr>
            <w:tcW w:w="340"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-51,6</w:t>
            </w:r>
          </w:p>
        </w:tc>
        <w:tc>
          <w:tcPr>
            <w:tcW w:w="339" w:type="pct"/>
            <w:tcBorders>
              <w:top w:val="nil"/>
              <w:bottom w:val="nil"/>
              <w:right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-57,3</w:t>
            </w:r>
          </w:p>
        </w:tc>
        <w:tc>
          <w:tcPr>
            <w:tcW w:w="289" w:type="pct"/>
            <w:tcBorders>
              <w:left w:val="nil"/>
            </w:tcBorders>
          </w:tcPr>
          <w:p w:rsidR="00AD310F" w:rsidRPr="00200473" w:rsidRDefault="00AD310F" w:rsidP="00AD310F">
            <w:pPr>
              <w:tabs>
                <w:tab w:val="decimal" w:pos="296"/>
              </w:tabs>
              <w:spacing w:before="40" w:after="40"/>
              <w:jc w:val="center"/>
              <w:cnfStyle w:val="000000000000"/>
              <w:rPr>
                <w:sz w:val="18"/>
                <w:szCs w:val="18"/>
              </w:rPr>
            </w:pPr>
            <w:r>
              <w:rPr>
                <w:sz w:val="18"/>
                <w:szCs w:val="18"/>
              </w:rPr>
              <w:t>-56,9</w:t>
            </w:r>
          </w:p>
        </w:tc>
      </w:tr>
      <w:tr w:rsidR="00AD310F" w:rsidRPr="00B12C8D" w:rsidTr="00076B42">
        <w:trPr>
          <w:cnfStyle w:val="000000100000"/>
        </w:trPr>
        <w:tc>
          <w:tcPr>
            <w:cnfStyle w:val="001000000000"/>
            <w:tcW w:w="1384" w:type="pct"/>
            <w:gridSpan w:val="2"/>
            <w:tcBorders>
              <w:bottom w:val="nil"/>
            </w:tcBorders>
          </w:tcPr>
          <w:p w:rsidR="00AD310F" w:rsidRPr="00E75F96" w:rsidRDefault="00AD310F" w:rsidP="007377A4">
            <w:pPr>
              <w:spacing w:before="40" w:after="40"/>
              <w:rPr>
                <w:b w:val="0"/>
                <w:color w:val="auto"/>
                <w:sz w:val="18"/>
                <w:szCs w:val="18"/>
              </w:rPr>
            </w:pPr>
            <w:r w:rsidRPr="00E75F96">
              <w:rPr>
                <w:b w:val="0"/>
                <w:color w:val="auto"/>
                <w:sz w:val="18"/>
                <w:szCs w:val="18"/>
              </w:rPr>
              <w:t>Eksporta-importa saldo</w:t>
            </w:r>
          </w:p>
        </w:tc>
        <w:tc>
          <w:tcPr>
            <w:tcW w:w="369" w:type="pct"/>
            <w:tcBorders>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-1,5</w:t>
            </w:r>
          </w:p>
        </w:tc>
        <w:tc>
          <w:tcPr>
            <w:tcW w:w="370" w:type="pct"/>
            <w:tcBorders>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0,8</w:t>
            </w:r>
          </w:p>
        </w:tc>
        <w:tc>
          <w:tcPr>
            <w:tcW w:w="198" w:type="pct"/>
            <w:tcBorders>
              <w:bottom w:val="nil"/>
            </w:tcBorders>
          </w:tcPr>
          <w:p w:rsidR="00AD310F" w:rsidRPr="00B12C8D" w:rsidRDefault="00AD310F" w:rsidP="00AD310F">
            <w:pPr>
              <w:tabs>
                <w:tab w:val="decimal" w:pos="296"/>
              </w:tabs>
              <w:spacing w:before="40" w:after="40"/>
              <w:jc w:val="center"/>
              <w:cnfStyle w:val="000000100000"/>
              <w:rPr>
                <w:color w:val="auto"/>
                <w:sz w:val="18"/>
                <w:szCs w:val="18"/>
              </w:rPr>
            </w:pPr>
          </w:p>
        </w:tc>
        <w:tc>
          <w:tcPr>
            <w:tcW w:w="345" w:type="pct"/>
            <w:tcBorders>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-4,5</w:t>
            </w:r>
          </w:p>
        </w:tc>
        <w:tc>
          <w:tcPr>
            <w:tcW w:w="345" w:type="pct"/>
            <w:tcBorders>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-0,6</w:t>
            </w:r>
          </w:p>
        </w:tc>
        <w:tc>
          <w:tcPr>
            <w:tcW w:w="345" w:type="pct"/>
            <w:tcBorders>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-1,7</w:t>
            </w:r>
          </w:p>
        </w:tc>
        <w:tc>
          <w:tcPr>
            <w:tcW w:w="339" w:type="pct"/>
            <w:tcBorders>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1,0</w:t>
            </w:r>
          </w:p>
        </w:tc>
        <w:tc>
          <w:tcPr>
            <w:tcW w:w="337" w:type="pct"/>
            <w:tcBorders>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-0,</w:t>
            </w:r>
            <w:r>
              <w:rPr>
                <w:color w:val="auto"/>
                <w:sz w:val="18"/>
                <w:szCs w:val="18"/>
              </w:rPr>
              <w:t>7</w:t>
            </w:r>
          </w:p>
        </w:tc>
        <w:tc>
          <w:tcPr>
            <w:tcW w:w="340" w:type="pct"/>
            <w:tcBorders>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0,6</w:t>
            </w:r>
          </w:p>
        </w:tc>
        <w:tc>
          <w:tcPr>
            <w:tcW w:w="339" w:type="pct"/>
            <w:tcBorders>
              <w:top w:val="nil"/>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-1,5</w:t>
            </w:r>
          </w:p>
        </w:tc>
        <w:tc>
          <w:tcPr>
            <w:tcW w:w="289" w:type="pct"/>
            <w:tcBorders>
              <w:bottom w:val="nil"/>
            </w:tcBorders>
          </w:tcPr>
          <w:p w:rsidR="00AD310F" w:rsidRPr="00200473" w:rsidRDefault="00AD310F" w:rsidP="00AD310F">
            <w:pPr>
              <w:tabs>
                <w:tab w:val="decimal" w:pos="296"/>
              </w:tabs>
              <w:spacing w:before="40" w:after="40"/>
              <w:jc w:val="center"/>
              <w:cnfStyle w:val="000000100000"/>
              <w:rPr>
                <w:sz w:val="18"/>
                <w:szCs w:val="18"/>
              </w:rPr>
            </w:pPr>
            <w:r>
              <w:rPr>
                <w:sz w:val="18"/>
                <w:szCs w:val="18"/>
              </w:rPr>
              <w:t>-1,6</w:t>
            </w:r>
          </w:p>
        </w:tc>
      </w:tr>
      <w:tr w:rsidR="00AD310F" w:rsidRPr="00726024" w:rsidTr="00076B42">
        <w:tc>
          <w:tcPr>
            <w:cnfStyle w:val="001000000000"/>
            <w:tcW w:w="1384" w:type="pct"/>
            <w:gridSpan w:val="2"/>
            <w:tcBorders>
              <w:top w:val="nil"/>
              <w:bottom w:val="single" w:sz="8" w:space="0" w:color="0070C0"/>
            </w:tcBorders>
          </w:tcPr>
          <w:p w:rsidR="00AD310F" w:rsidRPr="00726024" w:rsidRDefault="00AD310F" w:rsidP="007377A4">
            <w:pPr>
              <w:spacing w:before="40" w:after="40"/>
              <w:rPr>
                <w:color w:val="auto"/>
                <w:sz w:val="20"/>
                <w:szCs w:val="20"/>
              </w:rPr>
            </w:pPr>
            <w:r w:rsidRPr="00726024">
              <w:rPr>
                <w:color w:val="auto"/>
                <w:sz w:val="20"/>
                <w:szCs w:val="20"/>
              </w:rPr>
              <w:t>IKP</w:t>
            </w:r>
          </w:p>
        </w:tc>
        <w:tc>
          <w:tcPr>
            <w:tcW w:w="369" w:type="pct"/>
            <w:tcBorders>
              <w:top w:val="nil"/>
              <w:bottom w:val="single" w:sz="8" w:space="0" w:color="0070C0"/>
            </w:tcBorders>
          </w:tcPr>
          <w:p w:rsidR="00AD310F" w:rsidRPr="00726024" w:rsidRDefault="00AD310F" w:rsidP="00AD310F">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70" w:type="pct"/>
            <w:tcBorders>
              <w:top w:val="nil"/>
              <w:bottom w:val="single" w:sz="8" w:space="0" w:color="0070C0"/>
            </w:tcBorders>
          </w:tcPr>
          <w:p w:rsidR="00AD310F" w:rsidRPr="00726024" w:rsidRDefault="00AD310F" w:rsidP="00AD310F">
            <w:pPr>
              <w:tabs>
                <w:tab w:val="decimal" w:pos="296"/>
              </w:tabs>
              <w:spacing w:before="40" w:after="40"/>
              <w:jc w:val="center"/>
              <w:cnfStyle w:val="000000000000"/>
              <w:rPr>
                <w:b/>
                <w:color w:val="auto"/>
                <w:sz w:val="20"/>
                <w:szCs w:val="20"/>
              </w:rPr>
            </w:pPr>
            <w:r w:rsidRPr="00726024">
              <w:rPr>
                <w:b/>
                <w:color w:val="auto"/>
                <w:sz w:val="20"/>
                <w:szCs w:val="20"/>
              </w:rPr>
              <w:t>100</w:t>
            </w:r>
          </w:p>
        </w:tc>
        <w:tc>
          <w:tcPr>
            <w:tcW w:w="198" w:type="pct"/>
            <w:tcBorders>
              <w:top w:val="nil"/>
              <w:bottom w:val="single" w:sz="8" w:space="0" w:color="0070C0"/>
            </w:tcBorders>
          </w:tcPr>
          <w:p w:rsidR="00AD310F" w:rsidRPr="00726024" w:rsidRDefault="00AD310F" w:rsidP="00AD310F">
            <w:pPr>
              <w:tabs>
                <w:tab w:val="decimal" w:pos="296"/>
              </w:tabs>
              <w:spacing w:before="40" w:after="40"/>
              <w:jc w:val="center"/>
              <w:cnfStyle w:val="000000000000"/>
              <w:rPr>
                <w:b/>
                <w:color w:val="auto"/>
                <w:sz w:val="20"/>
                <w:szCs w:val="20"/>
              </w:rPr>
            </w:pPr>
          </w:p>
        </w:tc>
        <w:tc>
          <w:tcPr>
            <w:tcW w:w="345" w:type="pct"/>
            <w:tcBorders>
              <w:top w:val="nil"/>
              <w:bottom w:val="single" w:sz="8" w:space="0" w:color="0070C0"/>
            </w:tcBorders>
          </w:tcPr>
          <w:p w:rsidR="00AD310F" w:rsidRPr="00726024" w:rsidRDefault="00AD310F" w:rsidP="00AD310F">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45" w:type="pct"/>
            <w:tcBorders>
              <w:top w:val="nil"/>
              <w:bottom w:val="single" w:sz="8" w:space="0" w:color="0070C0"/>
            </w:tcBorders>
          </w:tcPr>
          <w:p w:rsidR="00AD310F" w:rsidRPr="00726024" w:rsidRDefault="00AD310F" w:rsidP="00AD310F">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45" w:type="pct"/>
            <w:tcBorders>
              <w:top w:val="nil"/>
              <w:bottom w:val="single" w:sz="8" w:space="0" w:color="0070C0"/>
            </w:tcBorders>
          </w:tcPr>
          <w:p w:rsidR="00AD310F" w:rsidRPr="00726024" w:rsidRDefault="00AD310F" w:rsidP="00AD310F">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39" w:type="pct"/>
            <w:tcBorders>
              <w:top w:val="nil"/>
              <w:bottom w:val="single" w:sz="8" w:space="0" w:color="0070C0"/>
            </w:tcBorders>
          </w:tcPr>
          <w:p w:rsidR="00AD310F" w:rsidRPr="00726024" w:rsidRDefault="00AD310F" w:rsidP="00AD310F">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37" w:type="pct"/>
            <w:tcBorders>
              <w:top w:val="nil"/>
              <w:bottom w:val="single" w:sz="8" w:space="0" w:color="0070C0"/>
            </w:tcBorders>
          </w:tcPr>
          <w:p w:rsidR="00AD310F" w:rsidRPr="00726024" w:rsidRDefault="00AD310F" w:rsidP="00AD310F">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40" w:type="pct"/>
            <w:tcBorders>
              <w:top w:val="nil"/>
              <w:bottom w:val="single" w:sz="8" w:space="0" w:color="0070C0"/>
            </w:tcBorders>
          </w:tcPr>
          <w:p w:rsidR="00AD310F" w:rsidRPr="00726024" w:rsidRDefault="00AD310F" w:rsidP="00AD310F">
            <w:pPr>
              <w:tabs>
                <w:tab w:val="decimal" w:pos="296"/>
              </w:tabs>
              <w:spacing w:before="40" w:after="40"/>
              <w:jc w:val="center"/>
              <w:cnfStyle w:val="000000000000"/>
              <w:rPr>
                <w:b/>
                <w:color w:val="auto"/>
                <w:sz w:val="20"/>
                <w:szCs w:val="20"/>
              </w:rPr>
            </w:pPr>
            <w:r>
              <w:rPr>
                <w:b/>
                <w:color w:val="auto"/>
                <w:sz w:val="20"/>
                <w:szCs w:val="20"/>
              </w:rPr>
              <w:t>100</w:t>
            </w:r>
          </w:p>
        </w:tc>
        <w:tc>
          <w:tcPr>
            <w:tcW w:w="339" w:type="pct"/>
            <w:tcBorders>
              <w:top w:val="nil"/>
              <w:bottom w:val="single" w:sz="8" w:space="0" w:color="0070C0"/>
              <w:right w:val="nil"/>
            </w:tcBorders>
          </w:tcPr>
          <w:p w:rsidR="00AD310F" w:rsidRDefault="00AD310F" w:rsidP="00AD310F">
            <w:pPr>
              <w:tabs>
                <w:tab w:val="decimal" w:pos="296"/>
              </w:tabs>
              <w:spacing w:before="40" w:after="40"/>
              <w:jc w:val="center"/>
              <w:cnfStyle w:val="000000000000"/>
              <w:rPr>
                <w:b/>
                <w:sz w:val="20"/>
                <w:szCs w:val="20"/>
              </w:rPr>
            </w:pPr>
            <w:r>
              <w:rPr>
                <w:b/>
                <w:sz w:val="20"/>
                <w:szCs w:val="20"/>
              </w:rPr>
              <w:t>100</w:t>
            </w:r>
          </w:p>
        </w:tc>
        <w:tc>
          <w:tcPr>
            <w:tcW w:w="289" w:type="pct"/>
            <w:tcBorders>
              <w:top w:val="nil"/>
              <w:left w:val="nil"/>
              <w:bottom w:val="single" w:sz="8" w:space="0" w:color="0070C0"/>
            </w:tcBorders>
          </w:tcPr>
          <w:p w:rsidR="00AD310F" w:rsidRDefault="00AD310F" w:rsidP="00AD310F">
            <w:pPr>
              <w:tabs>
                <w:tab w:val="decimal" w:pos="296"/>
              </w:tabs>
              <w:spacing w:before="40" w:after="40"/>
              <w:jc w:val="center"/>
              <w:cnfStyle w:val="000000000000"/>
              <w:rPr>
                <w:b/>
                <w:sz w:val="20"/>
                <w:szCs w:val="20"/>
              </w:rPr>
            </w:pPr>
            <w:r>
              <w:rPr>
                <w:b/>
                <w:sz w:val="20"/>
                <w:szCs w:val="20"/>
              </w:rPr>
              <w:t>100</w:t>
            </w:r>
          </w:p>
        </w:tc>
      </w:tr>
    </w:tbl>
    <w:p w:rsidR="00E75F96" w:rsidRPr="007377A4" w:rsidRDefault="00E75F96" w:rsidP="00BE41C7">
      <w:pPr>
        <w:rPr>
          <w:szCs w:val="16"/>
        </w:rPr>
      </w:pPr>
    </w:p>
    <w:p w:rsidR="007377A4" w:rsidRPr="007377A4" w:rsidRDefault="007377A4" w:rsidP="00BE41C7">
      <w:pPr>
        <w:rPr>
          <w:szCs w:val="16"/>
        </w:rPr>
      </w:pPr>
    </w:p>
    <w:tbl>
      <w:tblPr>
        <w:tblStyle w:val="LightShading2"/>
        <w:tblW w:w="4874" w:type="pct"/>
        <w:tblLook w:val="04A0"/>
      </w:tblPr>
      <w:tblGrid>
        <w:gridCol w:w="1912"/>
        <w:gridCol w:w="721"/>
        <w:gridCol w:w="700"/>
        <w:gridCol w:w="694"/>
        <w:gridCol w:w="366"/>
        <w:gridCol w:w="648"/>
        <w:gridCol w:w="648"/>
        <w:gridCol w:w="648"/>
        <w:gridCol w:w="648"/>
        <w:gridCol w:w="648"/>
        <w:gridCol w:w="648"/>
        <w:gridCol w:w="663"/>
        <w:gridCol w:w="663"/>
      </w:tblGrid>
      <w:tr w:rsidR="00CF4038" w:rsidRPr="009E43F2" w:rsidTr="00076B42">
        <w:trPr>
          <w:cnfStyle w:val="100000000000"/>
        </w:trPr>
        <w:tc>
          <w:tcPr>
            <w:cnfStyle w:val="001000000000"/>
            <w:tcW w:w="4361" w:type="pct"/>
            <w:gridSpan w:val="11"/>
            <w:tcBorders>
              <w:top w:val="single" w:sz="8" w:space="0" w:color="0070C0"/>
              <w:bottom w:val="single" w:sz="8" w:space="0" w:color="0070C0"/>
            </w:tcBorders>
          </w:tcPr>
          <w:p w:rsidR="00CF4038" w:rsidRDefault="00727473" w:rsidP="007377A4">
            <w:pPr>
              <w:pStyle w:val="ListParagraph"/>
              <w:spacing w:before="40" w:after="40"/>
              <w:ind w:left="0"/>
              <w:contextualSpacing w:val="0"/>
              <w:jc w:val="center"/>
              <w:rPr>
                <w:sz w:val="18"/>
                <w:szCs w:val="18"/>
              </w:rPr>
            </w:pPr>
            <w:r>
              <w:rPr>
                <w:color w:val="000000"/>
                <w:sz w:val="18"/>
                <w:szCs w:val="18"/>
              </w:rPr>
              <w:t>Ieguldījums pieaugumā</w:t>
            </w:r>
            <w:r w:rsidR="00CF4038">
              <w:rPr>
                <w:b w:val="0"/>
                <w:color w:val="auto"/>
                <w:sz w:val="18"/>
                <w:szCs w:val="18"/>
              </w:rPr>
              <w:t>, %</w:t>
            </w:r>
          </w:p>
        </w:tc>
        <w:tc>
          <w:tcPr>
            <w:tcW w:w="639" w:type="pct"/>
            <w:gridSpan w:val="2"/>
            <w:tcBorders>
              <w:top w:val="single" w:sz="8" w:space="0" w:color="0070C0"/>
              <w:bottom w:val="single" w:sz="8" w:space="0" w:color="0070C0"/>
            </w:tcBorders>
          </w:tcPr>
          <w:p w:rsidR="00CF4038" w:rsidRDefault="00CF4038" w:rsidP="007377A4">
            <w:pPr>
              <w:pStyle w:val="ListParagraph"/>
              <w:spacing w:before="40" w:after="40"/>
              <w:ind w:left="0"/>
              <w:contextualSpacing w:val="0"/>
              <w:jc w:val="center"/>
              <w:cnfStyle w:val="100000000000"/>
              <w:rPr>
                <w:sz w:val="18"/>
                <w:szCs w:val="18"/>
              </w:rPr>
            </w:pPr>
          </w:p>
        </w:tc>
      </w:tr>
      <w:tr w:rsidR="003D3B2B" w:rsidRPr="009E43F2" w:rsidTr="00076B42">
        <w:trPr>
          <w:cnfStyle w:val="000000100000"/>
        </w:trPr>
        <w:tc>
          <w:tcPr>
            <w:cnfStyle w:val="001000000000"/>
            <w:tcW w:w="1002" w:type="pct"/>
            <w:tcBorders>
              <w:top w:val="single" w:sz="8" w:space="0" w:color="0070C0"/>
            </w:tcBorders>
          </w:tcPr>
          <w:p w:rsidR="003D3B2B" w:rsidRPr="009E43F2" w:rsidRDefault="003D3B2B" w:rsidP="007377A4">
            <w:pPr>
              <w:pStyle w:val="ListParagraph"/>
              <w:spacing w:before="40" w:after="40"/>
              <w:ind w:left="0"/>
              <w:contextualSpacing w:val="0"/>
              <w:jc w:val="center"/>
              <w:rPr>
                <w:b w:val="0"/>
                <w:color w:val="auto"/>
                <w:sz w:val="18"/>
              </w:rPr>
            </w:pPr>
          </w:p>
        </w:tc>
        <w:tc>
          <w:tcPr>
            <w:tcW w:w="382" w:type="pct"/>
            <w:tcBorders>
              <w:top w:val="single" w:sz="8" w:space="0" w:color="0070C0"/>
            </w:tcBorders>
          </w:tcPr>
          <w:p w:rsidR="003D3B2B" w:rsidRPr="009E43F2" w:rsidRDefault="003D3B2B" w:rsidP="007377A4">
            <w:pPr>
              <w:pStyle w:val="ListParagraph"/>
              <w:spacing w:before="40" w:after="40"/>
              <w:ind w:left="0"/>
              <w:contextualSpacing w:val="0"/>
              <w:jc w:val="center"/>
              <w:cnfStyle w:val="000000100000"/>
              <w:rPr>
                <w:bCs/>
                <w:sz w:val="18"/>
              </w:rPr>
            </w:pPr>
          </w:p>
        </w:tc>
        <w:tc>
          <w:tcPr>
            <w:tcW w:w="371" w:type="pct"/>
            <w:tcBorders>
              <w:top w:val="single" w:sz="8" w:space="0" w:color="0070C0"/>
            </w:tcBorders>
          </w:tcPr>
          <w:p w:rsidR="003D3B2B" w:rsidRPr="009E43F2" w:rsidRDefault="003D3B2B" w:rsidP="007377A4">
            <w:pPr>
              <w:pStyle w:val="ListParagraph"/>
              <w:spacing w:before="40" w:after="40"/>
              <w:ind w:left="0"/>
              <w:contextualSpacing w:val="0"/>
              <w:jc w:val="center"/>
              <w:cnfStyle w:val="000000100000"/>
              <w:rPr>
                <w:b/>
                <w:color w:val="auto"/>
                <w:sz w:val="18"/>
                <w:szCs w:val="20"/>
              </w:rPr>
            </w:pPr>
            <w:r w:rsidRPr="009E43F2">
              <w:rPr>
                <w:b/>
                <w:color w:val="auto"/>
                <w:sz w:val="18"/>
                <w:szCs w:val="20"/>
              </w:rPr>
              <w:t>2009</w:t>
            </w:r>
          </w:p>
        </w:tc>
        <w:tc>
          <w:tcPr>
            <w:tcW w:w="368" w:type="pct"/>
            <w:tcBorders>
              <w:top w:val="single" w:sz="8" w:space="0" w:color="0070C0"/>
            </w:tcBorders>
          </w:tcPr>
          <w:p w:rsidR="003D3B2B" w:rsidRPr="009E43F2" w:rsidRDefault="003D3B2B" w:rsidP="007377A4">
            <w:pPr>
              <w:pStyle w:val="ListParagraph"/>
              <w:spacing w:before="40" w:after="40"/>
              <w:ind w:left="0"/>
              <w:contextualSpacing w:val="0"/>
              <w:jc w:val="center"/>
              <w:cnfStyle w:val="000000100000"/>
              <w:rPr>
                <w:b/>
                <w:color w:val="auto"/>
                <w:sz w:val="18"/>
                <w:szCs w:val="20"/>
              </w:rPr>
            </w:pPr>
            <w:r>
              <w:rPr>
                <w:b/>
                <w:color w:val="auto"/>
                <w:sz w:val="18"/>
                <w:szCs w:val="20"/>
              </w:rPr>
              <w:t>2010</w:t>
            </w:r>
          </w:p>
        </w:tc>
        <w:tc>
          <w:tcPr>
            <w:tcW w:w="197" w:type="pct"/>
            <w:tcBorders>
              <w:top w:val="single" w:sz="8" w:space="0" w:color="0070C0"/>
            </w:tcBorders>
          </w:tcPr>
          <w:p w:rsidR="003D3B2B" w:rsidRPr="009E43F2" w:rsidRDefault="003D3B2B" w:rsidP="007377A4">
            <w:pPr>
              <w:pStyle w:val="ListParagraph"/>
              <w:spacing w:before="40" w:after="40"/>
              <w:ind w:left="0"/>
              <w:contextualSpacing w:val="0"/>
              <w:jc w:val="center"/>
              <w:cnfStyle w:val="000000100000"/>
              <w:rPr>
                <w:b/>
                <w:color w:val="auto"/>
                <w:sz w:val="18"/>
                <w:szCs w:val="20"/>
              </w:rPr>
            </w:pPr>
          </w:p>
        </w:tc>
        <w:tc>
          <w:tcPr>
            <w:tcW w:w="1366" w:type="pct"/>
            <w:gridSpan w:val="4"/>
            <w:tcBorders>
              <w:top w:val="single" w:sz="8" w:space="0" w:color="0070C0"/>
            </w:tcBorders>
          </w:tcPr>
          <w:p w:rsidR="003D3B2B" w:rsidRPr="009E43F2" w:rsidRDefault="003D3B2B" w:rsidP="007377A4">
            <w:pPr>
              <w:pStyle w:val="ListParagraph"/>
              <w:spacing w:before="40" w:after="40"/>
              <w:ind w:left="0"/>
              <w:contextualSpacing w:val="0"/>
              <w:cnfStyle w:val="000000100000"/>
              <w:rPr>
                <w:b/>
                <w:color w:val="auto"/>
                <w:sz w:val="18"/>
                <w:szCs w:val="20"/>
              </w:rPr>
            </w:pPr>
            <w:r w:rsidRPr="009E43F2">
              <w:rPr>
                <w:b/>
                <w:color w:val="auto"/>
                <w:sz w:val="18"/>
                <w:szCs w:val="20"/>
              </w:rPr>
              <w:t>2009</w:t>
            </w:r>
          </w:p>
        </w:tc>
        <w:tc>
          <w:tcPr>
            <w:tcW w:w="1042" w:type="pct"/>
            <w:gridSpan w:val="3"/>
            <w:tcBorders>
              <w:top w:val="single" w:sz="8" w:space="0" w:color="0070C0"/>
              <w:bottom w:val="nil"/>
            </w:tcBorders>
          </w:tcPr>
          <w:p w:rsidR="003D3B2B" w:rsidRPr="00726024" w:rsidRDefault="003D3B2B" w:rsidP="007377A4">
            <w:pPr>
              <w:pStyle w:val="ListParagraph"/>
              <w:spacing w:before="40" w:after="40"/>
              <w:ind w:left="0"/>
              <w:contextualSpacing w:val="0"/>
              <w:cnfStyle w:val="000000100000"/>
              <w:rPr>
                <w:b/>
                <w:sz w:val="18"/>
                <w:szCs w:val="20"/>
              </w:rPr>
            </w:pPr>
            <w:r w:rsidRPr="00726024">
              <w:rPr>
                <w:b/>
                <w:color w:val="auto"/>
                <w:sz w:val="18"/>
                <w:szCs w:val="20"/>
              </w:rPr>
              <w:t>2010</w:t>
            </w:r>
          </w:p>
        </w:tc>
        <w:tc>
          <w:tcPr>
            <w:tcW w:w="272" w:type="pct"/>
            <w:tcBorders>
              <w:top w:val="single" w:sz="8" w:space="0" w:color="0070C0"/>
            </w:tcBorders>
          </w:tcPr>
          <w:p w:rsidR="003D3B2B" w:rsidRPr="00726024" w:rsidRDefault="003D3B2B" w:rsidP="003D3B2B">
            <w:pPr>
              <w:pStyle w:val="ListParagraph"/>
              <w:spacing w:before="40" w:after="40"/>
              <w:ind w:left="0"/>
              <w:contextualSpacing w:val="0"/>
              <w:cnfStyle w:val="000000100000"/>
              <w:rPr>
                <w:b/>
                <w:sz w:val="18"/>
                <w:szCs w:val="20"/>
              </w:rPr>
            </w:pPr>
          </w:p>
        </w:tc>
      </w:tr>
      <w:tr w:rsidR="003D3B2B" w:rsidRPr="009E43F2" w:rsidTr="003D3B2B">
        <w:tc>
          <w:tcPr>
            <w:cnfStyle w:val="001000000000"/>
            <w:tcW w:w="1002" w:type="pct"/>
          </w:tcPr>
          <w:p w:rsidR="003D3B2B" w:rsidRPr="009E43F2" w:rsidRDefault="003D3B2B" w:rsidP="007377A4">
            <w:pPr>
              <w:pStyle w:val="ListParagraph"/>
              <w:spacing w:before="40" w:after="40"/>
              <w:ind w:left="0"/>
              <w:contextualSpacing w:val="0"/>
              <w:jc w:val="center"/>
              <w:rPr>
                <w:b w:val="0"/>
                <w:color w:val="auto"/>
                <w:sz w:val="18"/>
              </w:rPr>
            </w:pPr>
          </w:p>
        </w:tc>
        <w:tc>
          <w:tcPr>
            <w:tcW w:w="382" w:type="pct"/>
          </w:tcPr>
          <w:p w:rsidR="003D3B2B" w:rsidRPr="009E43F2" w:rsidRDefault="003D3B2B" w:rsidP="007377A4">
            <w:pPr>
              <w:pStyle w:val="ListParagraph"/>
              <w:spacing w:before="40" w:after="40"/>
              <w:ind w:left="0"/>
              <w:contextualSpacing w:val="0"/>
              <w:jc w:val="center"/>
              <w:cnfStyle w:val="000000000000"/>
              <w:rPr>
                <w:bCs/>
                <w:sz w:val="18"/>
              </w:rPr>
            </w:pPr>
          </w:p>
        </w:tc>
        <w:tc>
          <w:tcPr>
            <w:tcW w:w="371" w:type="pct"/>
          </w:tcPr>
          <w:p w:rsidR="003D3B2B" w:rsidRPr="009E43F2" w:rsidRDefault="003D3B2B" w:rsidP="007377A4">
            <w:pPr>
              <w:pStyle w:val="ListParagraph"/>
              <w:spacing w:before="40" w:after="40"/>
              <w:ind w:left="0"/>
              <w:contextualSpacing w:val="0"/>
              <w:jc w:val="center"/>
              <w:cnfStyle w:val="000000000000"/>
              <w:rPr>
                <w:b/>
                <w:color w:val="auto"/>
                <w:sz w:val="18"/>
                <w:szCs w:val="20"/>
              </w:rPr>
            </w:pPr>
          </w:p>
        </w:tc>
        <w:tc>
          <w:tcPr>
            <w:tcW w:w="368" w:type="pct"/>
          </w:tcPr>
          <w:p w:rsidR="003D3B2B" w:rsidRPr="009E43F2" w:rsidRDefault="003D3B2B" w:rsidP="007377A4">
            <w:pPr>
              <w:pStyle w:val="ListParagraph"/>
              <w:spacing w:before="40" w:after="40"/>
              <w:ind w:left="0"/>
              <w:contextualSpacing w:val="0"/>
              <w:jc w:val="center"/>
              <w:cnfStyle w:val="000000000000"/>
              <w:rPr>
                <w:b/>
                <w:color w:val="auto"/>
                <w:sz w:val="18"/>
                <w:szCs w:val="20"/>
              </w:rPr>
            </w:pPr>
          </w:p>
        </w:tc>
        <w:tc>
          <w:tcPr>
            <w:tcW w:w="197" w:type="pct"/>
          </w:tcPr>
          <w:p w:rsidR="003D3B2B" w:rsidRPr="009E43F2" w:rsidRDefault="003D3B2B" w:rsidP="007377A4">
            <w:pPr>
              <w:pStyle w:val="ListParagraph"/>
              <w:spacing w:before="40" w:after="40"/>
              <w:ind w:left="0"/>
              <w:contextualSpacing w:val="0"/>
              <w:jc w:val="center"/>
              <w:cnfStyle w:val="000000000000"/>
              <w:rPr>
                <w:b/>
                <w:color w:val="auto"/>
                <w:sz w:val="18"/>
                <w:szCs w:val="20"/>
              </w:rPr>
            </w:pPr>
          </w:p>
        </w:tc>
        <w:tc>
          <w:tcPr>
            <w:tcW w:w="342" w:type="pct"/>
          </w:tcPr>
          <w:p w:rsidR="003D3B2B" w:rsidRPr="009E43F2" w:rsidRDefault="003D3B2B" w:rsidP="007377A4">
            <w:pPr>
              <w:spacing w:before="40" w:after="40"/>
              <w:jc w:val="center"/>
              <w:cnfStyle w:val="000000000000"/>
              <w:rPr>
                <w:b/>
                <w:color w:val="auto"/>
                <w:sz w:val="18"/>
                <w:szCs w:val="20"/>
              </w:rPr>
            </w:pPr>
            <w:r w:rsidRPr="009E43F2">
              <w:rPr>
                <w:b/>
                <w:color w:val="auto"/>
                <w:sz w:val="18"/>
                <w:szCs w:val="20"/>
              </w:rPr>
              <w:t>I</w:t>
            </w:r>
          </w:p>
        </w:tc>
        <w:tc>
          <w:tcPr>
            <w:tcW w:w="342" w:type="pct"/>
          </w:tcPr>
          <w:p w:rsidR="003D3B2B" w:rsidRPr="009E43F2" w:rsidRDefault="003D3B2B" w:rsidP="007377A4">
            <w:pPr>
              <w:spacing w:before="40" w:after="40"/>
              <w:jc w:val="center"/>
              <w:cnfStyle w:val="000000000000"/>
              <w:rPr>
                <w:b/>
                <w:color w:val="auto"/>
                <w:sz w:val="18"/>
                <w:szCs w:val="20"/>
              </w:rPr>
            </w:pPr>
            <w:r w:rsidRPr="009E43F2">
              <w:rPr>
                <w:b/>
                <w:color w:val="auto"/>
                <w:sz w:val="18"/>
                <w:szCs w:val="20"/>
              </w:rPr>
              <w:t>II</w:t>
            </w:r>
          </w:p>
        </w:tc>
        <w:tc>
          <w:tcPr>
            <w:tcW w:w="342" w:type="pct"/>
          </w:tcPr>
          <w:p w:rsidR="003D3B2B" w:rsidRPr="009E43F2" w:rsidRDefault="003D3B2B" w:rsidP="007377A4">
            <w:pPr>
              <w:spacing w:before="40" w:after="40"/>
              <w:jc w:val="center"/>
              <w:cnfStyle w:val="000000000000"/>
              <w:rPr>
                <w:b/>
                <w:color w:val="auto"/>
                <w:sz w:val="18"/>
                <w:szCs w:val="20"/>
              </w:rPr>
            </w:pPr>
            <w:r w:rsidRPr="009E43F2">
              <w:rPr>
                <w:b/>
                <w:color w:val="auto"/>
                <w:sz w:val="18"/>
                <w:szCs w:val="20"/>
              </w:rPr>
              <w:t>III</w:t>
            </w:r>
          </w:p>
        </w:tc>
        <w:tc>
          <w:tcPr>
            <w:tcW w:w="340" w:type="pct"/>
          </w:tcPr>
          <w:p w:rsidR="003D3B2B" w:rsidRPr="009E43F2" w:rsidRDefault="003D3B2B" w:rsidP="007377A4">
            <w:pPr>
              <w:spacing w:before="40" w:after="40"/>
              <w:jc w:val="center"/>
              <w:cnfStyle w:val="000000000000"/>
              <w:rPr>
                <w:b/>
                <w:color w:val="auto"/>
                <w:sz w:val="18"/>
                <w:szCs w:val="20"/>
              </w:rPr>
            </w:pPr>
            <w:r w:rsidRPr="009E43F2">
              <w:rPr>
                <w:b/>
                <w:color w:val="auto"/>
                <w:sz w:val="18"/>
                <w:szCs w:val="20"/>
              </w:rPr>
              <w:t>IV</w:t>
            </w:r>
          </w:p>
        </w:tc>
        <w:tc>
          <w:tcPr>
            <w:tcW w:w="337" w:type="pct"/>
          </w:tcPr>
          <w:p w:rsidR="003D3B2B" w:rsidRPr="00726024" w:rsidRDefault="003D3B2B" w:rsidP="007377A4">
            <w:pPr>
              <w:spacing w:before="40" w:after="40"/>
              <w:jc w:val="center"/>
              <w:cnfStyle w:val="000000000000"/>
              <w:rPr>
                <w:b/>
                <w:sz w:val="18"/>
                <w:szCs w:val="20"/>
              </w:rPr>
            </w:pPr>
            <w:r>
              <w:rPr>
                <w:b/>
                <w:sz w:val="18"/>
                <w:szCs w:val="20"/>
              </w:rPr>
              <w:t>I</w:t>
            </w:r>
          </w:p>
        </w:tc>
        <w:tc>
          <w:tcPr>
            <w:tcW w:w="338" w:type="pct"/>
          </w:tcPr>
          <w:p w:rsidR="003D3B2B" w:rsidRPr="00726024" w:rsidRDefault="003D3B2B" w:rsidP="007377A4">
            <w:pPr>
              <w:spacing w:before="40" w:after="40"/>
              <w:jc w:val="center"/>
              <w:cnfStyle w:val="000000000000"/>
              <w:rPr>
                <w:b/>
                <w:color w:val="auto"/>
                <w:sz w:val="18"/>
                <w:szCs w:val="20"/>
              </w:rPr>
            </w:pPr>
            <w:r>
              <w:rPr>
                <w:b/>
                <w:color w:val="auto"/>
                <w:sz w:val="18"/>
                <w:szCs w:val="20"/>
              </w:rPr>
              <w:t>I</w:t>
            </w:r>
            <w:r w:rsidRPr="00726024">
              <w:rPr>
                <w:b/>
                <w:color w:val="auto"/>
                <w:sz w:val="18"/>
                <w:szCs w:val="20"/>
              </w:rPr>
              <w:t>I</w:t>
            </w:r>
          </w:p>
        </w:tc>
        <w:tc>
          <w:tcPr>
            <w:tcW w:w="367" w:type="pct"/>
            <w:tcBorders>
              <w:top w:val="nil"/>
              <w:bottom w:val="nil"/>
              <w:right w:val="nil"/>
            </w:tcBorders>
          </w:tcPr>
          <w:p w:rsidR="003D3B2B" w:rsidRDefault="003D3B2B" w:rsidP="007377A4">
            <w:pPr>
              <w:spacing w:before="40" w:after="40"/>
              <w:jc w:val="center"/>
              <w:cnfStyle w:val="000000000000"/>
              <w:rPr>
                <w:b/>
                <w:sz w:val="18"/>
                <w:szCs w:val="20"/>
              </w:rPr>
            </w:pPr>
            <w:r>
              <w:rPr>
                <w:b/>
                <w:sz w:val="18"/>
                <w:szCs w:val="20"/>
              </w:rPr>
              <w:t>III</w:t>
            </w:r>
          </w:p>
        </w:tc>
        <w:tc>
          <w:tcPr>
            <w:tcW w:w="272" w:type="pct"/>
            <w:tcBorders>
              <w:left w:val="nil"/>
            </w:tcBorders>
          </w:tcPr>
          <w:p w:rsidR="003D3B2B" w:rsidRDefault="003D3B2B" w:rsidP="003D3B2B">
            <w:pPr>
              <w:spacing w:before="40" w:after="40"/>
              <w:jc w:val="center"/>
              <w:cnfStyle w:val="000000000000"/>
              <w:rPr>
                <w:b/>
                <w:sz w:val="18"/>
                <w:szCs w:val="20"/>
              </w:rPr>
            </w:pPr>
            <w:r>
              <w:rPr>
                <w:b/>
                <w:sz w:val="18"/>
                <w:szCs w:val="20"/>
              </w:rPr>
              <w:t>IV</w:t>
            </w:r>
          </w:p>
        </w:tc>
      </w:tr>
      <w:tr w:rsidR="00AD310F" w:rsidRPr="00B12C8D" w:rsidTr="00350DE4">
        <w:trPr>
          <w:cnfStyle w:val="000000100000"/>
        </w:trPr>
        <w:tc>
          <w:tcPr>
            <w:cnfStyle w:val="001000000000"/>
            <w:tcW w:w="1384"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Privātais patēriņš</w:t>
            </w:r>
          </w:p>
        </w:tc>
        <w:tc>
          <w:tcPr>
            <w:tcW w:w="371"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-17,3</w:t>
            </w:r>
          </w:p>
        </w:tc>
        <w:tc>
          <w:tcPr>
            <w:tcW w:w="368" w:type="pct"/>
            <w:vAlign w:val="bottom"/>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0,0</w:t>
            </w:r>
          </w:p>
        </w:tc>
        <w:tc>
          <w:tcPr>
            <w:tcW w:w="197" w:type="pct"/>
          </w:tcPr>
          <w:p w:rsidR="00AD310F" w:rsidRPr="00B12C8D" w:rsidRDefault="00AD310F" w:rsidP="00AD310F">
            <w:pPr>
              <w:tabs>
                <w:tab w:val="decimal" w:pos="296"/>
              </w:tabs>
              <w:spacing w:before="40" w:after="40"/>
              <w:jc w:val="center"/>
              <w:cnfStyle w:val="000000100000"/>
              <w:rPr>
                <w:color w:val="auto"/>
                <w:sz w:val="18"/>
                <w:szCs w:val="18"/>
              </w:rPr>
            </w:pPr>
          </w:p>
        </w:tc>
        <w:tc>
          <w:tcPr>
            <w:tcW w:w="342"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-16,9</w:t>
            </w:r>
          </w:p>
        </w:tc>
        <w:tc>
          <w:tcPr>
            <w:tcW w:w="342"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-19,8</w:t>
            </w:r>
          </w:p>
        </w:tc>
        <w:tc>
          <w:tcPr>
            <w:tcW w:w="342"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-19,5</w:t>
            </w:r>
          </w:p>
        </w:tc>
        <w:tc>
          <w:tcPr>
            <w:tcW w:w="340"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-12,9</w:t>
            </w:r>
          </w:p>
        </w:tc>
        <w:tc>
          <w:tcPr>
            <w:tcW w:w="337"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w:t>
            </w:r>
            <w:r>
              <w:rPr>
                <w:color w:val="auto"/>
                <w:sz w:val="18"/>
                <w:szCs w:val="18"/>
              </w:rPr>
              <w:t>4</w:t>
            </w:r>
          </w:p>
        </w:tc>
        <w:tc>
          <w:tcPr>
            <w:tcW w:w="338"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1,6</w:t>
            </w:r>
          </w:p>
        </w:tc>
        <w:tc>
          <w:tcPr>
            <w:tcW w:w="367" w:type="pct"/>
            <w:tcBorders>
              <w:top w:val="nil"/>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w:t>
            </w:r>
            <w:r>
              <w:rPr>
                <w:color w:val="auto"/>
                <w:sz w:val="18"/>
                <w:szCs w:val="18"/>
              </w:rPr>
              <w:t>9</w:t>
            </w:r>
          </w:p>
        </w:tc>
        <w:tc>
          <w:tcPr>
            <w:tcW w:w="272" w:type="pct"/>
          </w:tcPr>
          <w:p w:rsidR="00AD310F" w:rsidRPr="00200473" w:rsidRDefault="00AD310F" w:rsidP="00AD310F">
            <w:pPr>
              <w:tabs>
                <w:tab w:val="decimal" w:pos="296"/>
              </w:tabs>
              <w:spacing w:before="40" w:after="40"/>
              <w:jc w:val="center"/>
              <w:cnfStyle w:val="000000100000"/>
              <w:rPr>
                <w:sz w:val="18"/>
                <w:szCs w:val="18"/>
              </w:rPr>
            </w:pPr>
            <w:r>
              <w:rPr>
                <w:sz w:val="18"/>
                <w:szCs w:val="18"/>
              </w:rPr>
              <w:t>3,3</w:t>
            </w:r>
          </w:p>
        </w:tc>
      </w:tr>
      <w:tr w:rsidR="00AD310F" w:rsidRPr="00B12C8D" w:rsidTr="00350DE4">
        <w:tc>
          <w:tcPr>
            <w:cnfStyle w:val="001000000000"/>
            <w:tcW w:w="1384"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Valsts patēriņš</w:t>
            </w:r>
          </w:p>
        </w:tc>
        <w:tc>
          <w:tcPr>
            <w:tcW w:w="371"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-1,3</w:t>
            </w:r>
          </w:p>
        </w:tc>
        <w:tc>
          <w:tcPr>
            <w:tcW w:w="368"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w:t>
            </w:r>
            <w:r>
              <w:rPr>
                <w:color w:val="auto"/>
                <w:sz w:val="18"/>
                <w:szCs w:val="18"/>
              </w:rPr>
              <w:t>8</w:t>
            </w:r>
          </w:p>
        </w:tc>
        <w:tc>
          <w:tcPr>
            <w:tcW w:w="197" w:type="pct"/>
          </w:tcPr>
          <w:p w:rsidR="00AD310F" w:rsidRPr="00B12C8D" w:rsidRDefault="00AD310F" w:rsidP="00AD310F">
            <w:pPr>
              <w:tabs>
                <w:tab w:val="decimal" w:pos="296"/>
              </w:tabs>
              <w:spacing w:before="40" w:after="40"/>
              <w:jc w:val="center"/>
              <w:cnfStyle w:val="000000000000"/>
              <w:rPr>
                <w:color w:val="auto"/>
                <w:sz w:val="18"/>
                <w:szCs w:val="18"/>
              </w:rPr>
            </w:pPr>
          </w:p>
        </w:tc>
        <w:tc>
          <w:tcPr>
            <w:tcW w:w="342"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-0,2</w:t>
            </w:r>
          </w:p>
        </w:tc>
        <w:tc>
          <w:tcPr>
            <w:tcW w:w="342"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-1,0</w:t>
            </w:r>
          </w:p>
        </w:tc>
        <w:tc>
          <w:tcPr>
            <w:tcW w:w="342"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-1,6</w:t>
            </w:r>
          </w:p>
        </w:tc>
        <w:tc>
          <w:tcPr>
            <w:tcW w:w="340"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-2,4</w:t>
            </w:r>
          </w:p>
        </w:tc>
        <w:tc>
          <w:tcPr>
            <w:tcW w:w="337"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2,5</w:t>
            </w:r>
          </w:p>
        </w:tc>
        <w:tc>
          <w:tcPr>
            <w:tcW w:w="338"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2,3</w:t>
            </w:r>
          </w:p>
        </w:tc>
        <w:tc>
          <w:tcPr>
            <w:tcW w:w="367" w:type="pct"/>
            <w:tcBorders>
              <w:top w:val="nil"/>
              <w:bottom w:val="nil"/>
              <w:right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-0,</w:t>
            </w:r>
            <w:r>
              <w:rPr>
                <w:color w:val="auto"/>
                <w:sz w:val="18"/>
                <w:szCs w:val="18"/>
              </w:rPr>
              <w:t>9</w:t>
            </w:r>
          </w:p>
        </w:tc>
        <w:tc>
          <w:tcPr>
            <w:tcW w:w="272" w:type="pct"/>
            <w:tcBorders>
              <w:left w:val="nil"/>
            </w:tcBorders>
          </w:tcPr>
          <w:p w:rsidR="00AD310F" w:rsidRPr="00200473" w:rsidRDefault="00AD310F" w:rsidP="00AD310F">
            <w:pPr>
              <w:tabs>
                <w:tab w:val="decimal" w:pos="296"/>
              </w:tabs>
              <w:spacing w:before="40" w:after="40"/>
              <w:jc w:val="center"/>
              <w:cnfStyle w:val="000000000000"/>
              <w:rPr>
                <w:sz w:val="18"/>
                <w:szCs w:val="18"/>
              </w:rPr>
            </w:pPr>
            <w:r>
              <w:rPr>
                <w:sz w:val="18"/>
                <w:szCs w:val="18"/>
              </w:rPr>
              <w:t>-1,6</w:t>
            </w:r>
          </w:p>
        </w:tc>
      </w:tr>
      <w:tr w:rsidR="00AD310F" w:rsidRPr="00B12C8D" w:rsidTr="00350DE4">
        <w:trPr>
          <w:cnfStyle w:val="000000100000"/>
        </w:trPr>
        <w:tc>
          <w:tcPr>
            <w:cnfStyle w:val="001000000000"/>
            <w:tcW w:w="1384" w:type="pct"/>
            <w:gridSpan w:val="2"/>
          </w:tcPr>
          <w:p w:rsidR="00AD310F" w:rsidRPr="00B12C8D" w:rsidRDefault="00AD310F" w:rsidP="007377A4">
            <w:pPr>
              <w:spacing w:before="40" w:after="40"/>
              <w:rPr>
                <w:b w:val="0"/>
                <w:color w:val="auto"/>
                <w:sz w:val="18"/>
                <w:szCs w:val="18"/>
              </w:rPr>
            </w:pPr>
            <w:r w:rsidRPr="00E75F96">
              <w:rPr>
                <w:b w:val="0"/>
                <w:color w:val="auto"/>
                <w:sz w:val="18"/>
                <w:szCs w:val="18"/>
              </w:rPr>
              <w:t>Kopējā pamatkapitāla veidošana</w:t>
            </w:r>
          </w:p>
        </w:tc>
        <w:tc>
          <w:tcPr>
            <w:tcW w:w="371"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-12,1</w:t>
            </w:r>
          </w:p>
        </w:tc>
        <w:tc>
          <w:tcPr>
            <w:tcW w:w="368"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4,8</w:t>
            </w:r>
          </w:p>
        </w:tc>
        <w:tc>
          <w:tcPr>
            <w:tcW w:w="197" w:type="pct"/>
          </w:tcPr>
          <w:p w:rsidR="00AD310F" w:rsidRPr="00B12C8D" w:rsidRDefault="00AD310F" w:rsidP="00AD310F">
            <w:pPr>
              <w:tabs>
                <w:tab w:val="decimal" w:pos="296"/>
              </w:tabs>
              <w:spacing w:before="40" w:after="40"/>
              <w:jc w:val="center"/>
              <w:cnfStyle w:val="000000100000"/>
              <w:rPr>
                <w:color w:val="auto"/>
                <w:sz w:val="18"/>
                <w:szCs w:val="18"/>
              </w:rPr>
            </w:pPr>
          </w:p>
        </w:tc>
        <w:tc>
          <w:tcPr>
            <w:tcW w:w="342"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-10,1</w:t>
            </w:r>
          </w:p>
        </w:tc>
        <w:tc>
          <w:tcPr>
            <w:tcW w:w="342"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-12,2</w:t>
            </w:r>
          </w:p>
        </w:tc>
        <w:tc>
          <w:tcPr>
            <w:tcW w:w="342"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-12,7</w:t>
            </w:r>
          </w:p>
        </w:tc>
        <w:tc>
          <w:tcPr>
            <w:tcW w:w="340"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-13,0</w:t>
            </w:r>
          </w:p>
        </w:tc>
        <w:tc>
          <w:tcPr>
            <w:tcW w:w="337"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-10,6</w:t>
            </w:r>
          </w:p>
        </w:tc>
        <w:tc>
          <w:tcPr>
            <w:tcW w:w="338"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-9,3</w:t>
            </w:r>
          </w:p>
        </w:tc>
        <w:tc>
          <w:tcPr>
            <w:tcW w:w="367" w:type="pct"/>
            <w:tcBorders>
              <w:top w:val="nil"/>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0,</w:t>
            </w:r>
            <w:r>
              <w:rPr>
                <w:color w:val="auto"/>
                <w:sz w:val="18"/>
                <w:szCs w:val="18"/>
              </w:rPr>
              <w:t>1</w:t>
            </w:r>
          </w:p>
        </w:tc>
        <w:tc>
          <w:tcPr>
            <w:tcW w:w="272" w:type="pct"/>
          </w:tcPr>
          <w:p w:rsidR="00AD310F" w:rsidRPr="00200473" w:rsidRDefault="00AD310F" w:rsidP="00AD310F">
            <w:pPr>
              <w:tabs>
                <w:tab w:val="decimal" w:pos="296"/>
              </w:tabs>
              <w:spacing w:before="40" w:after="40"/>
              <w:jc w:val="center"/>
              <w:cnfStyle w:val="000000100000"/>
              <w:rPr>
                <w:sz w:val="18"/>
                <w:szCs w:val="18"/>
              </w:rPr>
            </w:pPr>
            <w:r>
              <w:rPr>
                <w:sz w:val="18"/>
                <w:szCs w:val="18"/>
              </w:rPr>
              <w:t>-0,4</w:t>
            </w:r>
          </w:p>
        </w:tc>
      </w:tr>
      <w:tr w:rsidR="00AD310F" w:rsidRPr="00B12C8D" w:rsidTr="00350DE4">
        <w:tc>
          <w:tcPr>
            <w:cnfStyle w:val="001000000000"/>
            <w:tcW w:w="1384"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Izmaiņas krājumos</w:t>
            </w:r>
          </w:p>
        </w:tc>
        <w:tc>
          <w:tcPr>
            <w:tcW w:w="371"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-1,5</w:t>
            </w:r>
          </w:p>
        </w:tc>
        <w:tc>
          <w:tcPr>
            <w:tcW w:w="368" w:type="pct"/>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5,8</w:t>
            </w:r>
          </w:p>
        </w:tc>
        <w:tc>
          <w:tcPr>
            <w:tcW w:w="197" w:type="pct"/>
          </w:tcPr>
          <w:p w:rsidR="00AD310F" w:rsidRPr="00B12C8D" w:rsidRDefault="00AD310F" w:rsidP="00AD310F">
            <w:pPr>
              <w:tabs>
                <w:tab w:val="decimal" w:pos="296"/>
              </w:tabs>
              <w:spacing w:before="40" w:after="40"/>
              <w:jc w:val="center"/>
              <w:cnfStyle w:val="000000000000"/>
              <w:rPr>
                <w:color w:val="auto"/>
                <w:sz w:val="18"/>
                <w:szCs w:val="18"/>
              </w:rPr>
            </w:pPr>
          </w:p>
        </w:tc>
        <w:tc>
          <w:tcPr>
            <w:tcW w:w="342"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-4,1</w:t>
            </w:r>
          </w:p>
        </w:tc>
        <w:tc>
          <w:tcPr>
            <w:tcW w:w="342"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-0,8</w:t>
            </w:r>
          </w:p>
        </w:tc>
        <w:tc>
          <w:tcPr>
            <w:tcW w:w="342"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0,0</w:t>
            </w:r>
          </w:p>
        </w:tc>
        <w:tc>
          <w:tcPr>
            <w:tcW w:w="340" w:type="pct"/>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-1,2</w:t>
            </w:r>
          </w:p>
        </w:tc>
        <w:tc>
          <w:tcPr>
            <w:tcW w:w="337" w:type="pct"/>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8,0</w:t>
            </w:r>
          </w:p>
        </w:tc>
        <w:tc>
          <w:tcPr>
            <w:tcW w:w="338" w:type="pct"/>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10,4</w:t>
            </w:r>
          </w:p>
        </w:tc>
        <w:tc>
          <w:tcPr>
            <w:tcW w:w="367" w:type="pct"/>
            <w:tcBorders>
              <w:top w:val="nil"/>
              <w:bottom w:val="nil"/>
              <w:right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1,0</w:t>
            </w:r>
          </w:p>
        </w:tc>
        <w:tc>
          <w:tcPr>
            <w:tcW w:w="272" w:type="pct"/>
            <w:tcBorders>
              <w:left w:val="nil"/>
            </w:tcBorders>
          </w:tcPr>
          <w:p w:rsidR="00AD310F" w:rsidRPr="00200473" w:rsidRDefault="00AD310F" w:rsidP="00AD310F">
            <w:pPr>
              <w:tabs>
                <w:tab w:val="decimal" w:pos="296"/>
              </w:tabs>
              <w:spacing w:before="40" w:after="40"/>
              <w:jc w:val="center"/>
              <w:cnfStyle w:val="000000000000"/>
              <w:rPr>
                <w:sz w:val="18"/>
                <w:szCs w:val="18"/>
              </w:rPr>
            </w:pPr>
            <w:r>
              <w:rPr>
                <w:sz w:val="18"/>
                <w:szCs w:val="18"/>
              </w:rPr>
              <w:t>4,0</w:t>
            </w:r>
          </w:p>
        </w:tc>
      </w:tr>
      <w:tr w:rsidR="00AD310F" w:rsidRPr="00B12C8D" w:rsidTr="00350DE4">
        <w:trPr>
          <w:cnfStyle w:val="000000100000"/>
        </w:trPr>
        <w:tc>
          <w:tcPr>
            <w:cnfStyle w:val="001000000000"/>
            <w:tcW w:w="1384" w:type="pct"/>
            <w:gridSpan w:val="2"/>
          </w:tcPr>
          <w:p w:rsidR="00AD310F" w:rsidRPr="00E75F96" w:rsidRDefault="00AD310F" w:rsidP="007377A4">
            <w:pPr>
              <w:spacing w:before="40" w:after="40"/>
              <w:rPr>
                <w:b w:val="0"/>
                <w:color w:val="auto"/>
                <w:sz w:val="18"/>
                <w:szCs w:val="18"/>
              </w:rPr>
            </w:pPr>
            <w:r w:rsidRPr="00E75F96">
              <w:rPr>
                <w:b w:val="0"/>
                <w:color w:val="auto"/>
                <w:sz w:val="18"/>
                <w:szCs w:val="18"/>
              </w:rPr>
              <w:t>Eksports</w:t>
            </w:r>
          </w:p>
        </w:tc>
        <w:tc>
          <w:tcPr>
            <w:tcW w:w="371"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-6,3</w:t>
            </w:r>
          </w:p>
        </w:tc>
        <w:tc>
          <w:tcPr>
            <w:tcW w:w="368" w:type="pct"/>
            <w:vAlign w:val="bottom"/>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4,8</w:t>
            </w:r>
          </w:p>
        </w:tc>
        <w:tc>
          <w:tcPr>
            <w:tcW w:w="197" w:type="pct"/>
          </w:tcPr>
          <w:p w:rsidR="00AD310F" w:rsidRPr="00B12C8D" w:rsidRDefault="00AD310F" w:rsidP="00AD310F">
            <w:pPr>
              <w:tabs>
                <w:tab w:val="decimal" w:pos="296"/>
              </w:tabs>
              <w:spacing w:before="40" w:after="40"/>
              <w:jc w:val="center"/>
              <w:cnfStyle w:val="000000100000"/>
              <w:rPr>
                <w:color w:val="auto"/>
                <w:sz w:val="18"/>
                <w:szCs w:val="18"/>
              </w:rPr>
            </w:pPr>
          </w:p>
        </w:tc>
        <w:tc>
          <w:tcPr>
            <w:tcW w:w="342"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-9,2</w:t>
            </w:r>
          </w:p>
        </w:tc>
        <w:tc>
          <w:tcPr>
            <w:tcW w:w="342"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-8,8</w:t>
            </w:r>
          </w:p>
        </w:tc>
        <w:tc>
          <w:tcPr>
            <w:tcW w:w="342"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-6,0</w:t>
            </w:r>
          </w:p>
        </w:tc>
        <w:tc>
          <w:tcPr>
            <w:tcW w:w="340"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-1,6</w:t>
            </w:r>
          </w:p>
        </w:tc>
        <w:tc>
          <w:tcPr>
            <w:tcW w:w="337"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w:t>
            </w:r>
            <w:r>
              <w:rPr>
                <w:color w:val="auto"/>
                <w:sz w:val="18"/>
                <w:szCs w:val="18"/>
              </w:rPr>
              <w:t>8</w:t>
            </w:r>
          </w:p>
        </w:tc>
        <w:tc>
          <w:tcPr>
            <w:tcW w:w="338" w:type="pct"/>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3,5</w:t>
            </w:r>
          </w:p>
        </w:tc>
        <w:tc>
          <w:tcPr>
            <w:tcW w:w="367" w:type="pct"/>
            <w:tcBorders>
              <w:top w:val="nil"/>
              <w:bottom w:val="nil"/>
            </w:tcBorders>
            <w:vAlign w:val="bottom"/>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7,1</w:t>
            </w:r>
          </w:p>
        </w:tc>
        <w:tc>
          <w:tcPr>
            <w:tcW w:w="272" w:type="pct"/>
          </w:tcPr>
          <w:p w:rsidR="00AD310F" w:rsidRPr="00200473" w:rsidRDefault="00AD310F" w:rsidP="00AD310F">
            <w:pPr>
              <w:tabs>
                <w:tab w:val="decimal" w:pos="296"/>
              </w:tabs>
              <w:spacing w:before="40" w:after="40"/>
              <w:jc w:val="center"/>
              <w:cnfStyle w:val="000000100000"/>
              <w:rPr>
                <w:sz w:val="18"/>
                <w:szCs w:val="18"/>
              </w:rPr>
            </w:pPr>
            <w:r>
              <w:rPr>
                <w:sz w:val="18"/>
                <w:szCs w:val="18"/>
              </w:rPr>
              <w:t>6,5</w:t>
            </w:r>
          </w:p>
        </w:tc>
      </w:tr>
      <w:tr w:rsidR="00AD310F" w:rsidRPr="00B12C8D" w:rsidTr="00076B42">
        <w:tc>
          <w:tcPr>
            <w:cnfStyle w:val="001000000000"/>
            <w:tcW w:w="1384" w:type="pct"/>
            <w:gridSpan w:val="2"/>
            <w:tcBorders>
              <w:bottom w:val="nil"/>
            </w:tcBorders>
          </w:tcPr>
          <w:p w:rsidR="00AD310F" w:rsidRPr="00E75F96" w:rsidRDefault="00AD310F" w:rsidP="007377A4">
            <w:pPr>
              <w:spacing w:before="40" w:after="40"/>
              <w:rPr>
                <w:b w:val="0"/>
                <w:color w:val="auto"/>
                <w:sz w:val="18"/>
                <w:szCs w:val="18"/>
              </w:rPr>
            </w:pPr>
            <w:r w:rsidRPr="00E75F96">
              <w:rPr>
                <w:b w:val="0"/>
                <w:color w:val="auto"/>
                <w:sz w:val="18"/>
                <w:szCs w:val="18"/>
              </w:rPr>
              <w:t>Imports</w:t>
            </w:r>
          </w:p>
        </w:tc>
        <w:tc>
          <w:tcPr>
            <w:tcW w:w="371" w:type="pct"/>
            <w:tcBorders>
              <w:bottom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20,5</w:t>
            </w:r>
          </w:p>
        </w:tc>
        <w:tc>
          <w:tcPr>
            <w:tcW w:w="368" w:type="pct"/>
            <w:tcBorders>
              <w:bottom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-4,3</w:t>
            </w:r>
          </w:p>
        </w:tc>
        <w:tc>
          <w:tcPr>
            <w:tcW w:w="197" w:type="pct"/>
            <w:tcBorders>
              <w:bottom w:val="nil"/>
            </w:tcBorders>
          </w:tcPr>
          <w:p w:rsidR="00AD310F" w:rsidRPr="00B12C8D" w:rsidRDefault="00AD310F" w:rsidP="00AD310F">
            <w:pPr>
              <w:tabs>
                <w:tab w:val="decimal" w:pos="296"/>
              </w:tabs>
              <w:spacing w:before="40" w:after="40"/>
              <w:jc w:val="center"/>
              <w:cnfStyle w:val="000000000000"/>
              <w:rPr>
                <w:color w:val="auto"/>
                <w:sz w:val="18"/>
                <w:szCs w:val="18"/>
              </w:rPr>
            </w:pPr>
          </w:p>
        </w:tc>
        <w:tc>
          <w:tcPr>
            <w:tcW w:w="342" w:type="pct"/>
            <w:tcBorders>
              <w:bottom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22,6</w:t>
            </w:r>
          </w:p>
        </w:tc>
        <w:tc>
          <w:tcPr>
            <w:tcW w:w="342" w:type="pct"/>
            <w:tcBorders>
              <w:bottom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24,5</w:t>
            </w:r>
          </w:p>
        </w:tc>
        <w:tc>
          <w:tcPr>
            <w:tcW w:w="342" w:type="pct"/>
            <w:tcBorders>
              <w:bottom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20,8</w:t>
            </w:r>
          </w:p>
        </w:tc>
        <w:tc>
          <w:tcPr>
            <w:tcW w:w="340" w:type="pct"/>
            <w:tcBorders>
              <w:bottom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14,4</w:t>
            </w:r>
          </w:p>
        </w:tc>
        <w:tc>
          <w:tcPr>
            <w:tcW w:w="337" w:type="pct"/>
            <w:tcBorders>
              <w:bottom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1,6</w:t>
            </w:r>
          </w:p>
        </w:tc>
        <w:tc>
          <w:tcPr>
            <w:tcW w:w="338" w:type="pct"/>
            <w:tcBorders>
              <w:bottom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3,3</w:t>
            </w:r>
          </w:p>
        </w:tc>
        <w:tc>
          <w:tcPr>
            <w:tcW w:w="367" w:type="pct"/>
            <w:tcBorders>
              <w:top w:val="nil"/>
              <w:bottom w:val="nil"/>
              <w:right w:val="nil"/>
            </w:tcBorders>
            <w:vAlign w:val="bottom"/>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-6,4</w:t>
            </w:r>
          </w:p>
        </w:tc>
        <w:tc>
          <w:tcPr>
            <w:tcW w:w="272" w:type="pct"/>
            <w:tcBorders>
              <w:left w:val="nil"/>
              <w:bottom w:val="nil"/>
            </w:tcBorders>
          </w:tcPr>
          <w:p w:rsidR="00AD310F" w:rsidRPr="00200473" w:rsidRDefault="00AD310F" w:rsidP="00AD310F">
            <w:pPr>
              <w:tabs>
                <w:tab w:val="decimal" w:pos="296"/>
              </w:tabs>
              <w:spacing w:before="40" w:after="40"/>
              <w:jc w:val="center"/>
              <w:cnfStyle w:val="000000000000"/>
              <w:rPr>
                <w:sz w:val="18"/>
                <w:szCs w:val="18"/>
              </w:rPr>
            </w:pPr>
            <w:r>
              <w:rPr>
                <w:sz w:val="18"/>
                <w:szCs w:val="18"/>
              </w:rPr>
              <w:t>-8,1</w:t>
            </w:r>
          </w:p>
        </w:tc>
      </w:tr>
      <w:tr w:rsidR="00AD310F" w:rsidRPr="00726024" w:rsidTr="00076B42">
        <w:trPr>
          <w:cnfStyle w:val="000000100000"/>
        </w:trPr>
        <w:tc>
          <w:tcPr>
            <w:cnfStyle w:val="001000000000"/>
            <w:tcW w:w="1384" w:type="pct"/>
            <w:gridSpan w:val="2"/>
            <w:tcBorders>
              <w:top w:val="nil"/>
              <w:bottom w:val="single" w:sz="8" w:space="0" w:color="0070C0"/>
            </w:tcBorders>
          </w:tcPr>
          <w:p w:rsidR="00AD310F" w:rsidRPr="00726024" w:rsidRDefault="00AD310F" w:rsidP="007377A4">
            <w:pPr>
              <w:spacing w:before="40" w:after="40"/>
              <w:rPr>
                <w:color w:val="auto"/>
                <w:sz w:val="20"/>
                <w:szCs w:val="20"/>
              </w:rPr>
            </w:pPr>
            <w:r w:rsidRPr="00726024">
              <w:rPr>
                <w:color w:val="auto"/>
                <w:sz w:val="20"/>
                <w:szCs w:val="20"/>
              </w:rPr>
              <w:t>IKP</w:t>
            </w:r>
          </w:p>
        </w:tc>
        <w:tc>
          <w:tcPr>
            <w:tcW w:w="371" w:type="pct"/>
            <w:tcBorders>
              <w:top w:val="nil"/>
              <w:bottom w:val="single" w:sz="8" w:space="0" w:color="0070C0"/>
            </w:tcBorders>
          </w:tcPr>
          <w:p w:rsidR="00AD310F" w:rsidRPr="00726024" w:rsidRDefault="00AD310F" w:rsidP="00AD310F">
            <w:pPr>
              <w:tabs>
                <w:tab w:val="decimal" w:pos="296"/>
              </w:tabs>
              <w:spacing w:before="40" w:after="40"/>
              <w:jc w:val="center"/>
              <w:cnfStyle w:val="000000100000"/>
              <w:rPr>
                <w:b/>
                <w:color w:val="auto"/>
                <w:sz w:val="20"/>
                <w:szCs w:val="20"/>
              </w:rPr>
            </w:pPr>
            <w:r w:rsidRPr="00726024">
              <w:rPr>
                <w:b/>
                <w:color w:val="auto"/>
                <w:sz w:val="20"/>
                <w:szCs w:val="20"/>
              </w:rPr>
              <w:t>-18,0</w:t>
            </w:r>
          </w:p>
        </w:tc>
        <w:tc>
          <w:tcPr>
            <w:tcW w:w="368" w:type="pct"/>
            <w:tcBorders>
              <w:top w:val="nil"/>
              <w:bottom w:val="single" w:sz="8" w:space="0" w:color="0070C0"/>
            </w:tcBorders>
          </w:tcPr>
          <w:p w:rsidR="00AD310F" w:rsidRPr="00726024" w:rsidRDefault="00AD310F" w:rsidP="00AD310F">
            <w:pPr>
              <w:tabs>
                <w:tab w:val="decimal" w:pos="296"/>
              </w:tabs>
              <w:spacing w:before="40" w:after="40"/>
              <w:jc w:val="center"/>
              <w:cnfStyle w:val="000000100000"/>
              <w:rPr>
                <w:b/>
                <w:color w:val="auto"/>
                <w:sz w:val="20"/>
                <w:szCs w:val="20"/>
              </w:rPr>
            </w:pPr>
            <w:r w:rsidRPr="00726024">
              <w:rPr>
                <w:b/>
                <w:color w:val="auto"/>
                <w:sz w:val="20"/>
                <w:szCs w:val="20"/>
              </w:rPr>
              <w:t>-</w:t>
            </w:r>
            <w:r>
              <w:rPr>
                <w:b/>
                <w:color w:val="auto"/>
                <w:sz w:val="20"/>
                <w:szCs w:val="20"/>
              </w:rPr>
              <w:t>0,3</w:t>
            </w:r>
          </w:p>
        </w:tc>
        <w:tc>
          <w:tcPr>
            <w:tcW w:w="197" w:type="pct"/>
            <w:tcBorders>
              <w:top w:val="nil"/>
              <w:bottom w:val="single" w:sz="8" w:space="0" w:color="0070C0"/>
            </w:tcBorders>
          </w:tcPr>
          <w:p w:rsidR="00AD310F" w:rsidRPr="00726024" w:rsidRDefault="00AD310F" w:rsidP="00AD310F">
            <w:pPr>
              <w:tabs>
                <w:tab w:val="decimal" w:pos="296"/>
              </w:tabs>
              <w:spacing w:before="40" w:after="40"/>
              <w:jc w:val="center"/>
              <w:cnfStyle w:val="000000100000"/>
              <w:rPr>
                <w:b/>
                <w:color w:val="auto"/>
                <w:sz w:val="20"/>
                <w:szCs w:val="20"/>
              </w:rPr>
            </w:pPr>
          </w:p>
        </w:tc>
        <w:tc>
          <w:tcPr>
            <w:tcW w:w="342" w:type="pct"/>
            <w:tcBorders>
              <w:top w:val="nil"/>
              <w:bottom w:val="single" w:sz="8" w:space="0" w:color="0070C0"/>
            </w:tcBorders>
          </w:tcPr>
          <w:p w:rsidR="00AD310F" w:rsidRPr="00726024" w:rsidRDefault="00AD310F" w:rsidP="00AD310F">
            <w:pPr>
              <w:tabs>
                <w:tab w:val="decimal" w:pos="296"/>
              </w:tabs>
              <w:spacing w:before="40" w:after="40"/>
              <w:jc w:val="center"/>
              <w:cnfStyle w:val="000000100000"/>
              <w:rPr>
                <w:b/>
                <w:color w:val="auto"/>
                <w:sz w:val="20"/>
                <w:szCs w:val="20"/>
              </w:rPr>
            </w:pPr>
            <w:r w:rsidRPr="00726024">
              <w:rPr>
                <w:b/>
                <w:color w:val="auto"/>
                <w:sz w:val="20"/>
                <w:szCs w:val="20"/>
              </w:rPr>
              <w:t>-17,8</w:t>
            </w:r>
          </w:p>
        </w:tc>
        <w:tc>
          <w:tcPr>
            <w:tcW w:w="342" w:type="pct"/>
            <w:tcBorders>
              <w:top w:val="nil"/>
              <w:bottom w:val="single" w:sz="8" w:space="0" w:color="0070C0"/>
            </w:tcBorders>
          </w:tcPr>
          <w:p w:rsidR="00AD310F" w:rsidRPr="00726024" w:rsidRDefault="00AD310F" w:rsidP="00AD310F">
            <w:pPr>
              <w:tabs>
                <w:tab w:val="decimal" w:pos="296"/>
              </w:tabs>
              <w:spacing w:before="40" w:after="40"/>
              <w:jc w:val="center"/>
              <w:cnfStyle w:val="000000100000"/>
              <w:rPr>
                <w:b/>
                <w:color w:val="auto"/>
                <w:sz w:val="20"/>
                <w:szCs w:val="20"/>
              </w:rPr>
            </w:pPr>
            <w:r w:rsidRPr="00726024">
              <w:rPr>
                <w:b/>
                <w:color w:val="auto"/>
                <w:sz w:val="20"/>
                <w:szCs w:val="20"/>
              </w:rPr>
              <w:t>-18,1</w:t>
            </w:r>
          </w:p>
        </w:tc>
        <w:tc>
          <w:tcPr>
            <w:tcW w:w="342" w:type="pct"/>
            <w:tcBorders>
              <w:top w:val="nil"/>
              <w:bottom w:val="single" w:sz="8" w:space="0" w:color="0070C0"/>
            </w:tcBorders>
          </w:tcPr>
          <w:p w:rsidR="00AD310F" w:rsidRPr="00726024" w:rsidRDefault="00AD310F" w:rsidP="00AD310F">
            <w:pPr>
              <w:tabs>
                <w:tab w:val="decimal" w:pos="296"/>
              </w:tabs>
              <w:spacing w:before="40" w:after="40"/>
              <w:jc w:val="center"/>
              <w:cnfStyle w:val="000000100000"/>
              <w:rPr>
                <w:b/>
                <w:color w:val="auto"/>
                <w:sz w:val="20"/>
                <w:szCs w:val="20"/>
              </w:rPr>
            </w:pPr>
            <w:r w:rsidRPr="00726024">
              <w:rPr>
                <w:b/>
                <w:color w:val="auto"/>
                <w:sz w:val="20"/>
                <w:szCs w:val="20"/>
              </w:rPr>
              <w:t>-19,1</w:t>
            </w:r>
          </w:p>
        </w:tc>
        <w:tc>
          <w:tcPr>
            <w:tcW w:w="340" w:type="pct"/>
            <w:tcBorders>
              <w:top w:val="nil"/>
              <w:bottom w:val="single" w:sz="8" w:space="0" w:color="0070C0"/>
            </w:tcBorders>
          </w:tcPr>
          <w:p w:rsidR="00AD310F" w:rsidRPr="00726024" w:rsidRDefault="00AD310F" w:rsidP="00AD310F">
            <w:pPr>
              <w:tabs>
                <w:tab w:val="decimal" w:pos="296"/>
              </w:tabs>
              <w:spacing w:before="40" w:after="40"/>
              <w:jc w:val="center"/>
              <w:cnfStyle w:val="000000100000"/>
              <w:rPr>
                <w:b/>
                <w:color w:val="auto"/>
                <w:sz w:val="20"/>
                <w:szCs w:val="20"/>
              </w:rPr>
            </w:pPr>
            <w:r w:rsidRPr="00726024">
              <w:rPr>
                <w:b/>
                <w:color w:val="auto"/>
                <w:sz w:val="20"/>
                <w:szCs w:val="20"/>
              </w:rPr>
              <w:t>-16,8</w:t>
            </w:r>
          </w:p>
        </w:tc>
        <w:tc>
          <w:tcPr>
            <w:tcW w:w="337" w:type="pct"/>
            <w:tcBorders>
              <w:top w:val="nil"/>
              <w:bottom w:val="single" w:sz="8" w:space="0" w:color="0070C0"/>
            </w:tcBorders>
          </w:tcPr>
          <w:p w:rsidR="00AD310F" w:rsidRPr="00726024" w:rsidRDefault="00AD310F" w:rsidP="00AD310F">
            <w:pPr>
              <w:tabs>
                <w:tab w:val="decimal" w:pos="296"/>
              </w:tabs>
              <w:spacing w:before="40" w:after="40"/>
              <w:jc w:val="center"/>
              <w:cnfStyle w:val="000000100000"/>
              <w:rPr>
                <w:b/>
                <w:color w:val="auto"/>
                <w:sz w:val="20"/>
                <w:szCs w:val="20"/>
              </w:rPr>
            </w:pPr>
            <w:r w:rsidRPr="00726024">
              <w:rPr>
                <w:b/>
                <w:color w:val="auto"/>
                <w:sz w:val="20"/>
                <w:szCs w:val="20"/>
              </w:rPr>
              <w:t>-6,</w:t>
            </w:r>
            <w:r>
              <w:rPr>
                <w:b/>
                <w:color w:val="auto"/>
                <w:sz w:val="20"/>
                <w:szCs w:val="20"/>
              </w:rPr>
              <w:t>1</w:t>
            </w:r>
          </w:p>
        </w:tc>
        <w:tc>
          <w:tcPr>
            <w:tcW w:w="338" w:type="pct"/>
            <w:tcBorders>
              <w:top w:val="nil"/>
              <w:bottom w:val="single" w:sz="8" w:space="0" w:color="0070C0"/>
            </w:tcBorders>
          </w:tcPr>
          <w:p w:rsidR="00AD310F" w:rsidRPr="00726024" w:rsidRDefault="00AD310F" w:rsidP="00AD310F">
            <w:pPr>
              <w:tabs>
                <w:tab w:val="decimal" w:pos="296"/>
              </w:tabs>
              <w:spacing w:before="40" w:after="40"/>
              <w:jc w:val="center"/>
              <w:cnfStyle w:val="000000100000"/>
              <w:rPr>
                <w:b/>
                <w:color w:val="auto"/>
                <w:sz w:val="20"/>
                <w:szCs w:val="20"/>
              </w:rPr>
            </w:pPr>
            <w:r>
              <w:rPr>
                <w:b/>
                <w:color w:val="auto"/>
                <w:sz w:val="20"/>
                <w:szCs w:val="20"/>
              </w:rPr>
              <w:t>-2,6</w:t>
            </w:r>
          </w:p>
        </w:tc>
        <w:tc>
          <w:tcPr>
            <w:tcW w:w="367" w:type="pct"/>
            <w:tcBorders>
              <w:top w:val="nil"/>
              <w:bottom w:val="single" w:sz="8" w:space="0" w:color="0070C0"/>
            </w:tcBorders>
          </w:tcPr>
          <w:p w:rsidR="00AD310F" w:rsidRDefault="00AD310F" w:rsidP="00AD310F">
            <w:pPr>
              <w:tabs>
                <w:tab w:val="decimal" w:pos="296"/>
              </w:tabs>
              <w:spacing w:before="40" w:after="40"/>
              <w:jc w:val="center"/>
              <w:cnfStyle w:val="000000100000"/>
              <w:rPr>
                <w:b/>
                <w:sz w:val="20"/>
                <w:szCs w:val="20"/>
              </w:rPr>
            </w:pPr>
            <w:r>
              <w:rPr>
                <w:b/>
                <w:sz w:val="20"/>
                <w:szCs w:val="20"/>
              </w:rPr>
              <w:t>2,8</w:t>
            </w:r>
          </w:p>
        </w:tc>
        <w:tc>
          <w:tcPr>
            <w:tcW w:w="272" w:type="pct"/>
            <w:tcBorders>
              <w:top w:val="nil"/>
              <w:bottom w:val="single" w:sz="8" w:space="0" w:color="0070C0"/>
            </w:tcBorders>
          </w:tcPr>
          <w:p w:rsidR="00AD310F" w:rsidRDefault="00AD310F" w:rsidP="00AD310F">
            <w:pPr>
              <w:tabs>
                <w:tab w:val="decimal" w:pos="296"/>
              </w:tabs>
              <w:spacing w:before="40" w:after="40"/>
              <w:jc w:val="center"/>
              <w:cnfStyle w:val="000000100000"/>
              <w:rPr>
                <w:b/>
                <w:sz w:val="20"/>
                <w:szCs w:val="20"/>
              </w:rPr>
            </w:pPr>
            <w:r>
              <w:rPr>
                <w:b/>
                <w:sz w:val="20"/>
                <w:szCs w:val="20"/>
              </w:rPr>
              <w:t>3,6</w:t>
            </w:r>
          </w:p>
        </w:tc>
      </w:tr>
    </w:tbl>
    <w:p w:rsidR="00E75F96" w:rsidRDefault="00E75F96" w:rsidP="00BE41C7"/>
    <w:p w:rsidR="007377A4" w:rsidRDefault="007377A4" w:rsidP="00BE41C7"/>
    <w:tbl>
      <w:tblPr>
        <w:tblStyle w:val="LightShading2"/>
        <w:tblW w:w="5000" w:type="pct"/>
        <w:tblLayout w:type="fixed"/>
        <w:tblLook w:val="04A0"/>
      </w:tblPr>
      <w:tblGrid>
        <w:gridCol w:w="2662"/>
        <w:gridCol w:w="600"/>
        <w:gridCol w:w="597"/>
        <w:gridCol w:w="599"/>
        <w:gridCol w:w="603"/>
        <w:gridCol w:w="599"/>
        <w:gridCol w:w="599"/>
        <w:gridCol w:w="599"/>
        <w:gridCol w:w="603"/>
        <w:gridCol w:w="599"/>
        <w:gridCol w:w="250"/>
        <w:gridCol w:w="349"/>
        <w:gridCol w:w="599"/>
        <w:gridCol w:w="597"/>
      </w:tblGrid>
      <w:tr w:rsidR="00CF4038" w:rsidRPr="009E43F2" w:rsidTr="00076B42">
        <w:trPr>
          <w:cnfStyle w:val="100000000000"/>
        </w:trPr>
        <w:tc>
          <w:tcPr>
            <w:cnfStyle w:val="001000000000"/>
            <w:tcW w:w="4216" w:type="pct"/>
            <w:gridSpan w:val="11"/>
            <w:tcBorders>
              <w:top w:val="single" w:sz="8" w:space="0" w:color="0070C0"/>
              <w:bottom w:val="single" w:sz="8" w:space="0" w:color="0070C0"/>
            </w:tcBorders>
          </w:tcPr>
          <w:p w:rsidR="00CF4038" w:rsidRPr="00E75F96" w:rsidRDefault="00CF4038" w:rsidP="007377A4">
            <w:pPr>
              <w:pStyle w:val="ListParagraph"/>
              <w:spacing w:before="40" w:after="40"/>
              <w:ind w:left="0"/>
              <w:contextualSpacing w:val="0"/>
              <w:jc w:val="center"/>
              <w:rPr>
                <w:sz w:val="18"/>
                <w:szCs w:val="18"/>
              </w:rPr>
            </w:pPr>
            <w:bookmarkStart w:id="227" w:name="_Toc216077862"/>
            <w:bookmarkStart w:id="228" w:name="_Toc216079531"/>
            <w:bookmarkStart w:id="229" w:name="_Toc216079599"/>
            <w:bookmarkStart w:id="230" w:name="_Toc216079661"/>
            <w:bookmarkStart w:id="231" w:name="_Toc216079717"/>
            <w:bookmarkStart w:id="232" w:name="_Toc216079773"/>
            <w:bookmarkStart w:id="233" w:name="_Toc216079829"/>
            <w:r w:rsidRPr="00E75F96">
              <w:rPr>
                <w:color w:val="auto"/>
                <w:sz w:val="18"/>
                <w:szCs w:val="18"/>
              </w:rPr>
              <w:t xml:space="preserve">Pieauguma tempi, </w:t>
            </w:r>
            <w:r w:rsidRPr="00E75F96">
              <w:rPr>
                <w:b w:val="0"/>
                <w:color w:val="auto"/>
                <w:sz w:val="18"/>
                <w:szCs w:val="18"/>
              </w:rPr>
              <w:t>% pret iepriekšēj</w:t>
            </w:r>
            <w:r>
              <w:rPr>
                <w:b w:val="0"/>
                <w:color w:val="auto"/>
                <w:sz w:val="18"/>
                <w:szCs w:val="18"/>
              </w:rPr>
              <w:t>o ceturksni, sezonāli izlīdzināti dati</w:t>
            </w:r>
          </w:p>
        </w:tc>
        <w:tc>
          <w:tcPr>
            <w:tcW w:w="784" w:type="pct"/>
            <w:gridSpan w:val="3"/>
            <w:tcBorders>
              <w:top w:val="single" w:sz="8" w:space="0" w:color="0070C0"/>
              <w:bottom w:val="single" w:sz="8" w:space="0" w:color="0070C0"/>
            </w:tcBorders>
          </w:tcPr>
          <w:p w:rsidR="00CF4038" w:rsidRPr="00E75F96" w:rsidRDefault="00CF4038" w:rsidP="007377A4">
            <w:pPr>
              <w:pStyle w:val="ListParagraph"/>
              <w:spacing w:before="40" w:after="40"/>
              <w:ind w:left="0"/>
              <w:contextualSpacing w:val="0"/>
              <w:jc w:val="center"/>
              <w:cnfStyle w:val="100000000000"/>
              <w:rPr>
                <w:sz w:val="18"/>
                <w:szCs w:val="18"/>
              </w:rPr>
            </w:pPr>
          </w:p>
        </w:tc>
      </w:tr>
      <w:tr w:rsidR="007377A4" w:rsidRPr="00D570AC" w:rsidTr="00076B42">
        <w:trPr>
          <w:cnfStyle w:val="000000100000"/>
        </w:trPr>
        <w:tc>
          <w:tcPr>
            <w:cnfStyle w:val="001000000000"/>
            <w:tcW w:w="1350" w:type="pct"/>
            <w:tcBorders>
              <w:top w:val="single" w:sz="8" w:space="0" w:color="0070C0"/>
            </w:tcBorders>
          </w:tcPr>
          <w:p w:rsidR="007377A4" w:rsidRPr="00D570AC" w:rsidRDefault="007377A4" w:rsidP="007377A4">
            <w:pPr>
              <w:pStyle w:val="ListParagraph"/>
              <w:spacing w:before="40" w:after="40"/>
              <w:ind w:left="0"/>
              <w:contextualSpacing w:val="0"/>
              <w:jc w:val="center"/>
              <w:rPr>
                <w:bCs w:val="0"/>
                <w:color w:val="auto"/>
                <w:sz w:val="18"/>
              </w:rPr>
            </w:pPr>
          </w:p>
        </w:tc>
        <w:tc>
          <w:tcPr>
            <w:tcW w:w="1217" w:type="pct"/>
            <w:gridSpan w:val="4"/>
            <w:tcBorders>
              <w:top w:val="single" w:sz="8" w:space="0" w:color="0070C0"/>
            </w:tcBorders>
          </w:tcPr>
          <w:p w:rsidR="007377A4" w:rsidRPr="00D570AC" w:rsidRDefault="007377A4" w:rsidP="007377A4">
            <w:pPr>
              <w:pStyle w:val="ListParagraph"/>
              <w:spacing w:before="40" w:after="40"/>
              <w:ind w:left="0"/>
              <w:contextualSpacing w:val="0"/>
              <w:cnfStyle w:val="000000100000"/>
              <w:rPr>
                <w:b/>
                <w:color w:val="auto"/>
                <w:sz w:val="18"/>
                <w:szCs w:val="20"/>
              </w:rPr>
            </w:pPr>
            <w:r w:rsidRPr="00D570AC">
              <w:rPr>
                <w:b/>
                <w:color w:val="auto"/>
                <w:sz w:val="18"/>
                <w:szCs w:val="20"/>
              </w:rPr>
              <w:t>2008</w:t>
            </w:r>
          </w:p>
        </w:tc>
        <w:tc>
          <w:tcPr>
            <w:tcW w:w="1218" w:type="pct"/>
            <w:gridSpan w:val="4"/>
            <w:tcBorders>
              <w:top w:val="single" w:sz="8" w:space="0" w:color="0070C0"/>
            </w:tcBorders>
          </w:tcPr>
          <w:p w:rsidR="007377A4" w:rsidRPr="00D570AC" w:rsidRDefault="007377A4" w:rsidP="007377A4">
            <w:pPr>
              <w:pStyle w:val="ListParagraph"/>
              <w:spacing w:before="40" w:after="40"/>
              <w:ind w:left="0"/>
              <w:contextualSpacing w:val="0"/>
              <w:cnfStyle w:val="000000100000"/>
              <w:rPr>
                <w:b/>
                <w:color w:val="auto"/>
                <w:sz w:val="18"/>
                <w:szCs w:val="20"/>
              </w:rPr>
            </w:pPr>
            <w:r w:rsidRPr="00D570AC">
              <w:rPr>
                <w:b/>
                <w:color w:val="auto"/>
                <w:sz w:val="18"/>
                <w:szCs w:val="20"/>
              </w:rPr>
              <w:t>2009</w:t>
            </w:r>
          </w:p>
        </w:tc>
        <w:tc>
          <w:tcPr>
            <w:tcW w:w="1216" w:type="pct"/>
            <w:gridSpan w:val="5"/>
            <w:tcBorders>
              <w:top w:val="single" w:sz="8" w:space="0" w:color="0070C0"/>
            </w:tcBorders>
          </w:tcPr>
          <w:p w:rsidR="007377A4" w:rsidRPr="00726024" w:rsidRDefault="007377A4" w:rsidP="007377A4">
            <w:pPr>
              <w:pStyle w:val="ListParagraph"/>
              <w:spacing w:before="40" w:after="40"/>
              <w:ind w:left="0"/>
              <w:contextualSpacing w:val="0"/>
              <w:cnfStyle w:val="000000100000"/>
              <w:rPr>
                <w:b/>
                <w:sz w:val="18"/>
                <w:szCs w:val="20"/>
              </w:rPr>
            </w:pPr>
            <w:r w:rsidRPr="00726024">
              <w:rPr>
                <w:b/>
                <w:color w:val="auto"/>
                <w:sz w:val="18"/>
                <w:szCs w:val="20"/>
              </w:rPr>
              <w:t>2010</w:t>
            </w:r>
          </w:p>
        </w:tc>
      </w:tr>
      <w:tr w:rsidR="007377A4" w:rsidRPr="00D570AC" w:rsidTr="00AD310F">
        <w:tc>
          <w:tcPr>
            <w:cnfStyle w:val="001000000000"/>
            <w:tcW w:w="1350" w:type="pct"/>
          </w:tcPr>
          <w:p w:rsidR="007377A4" w:rsidRPr="00D570AC" w:rsidRDefault="007377A4" w:rsidP="007377A4">
            <w:pPr>
              <w:pStyle w:val="ListParagraph"/>
              <w:spacing w:before="40" w:after="40"/>
              <w:ind w:left="0"/>
              <w:contextualSpacing w:val="0"/>
              <w:jc w:val="center"/>
              <w:rPr>
                <w:bCs w:val="0"/>
                <w:color w:val="auto"/>
                <w:sz w:val="18"/>
              </w:rPr>
            </w:pPr>
          </w:p>
        </w:tc>
        <w:tc>
          <w:tcPr>
            <w:tcW w:w="304" w:type="pct"/>
          </w:tcPr>
          <w:p w:rsidR="007377A4" w:rsidRPr="00D570AC" w:rsidRDefault="007377A4" w:rsidP="007377A4">
            <w:pPr>
              <w:spacing w:before="40" w:after="40"/>
              <w:jc w:val="center"/>
              <w:cnfStyle w:val="000000000000"/>
              <w:rPr>
                <w:b/>
                <w:color w:val="auto"/>
                <w:sz w:val="18"/>
                <w:szCs w:val="20"/>
              </w:rPr>
            </w:pPr>
            <w:r w:rsidRPr="00D570AC">
              <w:rPr>
                <w:b/>
                <w:color w:val="auto"/>
                <w:sz w:val="18"/>
                <w:szCs w:val="20"/>
              </w:rPr>
              <w:t>I</w:t>
            </w:r>
          </w:p>
        </w:tc>
        <w:tc>
          <w:tcPr>
            <w:tcW w:w="303" w:type="pct"/>
          </w:tcPr>
          <w:p w:rsidR="007377A4" w:rsidRPr="00D570AC" w:rsidRDefault="007377A4" w:rsidP="007377A4">
            <w:pPr>
              <w:spacing w:before="40" w:after="40"/>
              <w:jc w:val="center"/>
              <w:cnfStyle w:val="000000000000"/>
              <w:rPr>
                <w:b/>
                <w:color w:val="auto"/>
                <w:sz w:val="18"/>
                <w:szCs w:val="20"/>
              </w:rPr>
            </w:pPr>
            <w:r w:rsidRPr="00D570AC">
              <w:rPr>
                <w:b/>
                <w:color w:val="auto"/>
                <w:sz w:val="18"/>
                <w:szCs w:val="20"/>
              </w:rPr>
              <w:t>II</w:t>
            </w:r>
          </w:p>
        </w:tc>
        <w:tc>
          <w:tcPr>
            <w:tcW w:w="304" w:type="pct"/>
          </w:tcPr>
          <w:p w:rsidR="007377A4" w:rsidRPr="00D570AC" w:rsidRDefault="007377A4" w:rsidP="007377A4">
            <w:pPr>
              <w:spacing w:before="40" w:after="40"/>
              <w:jc w:val="center"/>
              <w:cnfStyle w:val="000000000000"/>
              <w:rPr>
                <w:b/>
                <w:color w:val="auto"/>
                <w:sz w:val="18"/>
                <w:szCs w:val="20"/>
              </w:rPr>
            </w:pPr>
            <w:r w:rsidRPr="00D570AC">
              <w:rPr>
                <w:b/>
                <w:color w:val="auto"/>
                <w:sz w:val="18"/>
                <w:szCs w:val="20"/>
              </w:rPr>
              <w:t>III</w:t>
            </w:r>
          </w:p>
        </w:tc>
        <w:tc>
          <w:tcPr>
            <w:tcW w:w="306" w:type="pct"/>
          </w:tcPr>
          <w:p w:rsidR="007377A4" w:rsidRPr="00D570AC" w:rsidRDefault="007377A4" w:rsidP="007377A4">
            <w:pPr>
              <w:spacing w:before="40" w:after="40"/>
              <w:jc w:val="center"/>
              <w:cnfStyle w:val="000000000000"/>
              <w:rPr>
                <w:b/>
                <w:color w:val="auto"/>
                <w:sz w:val="18"/>
                <w:szCs w:val="20"/>
              </w:rPr>
            </w:pPr>
            <w:r w:rsidRPr="00D570AC">
              <w:rPr>
                <w:b/>
                <w:color w:val="auto"/>
                <w:sz w:val="18"/>
                <w:szCs w:val="20"/>
              </w:rPr>
              <w:t>IV</w:t>
            </w:r>
          </w:p>
        </w:tc>
        <w:tc>
          <w:tcPr>
            <w:tcW w:w="304" w:type="pct"/>
          </w:tcPr>
          <w:p w:rsidR="007377A4" w:rsidRPr="00D570AC" w:rsidRDefault="007377A4" w:rsidP="007377A4">
            <w:pPr>
              <w:spacing w:before="40" w:after="40"/>
              <w:jc w:val="center"/>
              <w:cnfStyle w:val="000000000000"/>
              <w:rPr>
                <w:b/>
                <w:color w:val="auto"/>
                <w:sz w:val="18"/>
                <w:szCs w:val="20"/>
              </w:rPr>
            </w:pPr>
            <w:r w:rsidRPr="00D570AC">
              <w:rPr>
                <w:b/>
                <w:color w:val="auto"/>
                <w:sz w:val="18"/>
                <w:szCs w:val="20"/>
              </w:rPr>
              <w:t>I</w:t>
            </w:r>
          </w:p>
        </w:tc>
        <w:tc>
          <w:tcPr>
            <w:tcW w:w="304" w:type="pct"/>
          </w:tcPr>
          <w:p w:rsidR="007377A4" w:rsidRPr="00D570AC" w:rsidRDefault="007377A4" w:rsidP="007377A4">
            <w:pPr>
              <w:spacing w:before="40" w:after="40"/>
              <w:jc w:val="center"/>
              <w:cnfStyle w:val="000000000000"/>
              <w:rPr>
                <w:b/>
                <w:color w:val="auto"/>
                <w:sz w:val="18"/>
                <w:szCs w:val="20"/>
              </w:rPr>
            </w:pPr>
            <w:r w:rsidRPr="00D570AC">
              <w:rPr>
                <w:b/>
                <w:color w:val="auto"/>
                <w:sz w:val="18"/>
                <w:szCs w:val="20"/>
              </w:rPr>
              <w:t>II</w:t>
            </w:r>
          </w:p>
        </w:tc>
        <w:tc>
          <w:tcPr>
            <w:tcW w:w="304" w:type="pct"/>
          </w:tcPr>
          <w:p w:rsidR="007377A4" w:rsidRPr="00D570AC" w:rsidRDefault="007377A4" w:rsidP="007377A4">
            <w:pPr>
              <w:spacing w:before="40" w:after="40"/>
              <w:jc w:val="center"/>
              <w:cnfStyle w:val="000000000000"/>
              <w:rPr>
                <w:b/>
                <w:color w:val="auto"/>
                <w:sz w:val="18"/>
                <w:szCs w:val="20"/>
              </w:rPr>
            </w:pPr>
            <w:r w:rsidRPr="00D570AC">
              <w:rPr>
                <w:b/>
                <w:color w:val="auto"/>
                <w:sz w:val="18"/>
                <w:szCs w:val="20"/>
              </w:rPr>
              <w:t>III</w:t>
            </w:r>
          </w:p>
        </w:tc>
        <w:tc>
          <w:tcPr>
            <w:tcW w:w="306" w:type="pct"/>
          </w:tcPr>
          <w:p w:rsidR="007377A4" w:rsidRPr="00D570AC" w:rsidRDefault="007377A4" w:rsidP="007377A4">
            <w:pPr>
              <w:spacing w:before="40" w:after="40"/>
              <w:jc w:val="center"/>
              <w:cnfStyle w:val="000000000000"/>
              <w:rPr>
                <w:b/>
                <w:color w:val="auto"/>
                <w:sz w:val="18"/>
                <w:szCs w:val="20"/>
              </w:rPr>
            </w:pPr>
            <w:r w:rsidRPr="00D570AC">
              <w:rPr>
                <w:b/>
                <w:color w:val="auto"/>
                <w:sz w:val="18"/>
                <w:szCs w:val="20"/>
              </w:rPr>
              <w:t>IV</w:t>
            </w:r>
          </w:p>
        </w:tc>
        <w:tc>
          <w:tcPr>
            <w:tcW w:w="304" w:type="pct"/>
          </w:tcPr>
          <w:p w:rsidR="007377A4" w:rsidRPr="00726024" w:rsidRDefault="007377A4" w:rsidP="007377A4">
            <w:pPr>
              <w:spacing w:before="40" w:after="40"/>
              <w:jc w:val="center"/>
              <w:cnfStyle w:val="000000000000"/>
              <w:rPr>
                <w:b/>
                <w:color w:val="auto"/>
                <w:sz w:val="18"/>
                <w:szCs w:val="20"/>
              </w:rPr>
            </w:pPr>
            <w:r w:rsidRPr="00726024">
              <w:rPr>
                <w:b/>
                <w:color w:val="auto"/>
                <w:sz w:val="18"/>
                <w:szCs w:val="20"/>
              </w:rPr>
              <w:t>I</w:t>
            </w:r>
          </w:p>
        </w:tc>
        <w:tc>
          <w:tcPr>
            <w:tcW w:w="304" w:type="pct"/>
            <w:gridSpan w:val="2"/>
          </w:tcPr>
          <w:p w:rsidR="007377A4" w:rsidRPr="00726024" w:rsidRDefault="007377A4" w:rsidP="007377A4">
            <w:pPr>
              <w:spacing w:before="40" w:after="40"/>
              <w:jc w:val="center"/>
              <w:cnfStyle w:val="000000000000"/>
              <w:rPr>
                <w:b/>
                <w:color w:val="auto"/>
                <w:sz w:val="18"/>
                <w:szCs w:val="20"/>
              </w:rPr>
            </w:pPr>
            <w:r>
              <w:rPr>
                <w:b/>
                <w:color w:val="auto"/>
                <w:sz w:val="18"/>
                <w:szCs w:val="20"/>
              </w:rPr>
              <w:t>II</w:t>
            </w:r>
          </w:p>
        </w:tc>
        <w:tc>
          <w:tcPr>
            <w:tcW w:w="304" w:type="pct"/>
            <w:tcBorders>
              <w:top w:val="nil"/>
              <w:bottom w:val="nil"/>
              <w:right w:val="nil"/>
            </w:tcBorders>
          </w:tcPr>
          <w:p w:rsidR="007377A4" w:rsidRDefault="007377A4" w:rsidP="007377A4">
            <w:pPr>
              <w:spacing w:before="40" w:after="40"/>
              <w:jc w:val="center"/>
              <w:cnfStyle w:val="000000000000"/>
              <w:rPr>
                <w:b/>
                <w:sz w:val="18"/>
                <w:szCs w:val="20"/>
              </w:rPr>
            </w:pPr>
            <w:r>
              <w:rPr>
                <w:b/>
                <w:sz w:val="18"/>
                <w:szCs w:val="20"/>
              </w:rPr>
              <w:t>III</w:t>
            </w:r>
          </w:p>
        </w:tc>
        <w:tc>
          <w:tcPr>
            <w:tcW w:w="304" w:type="pct"/>
            <w:tcBorders>
              <w:left w:val="nil"/>
            </w:tcBorders>
          </w:tcPr>
          <w:p w:rsidR="007377A4" w:rsidRDefault="003D3B2B" w:rsidP="007377A4">
            <w:pPr>
              <w:spacing w:before="40" w:after="40"/>
              <w:jc w:val="center"/>
              <w:cnfStyle w:val="000000000000"/>
              <w:rPr>
                <w:b/>
                <w:sz w:val="18"/>
                <w:szCs w:val="20"/>
              </w:rPr>
            </w:pPr>
            <w:r>
              <w:rPr>
                <w:b/>
                <w:sz w:val="18"/>
                <w:szCs w:val="20"/>
              </w:rPr>
              <w:t>IV</w:t>
            </w:r>
          </w:p>
        </w:tc>
      </w:tr>
      <w:tr w:rsidR="00AD310F" w:rsidRPr="009E43F2" w:rsidTr="00AD310F">
        <w:trPr>
          <w:cnfStyle w:val="000000100000"/>
        </w:trPr>
        <w:tc>
          <w:tcPr>
            <w:cnfStyle w:val="001000000000"/>
            <w:tcW w:w="1350" w:type="pct"/>
          </w:tcPr>
          <w:p w:rsidR="00AD310F" w:rsidRPr="00E75F96" w:rsidRDefault="00AD310F" w:rsidP="007377A4">
            <w:pPr>
              <w:spacing w:before="40" w:after="40"/>
              <w:rPr>
                <w:b w:val="0"/>
                <w:color w:val="auto"/>
                <w:sz w:val="18"/>
                <w:szCs w:val="18"/>
              </w:rPr>
            </w:pPr>
            <w:r w:rsidRPr="00E75F96">
              <w:rPr>
                <w:b w:val="0"/>
                <w:color w:val="auto"/>
                <w:sz w:val="18"/>
                <w:szCs w:val="18"/>
              </w:rPr>
              <w:t>Privātais patēriņš</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w:t>
            </w:r>
            <w:r>
              <w:rPr>
                <w:color w:val="auto"/>
                <w:sz w:val="18"/>
                <w:szCs w:val="18"/>
              </w:rPr>
              <w:t>4</w:t>
            </w:r>
          </w:p>
        </w:tc>
        <w:tc>
          <w:tcPr>
            <w:tcW w:w="303"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0,</w:t>
            </w:r>
            <w:r>
              <w:rPr>
                <w:color w:val="auto"/>
                <w:sz w:val="18"/>
                <w:szCs w:val="18"/>
              </w:rPr>
              <w:t>6</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w:t>
            </w:r>
            <w:r>
              <w:rPr>
                <w:color w:val="auto"/>
                <w:sz w:val="18"/>
                <w:szCs w:val="18"/>
              </w:rPr>
              <w:t>0</w:t>
            </w:r>
          </w:p>
        </w:tc>
        <w:tc>
          <w:tcPr>
            <w:tcW w:w="306"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-8,</w:t>
            </w:r>
            <w:r>
              <w:rPr>
                <w:color w:val="auto"/>
                <w:sz w:val="18"/>
                <w:szCs w:val="18"/>
              </w:rPr>
              <w:t>8</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-10,0</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6,6</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3,9</w:t>
            </w:r>
          </w:p>
        </w:tc>
        <w:tc>
          <w:tcPr>
            <w:tcW w:w="306" w:type="pct"/>
            <w:vAlign w:val="center"/>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w:t>
            </w:r>
            <w:r w:rsidRPr="00200473">
              <w:rPr>
                <w:color w:val="auto"/>
                <w:sz w:val="18"/>
                <w:szCs w:val="18"/>
              </w:rPr>
              <w:t>0,</w:t>
            </w:r>
            <w:r>
              <w:rPr>
                <w:color w:val="auto"/>
                <w:sz w:val="18"/>
                <w:szCs w:val="18"/>
              </w:rPr>
              <w:t>5</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3,6</w:t>
            </w:r>
          </w:p>
        </w:tc>
        <w:tc>
          <w:tcPr>
            <w:tcW w:w="304" w:type="pct"/>
            <w:gridSpan w:val="2"/>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0,6</w:t>
            </w:r>
          </w:p>
        </w:tc>
        <w:tc>
          <w:tcPr>
            <w:tcW w:w="304" w:type="pct"/>
            <w:tcBorders>
              <w:top w:val="nil"/>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0,8</w:t>
            </w:r>
          </w:p>
        </w:tc>
        <w:tc>
          <w:tcPr>
            <w:tcW w:w="304" w:type="pct"/>
          </w:tcPr>
          <w:p w:rsidR="00AD310F" w:rsidRPr="00200473" w:rsidRDefault="00AD310F" w:rsidP="00AD310F">
            <w:pPr>
              <w:tabs>
                <w:tab w:val="decimal" w:pos="296"/>
              </w:tabs>
              <w:spacing w:before="40" w:after="40"/>
              <w:jc w:val="center"/>
              <w:cnfStyle w:val="000000100000"/>
              <w:rPr>
                <w:sz w:val="18"/>
                <w:szCs w:val="18"/>
              </w:rPr>
            </w:pPr>
            <w:r>
              <w:rPr>
                <w:sz w:val="18"/>
                <w:szCs w:val="18"/>
              </w:rPr>
              <w:t>1,7</w:t>
            </w:r>
          </w:p>
        </w:tc>
      </w:tr>
      <w:tr w:rsidR="00AD310F" w:rsidRPr="009E43F2" w:rsidTr="00AD310F">
        <w:tc>
          <w:tcPr>
            <w:cnfStyle w:val="001000000000"/>
            <w:tcW w:w="1350" w:type="pct"/>
          </w:tcPr>
          <w:p w:rsidR="00AD310F" w:rsidRPr="00E75F96" w:rsidRDefault="00AD310F" w:rsidP="007377A4">
            <w:pPr>
              <w:spacing w:before="40" w:after="40"/>
              <w:rPr>
                <w:b w:val="0"/>
                <w:color w:val="auto"/>
                <w:sz w:val="18"/>
                <w:szCs w:val="18"/>
              </w:rPr>
            </w:pPr>
            <w:r w:rsidRPr="00E75F96">
              <w:rPr>
                <w:b w:val="0"/>
                <w:color w:val="auto"/>
                <w:sz w:val="18"/>
                <w:szCs w:val="18"/>
              </w:rPr>
              <w:t>Valsts patēriņš</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-0,</w:t>
            </w:r>
            <w:r>
              <w:rPr>
                <w:color w:val="auto"/>
                <w:sz w:val="18"/>
                <w:szCs w:val="18"/>
              </w:rPr>
              <w:t>7</w:t>
            </w:r>
          </w:p>
        </w:tc>
        <w:tc>
          <w:tcPr>
            <w:tcW w:w="303"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0,2</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w:t>
            </w:r>
            <w:r w:rsidRPr="00200473">
              <w:rPr>
                <w:color w:val="auto"/>
                <w:sz w:val="18"/>
                <w:szCs w:val="18"/>
              </w:rPr>
              <w:t>0,</w:t>
            </w:r>
            <w:r>
              <w:rPr>
                <w:color w:val="auto"/>
                <w:sz w:val="18"/>
                <w:szCs w:val="18"/>
              </w:rPr>
              <w:t>4</w:t>
            </w:r>
          </w:p>
        </w:tc>
        <w:tc>
          <w:tcPr>
            <w:tcW w:w="306" w:type="pct"/>
            <w:vAlign w:val="center"/>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1,7</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3,2</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4,8</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6,4</w:t>
            </w:r>
          </w:p>
        </w:tc>
        <w:tc>
          <w:tcPr>
            <w:tcW w:w="306" w:type="pct"/>
            <w:vAlign w:val="center"/>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w:t>
            </w:r>
            <w:r w:rsidRPr="00200473">
              <w:rPr>
                <w:color w:val="auto"/>
                <w:sz w:val="18"/>
                <w:szCs w:val="18"/>
              </w:rPr>
              <w:t>0,</w:t>
            </w:r>
            <w:r>
              <w:rPr>
                <w:color w:val="auto"/>
                <w:sz w:val="18"/>
                <w:szCs w:val="18"/>
              </w:rPr>
              <w:t>7</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3,6</w:t>
            </w:r>
          </w:p>
        </w:tc>
        <w:tc>
          <w:tcPr>
            <w:tcW w:w="304" w:type="pct"/>
            <w:gridSpan w:val="2"/>
            <w:vAlign w:val="center"/>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-3,6</w:t>
            </w:r>
          </w:p>
        </w:tc>
        <w:tc>
          <w:tcPr>
            <w:tcW w:w="304" w:type="pct"/>
            <w:tcBorders>
              <w:top w:val="nil"/>
              <w:bottom w:val="nil"/>
              <w:right w:val="nil"/>
            </w:tcBorders>
            <w:vAlign w:val="center"/>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1,5</w:t>
            </w:r>
          </w:p>
        </w:tc>
        <w:tc>
          <w:tcPr>
            <w:tcW w:w="304" w:type="pct"/>
            <w:tcBorders>
              <w:left w:val="nil"/>
            </w:tcBorders>
          </w:tcPr>
          <w:p w:rsidR="00AD310F" w:rsidRPr="00200473" w:rsidRDefault="00AD310F" w:rsidP="00AD310F">
            <w:pPr>
              <w:tabs>
                <w:tab w:val="decimal" w:pos="296"/>
              </w:tabs>
              <w:spacing w:before="40" w:after="40"/>
              <w:jc w:val="center"/>
              <w:cnfStyle w:val="000000000000"/>
              <w:rPr>
                <w:sz w:val="18"/>
                <w:szCs w:val="18"/>
              </w:rPr>
            </w:pPr>
            <w:r>
              <w:rPr>
                <w:sz w:val="18"/>
                <w:szCs w:val="18"/>
              </w:rPr>
              <w:t>-3,7</w:t>
            </w:r>
          </w:p>
        </w:tc>
      </w:tr>
      <w:tr w:rsidR="00AD310F" w:rsidRPr="009E43F2" w:rsidTr="00AD310F">
        <w:trPr>
          <w:cnfStyle w:val="000000100000"/>
        </w:trPr>
        <w:tc>
          <w:tcPr>
            <w:cnfStyle w:val="001000000000"/>
            <w:tcW w:w="1350" w:type="pct"/>
          </w:tcPr>
          <w:p w:rsidR="00AD310F" w:rsidRPr="00E75F96" w:rsidRDefault="00AD310F" w:rsidP="007377A4">
            <w:pPr>
              <w:spacing w:before="40" w:after="40"/>
              <w:rPr>
                <w:b w:val="0"/>
                <w:color w:val="auto"/>
                <w:spacing w:val="-10"/>
                <w:sz w:val="18"/>
                <w:szCs w:val="18"/>
              </w:rPr>
            </w:pPr>
            <w:r w:rsidRPr="00E75F96">
              <w:rPr>
                <w:b w:val="0"/>
                <w:color w:val="auto"/>
                <w:sz w:val="18"/>
                <w:szCs w:val="18"/>
              </w:rPr>
              <w:t>Kopējā pamatkapitāla veidošana</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-4,2</w:t>
            </w:r>
          </w:p>
        </w:tc>
        <w:tc>
          <w:tcPr>
            <w:tcW w:w="303"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-4,</w:t>
            </w:r>
            <w:r>
              <w:rPr>
                <w:color w:val="auto"/>
                <w:sz w:val="18"/>
                <w:szCs w:val="18"/>
              </w:rPr>
              <w:t>3</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-7,</w:t>
            </w:r>
            <w:r>
              <w:rPr>
                <w:color w:val="auto"/>
                <w:sz w:val="18"/>
                <w:szCs w:val="18"/>
              </w:rPr>
              <w:t>1</w:t>
            </w:r>
          </w:p>
        </w:tc>
        <w:tc>
          <w:tcPr>
            <w:tcW w:w="306"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-8,</w:t>
            </w:r>
            <w:r>
              <w:rPr>
                <w:color w:val="auto"/>
                <w:sz w:val="18"/>
                <w:szCs w:val="18"/>
              </w:rPr>
              <w:t>5</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-13,</w:t>
            </w:r>
            <w:r>
              <w:rPr>
                <w:color w:val="auto"/>
                <w:sz w:val="18"/>
                <w:szCs w:val="18"/>
              </w:rPr>
              <w:t>2</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-11,2</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w:t>
            </w:r>
            <w:r>
              <w:rPr>
                <w:color w:val="auto"/>
                <w:sz w:val="18"/>
                <w:szCs w:val="18"/>
              </w:rPr>
              <w:t>6,1</w:t>
            </w:r>
          </w:p>
        </w:tc>
        <w:tc>
          <w:tcPr>
            <w:tcW w:w="306"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-9,</w:t>
            </w:r>
            <w:r>
              <w:rPr>
                <w:color w:val="auto"/>
                <w:sz w:val="18"/>
                <w:szCs w:val="18"/>
              </w:rPr>
              <w:t>3</w:t>
            </w:r>
          </w:p>
        </w:tc>
        <w:tc>
          <w:tcPr>
            <w:tcW w:w="304" w:type="pct"/>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-3,</w:t>
            </w:r>
            <w:r>
              <w:rPr>
                <w:color w:val="auto"/>
                <w:sz w:val="18"/>
                <w:szCs w:val="18"/>
              </w:rPr>
              <w:t>2</w:t>
            </w:r>
          </w:p>
        </w:tc>
        <w:tc>
          <w:tcPr>
            <w:tcW w:w="304" w:type="pct"/>
            <w:gridSpan w:val="2"/>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5,3</w:t>
            </w:r>
          </w:p>
        </w:tc>
        <w:tc>
          <w:tcPr>
            <w:tcW w:w="304" w:type="pct"/>
            <w:tcBorders>
              <w:top w:val="nil"/>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6,3</w:t>
            </w:r>
          </w:p>
        </w:tc>
        <w:tc>
          <w:tcPr>
            <w:tcW w:w="304" w:type="pct"/>
            <w:vAlign w:val="center"/>
          </w:tcPr>
          <w:p w:rsidR="00AD310F" w:rsidRPr="00200473" w:rsidRDefault="00AD310F" w:rsidP="00AD310F">
            <w:pPr>
              <w:tabs>
                <w:tab w:val="decimal" w:pos="296"/>
              </w:tabs>
              <w:spacing w:before="40" w:after="40"/>
              <w:jc w:val="center"/>
              <w:cnfStyle w:val="000000100000"/>
              <w:rPr>
                <w:sz w:val="18"/>
                <w:szCs w:val="18"/>
              </w:rPr>
            </w:pPr>
            <w:r>
              <w:rPr>
                <w:sz w:val="18"/>
                <w:szCs w:val="18"/>
              </w:rPr>
              <w:t>0,1</w:t>
            </w:r>
          </w:p>
        </w:tc>
      </w:tr>
      <w:tr w:rsidR="00AD310F" w:rsidRPr="009E43F2" w:rsidTr="00AD310F">
        <w:tc>
          <w:tcPr>
            <w:cnfStyle w:val="001000000000"/>
            <w:tcW w:w="1350" w:type="pct"/>
          </w:tcPr>
          <w:p w:rsidR="00AD310F" w:rsidRPr="00E75F96" w:rsidRDefault="00AD310F" w:rsidP="007377A4">
            <w:pPr>
              <w:spacing w:before="40" w:after="40"/>
              <w:rPr>
                <w:b w:val="0"/>
                <w:color w:val="auto"/>
                <w:sz w:val="18"/>
                <w:szCs w:val="18"/>
              </w:rPr>
            </w:pPr>
            <w:r w:rsidRPr="00E75F96">
              <w:rPr>
                <w:b w:val="0"/>
                <w:color w:val="auto"/>
                <w:sz w:val="18"/>
                <w:szCs w:val="18"/>
              </w:rPr>
              <w:t>Eksports</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2,3</w:t>
            </w:r>
          </w:p>
        </w:tc>
        <w:tc>
          <w:tcPr>
            <w:tcW w:w="303" w:type="pct"/>
            <w:vAlign w:val="center"/>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0,8</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-3,4</w:t>
            </w:r>
          </w:p>
        </w:tc>
        <w:tc>
          <w:tcPr>
            <w:tcW w:w="306"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4,8</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4,8</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2,7</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w:t>
            </w:r>
            <w:r>
              <w:rPr>
                <w:color w:val="auto"/>
                <w:sz w:val="18"/>
                <w:szCs w:val="18"/>
              </w:rPr>
              <w:t>7</w:t>
            </w:r>
          </w:p>
        </w:tc>
        <w:tc>
          <w:tcPr>
            <w:tcW w:w="306" w:type="pct"/>
            <w:vAlign w:val="center"/>
          </w:tcPr>
          <w:p w:rsidR="00AD310F" w:rsidRPr="00200473" w:rsidRDefault="00AD310F" w:rsidP="00AD310F">
            <w:pPr>
              <w:tabs>
                <w:tab w:val="decimal" w:pos="296"/>
              </w:tabs>
              <w:spacing w:before="40" w:after="40"/>
              <w:jc w:val="center"/>
              <w:cnfStyle w:val="000000000000"/>
              <w:rPr>
                <w:color w:val="auto"/>
                <w:sz w:val="18"/>
                <w:szCs w:val="18"/>
              </w:rPr>
            </w:pPr>
            <w:r>
              <w:rPr>
                <w:color w:val="auto"/>
                <w:sz w:val="18"/>
                <w:szCs w:val="18"/>
              </w:rPr>
              <w:t>5,3</w:t>
            </w:r>
          </w:p>
        </w:tc>
        <w:tc>
          <w:tcPr>
            <w:tcW w:w="304" w:type="pct"/>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0,3</w:t>
            </w:r>
          </w:p>
        </w:tc>
        <w:tc>
          <w:tcPr>
            <w:tcW w:w="304" w:type="pct"/>
            <w:gridSpan w:val="2"/>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1,</w:t>
            </w:r>
            <w:r>
              <w:rPr>
                <w:color w:val="auto"/>
                <w:sz w:val="18"/>
                <w:szCs w:val="18"/>
              </w:rPr>
              <w:t>8</w:t>
            </w:r>
          </w:p>
        </w:tc>
        <w:tc>
          <w:tcPr>
            <w:tcW w:w="304" w:type="pct"/>
            <w:tcBorders>
              <w:top w:val="nil"/>
              <w:bottom w:val="nil"/>
              <w:right w:val="nil"/>
            </w:tcBorders>
            <w:vAlign w:val="center"/>
          </w:tcPr>
          <w:p w:rsidR="00AD310F" w:rsidRPr="00200473" w:rsidRDefault="00AD310F" w:rsidP="00AD310F">
            <w:pPr>
              <w:tabs>
                <w:tab w:val="decimal" w:pos="296"/>
              </w:tabs>
              <w:spacing w:before="40" w:after="40"/>
              <w:jc w:val="center"/>
              <w:cnfStyle w:val="000000000000"/>
              <w:rPr>
                <w:color w:val="auto"/>
                <w:sz w:val="18"/>
                <w:szCs w:val="18"/>
              </w:rPr>
            </w:pPr>
            <w:r w:rsidRPr="00200473">
              <w:rPr>
                <w:color w:val="auto"/>
                <w:sz w:val="18"/>
                <w:szCs w:val="18"/>
              </w:rPr>
              <w:t>8,</w:t>
            </w:r>
            <w:r>
              <w:rPr>
                <w:color w:val="auto"/>
                <w:sz w:val="18"/>
                <w:szCs w:val="18"/>
              </w:rPr>
              <w:t>0</w:t>
            </w:r>
          </w:p>
        </w:tc>
        <w:tc>
          <w:tcPr>
            <w:tcW w:w="304" w:type="pct"/>
            <w:tcBorders>
              <w:left w:val="nil"/>
            </w:tcBorders>
          </w:tcPr>
          <w:p w:rsidR="00AD310F" w:rsidRPr="00200473" w:rsidRDefault="00AD310F" w:rsidP="00AD310F">
            <w:pPr>
              <w:tabs>
                <w:tab w:val="decimal" w:pos="296"/>
              </w:tabs>
              <w:spacing w:before="40" w:after="40"/>
              <w:jc w:val="center"/>
              <w:cnfStyle w:val="000000000000"/>
              <w:rPr>
                <w:sz w:val="18"/>
                <w:szCs w:val="18"/>
              </w:rPr>
            </w:pPr>
            <w:r>
              <w:rPr>
                <w:sz w:val="18"/>
                <w:szCs w:val="18"/>
              </w:rPr>
              <w:t>3,8</w:t>
            </w:r>
          </w:p>
        </w:tc>
      </w:tr>
      <w:tr w:rsidR="00AD310F" w:rsidRPr="009E43F2" w:rsidTr="00076B42">
        <w:trPr>
          <w:cnfStyle w:val="000000100000"/>
        </w:trPr>
        <w:tc>
          <w:tcPr>
            <w:cnfStyle w:val="001000000000"/>
            <w:tcW w:w="1350" w:type="pct"/>
            <w:tcBorders>
              <w:bottom w:val="nil"/>
            </w:tcBorders>
          </w:tcPr>
          <w:p w:rsidR="00AD310F" w:rsidRPr="00E75F96" w:rsidRDefault="00AD310F" w:rsidP="007377A4">
            <w:pPr>
              <w:spacing w:before="40" w:after="40"/>
              <w:rPr>
                <w:b w:val="0"/>
                <w:color w:val="auto"/>
                <w:sz w:val="18"/>
                <w:szCs w:val="18"/>
              </w:rPr>
            </w:pPr>
            <w:r w:rsidRPr="00E75F96">
              <w:rPr>
                <w:b w:val="0"/>
                <w:color w:val="auto"/>
                <w:sz w:val="18"/>
                <w:szCs w:val="18"/>
              </w:rPr>
              <w:t>Imports</w:t>
            </w:r>
          </w:p>
        </w:tc>
        <w:tc>
          <w:tcPr>
            <w:tcW w:w="304" w:type="pct"/>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1,3</w:t>
            </w:r>
          </w:p>
        </w:tc>
        <w:tc>
          <w:tcPr>
            <w:tcW w:w="303" w:type="pct"/>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1,1</w:t>
            </w:r>
          </w:p>
        </w:tc>
        <w:tc>
          <w:tcPr>
            <w:tcW w:w="304" w:type="pct"/>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-6,</w:t>
            </w:r>
            <w:r>
              <w:rPr>
                <w:color w:val="auto"/>
                <w:sz w:val="18"/>
                <w:szCs w:val="18"/>
              </w:rPr>
              <w:t>8</w:t>
            </w:r>
          </w:p>
        </w:tc>
        <w:tc>
          <w:tcPr>
            <w:tcW w:w="306" w:type="pct"/>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-1</w:t>
            </w:r>
            <w:r>
              <w:rPr>
                <w:color w:val="auto"/>
                <w:sz w:val="18"/>
                <w:szCs w:val="18"/>
              </w:rPr>
              <w:t>1</w:t>
            </w:r>
            <w:r w:rsidRPr="00200473">
              <w:rPr>
                <w:color w:val="auto"/>
                <w:sz w:val="18"/>
                <w:szCs w:val="18"/>
              </w:rPr>
              <w:t>,4</w:t>
            </w:r>
          </w:p>
        </w:tc>
        <w:tc>
          <w:tcPr>
            <w:tcW w:w="304" w:type="pct"/>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17,1</w:t>
            </w:r>
          </w:p>
        </w:tc>
        <w:tc>
          <w:tcPr>
            <w:tcW w:w="304" w:type="pct"/>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8,9</w:t>
            </w:r>
          </w:p>
        </w:tc>
        <w:tc>
          <w:tcPr>
            <w:tcW w:w="304" w:type="pct"/>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w:t>
            </w:r>
            <w:r w:rsidRPr="00200473">
              <w:rPr>
                <w:color w:val="auto"/>
                <w:sz w:val="18"/>
                <w:szCs w:val="18"/>
              </w:rPr>
              <w:t>1,</w:t>
            </w:r>
            <w:r>
              <w:rPr>
                <w:color w:val="auto"/>
                <w:sz w:val="18"/>
                <w:szCs w:val="18"/>
              </w:rPr>
              <w:t>3</w:t>
            </w:r>
          </w:p>
        </w:tc>
        <w:tc>
          <w:tcPr>
            <w:tcW w:w="306" w:type="pct"/>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1,3</w:t>
            </w:r>
          </w:p>
        </w:tc>
        <w:tc>
          <w:tcPr>
            <w:tcW w:w="304" w:type="pct"/>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9,0</w:t>
            </w:r>
          </w:p>
        </w:tc>
        <w:tc>
          <w:tcPr>
            <w:tcW w:w="304" w:type="pct"/>
            <w:gridSpan w:val="2"/>
            <w:tcBorders>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-1,3</w:t>
            </w:r>
          </w:p>
        </w:tc>
        <w:tc>
          <w:tcPr>
            <w:tcW w:w="304" w:type="pct"/>
            <w:tcBorders>
              <w:top w:val="nil"/>
              <w:bottom w:val="nil"/>
            </w:tcBorders>
            <w:vAlign w:val="center"/>
          </w:tcPr>
          <w:p w:rsidR="00AD310F" w:rsidRPr="00200473" w:rsidRDefault="00AD310F" w:rsidP="00AD310F">
            <w:pPr>
              <w:tabs>
                <w:tab w:val="decimal" w:pos="296"/>
              </w:tabs>
              <w:spacing w:before="40" w:after="40"/>
              <w:jc w:val="center"/>
              <w:cnfStyle w:val="000000100000"/>
              <w:rPr>
                <w:color w:val="auto"/>
                <w:sz w:val="18"/>
                <w:szCs w:val="18"/>
              </w:rPr>
            </w:pPr>
            <w:r>
              <w:rPr>
                <w:color w:val="auto"/>
                <w:sz w:val="18"/>
                <w:szCs w:val="18"/>
              </w:rPr>
              <w:t>6,1</w:t>
            </w:r>
          </w:p>
        </w:tc>
        <w:tc>
          <w:tcPr>
            <w:tcW w:w="304" w:type="pct"/>
            <w:tcBorders>
              <w:bottom w:val="nil"/>
            </w:tcBorders>
          </w:tcPr>
          <w:p w:rsidR="00AD310F" w:rsidRPr="00200473" w:rsidRDefault="00AD310F" w:rsidP="00AD310F">
            <w:pPr>
              <w:tabs>
                <w:tab w:val="decimal" w:pos="296"/>
              </w:tabs>
              <w:spacing w:before="40" w:after="40"/>
              <w:jc w:val="center"/>
              <w:cnfStyle w:val="000000100000"/>
              <w:rPr>
                <w:sz w:val="18"/>
                <w:szCs w:val="18"/>
              </w:rPr>
            </w:pPr>
            <w:r>
              <w:rPr>
                <w:sz w:val="18"/>
                <w:szCs w:val="18"/>
              </w:rPr>
              <w:t>1,0</w:t>
            </w:r>
          </w:p>
        </w:tc>
      </w:tr>
      <w:tr w:rsidR="00AD310F" w:rsidRPr="00EC789E" w:rsidTr="00076B42">
        <w:tc>
          <w:tcPr>
            <w:cnfStyle w:val="001000000000"/>
            <w:tcW w:w="1350" w:type="pct"/>
            <w:tcBorders>
              <w:top w:val="nil"/>
              <w:bottom w:val="single" w:sz="8" w:space="0" w:color="0070C0"/>
            </w:tcBorders>
          </w:tcPr>
          <w:p w:rsidR="00AD310F" w:rsidRPr="00EC789E" w:rsidRDefault="00AD310F" w:rsidP="007377A4">
            <w:pPr>
              <w:spacing w:before="40" w:after="40"/>
              <w:rPr>
                <w:color w:val="auto"/>
                <w:sz w:val="20"/>
                <w:szCs w:val="20"/>
              </w:rPr>
            </w:pPr>
            <w:r w:rsidRPr="00EC789E">
              <w:rPr>
                <w:color w:val="auto"/>
                <w:sz w:val="20"/>
                <w:szCs w:val="20"/>
              </w:rPr>
              <w:t>IKP</w:t>
            </w:r>
          </w:p>
        </w:tc>
        <w:tc>
          <w:tcPr>
            <w:tcW w:w="304" w:type="pct"/>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sidRPr="00200473">
              <w:rPr>
                <w:b/>
                <w:color w:val="auto"/>
                <w:sz w:val="20"/>
                <w:szCs w:val="20"/>
              </w:rPr>
              <w:t>-</w:t>
            </w:r>
            <w:r>
              <w:rPr>
                <w:b/>
                <w:color w:val="auto"/>
                <w:sz w:val="20"/>
                <w:szCs w:val="20"/>
              </w:rPr>
              <w:t>4,1</w:t>
            </w:r>
          </w:p>
        </w:tc>
        <w:tc>
          <w:tcPr>
            <w:tcW w:w="303" w:type="pct"/>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sidRPr="00200473">
              <w:rPr>
                <w:b/>
                <w:color w:val="auto"/>
                <w:sz w:val="20"/>
                <w:szCs w:val="20"/>
              </w:rPr>
              <w:t>-</w:t>
            </w:r>
            <w:r>
              <w:rPr>
                <w:b/>
                <w:color w:val="auto"/>
                <w:sz w:val="20"/>
                <w:szCs w:val="20"/>
              </w:rPr>
              <w:t>2,4</w:t>
            </w:r>
          </w:p>
        </w:tc>
        <w:tc>
          <w:tcPr>
            <w:tcW w:w="304" w:type="pct"/>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sidRPr="00200473">
              <w:rPr>
                <w:b/>
                <w:color w:val="auto"/>
                <w:sz w:val="20"/>
                <w:szCs w:val="20"/>
              </w:rPr>
              <w:t>-1,</w:t>
            </w:r>
            <w:r>
              <w:rPr>
                <w:b/>
                <w:color w:val="auto"/>
                <w:sz w:val="20"/>
                <w:szCs w:val="20"/>
              </w:rPr>
              <w:t>1</w:t>
            </w:r>
          </w:p>
        </w:tc>
        <w:tc>
          <w:tcPr>
            <w:tcW w:w="306" w:type="pct"/>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sidRPr="00200473">
              <w:rPr>
                <w:b/>
                <w:color w:val="auto"/>
                <w:sz w:val="20"/>
                <w:szCs w:val="20"/>
              </w:rPr>
              <w:t>-</w:t>
            </w:r>
            <w:r>
              <w:rPr>
                <w:b/>
                <w:color w:val="auto"/>
                <w:sz w:val="20"/>
                <w:szCs w:val="20"/>
              </w:rPr>
              <w:t>3,1</w:t>
            </w:r>
          </w:p>
        </w:tc>
        <w:tc>
          <w:tcPr>
            <w:tcW w:w="304" w:type="pct"/>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sidRPr="00200473">
              <w:rPr>
                <w:b/>
                <w:color w:val="auto"/>
                <w:sz w:val="20"/>
                <w:szCs w:val="20"/>
              </w:rPr>
              <w:t>-</w:t>
            </w:r>
            <w:r>
              <w:rPr>
                <w:b/>
                <w:color w:val="auto"/>
                <w:sz w:val="20"/>
                <w:szCs w:val="20"/>
              </w:rPr>
              <w:t>12,0</w:t>
            </w:r>
          </w:p>
        </w:tc>
        <w:tc>
          <w:tcPr>
            <w:tcW w:w="304" w:type="pct"/>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sidRPr="00200473">
              <w:rPr>
                <w:b/>
                <w:color w:val="auto"/>
                <w:sz w:val="20"/>
                <w:szCs w:val="20"/>
              </w:rPr>
              <w:t>-</w:t>
            </w:r>
            <w:r>
              <w:rPr>
                <w:b/>
                <w:color w:val="auto"/>
                <w:sz w:val="20"/>
                <w:szCs w:val="20"/>
              </w:rPr>
              <w:t>2,0</w:t>
            </w:r>
          </w:p>
        </w:tc>
        <w:tc>
          <w:tcPr>
            <w:tcW w:w="304" w:type="pct"/>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sidRPr="00200473">
              <w:rPr>
                <w:b/>
                <w:color w:val="auto"/>
                <w:sz w:val="20"/>
                <w:szCs w:val="20"/>
              </w:rPr>
              <w:t>-</w:t>
            </w:r>
            <w:r>
              <w:rPr>
                <w:b/>
                <w:color w:val="auto"/>
                <w:sz w:val="20"/>
                <w:szCs w:val="20"/>
              </w:rPr>
              <w:t>3,7</w:t>
            </w:r>
          </w:p>
        </w:tc>
        <w:tc>
          <w:tcPr>
            <w:tcW w:w="306" w:type="pct"/>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sidRPr="00200473">
              <w:rPr>
                <w:b/>
                <w:color w:val="auto"/>
                <w:sz w:val="20"/>
                <w:szCs w:val="20"/>
              </w:rPr>
              <w:t>0,</w:t>
            </w:r>
            <w:r>
              <w:rPr>
                <w:b/>
                <w:color w:val="auto"/>
                <w:sz w:val="20"/>
                <w:szCs w:val="20"/>
              </w:rPr>
              <w:t>1</w:t>
            </w:r>
          </w:p>
        </w:tc>
        <w:tc>
          <w:tcPr>
            <w:tcW w:w="304" w:type="pct"/>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Pr>
                <w:b/>
                <w:color w:val="auto"/>
                <w:sz w:val="20"/>
                <w:szCs w:val="20"/>
              </w:rPr>
              <w:t>0,2</w:t>
            </w:r>
          </w:p>
        </w:tc>
        <w:tc>
          <w:tcPr>
            <w:tcW w:w="304" w:type="pct"/>
            <w:gridSpan w:val="2"/>
            <w:tcBorders>
              <w:top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Pr>
                <w:b/>
                <w:color w:val="auto"/>
                <w:sz w:val="20"/>
                <w:szCs w:val="20"/>
              </w:rPr>
              <w:t>0,6</w:t>
            </w:r>
          </w:p>
        </w:tc>
        <w:tc>
          <w:tcPr>
            <w:tcW w:w="304" w:type="pct"/>
            <w:tcBorders>
              <w:top w:val="nil"/>
              <w:bottom w:val="single" w:sz="8" w:space="0" w:color="0070C0"/>
              <w:right w:val="nil"/>
            </w:tcBorders>
            <w:vAlign w:val="center"/>
          </w:tcPr>
          <w:p w:rsidR="00AD310F" w:rsidRPr="00200473" w:rsidRDefault="00AD310F" w:rsidP="00AD310F">
            <w:pPr>
              <w:tabs>
                <w:tab w:val="decimal" w:pos="222"/>
              </w:tabs>
              <w:spacing w:before="40" w:after="40"/>
              <w:ind w:left="-57" w:right="-57"/>
              <w:jc w:val="center"/>
              <w:cnfStyle w:val="000000000000"/>
              <w:rPr>
                <w:b/>
                <w:color w:val="auto"/>
                <w:sz w:val="20"/>
                <w:szCs w:val="20"/>
              </w:rPr>
            </w:pPr>
            <w:r>
              <w:rPr>
                <w:b/>
                <w:color w:val="auto"/>
                <w:sz w:val="20"/>
                <w:szCs w:val="20"/>
              </w:rPr>
              <w:t>1,6</w:t>
            </w:r>
          </w:p>
        </w:tc>
        <w:tc>
          <w:tcPr>
            <w:tcW w:w="304" w:type="pct"/>
            <w:tcBorders>
              <w:top w:val="nil"/>
              <w:left w:val="nil"/>
              <w:bottom w:val="single" w:sz="8" w:space="0" w:color="0070C0"/>
            </w:tcBorders>
            <w:vAlign w:val="center"/>
          </w:tcPr>
          <w:p w:rsidR="00AD310F" w:rsidRPr="00200473" w:rsidRDefault="00AD310F" w:rsidP="00AD310F">
            <w:pPr>
              <w:tabs>
                <w:tab w:val="decimal" w:pos="222"/>
              </w:tabs>
              <w:spacing w:before="40" w:after="40"/>
              <w:ind w:left="-57" w:right="-57"/>
              <w:jc w:val="center"/>
              <w:cnfStyle w:val="000000000000"/>
              <w:rPr>
                <w:b/>
                <w:sz w:val="20"/>
                <w:szCs w:val="20"/>
              </w:rPr>
            </w:pPr>
            <w:r>
              <w:rPr>
                <w:b/>
                <w:sz w:val="20"/>
                <w:szCs w:val="20"/>
              </w:rPr>
              <w:t>1,1</w:t>
            </w:r>
          </w:p>
        </w:tc>
      </w:tr>
    </w:tbl>
    <w:p w:rsidR="00BE41C7" w:rsidRDefault="00BE41C7" w:rsidP="00BE41C7">
      <w:pPr>
        <w:rPr>
          <w:rFonts w:eastAsiaTheme="majorEastAsia" w:cstheme="majorBidi"/>
          <w:bCs/>
          <w:szCs w:val="26"/>
        </w:rPr>
      </w:pPr>
      <w:r>
        <w:rPr>
          <w:b/>
        </w:rPr>
        <w:br w:type="page"/>
      </w:r>
    </w:p>
    <w:p w:rsidR="00EA2823" w:rsidRDefault="00CD3CE6" w:rsidP="00EA2823">
      <w:pPr>
        <w:pStyle w:val="Heading2"/>
      </w:pPr>
      <w:bookmarkStart w:id="234" w:name="_Toc282413191"/>
      <w:r>
        <w:rPr>
          <w:b w:val="0"/>
        </w:rPr>
        <w:lastRenderedPageBreak/>
        <w:t>3</w:t>
      </w:r>
      <w:r w:rsidR="00BE41C7" w:rsidRPr="009F6E8E">
        <w:rPr>
          <w:b w:val="0"/>
        </w:rPr>
        <w:t>.1.attēls.</w:t>
      </w:r>
      <w:r w:rsidR="00BE41C7" w:rsidRPr="009F6E8E">
        <w:t xml:space="preserve"> Privātā patēriņa izmaiņas pa ceturkšņiem</w:t>
      </w:r>
      <w:bookmarkStart w:id="235" w:name="_Toc216077865"/>
      <w:bookmarkStart w:id="236" w:name="_Toc216079534"/>
      <w:bookmarkStart w:id="237" w:name="_Toc216079602"/>
      <w:bookmarkStart w:id="238" w:name="_Toc216079664"/>
      <w:bookmarkStart w:id="239" w:name="_Toc216079720"/>
      <w:bookmarkStart w:id="240" w:name="_Toc216079776"/>
      <w:bookmarkStart w:id="241" w:name="_Toc216079832"/>
      <w:bookmarkStart w:id="242" w:name="_Toc216077877"/>
      <w:bookmarkStart w:id="243" w:name="_Toc216079546"/>
      <w:bookmarkStart w:id="244" w:name="_Toc216079614"/>
      <w:bookmarkStart w:id="245" w:name="_Toc216079676"/>
      <w:bookmarkStart w:id="246" w:name="_Toc216079732"/>
      <w:bookmarkStart w:id="247" w:name="_Toc216079788"/>
      <w:bookmarkStart w:id="248" w:name="_Toc216079844"/>
      <w:bookmarkEnd w:id="227"/>
      <w:bookmarkEnd w:id="228"/>
      <w:bookmarkEnd w:id="229"/>
      <w:bookmarkEnd w:id="230"/>
      <w:bookmarkEnd w:id="231"/>
      <w:bookmarkEnd w:id="232"/>
      <w:bookmarkEnd w:id="233"/>
      <w:bookmarkEnd w:id="234"/>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B12C8D" w:rsidRDefault="00EA2823" w:rsidP="00350DE4">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924175" cy="1728000"/>
                  <wp:effectExtent l="0" t="0" r="0" b="0"/>
                  <wp:docPr id="2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792" w:type="dxa"/>
          </w:tcPr>
          <w:p w:rsidR="00EA2823" w:rsidRPr="00B12C8D" w:rsidRDefault="00EA2823" w:rsidP="00350DE4">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886075" cy="1728000"/>
                  <wp:effectExtent l="0" t="0" r="0" b="0"/>
                  <wp:docPr id="2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EA2823" w:rsidRPr="009F6E8E" w:rsidRDefault="00EA2823" w:rsidP="00EA2823">
      <w:pPr>
        <w:ind w:firstLine="567"/>
        <w:jc w:val="right"/>
        <w:rPr>
          <w:color w:val="000000"/>
          <w:sz w:val="12"/>
          <w:szCs w:val="12"/>
        </w:rPr>
      </w:pPr>
    </w:p>
    <w:tbl>
      <w:tblPr>
        <w:tblW w:w="5000" w:type="pct"/>
        <w:tblLook w:val="01E0"/>
      </w:tblPr>
      <w:tblGrid>
        <w:gridCol w:w="9855"/>
      </w:tblGrid>
      <w:tr w:rsidR="00EA2823" w:rsidRPr="009F6E8E" w:rsidTr="00350DE4">
        <w:trPr>
          <w:trHeight w:val="181"/>
        </w:trPr>
        <w:tc>
          <w:tcPr>
            <w:tcW w:w="5000" w:type="pct"/>
            <w:vAlign w:val="center"/>
          </w:tcPr>
          <w:p w:rsidR="00EA2823" w:rsidRPr="009F6E8E" w:rsidRDefault="00EA2823" w:rsidP="00350DE4">
            <w:pPr>
              <w:tabs>
                <w:tab w:val="center" w:pos="2543"/>
              </w:tabs>
              <w:jc w:val="center"/>
              <w:rPr>
                <w:rFonts w:eastAsia="Times New Roman"/>
                <w:sz w:val="18"/>
                <w:szCs w:val="24"/>
              </w:rPr>
            </w:pPr>
            <w:r w:rsidRPr="009F6E8E">
              <w:rPr>
                <w:b/>
                <w:sz w:val="22"/>
              </w:rPr>
              <w:t>Patērētāju konfidences rādītājs</w:t>
            </w:r>
            <w:r w:rsidRPr="0049153A">
              <w:rPr>
                <w:sz w:val="18"/>
              </w:rPr>
              <w:t>*</w:t>
            </w:r>
          </w:p>
        </w:tc>
      </w:tr>
      <w:tr w:rsidR="00EA2823" w:rsidRPr="009F6E8E" w:rsidTr="00350DE4">
        <w:trPr>
          <w:trHeight w:val="2639"/>
        </w:trPr>
        <w:tc>
          <w:tcPr>
            <w:tcW w:w="5000" w:type="pct"/>
          </w:tcPr>
          <w:p w:rsidR="00EA2823" w:rsidRPr="009F6E8E" w:rsidRDefault="00EA2823" w:rsidP="00350DE4">
            <w:pPr>
              <w:jc w:val="center"/>
              <w:rPr>
                <w:rFonts w:eastAsia="Times New Roman"/>
              </w:rPr>
            </w:pPr>
            <w:r w:rsidRPr="009F6E8E">
              <w:rPr>
                <w:rFonts w:eastAsia="Times New Roman"/>
                <w:noProof/>
                <w:sz w:val="20"/>
                <w:szCs w:val="20"/>
                <w:lang w:eastAsia="lv-LV"/>
              </w:rPr>
              <w:drawing>
                <wp:inline distT="0" distB="0" distL="0" distR="0">
                  <wp:extent cx="5133975" cy="1828800"/>
                  <wp:effectExtent l="0" t="0" r="0" b="0"/>
                  <wp:docPr id="2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EA2823" w:rsidRPr="009F6E8E" w:rsidTr="00350DE4">
        <w:trPr>
          <w:trHeight w:val="354"/>
        </w:trPr>
        <w:tc>
          <w:tcPr>
            <w:tcW w:w="5000" w:type="pct"/>
          </w:tcPr>
          <w:p w:rsidR="00EA2823" w:rsidRPr="00F94A18" w:rsidRDefault="00EA2823" w:rsidP="00F768BB">
            <w:pPr>
              <w:spacing w:before="80"/>
              <w:ind w:left="51" w:hanging="142"/>
              <w:rPr>
                <w:rFonts w:eastAsia="Times New Roman"/>
                <w:sz w:val="18"/>
                <w:szCs w:val="18"/>
                <w:lang w:eastAsia="lv-LV"/>
              </w:rPr>
            </w:pPr>
            <w:r>
              <w:rPr>
                <w:sz w:val="16"/>
                <w:szCs w:val="18"/>
              </w:rPr>
              <w:t>*</w:t>
            </w:r>
            <w:r>
              <w:rPr>
                <w:sz w:val="16"/>
                <w:szCs w:val="18"/>
              </w:rPr>
              <w:tab/>
            </w:r>
            <w:r w:rsidRPr="00F94A18">
              <w:rPr>
                <w:sz w:val="16"/>
                <w:szCs w:val="18"/>
              </w:rPr>
              <w:t>Patērētāju konfidences rādītāju aprēķina kā atbilžu saldo vidējo lielumu uz 4 jautājumiem: par finansiālo situāciju, vispārējo ekonomisko situāciju, bezdarba novērtējumu un uzkrājumiem nākošos 12 mēnešos</w:t>
            </w:r>
            <w:r w:rsidR="00F768BB">
              <w:rPr>
                <w:sz w:val="16"/>
                <w:szCs w:val="18"/>
              </w:rPr>
              <w:t>.</w:t>
            </w:r>
          </w:p>
        </w:tc>
      </w:tr>
    </w:tbl>
    <w:p w:rsidR="00EA2823" w:rsidRPr="009F6E8E" w:rsidRDefault="00EA2823" w:rsidP="00EA2823">
      <w:pPr>
        <w:jc w:val="center"/>
        <w:rPr>
          <w:b/>
          <w:sz w:val="12"/>
          <w:szCs w:val="16"/>
        </w:rPr>
      </w:pPr>
    </w:p>
    <w:p w:rsidR="00EA2823" w:rsidRPr="009F6E8E" w:rsidRDefault="00EA2823" w:rsidP="00EA2823">
      <w:pPr>
        <w:pStyle w:val="Heading2"/>
      </w:pPr>
      <w:bookmarkStart w:id="249" w:name="_Toc216077863"/>
      <w:bookmarkStart w:id="250" w:name="_Toc216079532"/>
      <w:bookmarkStart w:id="251" w:name="_Toc216079600"/>
      <w:bookmarkStart w:id="252" w:name="_Toc216079662"/>
      <w:bookmarkStart w:id="253" w:name="_Toc216079718"/>
      <w:bookmarkStart w:id="254" w:name="_Toc216079774"/>
      <w:bookmarkStart w:id="255" w:name="_Toc216079830"/>
      <w:bookmarkStart w:id="256" w:name="_Toc282413192"/>
      <w:r>
        <w:rPr>
          <w:b w:val="0"/>
        </w:rPr>
        <w:t>3</w:t>
      </w:r>
      <w:r w:rsidRPr="009F6E8E">
        <w:rPr>
          <w:b w:val="0"/>
        </w:rPr>
        <w:t>.2.attēls.</w:t>
      </w:r>
      <w:r w:rsidRPr="009F6E8E">
        <w:t xml:space="preserve"> Sabiedriskā patēriņa izmaiņas pa ceturkšņiem</w:t>
      </w:r>
      <w:bookmarkEnd w:id="249"/>
      <w:bookmarkEnd w:id="250"/>
      <w:bookmarkEnd w:id="251"/>
      <w:bookmarkEnd w:id="252"/>
      <w:bookmarkEnd w:id="253"/>
      <w:bookmarkEnd w:id="254"/>
      <w:bookmarkEnd w:id="255"/>
      <w:bookmarkEnd w:id="256"/>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4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79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5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rsidR="00EA2823" w:rsidRPr="009F6E8E" w:rsidRDefault="00EA2823" w:rsidP="00EA2823">
      <w:pPr>
        <w:jc w:val="both"/>
        <w:rPr>
          <w:sz w:val="12"/>
          <w:szCs w:val="12"/>
        </w:rPr>
      </w:pPr>
    </w:p>
    <w:p w:rsidR="00EA2823" w:rsidRPr="009F6E8E" w:rsidRDefault="00EA2823" w:rsidP="00EA2823">
      <w:pPr>
        <w:pStyle w:val="Heading2"/>
        <w:rPr>
          <w:sz w:val="22"/>
          <w:szCs w:val="22"/>
        </w:rPr>
      </w:pPr>
      <w:bookmarkStart w:id="257" w:name="_Toc216077864"/>
      <w:bookmarkStart w:id="258" w:name="_Toc216079533"/>
      <w:bookmarkStart w:id="259" w:name="_Toc216079601"/>
      <w:bookmarkStart w:id="260" w:name="_Toc216079663"/>
      <w:bookmarkStart w:id="261" w:name="_Toc216079719"/>
      <w:bookmarkStart w:id="262" w:name="_Toc216079775"/>
      <w:bookmarkStart w:id="263" w:name="_Toc216079831"/>
      <w:bookmarkStart w:id="264" w:name="_Toc282413193"/>
      <w:r>
        <w:rPr>
          <w:b w:val="0"/>
        </w:rPr>
        <w:t>3</w:t>
      </w:r>
      <w:r w:rsidRPr="009F6E8E">
        <w:rPr>
          <w:b w:val="0"/>
        </w:rPr>
        <w:t>.3.attēls.</w:t>
      </w:r>
      <w:r w:rsidRPr="009F6E8E">
        <w:t xml:space="preserve"> Investīcijas pamatlīdzekļos pa ceturkšņiem</w:t>
      </w:r>
      <w:bookmarkEnd w:id="257"/>
      <w:bookmarkEnd w:id="258"/>
      <w:bookmarkEnd w:id="259"/>
      <w:bookmarkEnd w:id="260"/>
      <w:bookmarkEnd w:id="261"/>
      <w:bookmarkEnd w:id="262"/>
      <w:bookmarkEnd w:id="263"/>
      <w:bookmarkEnd w:id="264"/>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5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79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886075" cy="1728000"/>
                  <wp:effectExtent l="19050" t="0" r="0" b="0"/>
                  <wp:docPr id="59"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rsidR="00EA2823" w:rsidRDefault="00EA2823" w:rsidP="00EA2823">
      <w:pPr>
        <w:pStyle w:val="Heading1"/>
      </w:pPr>
    </w:p>
    <w:p w:rsidR="00EA2823" w:rsidRPr="009F6E8E" w:rsidRDefault="00EA2823" w:rsidP="00EA2823">
      <w:pPr>
        <w:pStyle w:val="Heading2"/>
      </w:pPr>
      <w:bookmarkStart w:id="265" w:name="_Toc282413194"/>
      <w:r>
        <w:rPr>
          <w:b w:val="0"/>
        </w:rPr>
        <w:t>3</w:t>
      </w:r>
      <w:r w:rsidRPr="009F6E8E">
        <w:rPr>
          <w:b w:val="0"/>
        </w:rPr>
        <w:t>.</w:t>
      </w:r>
      <w:r>
        <w:rPr>
          <w:b w:val="0"/>
        </w:rPr>
        <w:t>4</w:t>
      </w:r>
      <w:r w:rsidRPr="009F6E8E">
        <w:rPr>
          <w:b w:val="0"/>
        </w:rPr>
        <w:t>.attēls.</w:t>
      </w:r>
      <w:r w:rsidRPr="009F6E8E">
        <w:t xml:space="preserve"> </w:t>
      </w:r>
      <w:r>
        <w:t xml:space="preserve">Preču un pakalpojumu eksports </w:t>
      </w:r>
      <w:r w:rsidRPr="009F6E8E">
        <w:t>pa ceturkšņiem</w:t>
      </w:r>
      <w:bookmarkEnd w:id="265"/>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924175" cy="1728000"/>
                  <wp:effectExtent l="19050" t="0" r="0" b="0"/>
                  <wp:docPr id="6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479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6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rsidR="00EA2823" w:rsidRPr="009F6E8E" w:rsidRDefault="00EA2823" w:rsidP="00EA2823">
      <w:pPr>
        <w:jc w:val="both"/>
        <w:rPr>
          <w:sz w:val="12"/>
          <w:szCs w:val="12"/>
        </w:rPr>
      </w:pPr>
    </w:p>
    <w:p w:rsidR="00EA2823" w:rsidRPr="009F6E8E" w:rsidRDefault="00EA2823" w:rsidP="00EA2823">
      <w:pPr>
        <w:pStyle w:val="Heading2"/>
        <w:rPr>
          <w:sz w:val="22"/>
          <w:szCs w:val="22"/>
        </w:rPr>
      </w:pPr>
      <w:bookmarkStart w:id="266" w:name="_Toc282413195"/>
      <w:r>
        <w:rPr>
          <w:b w:val="0"/>
        </w:rPr>
        <w:t>3.5</w:t>
      </w:r>
      <w:r w:rsidRPr="009F6E8E">
        <w:rPr>
          <w:b w:val="0"/>
        </w:rPr>
        <w:t>.attēls.</w:t>
      </w:r>
      <w:r w:rsidRPr="009F6E8E">
        <w:t xml:space="preserve"> </w:t>
      </w:r>
      <w:r>
        <w:t xml:space="preserve">Preču un pakalpojumu imports </w:t>
      </w:r>
      <w:r w:rsidRPr="009F6E8E">
        <w:t>pa ceturkšņiem</w:t>
      </w:r>
      <w:bookmarkEnd w:id="266"/>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924175" cy="1728000"/>
                  <wp:effectExtent l="19050" t="0" r="0" b="0"/>
                  <wp:docPr id="6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79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69"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rsidR="005F5CBE" w:rsidRDefault="005F5CBE" w:rsidP="00EA2823">
      <w:pPr>
        <w:pStyle w:val="Heading2"/>
        <w:rPr>
          <w:sz w:val="32"/>
        </w:rPr>
      </w:pPr>
      <w:r>
        <w:br w:type="page"/>
      </w:r>
    </w:p>
    <w:p w:rsidR="00BE41C7" w:rsidRPr="009F6E8E" w:rsidRDefault="00CD3CE6" w:rsidP="00BE41C7">
      <w:pPr>
        <w:pStyle w:val="Heading1"/>
      </w:pPr>
      <w:bookmarkStart w:id="267" w:name="_Toc274580548"/>
      <w:bookmarkStart w:id="268" w:name="_Toc282413196"/>
      <w:r>
        <w:lastRenderedPageBreak/>
        <w:t>4</w:t>
      </w:r>
      <w:r w:rsidR="00BE41C7" w:rsidRPr="009F6E8E">
        <w:t>. Ārējais sektors</w:t>
      </w:r>
      <w:bookmarkEnd w:id="235"/>
      <w:bookmarkEnd w:id="236"/>
      <w:bookmarkEnd w:id="237"/>
      <w:bookmarkEnd w:id="238"/>
      <w:bookmarkEnd w:id="239"/>
      <w:bookmarkEnd w:id="240"/>
      <w:bookmarkEnd w:id="241"/>
      <w:bookmarkEnd w:id="267"/>
      <w:bookmarkEnd w:id="268"/>
    </w:p>
    <w:p w:rsidR="00BE41C7" w:rsidRDefault="00BE41C7" w:rsidP="00BE41C7">
      <w:pPr>
        <w:spacing w:after="40"/>
        <w:rPr>
          <w:b/>
          <w:sz w:val="12"/>
          <w:szCs w:val="12"/>
        </w:rPr>
      </w:pPr>
    </w:p>
    <w:p w:rsidR="005F734C" w:rsidRPr="00C776FF" w:rsidRDefault="005F734C" w:rsidP="005F734C">
      <w:pPr>
        <w:pStyle w:val="BodyText"/>
        <w:spacing w:after="0"/>
        <w:ind w:firstLine="284"/>
        <w:jc w:val="both"/>
        <w:rPr>
          <w:rFonts w:eastAsiaTheme="minorHAnsi"/>
          <w:sz w:val="28"/>
          <w:szCs w:val="28"/>
        </w:rPr>
      </w:pPr>
      <w:bookmarkStart w:id="269" w:name="_Toc216077866"/>
      <w:bookmarkStart w:id="270" w:name="_Toc216079535"/>
      <w:bookmarkStart w:id="271" w:name="_Toc216079603"/>
      <w:bookmarkStart w:id="272" w:name="_Toc216079665"/>
      <w:bookmarkStart w:id="273" w:name="_Toc216079721"/>
      <w:bookmarkStart w:id="274" w:name="_Toc216079777"/>
      <w:bookmarkStart w:id="275" w:name="_Toc216079833"/>
      <w:r>
        <w:rPr>
          <w:rFonts w:eastAsiaTheme="minorHAnsi"/>
          <w:sz w:val="28"/>
          <w:szCs w:val="28"/>
        </w:rPr>
        <w:t xml:space="preserve">Globālās finanšu krīzes ietekmē </w:t>
      </w:r>
      <w:r w:rsidRPr="00C776FF">
        <w:rPr>
          <w:rFonts w:eastAsiaTheme="minorHAnsi"/>
          <w:sz w:val="28"/>
          <w:szCs w:val="28"/>
        </w:rPr>
        <w:t>Latvijā bija vērojama nozīmīga maksājumu bilances tekošā konta korekcija</w:t>
      </w:r>
      <w:r w:rsidR="00F768BB">
        <w:rPr>
          <w:rFonts w:eastAsiaTheme="minorHAnsi"/>
          <w:sz w:val="28"/>
          <w:szCs w:val="28"/>
        </w:rPr>
        <w:t xml:space="preserve">, kas </w:t>
      </w:r>
      <w:r w:rsidR="009B4B86">
        <w:rPr>
          <w:rFonts w:eastAsiaTheme="minorHAnsi"/>
          <w:sz w:val="28"/>
          <w:szCs w:val="28"/>
        </w:rPr>
        <w:t>sākās 2007.</w:t>
      </w:r>
      <w:r w:rsidRPr="00C776FF">
        <w:rPr>
          <w:rFonts w:eastAsiaTheme="minorHAnsi"/>
          <w:sz w:val="28"/>
          <w:szCs w:val="28"/>
        </w:rPr>
        <w:t>gada otrajā pusē, strauji samazin</w:t>
      </w:r>
      <w:r>
        <w:rPr>
          <w:rFonts w:eastAsiaTheme="minorHAnsi"/>
          <w:sz w:val="28"/>
          <w:szCs w:val="28"/>
        </w:rPr>
        <w:t>oties</w:t>
      </w:r>
      <w:r w:rsidRPr="00C776FF">
        <w:rPr>
          <w:rFonts w:eastAsiaTheme="minorHAnsi"/>
          <w:sz w:val="28"/>
          <w:szCs w:val="28"/>
        </w:rPr>
        <w:t xml:space="preserve"> ārvalstu kapitāla ieplūde</w:t>
      </w:r>
      <w:r>
        <w:rPr>
          <w:rFonts w:eastAsiaTheme="minorHAnsi"/>
          <w:sz w:val="28"/>
          <w:szCs w:val="28"/>
        </w:rPr>
        <w:t>i</w:t>
      </w:r>
      <w:r w:rsidR="00F768BB">
        <w:rPr>
          <w:rFonts w:eastAsiaTheme="minorHAnsi"/>
          <w:sz w:val="28"/>
          <w:szCs w:val="28"/>
        </w:rPr>
        <w:t>. R</w:t>
      </w:r>
      <w:r w:rsidRPr="00C776FF">
        <w:rPr>
          <w:rFonts w:eastAsiaTheme="minorHAnsi"/>
          <w:sz w:val="28"/>
          <w:szCs w:val="28"/>
        </w:rPr>
        <w:t>ezultātā tekošā konta bilance no deficīta 24,8% no IKP (2007.gada 3.ceturksnī) sasniedza pārpalikumu 10,7% no IKP (2009.</w:t>
      </w:r>
      <w:r w:rsidR="00F768BB">
        <w:rPr>
          <w:rFonts w:eastAsiaTheme="minorHAnsi"/>
          <w:sz w:val="28"/>
          <w:szCs w:val="28"/>
        </w:rPr>
        <w:t>gada 4.</w:t>
      </w:r>
      <w:r w:rsidRPr="00C776FF">
        <w:rPr>
          <w:rFonts w:eastAsiaTheme="minorHAnsi"/>
          <w:sz w:val="28"/>
          <w:szCs w:val="28"/>
        </w:rPr>
        <w:t xml:space="preserve">ceturksnī). </w:t>
      </w:r>
    </w:p>
    <w:p w:rsidR="005F734C" w:rsidRPr="00C776FF" w:rsidRDefault="005F734C" w:rsidP="005F734C">
      <w:pPr>
        <w:pStyle w:val="BodyText"/>
        <w:spacing w:after="0"/>
        <w:ind w:firstLine="284"/>
        <w:jc w:val="both"/>
        <w:rPr>
          <w:rFonts w:eastAsiaTheme="minorHAnsi"/>
          <w:sz w:val="28"/>
          <w:szCs w:val="28"/>
        </w:rPr>
      </w:pPr>
      <w:r w:rsidRPr="00C776FF">
        <w:rPr>
          <w:rFonts w:eastAsiaTheme="minorHAnsi"/>
          <w:sz w:val="28"/>
          <w:szCs w:val="28"/>
        </w:rPr>
        <w:t>2010.gadā tekošā konta bilance bija pozitīva 3,6% no IKP (</w:t>
      </w:r>
      <w:r w:rsidR="0059673F" w:rsidRPr="00C776FF">
        <w:rPr>
          <w:rFonts w:eastAsiaTheme="minorHAnsi"/>
          <w:sz w:val="28"/>
          <w:szCs w:val="28"/>
        </w:rPr>
        <w:t xml:space="preserve">8,6% </w:t>
      </w:r>
      <w:r w:rsidR="009B4B86">
        <w:rPr>
          <w:rFonts w:eastAsiaTheme="minorHAnsi"/>
          <w:sz w:val="28"/>
          <w:szCs w:val="28"/>
        </w:rPr>
        <w:t>– 1.ceturksnī, 5,8% –</w:t>
      </w:r>
      <w:r w:rsidRPr="00C776FF">
        <w:rPr>
          <w:rFonts w:eastAsiaTheme="minorHAnsi"/>
          <w:sz w:val="28"/>
          <w:szCs w:val="28"/>
        </w:rPr>
        <w:t xml:space="preserve"> 2.ceturksnī, 1,1% </w:t>
      </w:r>
      <w:r w:rsidR="009B4B86">
        <w:rPr>
          <w:rFonts w:eastAsiaTheme="minorHAnsi"/>
          <w:sz w:val="28"/>
          <w:szCs w:val="28"/>
        </w:rPr>
        <w:t>–</w:t>
      </w:r>
      <w:r w:rsidRPr="00C776FF">
        <w:rPr>
          <w:rFonts w:eastAsiaTheme="minorHAnsi"/>
          <w:sz w:val="28"/>
          <w:szCs w:val="28"/>
        </w:rPr>
        <w:t xml:space="preserve"> 3.</w:t>
      </w:r>
      <w:r w:rsidR="0059673F">
        <w:rPr>
          <w:rFonts w:eastAsiaTheme="minorHAnsi"/>
          <w:sz w:val="28"/>
          <w:szCs w:val="28"/>
        </w:rPr>
        <w:t xml:space="preserve">ceturksnī un -0,3% no IKP </w:t>
      </w:r>
      <w:r w:rsidR="009B4B86">
        <w:rPr>
          <w:rFonts w:eastAsiaTheme="minorHAnsi"/>
          <w:sz w:val="28"/>
          <w:szCs w:val="28"/>
        </w:rPr>
        <w:t>–</w:t>
      </w:r>
      <w:r w:rsidR="0059673F">
        <w:rPr>
          <w:rFonts w:eastAsiaTheme="minorHAnsi"/>
          <w:sz w:val="28"/>
          <w:szCs w:val="28"/>
        </w:rPr>
        <w:t xml:space="preserve"> 4.</w:t>
      </w:r>
      <w:r w:rsidRPr="00C776FF">
        <w:rPr>
          <w:rFonts w:eastAsiaTheme="minorHAnsi"/>
          <w:sz w:val="28"/>
          <w:szCs w:val="28"/>
        </w:rPr>
        <w:t>ceturksnī). Tekošā konta ceturkšņu dinamika 2010.gadā liecina par kārtējo virzienu maiņu, t</w:t>
      </w:r>
      <w:r w:rsidR="0059673F">
        <w:rPr>
          <w:rFonts w:eastAsiaTheme="minorHAnsi"/>
          <w:sz w:val="28"/>
          <w:szCs w:val="28"/>
        </w:rPr>
        <w:t>.i., pozitīvā saldo samazināšano</w:t>
      </w:r>
      <w:r w:rsidRPr="00C776FF">
        <w:rPr>
          <w:rFonts w:eastAsiaTheme="minorHAnsi"/>
          <w:sz w:val="28"/>
          <w:szCs w:val="28"/>
        </w:rPr>
        <w:t>s un deficīta veidošan</w:t>
      </w:r>
      <w:r w:rsidR="0059673F">
        <w:rPr>
          <w:rFonts w:eastAsiaTheme="minorHAnsi"/>
          <w:sz w:val="28"/>
          <w:szCs w:val="28"/>
        </w:rPr>
        <w:t>o</w:t>
      </w:r>
      <w:r w:rsidRPr="00C776FF">
        <w:rPr>
          <w:rFonts w:eastAsiaTheme="minorHAnsi"/>
          <w:sz w:val="28"/>
          <w:szCs w:val="28"/>
        </w:rPr>
        <w:t>s.</w:t>
      </w:r>
    </w:p>
    <w:p w:rsidR="005F734C" w:rsidRPr="006B1175" w:rsidRDefault="0059673F" w:rsidP="005F734C">
      <w:pPr>
        <w:ind w:firstLine="284"/>
        <w:jc w:val="both"/>
        <w:rPr>
          <w:sz w:val="28"/>
        </w:rPr>
      </w:pPr>
      <w:r>
        <w:rPr>
          <w:sz w:val="28"/>
        </w:rPr>
        <w:t>Tekošā konta izmaiņas 2010.</w:t>
      </w:r>
      <w:r w:rsidR="005F734C" w:rsidRPr="00762B9A">
        <w:rPr>
          <w:sz w:val="28"/>
        </w:rPr>
        <w:t>gadā pamatā saistītas ar izmaiņām ienākumu bilances posteņos, mazāk ar izmaiņām ārējās tirdzniecības bilances posteņos.</w:t>
      </w:r>
      <w:r w:rsidR="005F734C">
        <w:rPr>
          <w:sz w:val="28"/>
        </w:rPr>
        <w:t xml:space="preserve"> </w:t>
      </w:r>
      <w:r w:rsidR="005F734C" w:rsidRPr="006B1175">
        <w:rPr>
          <w:sz w:val="28"/>
        </w:rPr>
        <w:t xml:space="preserve">Ārējās tirdzniecības deficīts, 2010.gadā bija 6,4% no IKP, jeb par 0,7 procentpunktiem mazāks nekā </w:t>
      </w:r>
      <w:r>
        <w:rPr>
          <w:sz w:val="28"/>
        </w:rPr>
        <w:t>2009.</w:t>
      </w:r>
      <w:r w:rsidR="005F734C" w:rsidRPr="006B1175">
        <w:rPr>
          <w:sz w:val="28"/>
        </w:rPr>
        <w:t>gadā, ko noteica preču eksporta straujāks</w:t>
      </w:r>
      <w:r>
        <w:rPr>
          <w:sz w:val="28"/>
        </w:rPr>
        <w:t xml:space="preserve"> pieaugums </w:t>
      </w:r>
      <w:r w:rsidR="005F734C" w:rsidRPr="006B1175">
        <w:rPr>
          <w:sz w:val="28"/>
        </w:rPr>
        <w:t>nekā importa</w:t>
      </w:r>
      <w:r>
        <w:rPr>
          <w:sz w:val="28"/>
        </w:rPr>
        <w:t xml:space="preserve"> kāpums</w:t>
      </w:r>
      <w:r w:rsidR="005F734C" w:rsidRPr="006B1175">
        <w:rPr>
          <w:sz w:val="28"/>
        </w:rPr>
        <w:t>. 2010.gadā preču eksports faktiskajās cenā</w:t>
      </w:r>
      <w:r w:rsidR="009B4B86">
        <w:rPr>
          <w:sz w:val="28"/>
        </w:rPr>
        <w:t>s pieauga par 28,6% un imports –</w:t>
      </w:r>
      <w:r w:rsidR="005F734C" w:rsidRPr="006B1175">
        <w:rPr>
          <w:sz w:val="28"/>
        </w:rPr>
        <w:t xml:space="preserve"> par 20,4%. Ta</w:t>
      </w:r>
      <w:r>
        <w:rPr>
          <w:sz w:val="28"/>
        </w:rPr>
        <w:t xml:space="preserve">jā pašā </w:t>
      </w:r>
      <w:r w:rsidR="005F734C" w:rsidRPr="006B1175">
        <w:rPr>
          <w:sz w:val="28"/>
        </w:rPr>
        <w:t>laikā</w:t>
      </w:r>
      <w:r>
        <w:rPr>
          <w:sz w:val="28"/>
        </w:rPr>
        <w:t>,</w:t>
      </w:r>
      <w:r w:rsidR="005F734C" w:rsidRPr="006B1175">
        <w:rPr>
          <w:sz w:val="28"/>
        </w:rPr>
        <w:t xml:space="preserve"> palielinoties ekonomiskajām aktivitātēm, </w:t>
      </w:r>
      <w:r w:rsidRPr="006B1175">
        <w:rPr>
          <w:sz w:val="28"/>
        </w:rPr>
        <w:t xml:space="preserve">importa dinamika kļūst </w:t>
      </w:r>
      <w:r w:rsidR="005F734C" w:rsidRPr="006B1175">
        <w:rPr>
          <w:sz w:val="28"/>
        </w:rPr>
        <w:t>arvien straujāka</w:t>
      </w:r>
      <w:r>
        <w:rPr>
          <w:sz w:val="28"/>
        </w:rPr>
        <w:t>. 2010.gada 4.ceturks</w:t>
      </w:r>
      <w:r w:rsidR="005F734C" w:rsidRPr="006B1175">
        <w:rPr>
          <w:sz w:val="28"/>
        </w:rPr>
        <w:t xml:space="preserve">nī, salīdzinot ar iepriekšējā gada atbilstošo periodu, preču imports pieauga nedaudz straujāk nekā eksports, </w:t>
      </w:r>
      <w:r>
        <w:rPr>
          <w:sz w:val="28"/>
        </w:rPr>
        <w:t>un</w:t>
      </w:r>
      <w:r w:rsidR="005F734C" w:rsidRPr="006B1175">
        <w:rPr>
          <w:sz w:val="28"/>
        </w:rPr>
        <w:t xml:space="preserve"> ārējās tirdzniecības deficīts bija 6,4% no IKP. Tuvākajā laikā ārējās tirdzniecības bilances stāvokļa uzlabošanos noteiks ražotāju konkurētspējas palielināšanās ārējos tirgos.</w:t>
      </w:r>
    </w:p>
    <w:p w:rsidR="005F734C" w:rsidRDefault="0059673F" w:rsidP="005F734C">
      <w:pPr>
        <w:ind w:firstLine="284"/>
        <w:jc w:val="both"/>
        <w:rPr>
          <w:sz w:val="28"/>
          <w:highlight w:val="yellow"/>
        </w:rPr>
      </w:pPr>
      <w:r>
        <w:rPr>
          <w:sz w:val="28"/>
        </w:rPr>
        <w:t>Pakalpojumu bilance 2010.</w:t>
      </w:r>
      <w:r w:rsidR="005F734C" w:rsidRPr="00762B9A">
        <w:rPr>
          <w:sz w:val="28"/>
        </w:rPr>
        <w:t>gadā</w:t>
      </w:r>
      <w:r w:rsidR="009B4B86">
        <w:rPr>
          <w:sz w:val="28"/>
        </w:rPr>
        <w:t xml:space="preserve"> bija 6,2% līmenī no IKP (2009.</w:t>
      </w:r>
      <w:r w:rsidR="005F734C" w:rsidRPr="00762B9A">
        <w:rPr>
          <w:sz w:val="28"/>
        </w:rPr>
        <w:t>gadā</w:t>
      </w:r>
      <w:r w:rsidR="005F734C">
        <w:rPr>
          <w:sz w:val="28"/>
        </w:rPr>
        <w:t xml:space="preserve"> </w:t>
      </w:r>
      <w:r w:rsidR="005F734C" w:rsidRPr="00762B9A">
        <w:rPr>
          <w:sz w:val="28"/>
        </w:rPr>
        <w:t>6%</w:t>
      </w:r>
      <w:r>
        <w:rPr>
          <w:sz w:val="28"/>
        </w:rPr>
        <w:t xml:space="preserve"> no IKP</w:t>
      </w:r>
      <w:r w:rsidR="005F734C" w:rsidRPr="00762B9A">
        <w:rPr>
          <w:sz w:val="28"/>
        </w:rPr>
        <w:t>) un faktiski sedza preču tirdzniecības negatīvo bilanci.</w:t>
      </w:r>
    </w:p>
    <w:p w:rsidR="005F734C" w:rsidRPr="00762B9A" w:rsidRDefault="005F734C" w:rsidP="005F734C">
      <w:pPr>
        <w:ind w:firstLine="284"/>
        <w:jc w:val="both"/>
        <w:rPr>
          <w:sz w:val="28"/>
        </w:rPr>
      </w:pPr>
      <w:r>
        <w:rPr>
          <w:sz w:val="28"/>
        </w:rPr>
        <w:t>Nozīmīgas i</w:t>
      </w:r>
      <w:r w:rsidRPr="00762B9A">
        <w:rPr>
          <w:sz w:val="28"/>
        </w:rPr>
        <w:t>zmaiņas ir vērojamas tekošā konta i</w:t>
      </w:r>
      <w:r w:rsidR="0059673F">
        <w:rPr>
          <w:sz w:val="28"/>
        </w:rPr>
        <w:t>enākumu bilancē, kas kopš 2008.</w:t>
      </w:r>
      <w:r w:rsidRPr="00762B9A">
        <w:rPr>
          <w:sz w:val="28"/>
        </w:rPr>
        <w:t>gada 4.ceturkšņa septiņus ceturkšņus pēc kārtas bija pozitīva. Ienāk</w:t>
      </w:r>
      <w:r w:rsidR="0059673F">
        <w:rPr>
          <w:sz w:val="28"/>
        </w:rPr>
        <w:t>umu bilances pārpalikums 2009.gada 2.</w:t>
      </w:r>
      <w:r w:rsidRPr="00762B9A">
        <w:rPr>
          <w:sz w:val="28"/>
        </w:rPr>
        <w:t>ceturksnī</w:t>
      </w:r>
      <w:r w:rsidR="0059673F">
        <w:rPr>
          <w:sz w:val="28"/>
        </w:rPr>
        <w:t xml:space="preserve"> s</w:t>
      </w:r>
      <w:r w:rsidRPr="00762B9A">
        <w:rPr>
          <w:sz w:val="28"/>
        </w:rPr>
        <w:t>asniedz</w:t>
      </w:r>
      <w:r w:rsidR="0059673F">
        <w:rPr>
          <w:sz w:val="28"/>
        </w:rPr>
        <w:t xml:space="preserve">a </w:t>
      </w:r>
      <w:r w:rsidRPr="00762B9A">
        <w:rPr>
          <w:sz w:val="28"/>
        </w:rPr>
        <w:t>9,4% no IKP</w:t>
      </w:r>
      <w:r w:rsidR="00C92BEF">
        <w:rPr>
          <w:sz w:val="28"/>
        </w:rPr>
        <w:t>. N</w:t>
      </w:r>
      <w:r w:rsidRPr="00762B9A">
        <w:rPr>
          <w:sz w:val="28"/>
        </w:rPr>
        <w:t xml:space="preserve">ākamajos periodos </w:t>
      </w:r>
      <w:r w:rsidR="00C92BEF">
        <w:rPr>
          <w:sz w:val="28"/>
        </w:rPr>
        <w:t xml:space="preserve">ienākumu bilance </w:t>
      </w:r>
      <w:r w:rsidRPr="00762B9A">
        <w:rPr>
          <w:sz w:val="28"/>
        </w:rPr>
        <w:t>samazinājās</w:t>
      </w:r>
      <w:r w:rsidR="00C92BEF">
        <w:rPr>
          <w:sz w:val="28"/>
        </w:rPr>
        <w:t xml:space="preserve"> </w:t>
      </w:r>
      <w:r w:rsidRPr="00762B9A">
        <w:rPr>
          <w:sz w:val="28"/>
        </w:rPr>
        <w:t xml:space="preserve">un 2010. gada 3. un 4.ceturksnī bija negatīva (attiecīgi 0,7% un 3,6% no IKP). Ienākumu bilances negatīvā saldo veidošanos 2010.gada otrajā pusgadā noteica nerezidentu ieguldījumu ienākumu, t.sk. reinvestētās peļņas, pieaugums. </w:t>
      </w:r>
    </w:p>
    <w:p w:rsidR="005F734C" w:rsidRPr="00150B51" w:rsidRDefault="005F734C" w:rsidP="005F734C">
      <w:pPr>
        <w:ind w:firstLine="284"/>
        <w:jc w:val="both"/>
        <w:rPr>
          <w:sz w:val="28"/>
        </w:rPr>
      </w:pPr>
      <w:r w:rsidRPr="00762B9A">
        <w:rPr>
          <w:sz w:val="28"/>
        </w:rPr>
        <w:t xml:space="preserve">Kopš 2008.gada beigām vērojams maksājumu bilances finanšu konta pasīvu samazinājums. 2010.gada </w:t>
      </w:r>
      <w:r w:rsidR="009B4B86">
        <w:rPr>
          <w:sz w:val="28"/>
        </w:rPr>
        <w:t xml:space="preserve">pirmajā pusē </w:t>
      </w:r>
      <w:r w:rsidRPr="00762B9A">
        <w:rPr>
          <w:sz w:val="28"/>
        </w:rPr>
        <w:t xml:space="preserve">kapitāla aizplūde </w:t>
      </w:r>
      <w:r w:rsidRPr="00150B51">
        <w:rPr>
          <w:sz w:val="28"/>
        </w:rPr>
        <w:t>turpinājās, kaut arī daudz mazākos</w:t>
      </w:r>
      <w:r w:rsidR="00C92BEF">
        <w:rPr>
          <w:sz w:val="28"/>
        </w:rPr>
        <w:t xml:space="preserve"> apjomos nekā pirms gada. 2010.gada 3.</w:t>
      </w:r>
      <w:r w:rsidRPr="00150B51">
        <w:rPr>
          <w:sz w:val="28"/>
        </w:rPr>
        <w:t xml:space="preserve">ceturksnī, pirmo reizi kopš 2008.gada beigām, ir vērojama kapitāla ieplūde privātajā sektorā, ko būtiski ietekmēja reinvestētās peļņas pieaugums, liecinot par nerezidentu uzņēmumu darbības rezultātu uzlabošanos. </w:t>
      </w:r>
    </w:p>
    <w:p w:rsidR="005F734C" w:rsidRPr="00150B51" w:rsidRDefault="005F734C" w:rsidP="005F734C">
      <w:pPr>
        <w:ind w:firstLine="284"/>
        <w:jc w:val="both"/>
        <w:rPr>
          <w:sz w:val="28"/>
        </w:rPr>
      </w:pPr>
      <w:r w:rsidRPr="00150B51">
        <w:rPr>
          <w:sz w:val="28"/>
        </w:rPr>
        <w:t xml:space="preserve">Līdz ar ārvalstu kapitāla plūsmu dinamikas un virziena maiņu, mainās arī to struktūra. Ja 2009.gadā ienākošās </w:t>
      </w:r>
      <w:r w:rsidRPr="00150B51">
        <w:rPr>
          <w:sz w:val="28"/>
          <w:lang w:eastAsia="lv-LV"/>
        </w:rPr>
        <w:t>ĀTI plūsmas bija tikai 7,8% no iepriekšējā gada rādītāja, tad 2010.gadā</w:t>
      </w:r>
      <w:r w:rsidRPr="00150B51">
        <w:rPr>
          <w:sz w:val="28"/>
        </w:rPr>
        <w:t xml:space="preserve"> ienākošo ĀTI plūsmu apjoms bija gandrīz četras reizes lielāks nekā pirms gada un tās veidoja gandrīz trešo daļu no 2010.gadā piesaistītām ārvalstu investīcijām Latvijas ekonomikā. Kaut arī ĀTI plūsmu dinamika liecina par pakāpenisko ārvalstu investoru aktivizēšanos, tomēr pēc apjoma tās </w:t>
      </w:r>
      <w:r w:rsidR="00C92BEF">
        <w:rPr>
          <w:sz w:val="28"/>
        </w:rPr>
        <w:t xml:space="preserve">joprojām </w:t>
      </w:r>
      <w:r w:rsidRPr="00150B51">
        <w:rPr>
          <w:sz w:val="28"/>
        </w:rPr>
        <w:t>ir gandrīz četras reizes mazākas, nekā vidēji gadā piesaistītās ĀTI laika periodā no 2004. līdz 2007.gadam.</w:t>
      </w:r>
    </w:p>
    <w:p w:rsidR="005F734C" w:rsidRPr="00150B51" w:rsidRDefault="005F734C" w:rsidP="00C92BEF">
      <w:pPr>
        <w:autoSpaceDE w:val="0"/>
        <w:autoSpaceDN w:val="0"/>
        <w:adjustRightInd w:val="0"/>
        <w:jc w:val="both"/>
        <w:rPr>
          <w:sz w:val="28"/>
        </w:rPr>
      </w:pPr>
      <w:r w:rsidRPr="00150B51">
        <w:rPr>
          <w:sz w:val="28"/>
        </w:rPr>
        <w:lastRenderedPageBreak/>
        <w:t xml:space="preserve">Portfeļinvestīciju daļa ienākošās finanšu plūsmās ir neliela un pēdējos trīs gados nepārsniedz 10% no tām. 2010.gadā portfeļinvestīciju saldo bija negatīvs, galvenokārt saistībā ar </w:t>
      </w:r>
      <w:r w:rsidR="00C92BEF">
        <w:rPr>
          <w:rFonts w:eastAsiaTheme="minorHAnsi"/>
          <w:sz w:val="28"/>
        </w:rPr>
        <w:t>banku sektora veikta</w:t>
      </w:r>
      <w:r w:rsidRPr="00150B51">
        <w:rPr>
          <w:rFonts w:eastAsiaTheme="minorHAnsi"/>
          <w:sz w:val="28"/>
        </w:rPr>
        <w:t>jām ilgtermiņa saistību atmaksām.</w:t>
      </w:r>
    </w:p>
    <w:p w:rsidR="005F734C" w:rsidRPr="00150B51" w:rsidRDefault="005F734C" w:rsidP="00C92BEF">
      <w:pPr>
        <w:ind w:firstLine="284"/>
        <w:jc w:val="both"/>
        <w:rPr>
          <w:sz w:val="28"/>
        </w:rPr>
      </w:pPr>
      <w:r w:rsidRPr="00150B51">
        <w:rPr>
          <w:rFonts w:eastAsia="Times New Roman"/>
          <w:sz w:val="28"/>
          <w:lang w:eastAsia="lv-LV"/>
        </w:rPr>
        <w:t xml:space="preserve">Nozīmīgas svārstības ir vērojamas citām investīcijām. 2010.gadā šī maksājumu bilances posteņa svārstības bija visai lielas (1. un 3.ceturksnī citu investīciju bilance bija pozitīva, attiecīgi – 7,5% un 2,5% no IKP, bet 2. un 4.ceturksnī negatīva, attiecīgi – 10,6% un 2,6% no IKP). Kopumā </w:t>
      </w:r>
      <w:r w:rsidRPr="00150B51">
        <w:rPr>
          <w:sz w:val="28"/>
        </w:rPr>
        <w:t>2010.gadā citu investīciju bilance ir bijusi ar nelielu deficītu (1% no IKP), ko noteica valdības ilgtermiņa aizņēmumi un banku citu ieguldījumu samazinājums. Citu investīciju bilances rādītāja svārstību amplitūda ir mazinājusies, kas liecin</w:t>
      </w:r>
      <w:r w:rsidR="000F10EC">
        <w:rPr>
          <w:sz w:val="28"/>
        </w:rPr>
        <w:t>a</w:t>
      </w:r>
      <w:r w:rsidRPr="00150B51">
        <w:rPr>
          <w:sz w:val="28"/>
        </w:rPr>
        <w:t xml:space="preserve"> par banku sektora pakāpenisku stabilizēšanos.</w:t>
      </w:r>
    </w:p>
    <w:p w:rsidR="005F734C" w:rsidRPr="00150B51" w:rsidRDefault="005F734C" w:rsidP="00C92BEF">
      <w:pPr>
        <w:ind w:firstLine="284"/>
        <w:jc w:val="both"/>
        <w:rPr>
          <w:sz w:val="28"/>
        </w:rPr>
      </w:pPr>
      <w:r w:rsidRPr="00150B51">
        <w:rPr>
          <w:sz w:val="28"/>
        </w:rPr>
        <w:t>2010.gadā privātā kapitāla neto plūsmu negatīvais saldo nedaudz pārsniedza valsts sektora pozitīvo bilanci, līdz ar to finanšu konta bilances (bez rezerves aktīviem) negatīvais saldo bija 1,3% no IKP.</w:t>
      </w:r>
    </w:p>
    <w:p w:rsidR="005F734C" w:rsidRPr="00150B51" w:rsidRDefault="005F734C" w:rsidP="005F734C">
      <w:pPr>
        <w:spacing w:after="80"/>
        <w:ind w:firstLine="284"/>
        <w:jc w:val="both"/>
        <w:rPr>
          <w:rFonts w:eastAsia="Times New Roman"/>
          <w:sz w:val="4"/>
          <w:lang w:eastAsia="lv-LV"/>
        </w:rPr>
      </w:pPr>
    </w:p>
    <w:p w:rsidR="005F734C" w:rsidRPr="00150B51" w:rsidRDefault="005F734C" w:rsidP="005F734C">
      <w:pPr>
        <w:spacing w:after="80"/>
        <w:ind w:firstLine="284"/>
        <w:jc w:val="both"/>
        <w:rPr>
          <w:rFonts w:eastAsia="Times New Roman"/>
          <w:sz w:val="28"/>
          <w:lang w:eastAsia="lv-LV"/>
        </w:rPr>
      </w:pPr>
      <w:r w:rsidRPr="00150B51">
        <w:rPr>
          <w:rFonts w:eastAsia="Times New Roman"/>
          <w:sz w:val="28"/>
          <w:lang w:eastAsia="lv-LV"/>
        </w:rPr>
        <w:t xml:space="preserve">Latvijas Banka aprēķina </w:t>
      </w:r>
      <w:r w:rsidRPr="00150B51">
        <w:rPr>
          <w:rFonts w:eastAsia="Times New Roman"/>
          <w:b/>
          <w:sz w:val="28"/>
          <w:lang w:eastAsia="lv-LV"/>
        </w:rPr>
        <w:t>lata reālo efektīvo kursu</w:t>
      </w:r>
      <w:r w:rsidRPr="00150B51">
        <w:rPr>
          <w:rFonts w:eastAsia="Times New Roman"/>
          <w:sz w:val="28"/>
          <w:lang w:eastAsia="lv-LV"/>
        </w:rPr>
        <w:t xml:space="preserve"> pret 13 galveno tirdzniecības partnervalstu valūtām. Lata reālais kurss ietver lata nominālā kursa izmaiņas pret Latvijas tirdzniecības partnervalsts valūtu, kā arī cenu izmaiņas Latvijā salīdzinājumā ar cenu izmaiņām tirdzniecības partnervalstī. Lata reālais efektīvais kurss parāda Latvijas relatīvo eksporta konkurētspēju pasaules tirgos.</w:t>
      </w:r>
    </w:p>
    <w:p w:rsidR="005F734C" w:rsidRDefault="007B1591" w:rsidP="005F734C">
      <w:pPr>
        <w:spacing w:after="80"/>
        <w:ind w:firstLine="284"/>
        <w:jc w:val="both"/>
        <w:rPr>
          <w:rFonts w:eastAsia="Times New Roman"/>
          <w:sz w:val="28"/>
          <w:lang w:eastAsia="lv-LV"/>
        </w:rPr>
      </w:pPr>
      <w:r>
        <w:rPr>
          <w:rFonts w:eastAsia="Times New Roman"/>
          <w:sz w:val="28"/>
          <w:lang w:eastAsia="lv-LV"/>
        </w:rPr>
        <w:t xml:space="preserve">No </w:t>
      </w:r>
      <w:r w:rsidR="005F734C" w:rsidRPr="00150B51">
        <w:rPr>
          <w:rFonts w:eastAsia="Times New Roman"/>
          <w:sz w:val="28"/>
          <w:lang w:eastAsia="lv-LV"/>
        </w:rPr>
        <w:t>2009.gada marta</w:t>
      </w:r>
      <w:r>
        <w:rPr>
          <w:rFonts w:eastAsia="Times New Roman"/>
          <w:sz w:val="28"/>
          <w:lang w:eastAsia="lv-LV"/>
        </w:rPr>
        <w:t xml:space="preserve"> līdz 2010.gada martam</w:t>
      </w:r>
      <w:r w:rsidR="005F734C" w:rsidRPr="00150B51">
        <w:rPr>
          <w:rFonts w:eastAsia="Times New Roman"/>
          <w:sz w:val="28"/>
          <w:lang w:eastAsia="lv-LV"/>
        </w:rPr>
        <w:t xml:space="preserve"> lata reālais efektīvais kurss samazinājās, kas bija saistīts gan ar cenu līmeņa un darba algu samazināšanos, gan citu ar ražošanu saistīto izmaksu optimizāciju. </w:t>
      </w:r>
      <w:r w:rsidR="00400C21">
        <w:rPr>
          <w:rFonts w:eastAsia="Times New Roman"/>
          <w:sz w:val="28"/>
          <w:lang w:eastAsia="lv-LV"/>
        </w:rPr>
        <w:t>K</w:t>
      </w:r>
      <w:r w:rsidR="00400C21" w:rsidRPr="00150B51">
        <w:rPr>
          <w:rFonts w:eastAsia="Times New Roman"/>
          <w:sz w:val="28"/>
          <w:lang w:eastAsia="lv-LV"/>
        </w:rPr>
        <w:t xml:space="preserve">opš 2010.gada aprīļa </w:t>
      </w:r>
      <w:r w:rsidR="00400C21">
        <w:rPr>
          <w:rFonts w:eastAsia="Times New Roman"/>
          <w:sz w:val="28"/>
          <w:lang w:eastAsia="lv-LV"/>
        </w:rPr>
        <w:t xml:space="preserve">lata </w:t>
      </w:r>
      <w:r w:rsidR="005F734C" w:rsidRPr="00150B51">
        <w:rPr>
          <w:rFonts w:eastAsia="Times New Roman"/>
          <w:sz w:val="28"/>
          <w:lang w:eastAsia="lv-LV"/>
        </w:rPr>
        <w:t>reālā efektīv</w:t>
      </w:r>
      <w:r w:rsidR="001D224E">
        <w:rPr>
          <w:rFonts w:eastAsia="Times New Roman"/>
          <w:sz w:val="28"/>
          <w:lang w:eastAsia="lv-LV"/>
        </w:rPr>
        <w:t xml:space="preserve">ā </w:t>
      </w:r>
      <w:r w:rsidR="005F734C" w:rsidRPr="00150B51">
        <w:rPr>
          <w:rFonts w:eastAsia="Times New Roman"/>
          <w:sz w:val="28"/>
          <w:lang w:eastAsia="lv-LV"/>
        </w:rPr>
        <w:t>kurs</w:t>
      </w:r>
      <w:r w:rsidR="001D224E">
        <w:rPr>
          <w:rFonts w:eastAsia="Times New Roman"/>
          <w:sz w:val="28"/>
          <w:lang w:eastAsia="lv-LV"/>
        </w:rPr>
        <w:t xml:space="preserve">s svārstības, neraugoties uz cenu pieaugumu, ir nebūtiskas un </w:t>
      </w:r>
      <w:r w:rsidR="00400C21">
        <w:rPr>
          <w:rFonts w:eastAsia="Times New Roman"/>
          <w:sz w:val="28"/>
          <w:lang w:eastAsia="lv-LV"/>
        </w:rPr>
        <w:t xml:space="preserve">Latvijas </w:t>
      </w:r>
      <w:r w:rsidR="005F734C" w:rsidRPr="00150B51">
        <w:rPr>
          <w:rFonts w:eastAsia="Times New Roman"/>
          <w:sz w:val="28"/>
          <w:lang w:eastAsia="lv-LV"/>
        </w:rPr>
        <w:t>cenu konkurētspēja</w:t>
      </w:r>
      <w:r>
        <w:rPr>
          <w:rFonts w:eastAsia="Times New Roman"/>
          <w:sz w:val="28"/>
          <w:lang w:eastAsia="lv-LV"/>
        </w:rPr>
        <w:t xml:space="preserve"> pret galvenajām tirdzniecības partnervalstīm nepasliktinās</w:t>
      </w:r>
      <w:r w:rsidR="005F734C" w:rsidRPr="00150B51">
        <w:rPr>
          <w:rFonts w:eastAsia="Times New Roman"/>
          <w:sz w:val="28"/>
          <w:lang w:eastAsia="lv-LV"/>
        </w:rPr>
        <w:t xml:space="preserve">. </w:t>
      </w:r>
    </w:p>
    <w:p w:rsidR="001D224E" w:rsidRDefault="001D224E" w:rsidP="005F734C">
      <w:pPr>
        <w:spacing w:after="80"/>
        <w:ind w:firstLine="284"/>
        <w:jc w:val="both"/>
        <w:rPr>
          <w:rFonts w:eastAsia="Times New Roman"/>
          <w:sz w:val="28"/>
          <w:lang w:eastAsia="lv-LV"/>
        </w:rPr>
      </w:pPr>
    </w:p>
    <w:p w:rsidR="005F734C" w:rsidRPr="00835E52" w:rsidRDefault="005F734C" w:rsidP="005F734C">
      <w:pPr>
        <w:spacing w:after="80"/>
        <w:ind w:firstLine="284"/>
        <w:jc w:val="both"/>
        <w:rPr>
          <w:rFonts w:eastAsiaTheme="majorEastAsia" w:cstheme="majorBidi"/>
          <w:bCs/>
          <w:szCs w:val="26"/>
        </w:rPr>
      </w:pPr>
      <w:r w:rsidRPr="00150B51">
        <w:rPr>
          <w:rFonts w:eastAsia="Times New Roman"/>
          <w:sz w:val="28"/>
          <w:lang w:eastAsia="lv-LV"/>
        </w:rPr>
        <w:t>Nodaļas turpinājumā grafiski ir parādīta preču un pakalpojumu eksporta-importa dinamika pa mēnešiem, maksājumu bilances tekošā un finanšu konta izmaiņas pa ceturkšņiem, kā arī lata efektīvā kursa izmaiņas.</w:t>
      </w:r>
    </w:p>
    <w:p w:rsidR="001C517F" w:rsidRDefault="001C517F">
      <w:pPr>
        <w:rPr>
          <w:rFonts w:eastAsiaTheme="majorEastAsia" w:cstheme="majorBidi"/>
          <w:bCs/>
          <w:sz w:val="28"/>
          <w:szCs w:val="26"/>
        </w:rPr>
      </w:pPr>
      <w:r>
        <w:rPr>
          <w:b/>
        </w:rPr>
        <w:br w:type="page"/>
      </w:r>
    </w:p>
    <w:p w:rsidR="00BE41C7" w:rsidRPr="009F6E8E" w:rsidRDefault="00CD3CE6" w:rsidP="00BE41C7">
      <w:pPr>
        <w:pStyle w:val="Heading2"/>
      </w:pPr>
      <w:bookmarkStart w:id="276" w:name="_Toc282413197"/>
      <w:r>
        <w:rPr>
          <w:b w:val="0"/>
        </w:rPr>
        <w:lastRenderedPageBreak/>
        <w:t>4</w:t>
      </w:r>
      <w:r w:rsidR="00BE41C7" w:rsidRPr="009F6E8E">
        <w:rPr>
          <w:b w:val="0"/>
        </w:rPr>
        <w:t>.1.attēls.</w:t>
      </w:r>
      <w:r w:rsidR="00BE41C7" w:rsidRPr="009F6E8E">
        <w:t xml:space="preserve"> Preču eksports un imports pa mēnešiem</w:t>
      </w:r>
      <w:bookmarkEnd w:id="269"/>
      <w:bookmarkEnd w:id="270"/>
      <w:bookmarkEnd w:id="271"/>
      <w:bookmarkEnd w:id="272"/>
      <w:bookmarkEnd w:id="273"/>
      <w:bookmarkEnd w:id="274"/>
      <w:bookmarkEnd w:id="275"/>
      <w:bookmarkEnd w:id="276"/>
    </w:p>
    <w:p w:rsidR="00BE41C7" w:rsidRDefault="00BE41C7" w:rsidP="00BE41C7">
      <w:pPr>
        <w:spacing w:after="20"/>
        <w:jc w:val="center"/>
        <w:rPr>
          <w:rFonts w:eastAsia="Times New Roman"/>
          <w:sz w:val="18"/>
          <w:szCs w:val="18"/>
        </w:rPr>
      </w:pPr>
    </w:p>
    <w:p w:rsidR="00BE41C7" w:rsidRPr="009F6E8E" w:rsidRDefault="00BE41C7" w:rsidP="00BE41C7">
      <w:pPr>
        <w:spacing w:after="20"/>
        <w:jc w:val="center"/>
        <w:rPr>
          <w:rFonts w:eastAsia="Times New Roman"/>
          <w:sz w:val="18"/>
          <w:szCs w:val="18"/>
        </w:rPr>
      </w:pPr>
      <w:r w:rsidRPr="009F6E8E">
        <w:rPr>
          <w:rFonts w:eastAsia="Times New Roman"/>
          <w:sz w:val="18"/>
          <w:szCs w:val="18"/>
        </w:rPr>
        <w:t>Faktiskās cenās, milj. latu</w:t>
      </w:r>
    </w:p>
    <w:p w:rsidR="00BE41C7" w:rsidRDefault="00BE41C7" w:rsidP="00BE41C7">
      <w:pPr>
        <w:jc w:val="center"/>
        <w:rPr>
          <w:rFonts w:eastAsia="Times New Roman"/>
          <w:sz w:val="22"/>
          <w:szCs w:val="22"/>
        </w:rPr>
      </w:pPr>
      <w:r w:rsidRPr="009F6E8E">
        <w:rPr>
          <w:noProof/>
          <w:lang w:eastAsia="lv-LV"/>
        </w:rPr>
        <w:drawing>
          <wp:inline distT="0" distB="0" distL="0" distR="0">
            <wp:extent cx="6228272" cy="2078966"/>
            <wp:effectExtent l="0" t="0" r="0" b="0"/>
            <wp:docPr id="4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E41C7" w:rsidRPr="009F6E8E" w:rsidRDefault="00BE41C7" w:rsidP="00BE41C7">
      <w:pPr>
        <w:tabs>
          <w:tab w:val="center" w:pos="2552"/>
          <w:tab w:val="center" w:pos="7513"/>
        </w:tabs>
        <w:spacing w:after="20"/>
        <w:rPr>
          <w:rFonts w:eastAsia="Times New Roman"/>
          <w:sz w:val="18"/>
          <w:szCs w:val="18"/>
        </w:rPr>
      </w:pPr>
      <w:r w:rsidRPr="009F6E8E">
        <w:rPr>
          <w:rFonts w:eastAsia="Times New Roman"/>
          <w:sz w:val="18"/>
          <w:szCs w:val="18"/>
        </w:rPr>
        <w:tab/>
        <w:t>Preču eksports, f</w:t>
      </w:r>
      <w:r w:rsidRPr="009F6E8E">
        <w:rPr>
          <w:rFonts w:eastAsia="Times New Roman"/>
          <w:bCs/>
          <w:color w:val="000000"/>
          <w:sz w:val="18"/>
          <w:szCs w:val="18"/>
        </w:rPr>
        <w:t>aktiskās cenās, milj. latu</w:t>
      </w:r>
      <w:r w:rsidRPr="009F6E8E">
        <w:rPr>
          <w:rFonts w:eastAsia="Times New Roman"/>
          <w:sz w:val="18"/>
          <w:szCs w:val="18"/>
        </w:rPr>
        <w:tab/>
        <w:t>Preču imports, f</w:t>
      </w:r>
      <w:r w:rsidRPr="009F6E8E">
        <w:rPr>
          <w:rFonts w:eastAsia="Times New Roman"/>
          <w:bCs/>
          <w:color w:val="000000"/>
          <w:sz w:val="18"/>
          <w:szCs w:val="18"/>
        </w:rPr>
        <w:t>aktiskās cenās, milj. latu</w:t>
      </w:r>
    </w:p>
    <w:tbl>
      <w:tblPr>
        <w:tblW w:w="0" w:type="auto"/>
        <w:tblLook w:val="01E0"/>
      </w:tblPr>
      <w:tblGrid>
        <w:gridCol w:w="4856"/>
        <w:gridCol w:w="4856"/>
      </w:tblGrid>
      <w:tr w:rsidR="00BE41C7" w:rsidRPr="009F6E8E" w:rsidTr="009A2453">
        <w:trPr>
          <w:trHeight w:val="1936"/>
        </w:trPr>
        <w:tc>
          <w:tcPr>
            <w:tcW w:w="4856" w:type="dxa"/>
          </w:tcPr>
          <w:p w:rsidR="00BE41C7" w:rsidRPr="009F6E8E" w:rsidRDefault="00BE41C7" w:rsidP="009A2453">
            <w:pPr>
              <w:rPr>
                <w:rFonts w:eastAsia="Times New Roman"/>
              </w:rPr>
            </w:pPr>
            <w:r w:rsidRPr="009F6E8E">
              <w:rPr>
                <w:noProof/>
                <w:lang w:eastAsia="lv-LV"/>
              </w:rPr>
              <w:drawing>
                <wp:inline distT="0" distB="0" distL="0" distR="0">
                  <wp:extent cx="2929813" cy="1584000"/>
                  <wp:effectExtent l="0" t="0" r="0" b="0"/>
                  <wp:docPr id="10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856" w:type="dxa"/>
          </w:tcPr>
          <w:p w:rsidR="00BE41C7" w:rsidRPr="009F6E8E" w:rsidRDefault="007129CC" w:rsidP="009A2453">
            <w:pPr>
              <w:rPr>
                <w:rFonts w:eastAsia="Times New Roman"/>
              </w:rPr>
            </w:pPr>
            <w:r w:rsidRPr="007129CC">
              <w:rPr>
                <w:rFonts w:eastAsia="Times New Roman"/>
                <w:noProof/>
                <w:lang w:eastAsia="lv-LV"/>
              </w:rPr>
              <w:drawing>
                <wp:inline distT="0" distB="0" distL="0" distR="0">
                  <wp:extent cx="2929813" cy="1584000"/>
                  <wp:effectExtent l="0" t="0" r="0" b="0"/>
                  <wp:docPr id="1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rsidR="00BE41C7" w:rsidRPr="009F6E8E" w:rsidRDefault="00BE41C7" w:rsidP="00BE41C7">
      <w:pPr>
        <w:ind w:firstLine="567"/>
        <w:jc w:val="right"/>
        <w:rPr>
          <w:color w:val="000000"/>
          <w:sz w:val="10"/>
          <w:szCs w:val="10"/>
        </w:rPr>
      </w:pPr>
    </w:p>
    <w:p w:rsidR="00417303" w:rsidRPr="00417303" w:rsidRDefault="00417303" w:rsidP="00BE41C7">
      <w:pPr>
        <w:pStyle w:val="Heading2"/>
        <w:rPr>
          <w:b w:val="0"/>
          <w:sz w:val="8"/>
          <w:szCs w:val="8"/>
        </w:rPr>
      </w:pPr>
      <w:bookmarkStart w:id="277" w:name="_Toc216077867"/>
      <w:bookmarkStart w:id="278" w:name="_Toc216079536"/>
      <w:bookmarkStart w:id="279" w:name="_Toc216079604"/>
      <w:bookmarkStart w:id="280" w:name="_Toc216079666"/>
      <w:bookmarkStart w:id="281" w:name="_Toc216079722"/>
      <w:bookmarkStart w:id="282" w:name="_Toc216079778"/>
      <w:bookmarkStart w:id="283" w:name="_Toc216079834"/>
    </w:p>
    <w:p w:rsidR="00BE41C7" w:rsidRPr="009F6E8E" w:rsidRDefault="00CD3CE6" w:rsidP="00BE41C7">
      <w:pPr>
        <w:pStyle w:val="Heading2"/>
      </w:pPr>
      <w:bookmarkStart w:id="284" w:name="_Toc282413198"/>
      <w:r>
        <w:rPr>
          <w:b w:val="0"/>
        </w:rPr>
        <w:t>4</w:t>
      </w:r>
      <w:r w:rsidR="00BE41C7" w:rsidRPr="009F6E8E">
        <w:rPr>
          <w:b w:val="0"/>
        </w:rPr>
        <w:t>.2.attēls.</w:t>
      </w:r>
      <w:r w:rsidR="00BE41C7" w:rsidRPr="009F6E8E">
        <w:t xml:space="preserve"> Pakalpojumu eksports un imports pa mēnešiem</w:t>
      </w:r>
      <w:bookmarkEnd w:id="277"/>
      <w:bookmarkEnd w:id="278"/>
      <w:bookmarkEnd w:id="279"/>
      <w:bookmarkEnd w:id="280"/>
      <w:bookmarkEnd w:id="281"/>
      <w:bookmarkEnd w:id="282"/>
      <w:bookmarkEnd w:id="283"/>
      <w:bookmarkEnd w:id="284"/>
    </w:p>
    <w:p w:rsidR="00BE41C7" w:rsidRPr="009F6E8E" w:rsidRDefault="00BE41C7" w:rsidP="00BE41C7">
      <w:pPr>
        <w:spacing w:after="40"/>
        <w:jc w:val="center"/>
        <w:rPr>
          <w:rFonts w:eastAsia="Times New Roman"/>
          <w:sz w:val="18"/>
          <w:szCs w:val="18"/>
        </w:rPr>
      </w:pPr>
      <w:r w:rsidRPr="009F6E8E">
        <w:rPr>
          <w:rFonts w:eastAsia="Times New Roman"/>
          <w:sz w:val="18"/>
          <w:szCs w:val="18"/>
        </w:rPr>
        <w:t>Faktiskās cenās, milj. latu</w:t>
      </w:r>
    </w:p>
    <w:p w:rsidR="00BE41C7" w:rsidRDefault="00BE41C7" w:rsidP="00BE41C7">
      <w:pPr>
        <w:spacing w:after="40"/>
        <w:jc w:val="center"/>
        <w:rPr>
          <w:rFonts w:eastAsia="Times New Roman"/>
          <w:sz w:val="18"/>
          <w:szCs w:val="18"/>
        </w:rPr>
      </w:pPr>
      <w:r w:rsidRPr="009F6E8E">
        <w:rPr>
          <w:rFonts w:eastAsia="Times New Roman"/>
          <w:noProof/>
          <w:sz w:val="18"/>
          <w:szCs w:val="18"/>
          <w:lang w:eastAsia="lv-LV"/>
        </w:rPr>
        <w:drawing>
          <wp:inline distT="0" distB="0" distL="0" distR="0">
            <wp:extent cx="6228000" cy="1910686"/>
            <wp:effectExtent l="0" t="0" r="0" b="0"/>
            <wp:docPr id="10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E41C7" w:rsidRPr="00BA05F9" w:rsidRDefault="00BE41C7" w:rsidP="00BE41C7">
      <w:pPr>
        <w:spacing w:after="40"/>
        <w:jc w:val="center"/>
        <w:rPr>
          <w:rFonts w:eastAsia="Times New Roman"/>
          <w:sz w:val="8"/>
          <w:szCs w:val="18"/>
        </w:rPr>
      </w:pPr>
    </w:p>
    <w:p w:rsidR="00BE41C7" w:rsidRPr="009F6E8E" w:rsidRDefault="00BE41C7" w:rsidP="00BE41C7">
      <w:pPr>
        <w:jc w:val="center"/>
        <w:rPr>
          <w:rFonts w:eastAsia="Times New Roman"/>
          <w:sz w:val="8"/>
          <w:szCs w:val="8"/>
        </w:rPr>
      </w:pPr>
    </w:p>
    <w:tbl>
      <w:tblPr>
        <w:tblW w:w="0" w:type="auto"/>
        <w:tblLook w:val="01E0"/>
      </w:tblPr>
      <w:tblGrid>
        <w:gridCol w:w="4983"/>
        <w:gridCol w:w="4836"/>
      </w:tblGrid>
      <w:tr w:rsidR="00BE41C7" w:rsidRPr="009F6E8E" w:rsidTr="009A2453">
        <w:tc>
          <w:tcPr>
            <w:tcW w:w="4983" w:type="dxa"/>
            <w:vAlign w:val="center"/>
          </w:tcPr>
          <w:p w:rsidR="00BE41C7" w:rsidRPr="009F6E8E" w:rsidRDefault="00BE41C7" w:rsidP="009A2453">
            <w:pPr>
              <w:spacing w:after="120"/>
              <w:jc w:val="center"/>
              <w:rPr>
                <w:rFonts w:eastAsia="Times New Roman"/>
                <w:sz w:val="20"/>
                <w:szCs w:val="24"/>
              </w:rPr>
            </w:pPr>
            <w:r w:rsidRPr="009F6E8E">
              <w:rPr>
                <w:rFonts w:eastAsia="Times New Roman"/>
                <w:sz w:val="20"/>
                <w:szCs w:val="24"/>
              </w:rPr>
              <w:br w:type="page"/>
              <w:t>Pakalpojumu eksports, f</w:t>
            </w:r>
            <w:r w:rsidRPr="009F6E8E">
              <w:rPr>
                <w:rFonts w:eastAsia="Times New Roman"/>
                <w:bCs/>
                <w:color w:val="000000"/>
                <w:sz w:val="20"/>
                <w:szCs w:val="24"/>
              </w:rPr>
              <w:t>aktiskās cenās, milj. latu</w:t>
            </w:r>
          </w:p>
        </w:tc>
        <w:tc>
          <w:tcPr>
            <w:tcW w:w="4836" w:type="dxa"/>
            <w:vAlign w:val="center"/>
          </w:tcPr>
          <w:p w:rsidR="00BE41C7" w:rsidRPr="009F6E8E" w:rsidRDefault="00BE41C7" w:rsidP="009A2453">
            <w:pPr>
              <w:spacing w:after="120"/>
              <w:jc w:val="center"/>
              <w:rPr>
                <w:rFonts w:eastAsia="Times New Roman"/>
                <w:sz w:val="20"/>
                <w:szCs w:val="24"/>
              </w:rPr>
            </w:pPr>
            <w:r w:rsidRPr="009F6E8E">
              <w:rPr>
                <w:rFonts w:eastAsia="Times New Roman"/>
                <w:sz w:val="20"/>
                <w:szCs w:val="24"/>
              </w:rPr>
              <w:t>Pakalpojumu imports, f</w:t>
            </w:r>
            <w:r w:rsidRPr="009F6E8E">
              <w:rPr>
                <w:rFonts w:eastAsia="Times New Roman"/>
                <w:bCs/>
                <w:color w:val="000000"/>
                <w:sz w:val="20"/>
                <w:szCs w:val="24"/>
              </w:rPr>
              <w:t>aktiskās cenās, milj. latu</w:t>
            </w:r>
          </w:p>
        </w:tc>
      </w:tr>
      <w:tr w:rsidR="00BE41C7" w:rsidRPr="009F6E8E" w:rsidTr="009A2453">
        <w:tc>
          <w:tcPr>
            <w:tcW w:w="4983" w:type="dxa"/>
          </w:tcPr>
          <w:p w:rsidR="00BE41C7" w:rsidRPr="009F6E8E" w:rsidRDefault="007129CC" w:rsidP="009A2453">
            <w:pPr>
              <w:jc w:val="center"/>
              <w:rPr>
                <w:rFonts w:eastAsia="Times New Roman"/>
              </w:rPr>
            </w:pPr>
            <w:r w:rsidRPr="007129CC">
              <w:rPr>
                <w:noProof/>
                <w:lang w:eastAsia="lv-LV"/>
              </w:rPr>
              <w:drawing>
                <wp:inline distT="0" distB="0" distL="0" distR="0">
                  <wp:extent cx="2929813" cy="1584000"/>
                  <wp:effectExtent l="0" t="0" r="0" b="0"/>
                  <wp:docPr id="3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4836" w:type="dxa"/>
          </w:tcPr>
          <w:p w:rsidR="00BE41C7" w:rsidRPr="009F6E8E" w:rsidRDefault="007129CC" w:rsidP="009A2453">
            <w:pPr>
              <w:jc w:val="center"/>
              <w:rPr>
                <w:rFonts w:eastAsia="Times New Roman"/>
              </w:rPr>
            </w:pPr>
            <w:r w:rsidRPr="007129CC">
              <w:rPr>
                <w:noProof/>
                <w:lang w:eastAsia="lv-LV"/>
              </w:rPr>
              <w:drawing>
                <wp:inline distT="0" distB="0" distL="0" distR="0">
                  <wp:extent cx="2929813" cy="1584000"/>
                  <wp:effectExtent l="0" t="0" r="0" b="0"/>
                  <wp:docPr id="3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rsidR="00BE41C7" w:rsidRPr="009F6E8E" w:rsidRDefault="00BE41C7" w:rsidP="00BE41C7">
      <w:pPr>
        <w:ind w:firstLine="567"/>
        <w:jc w:val="right"/>
        <w:rPr>
          <w:color w:val="000000"/>
          <w:sz w:val="2"/>
        </w:rPr>
      </w:pPr>
    </w:p>
    <w:p w:rsidR="00BE41C7" w:rsidRPr="009F6E8E" w:rsidRDefault="00BE41C7" w:rsidP="00BE41C7">
      <w:pPr>
        <w:rPr>
          <w:b/>
          <w:sz w:val="20"/>
          <w:szCs w:val="24"/>
        </w:rPr>
      </w:pPr>
    </w:p>
    <w:p w:rsidR="00C50EFA" w:rsidRDefault="00C50EFA" w:rsidP="00BE41C7">
      <w:pPr>
        <w:pStyle w:val="Heading2"/>
        <w:rPr>
          <w:b w:val="0"/>
        </w:rPr>
      </w:pPr>
      <w:bookmarkStart w:id="285" w:name="_Toc216077868"/>
      <w:bookmarkStart w:id="286" w:name="_Toc216079537"/>
      <w:bookmarkStart w:id="287" w:name="_Toc216079605"/>
      <w:bookmarkStart w:id="288" w:name="_Toc216079667"/>
      <w:bookmarkStart w:id="289" w:name="_Toc216079723"/>
      <w:bookmarkStart w:id="290" w:name="_Toc216079779"/>
      <w:bookmarkStart w:id="291" w:name="_Toc216079835"/>
    </w:p>
    <w:p w:rsidR="00BE41C7" w:rsidRPr="009F6E8E" w:rsidRDefault="00CD3CE6" w:rsidP="00BE41C7">
      <w:pPr>
        <w:pStyle w:val="Heading2"/>
      </w:pPr>
      <w:bookmarkStart w:id="292" w:name="_Toc282413199"/>
      <w:r>
        <w:rPr>
          <w:b w:val="0"/>
        </w:rPr>
        <w:t>4</w:t>
      </w:r>
      <w:r w:rsidR="00BE41C7" w:rsidRPr="009F6E8E">
        <w:rPr>
          <w:b w:val="0"/>
        </w:rPr>
        <w:t>.3.attēls.</w:t>
      </w:r>
      <w:r w:rsidR="00BE41C7" w:rsidRPr="009F6E8E">
        <w:t xml:space="preserve"> Maksājumu bilance pa ceturkšņiem</w:t>
      </w:r>
      <w:bookmarkEnd w:id="285"/>
      <w:bookmarkEnd w:id="286"/>
      <w:bookmarkEnd w:id="287"/>
      <w:bookmarkEnd w:id="288"/>
      <w:bookmarkEnd w:id="289"/>
      <w:bookmarkEnd w:id="290"/>
      <w:bookmarkEnd w:id="291"/>
      <w:bookmarkEnd w:id="292"/>
    </w:p>
    <w:p w:rsidR="00BE41C7" w:rsidRPr="009F6E8E" w:rsidRDefault="00BE41C7" w:rsidP="00BE41C7">
      <w:pPr>
        <w:jc w:val="center"/>
        <w:rPr>
          <w:b/>
          <w:sz w:val="8"/>
        </w:rPr>
      </w:pPr>
    </w:p>
    <w:tbl>
      <w:tblPr>
        <w:tblW w:w="0" w:type="auto"/>
        <w:tblLook w:val="01E0"/>
      </w:tblPr>
      <w:tblGrid>
        <w:gridCol w:w="3331"/>
        <w:gridCol w:w="3328"/>
        <w:gridCol w:w="3196"/>
      </w:tblGrid>
      <w:tr w:rsidR="00413629" w:rsidRPr="009F6E8E" w:rsidTr="00780694">
        <w:trPr>
          <w:trHeight w:val="20"/>
        </w:trPr>
        <w:tc>
          <w:tcPr>
            <w:tcW w:w="3285" w:type="dxa"/>
          </w:tcPr>
          <w:p w:rsidR="00413629" w:rsidRDefault="00413629" w:rsidP="009A2453">
            <w:pPr>
              <w:jc w:val="center"/>
              <w:rPr>
                <w:rFonts w:eastAsia="Times New Roman"/>
                <w:sz w:val="18"/>
                <w:szCs w:val="18"/>
              </w:rPr>
            </w:pPr>
            <w:r>
              <w:rPr>
                <w:rFonts w:eastAsia="Times New Roman"/>
                <w:sz w:val="18"/>
                <w:szCs w:val="18"/>
              </w:rPr>
              <w:t xml:space="preserve">Maksājumu bilances </w:t>
            </w:r>
            <w:r w:rsidR="00780694">
              <w:rPr>
                <w:rFonts w:eastAsia="Times New Roman"/>
                <w:sz w:val="18"/>
                <w:szCs w:val="18"/>
              </w:rPr>
              <w:t>konti</w:t>
            </w:r>
          </w:p>
          <w:p w:rsidR="00413629" w:rsidRPr="009F6E8E" w:rsidRDefault="00413629" w:rsidP="009A2453">
            <w:pPr>
              <w:jc w:val="center"/>
              <w:rPr>
                <w:rFonts w:eastAsia="Times New Roman"/>
                <w:sz w:val="18"/>
                <w:szCs w:val="18"/>
              </w:rPr>
            </w:pPr>
            <w:r>
              <w:rPr>
                <w:rFonts w:eastAsia="Times New Roman"/>
                <w:sz w:val="18"/>
                <w:szCs w:val="18"/>
              </w:rPr>
              <w:t>(% no IKP)</w:t>
            </w:r>
          </w:p>
        </w:tc>
        <w:tc>
          <w:tcPr>
            <w:tcW w:w="3285" w:type="dxa"/>
            <w:vAlign w:val="center"/>
          </w:tcPr>
          <w:p w:rsidR="00413629" w:rsidRDefault="00413629" w:rsidP="009A2453">
            <w:pPr>
              <w:jc w:val="center"/>
              <w:rPr>
                <w:rFonts w:eastAsia="Times New Roman"/>
                <w:sz w:val="18"/>
                <w:szCs w:val="18"/>
              </w:rPr>
            </w:pPr>
            <w:r w:rsidRPr="009F6E8E">
              <w:rPr>
                <w:rFonts w:eastAsia="Times New Roman"/>
                <w:sz w:val="18"/>
                <w:szCs w:val="18"/>
              </w:rPr>
              <w:t xml:space="preserve">Maksājumu bilances tekošais konts, </w:t>
            </w:r>
          </w:p>
          <w:p w:rsidR="00413629" w:rsidRPr="009F6E8E" w:rsidRDefault="00413629" w:rsidP="009A2453">
            <w:pPr>
              <w:jc w:val="center"/>
              <w:rPr>
                <w:rFonts w:eastAsia="Times New Roman"/>
                <w:sz w:val="18"/>
                <w:szCs w:val="18"/>
              </w:rPr>
            </w:pPr>
            <w:r w:rsidRPr="009F6E8E">
              <w:rPr>
                <w:rFonts w:eastAsia="Times New Roman"/>
                <w:sz w:val="18"/>
                <w:szCs w:val="18"/>
              </w:rPr>
              <w:t>(% no IKP)</w:t>
            </w:r>
          </w:p>
        </w:tc>
        <w:tc>
          <w:tcPr>
            <w:tcW w:w="3285" w:type="dxa"/>
            <w:vAlign w:val="center"/>
          </w:tcPr>
          <w:p w:rsidR="00413629" w:rsidRPr="009F6E8E" w:rsidRDefault="00413629" w:rsidP="00413629">
            <w:pPr>
              <w:jc w:val="center"/>
              <w:rPr>
                <w:rFonts w:eastAsia="Times New Roman"/>
                <w:sz w:val="18"/>
                <w:szCs w:val="18"/>
              </w:rPr>
            </w:pPr>
            <w:r w:rsidRPr="009F6E8E">
              <w:rPr>
                <w:rFonts w:eastAsia="Times New Roman"/>
                <w:sz w:val="18"/>
                <w:szCs w:val="18"/>
              </w:rPr>
              <w:t>Maksājumu bilances finanšu konts,</w:t>
            </w:r>
            <w:r>
              <w:rPr>
                <w:rFonts w:eastAsia="Times New Roman"/>
                <w:sz w:val="18"/>
                <w:szCs w:val="18"/>
              </w:rPr>
              <w:t xml:space="preserve"> bez rezerves aktīviem</w:t>
            </w:r>
            <w:r w:rsidR="009B4B86">
              <w:rPr>
                <w:rFonts w:eastAsia="Times New Roman"/>
                <w:sz w:val="18"/>
                <w:szCs w:val="18"/>
              </w:rPr>
              <w:t xml:space="preserve"> </w:t>
            </w:r>
            <w:r w:rsidRPr="009F6E8E">
              <w:rPr>
                <w:rFonts w:eastAsia="Times New Roman"/>
                <w:sz w:val="18"/>
                <w:szCs w:val="18"/>
              </w:rPr>
              <w:t>(% no IKP)</w:t>
            </w:r>
          </w:p>
        </w:tc>
      </w:tr>
      <w:tr w:rsidR="00413629" w:rsidRPr="009F6E8E" w:rsidTr="00780694">
        <w:trPr>
          <w:trHeight w:val="20"/>
        </w:trPr>
        <w:tc>
          <w:tcPr>
            <w:tcW w:w="3285" w:type="dxa"/>
          </w:tcPr>
          <w:p w:rsidR="00413629" w:rsidRPr="009F6E8E" w:rsidRDefault="00413629" w:rsidP="009A2453">
            <w:pPr>
              <w:jc w:val="center"/>
              <w:rPr>
                <w:rFonts w:eastAsia="Times New Roman"/>
                <w:noProof/>
                <w:sz w:val="22"/>
                <w:szCs w:val="22"/>
                <w:lang w:eastAsia="lv-LV"/>
              </w:rPr>
            </w:pPr>
            <w:r w:rsidRPr="00413629">
              <w:rPr>
                <w:rFonts w:eastAsia="Times New Roman"/>
                <w:noProof/>
                <w:sz w:val="22"/>
                <w:szCs w:val="22"/>
                <w:lang w:eastAsia="lv-LV"/>
              </w:rPr>
              <w:drawing>
                <wp:inline distT="0" distB="0" distL="0" distR="0">
                  <wp:extent cx="2055571" cy="2882189"/>
                  <wp:effectExtent l="19050" t="0" r="1829" b="0"/>
                  <wp:docPr id="38"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3285" w:type="dxa"/>
            <w:vAlign w:val="center"/>
          </w:tcPr>
          <w:p w:rsidR="00413629" w:rsidRPr="009F6E8E" w:rsidRDefault="00413629" w:rsidP="009A2453">
            <w:pPr>
              <w:jc w:val="center"/>
              <w:rPr>
                <w:rFonts w:eastAsia="Times New Roman"/>
                <w:sz w:val="22"/>
                <w:szCs w:val="22"/>
                <w:lang w:eastAsia="lv-LV"/>
              </w:rPr>
            </w:pPr>
            <w:r w:rsidRPr="009F6E8E">
              <w:rPr>
                <w:rFonts w:eastAsia="Times New Roman"/>
                <w:noProof/>
                <w:sz w:val="22"/>
                <w:szCs w:val="22"/>
                <w:lang w:eastAsia="lv-LV"/>
              </w:rPr>
              <w:drawing>
                <wp:inline distT="0" distB="0" distL="0" distR="0">
                  <wp:extent cx="2055571" cy="2882189"/>
                  <wp:effectExtent l="19050" t="0" r="0" b="0"/>
                  <wp:docPr id="3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3285" w:type="dxa"/>
            <w:vAlign w:val="center"/>
          </w:tcPr>
          <w:p w:rsidR="00413629" w:rsidRPr="009F6E8E" w:rsidRDefault="00413629" w:rsidP="009A2453">
            <w:pPr>
              <w:jc w:val="center"/>
              <w:rPr>
                <w:rFonts w:eastAsia="Times New Roman"/>
                <w:sz w:val="22"/>
                <w:szCs w:val="22"/>
                <w:lang w:eastAsia="lv-LV"/>
              </w:rPr>
            </w:pPr>
            <w:r w:rsidRPr="009F6E8E">
              <w:rPr>
                <w:rFonts w:eastAsia="Times New Roman"/>
                <w:noProof/>
                <w:sz w:val="22"/>
                <w:szCs w:val="22"/>
                <w:lang w:eastAsia="lv-LV"/>
              </w:rPr>
              <w:drawing>
                <wp:inline distT="0" distB="0" distL="0" distR="0">
                  <wp:extent cx="1967789" cy="2882189"/>
                  <wp:effectExtent l="19050" t="0" r="0" b="0"/>
                  <wp:docPr id="36"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bl>
    <w:p w:rsidR="00780694" w:rsidRDefault="00780694" w:rsidP="00F36933">
      <w:pPr>
        <w:pStyle w:val="Heading2"/>
        <w:rPr>
          <w:rFonts w:cs="Times New Roman"/>
          <w:b w:val="0"/>
        </w:rPr>
      </w:pPr>
      <w:bookmarkStart w:id="293" w:name="_Toc282413200"/>
      <w:bookmarkStart w:id="294" w:name="_Toc216077869"/>
      <w:bookmarkStart w:id="295" w:name="_Toc216079538"/>
      <w:bookmarkStart w:id="296" w:name="_Toc216079606"/>
      <w:bookmarkStart w:id="297" w:name="_Toc216079668"/>
      <w:bookmarkStart w:id="298" w:name="_Toc216079724"/>
      <w:bookmarkStart w:id="299" w:name="_Toc216079780"/>
      <w:bookmarkStart w:id="300" w:name="_Toc216079836"/>
    </w:p>
    <w:p w:rsidR="00F36933" w:rsidRPr="00F36933" w:rsidRDefault="00CD3CE6" w:rsidP="00F36933">
      <w:pPr>
        <w:pStyle w:val="Heading2"/>
        <w:rPr>
          <w:rFonts w:cs="Times New Roman"/>
        </w:rPr>
      </w:pPr>
      <w:r>
        <w:rPr>
          <w:rFonts w:cs="Times New Roman"/>
          <w:b w:val="0"/>
        </w:rPr>
        <w:t>4</w:t>
      </w:r>
      <w:r w:rsidR="00F36933" w:rsidRPr="00F36933">
        <w:rPr>
          <w:rFonts w:cs="Times New Roman"/>
          <w:b w:val="0"/>
        </w:rPr>
        <w:t>.4.attēls.</w:t>
      </w:r>
      <w:r w:rsidR="00F36933" w:rsidRPr="00F36933">
        <w:rPr>
          <w:rFonts w:cs="Times New Roman"/>
        </w:rPr>
        <w:t xml:space="preserve"> Lata reālā efektīvā kursa indekss</w:t>
      </w:r>
      <w:bookmarkEnd w:id="293"/>
    </w:p>
    <w:p w:rsidR="00000A41" w:rsidRDefault="00000A41" w:rsidP="00F36933">
      <w:pPr>
        <w:ind w:firstLine="55"/>
        <w:rPr>
          <w:sz w:val="20"/>
          <w:szCs w:val="20"/>
        </w:rPr>
      </w:pPr>
    </w:p>
    <w:tbl>
      <w:tblPr>
        <w:tblW w:w="0" w:type="auto"/>
        <w:tblLook w:val="01E0"/>
      </w:tblPr>
      <w:tblGrid>
        <w:gridCol w:w="4914"/>
        <w:gridCol w:w="4915"/>
      </w:tblGrid>
      <w:tr w:rsidR="00000A41" w:rsidRPr="009F6E8E" w:rsidTr="00000A41">
        <w:trPr>
          <w:trHeight w:val="20"/>
        </w:trPr>
        <w:tc>
          <w:tcPr>
            <w:tcW w:w="4914" w:type="dxa"/>
            <w:vAlign w:val="center"/>
          </w:tcPr>
          <w:p w:rsidR="00000A41" w:rsidRPr="009F6E8E" w:rsidRDefault="00000A41" w:rsidP="00000A41">
            <w:pPr>
              <w:jc w:val="center"/>
              <w:rPr>
                <w:rFonts w:eastAsia="Times New Roman"/>
                <w:sz w:val="18"/>
                <w:szCs w:val="18"/>
              </w:rPr>
            </w:pPr>
            <w:r>
              <w:rPr>
                <w:sz w:val="20"/>
                <w:szCs w:val="20"/>
              </w:rPr>
              <w:t>P</w:t>
            </w:r>
            <w:r w:rsidRPr="00F36933">
              <w:rPr>
                <w:sz w:val="20"/>
                <w:szCs w:val="20"/>
              </w:rPr>
              <w:t xml:space="preserve">a mēnešiem, </w:t>
            </w:r>
            <w:r w:rsidRPr="00F36933">
              <w:rPr>
                <w:spacing w:val="-4"/>
                <w:sz w:val="20"/>
                <w:szCs w:val="20"/>
              </w:rPr>
              <w:t>2006.gada decembris = 100</w:t>
            </w:r>
            <w:r>
              <w:rPr>
                <w:spacing w:val="-4"/>
                <w:sz w:val="20"/>
                <w:szCs w:val="20"/>
              </w:rPr>
              <w:t xml:space="preserve">, aprēķināts, izmantojot </w:t>
            </w:r>
            <w:r w:rsidRPr="00000A41">
              <w:rPr>
                <w:b/>
                <w:spacing w:val="-4"/>
                <w:sz w:val="20"/>
                <w:szCs w:val="20"/>
              </w:rPr>
              <w:t>patēriņu cenu indeksu</w:t>
            </w:r>
          </w:p>
        </w:tc>
        <w:tc>
          <w:tcPr>
            <w:tcW w:w="4915" w:type="dxa"/>
            <w:vAlign w:val="center"/>
          </w:tcPr>
          <w:p w:rsidR="00000A41" w:rsidRPr="009F6E8E" w:rsidRDefault="00000A41" w:rsidP="00000A41">
            <w:pPr>
              <w:jc w:val="center"/>
              <w:rPr>
                <w:rFonts w:eastAsia="Times New Roman"/>
                <w:sz w:val="18"/>
                <w:szCs w:val="18"/>
              </w:rPr>
            </w:pPr>
            <w:r>
              <w:rPr>
                <w:sz w:val="20"/>
                <w:szCs w:val="20"/>
              </w:rPr>
              <w:t>P</w:t>
            </w:r>
            <w:r w:rsidRPr="00F36933">
              <w:rPr>
                <w:sz w:val="20"/>
                <w:szCs w:val="20"/>
              </w:rPr>
              <w:t xml:space="preserve">a mēnešiem, </w:t>
            </w:r>
            <w:r w:rsidRPr="00F36933">
              <w:rPr>
                <w:spacing w:val="-4"/>
                <w:sz w:val="20"/>
                <w:szCs w:val="20"/>
              </w:rPr>
              <w:t>2006.gada decembris = 100</w:t>
            </w:r>
            <w:r>
              <w:rPr>
                <w:spacing w:val="-4"/>
                <w:sz w:val="20"/>
                <w:szCs w:val="20"/>
              </w:rPr>
              <w:t xml:space="preserve">, aprēķināts, izmantojot </w:t>
            </w:r>
            <w:r>
              <w:rPr>
                <w:b/>
                <w:spacing w:val="-4"/>
                <w:sz w:val="20"/>
                <w:szCs w:val="20"/>
              </w:rPr>
              <w:t>ražotāju</w:t>
            </w:r>
            <w:r w:rsidRPr="00000A41">
              <w:rPr>
                <w:b/>
                <w:spacing w:val="-4"/>
                <w:sz w:val="20"/>
                <w:szCs w:val="20"/>
              </w:rPr>
              <w:t xml:space="preserve"> cenu indeksu</w:t>
            </w:r>
          </w:p>
        </w:tc>
      </w:tr>
      <w:tr w:rsidR="00000A41" w:rsidRPr="009F6E8E" w:rsidTr="00000A41">
        <w:trPr>
          <w:trHeight w:val="20"/>
        </w:trPr>
        <w:tc>
          <w:tcPr>
            <w:tcW w:w="4914" w:type="dxa"/>
            <w:vAlign w:val="center"/>
          </w:tcPr>
          <w:p w:rsidR="00000A41" w:rsidRPr="009F6E8E" w:rsidRDefault="00000A41" w:rsidP="00000A41">
            <w:pPr>
              <w:jc w:val="center"/>
              <w:rPr>
                <w:rFonts w:eastAsia="Times New Roman"/>
                <w:sz w:val="22"/>
                <w:szCs w:val="22"/>
                <w:lang w:eastAsia="lv-LV"/>
              </w:rPr>
            </w:pPr>
            <w:r w:rsidRPr="00000A41">
              <w:rPr>
                <w:rFonts w:eastAsia="Times New Roman"/>
                <w:noProof/>
                <w:sz w:val="22"/>
                <w:szCs w:val="22"/>
                <w:lang w:eastAsia="lv-LV"/>
              </w:rPr>
              <w:drawing>
                <wp:inline distT="0" distB="0" distL="0" distR="0">
                  <wp:extent cx="2876550" cy="2880000"/>
                  <wp:effectExtent l="0" t="0" r="0" b="0"/>
                  <wp:docPr id="45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4915" w:type="dxa"/>
            <w:vAlign w:val="center"/>
          </w:tcPr>
          <w:p w:rsidR="00000A41" w:rsidRPr="009F6E8E" w:rsidRDefault="00000A41" w:rsidP="00000A41">
            <w:pPr>
              <w:jc w:val="center"/>
              <w:rPr>
                <w:rFonts w:eastAsia="Times New Roman"/>
                <w:sz w:val="22"/>
                <w:szCs w:val="22"/>
                <w:lang w:eastAsia="lv-LV"/>
              </w:rPr>
            </w:pPr>
            <w:r w:rsidRPr="00000A41">
              <w:rPr>
                <w:rFonts w:eastAsia="Times New Roman"/>
                <w:noProof/>
                <w:sz w:val="22"/>
                <w:szCs w:val="22"/>
                <w:lang w:eastAsia="lv-LV"/>
              </w:rPr>
              <w:drawing>
                <wp:inline distT="0" distB="0" distL="0" distR="0">
                  <wp:extent cx="2876550" cy="2880000"/>
                  <wp:effectExtent l="0" t="0" r="0" b="0"/>
                  <wp:docPr id="45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bl>
    <w:p w:rsidR="00000A41" w:rsidRPr="00F36933" w:rsidRDefault="00000A41" w:rsidP="00F36933">
      <w:pPr>
        <w:ind w:firstLine="55"/>
        <w:rPr>
          <w:sz w:val="20"/>
          <w:szCs w:val="20"/>
        </w:rPr>
      </w:pPr>
    </w:p>
    <w:p w:rsidR="001C517F" w:rsidRPr="00780694" w:rsidRDefault="001C517F" w:rsidP="001C517F">
      <w:pPr>
        <w:jc w:val="both"/>
        <w:rPr>
          <w:rFonts w:eastAsia="Times New Roman"/>
          <w:sz w:val="20"/>
          <w:lang w:eastAsia="lv-LV"/>
        </w:rPr>
      </w:pPr>
      <w:r w:rsidRPr="00780694">
        <w:rPr>
          <w:rFonts w:eastAsia="Times New Roman"/>
          <w:sz w:val="20"/>
          <w:lang w:eastAsia="lv-LV"/>
        </w:rPr>
        <w:t>Attīstītās valstis – ASV, Dānija, Francija, Itālija, Lielbritānija, Nīderlande, Somija, Vācija un Zviedrija</w:t>
      </w:r>
    </w:p>
    <w:p w:rsidR="001C517F" w:rsidRPr="00780694" w:rsidRDefault="001C517F" w:rsidP="001C517F">
      <w:pPr>
        <w:jc w:val="both"/>
        <w:rPr>
          <w:rFonts w:eastAsia="Times New Roman"/>
          <w:sz w:val="20"/>
          <w:lang w:eastAsia="lv-LV"/>
        </w:rPr>
      </w:pPr>
      <w:r w:rsidRPr="00780694">
        <w:rPr>
          <w:rFonts w:eastAsia="Times New Roman"/>
          <w:sz w:val="20"/>
          <w:lang w:eastAsia="lv-LV"/>
        </w:rPr>
        <w:t>Attīstības valstis – Igaunija, Krievija, Lietuva un Polija</w:t>
      </w:r>
    </w:p>
    <w:p w:rsidR="00000A41" w:rsidRDefault="00000A41">
      <w:pPr>
        <w:rPr>
          <w:rFonts w:eastAsiaTheme="majorEastAsia" w:cstheme="majorBidi"/>
          <w:b/>
          <w:bCs/>
          <w:sz w:val="32"/>
        </w:rPr>
      </w:pPr>
    </w:p>
    <w:p w:rsidR="001C517F" w:rsidRDefault="001C517F">
      <w:pPr>
        <w:rPr>
          <w:rFonts w:eastAsiaTheme="majorEastAsia" w:cstheme="majorBidi"/>
          <w:b/>
          <w:bCs/>
          <w:sz w:val="32"/>
        </w:rPr>
      </w:pPr>
      <w:bookmarkStart w:id="301" w:name="_Toc274580549"/>
      <w:r>
        <w:br w:type="page"/>
      </w:r>
    </w:p>
    <w:p w:rsidR="00BE41C7" w:rsidRPr="009F6E8E" w:rsidRDefault="00CD3CE6" w:rsidP="00BE41C7">
      <w:pPr>
        <w:pStyle w:val="Heading1"/>
      </w:pPr>
      <w:bookmarkStart w:id="302" w:name="_Toc282413201"/>
      <w:r>
        <w:lastRenderedPageBreak/>
        <w:t>5</w:t>
      </w:r>
      <w:r w:rsidR="00BE41C7" w:rsidRPr="009F6E8E">
        <w:t>. Finanšu sektors</w:t>
      </w:r>
      <w:bookmarkEnd w:id="294"/>
      <w:bookmarkEnd w:id="295"/>
      <w:bookmarkEnd w:id="296"/>
      <w:bookmarkEnd w:id="297"/>
      <w:bookmarkEnd w:id="298"/>
      <w:bookmarkEnd w:id="299"/>
      <w:bookmarkEnd w:id="300"/>
      <w:bookmarkEnd w:id="301"/>
      <w:bookmarkEnd w:id="302"/>
    </w:p>
    <w:p w:rsidR="00BE41C7" w:rsidRPr="004A7B59" w:rsidRDefault="00BE41C7" w:rsidP="00BE41C7">
      <w:pPr>
        <w:rPr>
          <w:b/>
          <w:sz w:val="18"/>
          <w:szCs w:val="24"/>
        </w:rPr>
      </w:pPr>
    </w:p>
    <w:p w:rsidR="00350DE4" w:rsidRPr="004E008E" w:rsidRDefault="00350DE4" w:rsidP="00350DE4">
      <w:pPr>
        <w:spacing w:after="60"/>
        <w:ind w:firstLine="567"/>
        <w:jc w:val="both"/>
        <w:rPr>
          <w:sz w:val="28"/>
          <w:u w:val="single"/>
        </w:rPr>
      </w:pPr>
      <w:bookmarkStart w:id="303" w:name="_Toc216079539"/>
      <w:bookmarkStart w:id="304" w:name="_Toc216079607"/>
      <w:bookmarkStart w:id="305" w:name="_Toc216079669"/>
      <w:bookmarkStart w:id="306" w:name="_Toc216079725"/>
      <w:bookmarkStart w:id="307" w:name="_Toc216079781"/>
      <w:bookmarkStart w:id="308" w:name="_Toc216079837"/>
      <w:bookmarkStart w:id="309" w:name="_Toc216077870"/>
      <w:r w:rsidRPr="004E008E">
        <w:rPr>
          <w:sz w:val="28"/>
          <w:u w:val="single"/>
        </w:rPr>
        <w:t>Valdības finanses</w:t>
      </w:r>
    </w:p>
    <w:p w:rsidR="00350DE4" w:rsidRPr="004E008E" w:rsidRDefault="00350DE4" w:rsidP="00851B3C">
      <w:pPr>
        <w:ind w:left="-142" w:firstLine="284"/>
        <w:jc w:val="both"/>
        <w:rPr>
          <w:sz w:val="28"/>
        </w:rPr>
      </w:pPr>
      <w:r w:rsidRPr="004E008E">
        <w:rPr>
          <w:sz w:val="28"/>
        </w:rPr>
        <w:t>2010.gadā kopbudžeta ieņēmumi bija nedaudz zemāki salīdzinājumā ar 2009.gadu, taču ekonomiskās situācijas stabilizēšanās un kopbudžeta izdevumu straujāka samazināšana sekmēja fiskālo rādītāju uzlabošanos.</w:t>
      </w:r>
      <w:r w:rsidR="009B4B86">
        <w:rPr>
          <w:sz w:val="28"/>
        </w:rPr>
        <w:t xml:space="preserve"> </w:t>
      </w:r>
    </w:p>
    <w:p w:rsidR="00BA38A3" w:rsidRPr="00BA38A3" w:rsidRDefault="00350DE4" w:rsidP="00851B3C">
      <w:pPr>
        <w:ind w:left="-142" w:firstLine="284"/>
        <w:jc w:val="both"/>
        <w:rPr>
          <w:color w:val="FF0000"/>
          <w:sz w:val="28"/>
        </w:rPr>
      </w:pPr>
      <w:r w:rsidRPr="00BA38A3">
        <w:rPr>
          <w:sz w:val="28"/>
        </w:rPr>
        <w:t>2010.gadā valsts konsolidētajā kopbudžetā pēc nacionālās metodoloģijas bija izveidojies finansiālais deficīts 802,7 milj. latu jeb 6,3% no IKP, savukārt, veicot pārrēķinu atbilstoši EKS 95 metodoloģijai, pēc provizoriskiem aprēķiniem deficīta mērķis (8,5% no IKP) netika pārsniegts.</w:t>
      </w:r>
      <w:r w:rsidR="00BA38A3" w:rsidRPr="00BA38A3">
        <w:rPr>
          <w:sz w:val="28"/>
        </w:rPr>
        <w:t xml:space="preserve"> 2011.gada divos mēnešos valsts konsolidētajā kopbudžetā pēc nacionālās metodoloģijas finansiālais deficīts bija 93,7 milj. latu jeb 0,7% no IKP.</w:t>
      </w:r>
    </w:p>
    <w:p w:rsidR="00BA38A3" w:rsidRPr="00BA38A3" w:rsidRDefault="00BA38A3" w:rsidP="00851B3C">
      <w:pPr>
        <w:ind w:left="-142" w:firstLine="284"/>
        <w:jc w:val="both"/>
        <w:rPr>
          <w:sz w:val="28"/>
        </w:rPr>
      </w:pPr>
      <w:r w:rsidRPr="00BA38A3">
        <w:rPr>
          <w:sz w:val="28"/>
        </w:rPr>
        <w:t>2010.gada beigās centrālās valdības parāds veidoja 4942,6 milj. latu jeb 38,8% no IKP. Iekšējais parāds bija 7</w:t>
      </w:r>
      <w:r>
        <w:rPr>
          <w:sz w:val="28"/>
        </w:rPr>
        <w:t xml:space="preserve">96,1 milj. latu, bet </w:t>
      </w:r>
      <w:r w:rsidRPr="00BA38A3">
        <w:rPr>
          <w:sz w:val="28"/>
        </w:rPr>
        <w:t xml:space="preserve">ārējais parāds veidoja 4146,5 milj. latu jeb 83,9% no kopējā centrālās valdības parāda. </w:t>
      </w:r>
    </w:p>
    <w:p w:rsidR="00350DE4" w:rsidRPr="00BA38A3" w:rsidRDefault="00350DE4" w:rsidP="00851B3C">
      <w:pPr>
        <w:ind w:left="-142" w:firstLine="284"/>
        <w:jc w:val="both"/>
        <w:rPr>
          <w:sz w:val="28"/>
        </w:rPr>
      </w:pPr>
      <w:r w:rsidRPr="00BA38A3">
        <w:rPr>
          <w:sz w:val="28"/>
        </w:rPr>
        <w:t>Valsts konsolidētā kopbudžeta ieņēmumi 2010.gadā bija 4</w:t>
      </w:r>
      <w:bookmarkStart w:id="310" w:name="_GoBack"/>
      <w:bookmarkEnd w:id="310"/>
      <w:r w:rsidRPr="00BA38A3">
        <w:rPr>
          <w:sz w:val="28"/>
        </w:rPr>
        <w:t>607 milj. latu, kas salīdzinājumā ar 2009.gadu samazinājās par 121,3 milj. latu jeb 2,6%. Ieņēmumu izmaiņas galvenokārt radīja nodokļu un nenodokļu ieņēmumu kritums. Kopš gada sākuma ieņēmumi katru mēnesi nedaudz samazinājās, bet, uzlabojoties ekonomiskajai situācijai, sākot ar septembri nodokļu ieņēmumu pieaugums nodrošināja kopbudžeta ieņēmumu palielināšanos. 2010.gadā ieņēmumi no ārvalstu finanšu palīdzības pieauga par 72,1 milj. latu jeb 13,7% salīdzinājumā ar 2009.gadu.</w:t>
      </w:r>
    </w:p>
    <w:p w:rsidR="00350DE4" w:rsidRPr="00BA38A3" w:rsidRDefault="00350DE4" w:rsidP="00851B3C">
      <w:pPr>
        <w:ind w:left="-142" w:firstLine="284"/>
        <w:jc w:val="both"/>
        <w:rPr>
          <w:sz w:val="28"/>
        </w:rPr>
      </w:pPr>
      <w:r w:rsidRPr="00BA38A3">
        <w:rPr>
          <w:sz w:val="28"/>
        </w:rPr>
        <w:t>2011.gada divos mēnešos valsts konsolidētā kopbudžeta ieņēmumi bija 709,9 milj. latu, kas salīdzinājumā ar 2010.gada attiecīgo periodu samazinājās par 52,2 milj. latu jeb 6,9</w:t>
      </w:r>
      <w:r w:rsidR="00AE4A63" w:rsidRPr="00BA38A3">
        <w:rPr>
          <w:sz w:val="28"/>
        </w:rPr>
        <w:t>%</w:t>
      </w:r>
      <w:r w:rsidRPr="00BA38A3">
        <w:rPr>
          <w:sz w:val="28"/>
        </w:rPr>
        <w:t>.</w:t>
      </w:r>
      <w:r w:rsidRPr="00BA38A3">
        <w:t xml:space="preserve"> </w:t>
      </w:r>
      <w:r w:rsidRPr="00BA38A3">
        <w:rPr>
          <w:sz w:val="28"/>
        </w:rPr>
        <w:t>Kopbudžeta ieņēmumu samazinājumu galvenokārt radīja kritums ieņēmumos no ārvalstu finanšu palīdzības un nenodokļu ieņēmumos valsts pamatbudžetā.</w:t>
      </w:r>
    </w:p>
    <w:p w:rsidR="00350DE4" w:rsidRPr="00BA38A3" w:rsidRDefault="00350DE4" w:rsidP="00851B3C">
      <w:pPr>
        <w:ind w:left="-142" w:firstLine="284"/>
        <w:jc w:val="both"/>
        <w:rPr>
          <w:sz w:val="28"/>
        </w:rPr>
      </w:pPr>
      <w:r w:rsidRPr="00BA38A3">
        <w:rPr>
          <w:sz w:val="28"/>
        </w:rPr>
        <w:t>Kopējie nodokļu ieņēmumi</w:t>
      </w:r>
      <w:r w:rsidR="009B4B86">
        <w:rPr>
          <w:sz w:val="28"/>
        </w:rPr>
        <w:t xml:space="preserve"> </w:t>
      </w:r>
      <w:r w:rsidRPr="00BA38A3">
        <w:rPr>
          <w:sz w:val="28"/>
        </w:rPr>
        <w:t>(ieskaitot sociālās apdrošināšanas iemaksas valsts fondēto pensiju shēmā) 2010.gadā bija 3467,1 milj. latu, kas salīdzinājumā ar 2009.gadu ir par 206,3 milj. latu jeb 5,6% mazāk. Tomēr jāpiebilst, ka 2010.gadā plānotie ieņēmumi tika pārsniegti par 91,1 milj. latu jeb 2,7%, ko galvenokārt ietekmēja pievienotās vērtības nodokļa ieņēmumu plāna pārpilde par 134,7 </w:t>
      </w:r>
      <w:r w:rsidR="009B4B86">
        <w:rPr>
          <w:sz w:val="28"/>
        </w:rPr>
        <w:t>milj. latu jeb 19,5 procentiem.</w:t>
      </w:r>
    </w:p>
    <w:p w:rsidR="00350DE4" w:rsidRPr="00BA38A3" w:rsidRDefault="00350DE4" w:rsidP="00851B3C">
      <w:pPr>
        <w:ind w:left="-142" w:firstLine="284"/>
        <w:jc w:val="both"/>
        <w:rPr>
          <w:sz w:val="28"/>
        </w:rPr>
      </w:pPr>
      <w:r w:rsidRPr="00BA38A3">
        <w:rPr>
          <w:sz w:val="28"/>
        </w:rPr>
        <w:t xml:space="preserve">2011.gada divos mēnešos kopējie nodokļu ieņēmumi bija 574,7 milj. latu, kas ir par 7,2% vairāk nekā 2010.gada divos mēnešos, ko galvenokārt noteica sociālo apdrošināšanas iemaksu un </w:t>
      </w:r>
      <w:r w:rsidR="009B4B86">
        <w:rPr>
          <w:sz w:val="28"/>
        </w:rPr>
        <w:t>IIN</w:t>
      </w:r>
      <w:r w:rsidRPr="00BA38A3">
        <w:rPr>
          <w:sz w:val="28"/>
        </w:rPr>
        <w:t xml:space="preserve"> pieaugums</w:t>
      </w:r>
      <w:r w:rsidR="009B4B86">
        <w:rPr>
          <w:sz w:val="28"/>
        </w:rPr>
        <w:t xml:space="preserve">, kā arī </w:t>
      </w:r>
      <w:r w:rsidRPr="00BA38A3">
        <w:rPr>
          <w:sz w:val="28"/>
        </w:rPr>
        <w:t>ekonomi</w:t>
      </w:r>
      <w:r w:rsidR="009B4B86">
        <w:rPr>
          <w:sz w:val="28"/>
        </w:rPr>
        <w:t>s</w:t>
      </w:r>
      <w:r w:rsidRPr="00BA38A3">
        <w:rPr>
          <w:sz w:val="28"/>
        </w:rPr>
        <w:t>k</w:t>
      </w:r>
      <w:r w:rsidR="009B4B86">
        <w:rPr>
          <w:sz w:val="28"/>
        </w:rPr>
        <w:t>ā</w:t>
      </w:r>
      <w:r w:rsidRPr="00BA38A3">
        <w:rPr>
          <w:sz w:val="28"/>
        </w:rPr>
        <w:t>s</w:t>
      </w:r>
      <w:r w:rsidR="009B4B86">
        <w:rPr>
          <w:sz w:val="28"/>
        </w:rPr>
        <w:t xml:space="preserve"> situācijas</w:t>
      </w:r>
      <w:r w:rsidRPr="00BA38A3">
        <w:rPr>
          <w:sz w:val="28"/>
        </w:rPr>
        <w:t xml:space="preserve"> stabilizēšanās.</w:t>
      </w:r>
    </w:p>
    <w:p w:rsidR="00350DE4" w:rsidRPr="00BA38A3" w:rsidRDefault="00350DE4" w:rsidP="00851B3C">
      <w:pPr>
        <w:ind w:left="-142" w:firstLine="284"/>
        <w:jc w:val="both"/>
        <w:rPr>
          <w:sz w:val="32"/>
        </w:rPr>
      </w:pPr>
      <w:r w:rsidRPr="00BA38A3">
        <w:rPr>
          <w:sz w:val="28"/>
        </w:rPr>
        <w:t>Uzņēmumu ienākuma nodokļa ieņēmumi 2010.gadā bija 112,2 milj. latu, kas ir par 85 milj. latu jeb 43,1% mazāk nekā 2009.gadā, tomēr uzņēmumu ienākuma nodokļa 2010.gada plāns tika pārpildīts par 35,2 milj. latu jeb 45,7%, jo uzņēmumi 2009.gadu noslēdza ar labākiem finansiālās darbības rezultātiem nekā iepriekš plānots.</w:t>
      </w:r>
    </w:p>
    <w:p w:rsidR="00350DE4" w:rsidRPr="00BA38A3" w:rsidRDefault="00350DE4" w:rsidP="00851B3C">
      <w:pPr>
        <w:ind w:left="-142" w:firstLine="284"/>
        <w:jc w:val="both"/>
        <w:rPr>
          <w:sz w:val="28"/>
        </w:rPr>
      </w:pPr>
      <w:r w:rsidRPr="00BA38A3">
        <w:rPr>
          <w:sz w:val="28"/>
        </w:rPr>
        <w:t xml:space="preserve">Uzņēmuma ienākuma nodokļa ieņēmumi 2011.gada divos mēnešos bija 22,3 milj. latu, kas salīdzinājumā ar 2010.gada diviem mēnešiem ir par 2 milj. latu jeb 8,2% mazāk. Tas skaidrojams ar to, ka 2009.gadā turpināja samazināties uzņēmumu peļņa, kā rezultātā samazinājās uzņēmumu ienākuma nodokļa iemaksas. 2011.gada </w:t>
      </w:r>
      <w:r w:rsidRPr="00BA38A3">
        <w:rPr>
          <w:sz w:val="28"/>
        </w:rPr>
        <w:lastRenderedPageBreak/>
        <w:t>janvārī uzņēmuma ienākuma nodokļa iemaksas ietekmēja pēc 2009.gada uzņēmumu ienākuma nodokļa deklarācijām aprēķinātie avansu maksājumi, kas vidēji mēnesī ir 14 milj. latu un salīdzinot ar 2010.gada attiecīgo periodu tie ir samazinājušies par 27,4 procentiem.</w:t>
      </w:r>
    </w:p>
    <w:p w:rsidR="00350DE4" w:rsidRPr="00BA38A3" w:rsidRDefault="00350DE4" w:rsidP="00851B3C">
      <w:pPr>
        <w:ind w:left="-142" w:firstLine="284"/>
        <w:jc w:val="both"/>
        <w:rPr>
          <w:sz w:val="28"/>
        </w:rPr>
      </w:pPr>
      <w:r w:rsidRPr="00BA38A3">
        <w:rPr>
          <w:sz w:val="28"/>
        </w:rPr>
        <w:t>Pievienotās vērtības nodokļa ieņēmumi 2010.gadā bija 825,2 milj. latu, kas salīdzinājumā ar 2009.gadu ir par 26,8 milj. latu jeb 3,4% vairāk nekā 2009.gadā, kas skaidrojams ar mazumtirdzniecības apgrozījuma un saimnieciskās darbības apjomu pārējās tautsaimniecības nozarēs</w:t>
      </w:r>
      <w:r w:rsidRPr="00BA38A3" w:rsidDel="005E1E4C">
        <w:rPr>
          <w:sz w:val="28"/>
        </w:rPr>
        <w:t xml:space="preserve"> </w:t>
      </w:r>
      <w:r w:rsidRPr="00BA38A3">
        <w:rPr>
          <w:sz w:val="28"/>
        </w:rPr>
        <w:t xml:space="preserve">pakāpenisku palielināšanos, un importa apjomu pieaugumu. Tādējādi 2010.gadā plānotie </w:t>
      </w:r>
      <w:r w:rsidR="009B4B86">
        <w:rPr>
          <w:sz w:val="28"/>
        </w:rPr>
        <w:t>PVN</w:t>
      </w:r>
      <w:r w:rsidRPr="00BA38A3">
        <w:rPr>
          <w:sz w:val="28"/>
        </w:rPr>
        <w:t xml:space="preserve"> ieņēmumi tika pārsniegti par 134,7 milj. latu jeb 19,5 procentiem.</w:t>
      </w:r>
    </w:p>
    <w:p w:rsidR="00350DE4" w:rsidRPr="00BA38A3" w:rsidRDefault="009B4B86" w:rsidP="00851B3C">
      <w:pPr>
        <w:ind w:left="-142" w:firstLine="284"/>
        <w:jc w:val="both"/>
        <w:rPr>
          <w:sz w:val="32"/>
        </w:rPr>
      </w:pPr>
      <w:r>
        <w:rPr>
          <w:sz w:val="28"/>
        </w:rPr>
        <w:t>PVN</w:t>
      </w:r>
      <w:r w:rsidR="00350DE4" w:rsidRPr="00BA38A3">
        <w:rPr>
          <w:sz w:val="28"/>
        </w:rPr>
        <w:t xml:space="preserve"> bruto iemaksas 2011.gada divos mēnešos, salīdzinot ar iepriekšējā gada attiecīgo periodu, pieauga par 19,8</w:t>
      </w:r>
      <w:r>
        <w:rPr>
          <w:sz w:val="28"/>
        </w:rPr>
        <w:t>%</w:t>
      </w:r>
      <w:r w:rsidR="00350DE4" w:rsidRPr="00BA38A3">
        <w:rPr>
          <w:sz w:val="28"/>
        </w:rPr>
        <w:t xml:space="preserve">. Arī pievienotās vērtības nodokļa atmaksas 2011.gada divos mēnešos palielinājās par 55,3% salīdzinājumā ar 2010.gada, ko ietekmēja 2010.gada 20.decembrī veiktie grozījumi likumā </w:t>
      </w:r>
      <w:r w:rsidR="00350DE4" w:rsidRPr="009B4B86">
        <w:rPr>
          <w:i/>
          <w:sz w:val="28"/>
        </w:rPr>
        <w:t>Par pievienotās vērtības nodokli</w:t>
      </w:r>
      <w:r w:rsidR="00350DE4" w:rsidRPr="00BA38A3">
        <w:rPr>
          <w:sz w:val="28"/>
        </w:rPr>
        <w:t>, kas paredz pārmaksu atmaksai 10 dienas pēc pārmaksas apstiprināšanas par taksācijas gadu. Minētā norma nozīmē to, ka galējais atmaksas termiņš tām pārmaksām, kuras izveidojušās par 2010.gadu, iestājas martā. Tādējādi plānoto pārmaksu atmaksa par 2010.gadu tiek sadalīta starp februāri un martu. 2011.gada februārī pievienotās vērtības nodokļa atmaksas bija par 35,1 milj. latu jeb 95,1% lielākas nekā 2010.gada februārī.</w:t>
      </w:r>
    </w:p>
    <w:p w:rsidR="00350DE4" w:rsidRPr="00BA38A3" w:rsidRDefault="009B4B86" w:rsidP="00851B3C">
      <w:pPr>
        <w:ind w:left="-142" w:firstLine="284"/>
        <w:jc w:val="both"/>
        <w:rPr>
          <w:sz w:val="28"/>
        </w:rPr>
      </w:pPr>
      <w:r>
        <w:rPr>
          <w:sz w:val="28"/>
        </w:rPr>
        <w:t>PVN</w:t>
      </w:r>
      <w:r w:rsidR="00350DE4" w:rsidRPr="00BA38A3">
        <w:rPr>
          <w:sz w:val="28"/>
        </w:rPr>
        <w:t xml:space="preserve"> ieņēmumi 2011.gada divos mēnešos bija 136,8 milj. latu, kas salīdzinājumā ar 2010.gada diviem mēnešiem bija par 0,7% vairāk, kas skaidrojams ar kopējās darījumu vērtības palielinājumu un budžetā iemaksājamās summas palielinājumu par 2010.gada decembri, 2.pusgadu un 4.ceturksni. Pēc pievienotās vērtības deklarāciju datiem kopējā darījuma vērtība par 2010.gada decembri (t.sk. 2.pusgadu, 4.ceturksni), salīdzinot ar 2009.gada decembri, palielinājās par 41,8</w:t>
      </w:r>
      <w:r w:rsidR="00AE4A63" w:rsidRPr="00BA38A3">
        <w:rPr>
          <w:sz w:val="28"/>
        </w:rPr>
        <w:t>%</w:t>
      </w:r>
      <w:r w:rsidR="00350DE4" w:rsidRPr="00BA38A3">
        <w:rPr>
          <w:sz w:val="28"/>
        </w:rPr>
        <w:t xml:space="preserve">. 2011.gada janvārī salīdzinājumā ar 2010.gada janvāri </w:t>
      </w:r>
      <w:r>
        <w:rPr>
          <w:sz w:val="28"/>
        </w:rPr>
        <w:t>PVN</w:t>
      </w:r>
      <w:r w:rsidR="00350DE4" w:rsidRPr="00BA38A3">
        <w:rPr>
          <w:sz w:val="28"/>
        </w:rPr>
        <w:t xml:space="preserve"> ieņēmumi iekšzemē pieauga par 26,9 milj. latu jeb 39,5%, savukārt, šī nodokļa ieņēmumi, izlaižot preces brīvam apgrozījumam, samazinājās par 2,9 milj. latu jeb 35,8%, kas, galvenokārt, skaidrojams ar iespēju apliekamām personām no 2011.gada 1.janvāra preču importa darījumos piemērot </w:t>
      </w:r>
      <w:r>
        <w:rPr>
          <w:sz w:val="28"/>
        </w:rPr>
        <w:t>PVN</w:t>
      </w:r>
      <w:r w:rsidR="00350DE4" w:rsidRPr="00BA38A3">
        <w:rPr>
          <w:sz w:val="28"/>
        </w:rPr>
        <w:t xml:space="preserve"> īpašo režīmu un atlikt muitas deklarācijā aprēķinātā </w:t>
      </w:r>
      <w:r>
        <w:rPr>
          <w:sz w:val="28"/>
        </w:rPr>
        <w:t>PVN</w:t>
      </w:r>
      <w:r w:rsidR="00350DE4" w:rsidRPr="00BA38A3">
        <w:rPr>
          <w:sz w:val="28"/>
        </w:rPr>
        <w:t xml:space="preserve"> samaksu līdz tā uzrādīšanai atbilstošā taksācijas perioda pievienotās vērtības nodokļa deklarācijā.</w:t>
      </w:r>
      <w:r w:rsidR="00350DE4" w:rsidRPr="00BA38A3" w:rsidDel="000F4C49">
        <w:rPr>
          <w:sz w:val="28"/>
        </w:rPr>
        <w:t xml:space="preserve"> </w:t>
      </w:r>
    </w:p>
    <w:p w:rsidR="00350DE4" w:rsidRPr="00BA38A3" w:rsidRDefault="00350DE4" w:rsidP="00851B3C">
      <w:pPr>
        <w:ind w:left="-142" w:firstLine="284"/>
        <w:jc w:val="both"/>
        <w:rPr>
          <w:sz w:val="28"/>
        </w:rPr>
      </w:pPr>
      <w:r w:rsidRPr="00BA38A3">
        <w:rPr>
          <w:sz w:val="28"/>
        </w:rPr>
        <w:t>Akcīzes nodokļa ieņēmumi 2010.gadā bija 458,1 milj. latu, kas ir par 46 milj. latu jeb 9,1% mazāk nekā 2009.gadā. Akcīzes nodokļa ieņēmumu samazinājumu galvenokārt ietekmēja akcīzes nodokļa naftas produktiem ieņēmumu samazinājums par 23,2 milj. latu un akcīzes nodokļa tabakas izstrādājumiem ieņēmumu samazinājums par 22 milj. latu salīdzinājumā ar 2009.gadu. 2010.gadā akcīzes nodokļa ieņēmumi netika iekasēti plānotajā apjomā, sasniedzot 95% no plāna.</w:t>
      </w:r>
    </w:p>
    <w:p w:rsidR="00350DE4" w:rsidRPr="00BA38A3" w:rsidRDefault="00350DE4" w:rsidP="00851B3C">
      <w:pPr>
        <w:ind w:left="-142" w:firstLine="284"/>
        <w:jc w:val="both"/>
        <w:rPr>
          <w:sz w:val="28"/>
        </w:rPr>
      </w:pPr>
      <w:r w:rsidRPr="00BA38A3">
        <w:rPr>
          <w:sz w:val="28"/>
        </w:rPr>
        <w:t xml:space="preserve">Akcīzes nodokļa ieņēmumi 2011.gada divos mēnešos bija 76,7 milj. latu, kas salīdzinājumā ar 2010.gada diviem mēnešiem bija par </w:t>
      </w:r>
      <w:r w:rsidR="002772D9">
        <w:rPr>
          <w:sz w:val="28"/>
        </w:rPr>
        <w:t>6,4% lielāki</w:t>
      </w:r>
      <w:r w:rsidRPr="00BA38A3">
        <w:rPr>
          <w:sz w:val="28"/>
        </w:rPr>
        <w:t>. Ieņēmumu pieaugums skaidrojams ar ieņēmumu par tabakas izstrādājumiem palielinājumu par 7,4 milj. latu jeb 57,4</w:t>
      </w:r>
      <w:r w:rsidR="00AE4A63" w:rsidRPr="00BA38A3">
        <w:rPr>
          <w:sz w:val="28"/>
        </w:rPr>
        <w:t>%</w:t>
      </w:r>
      <w:r w:rsidRPr="00BA38A3">
        <w:rPr>
          <w:sz w:val="28"/>
        </w:rPr>
        <w:t xml:space="preserve"> salīdzinājumā ar 2010.gada diviem mēnešiem. Saskaņā ar Valsts ieņēmumu dienesta informāciju akcīzes nodokļa par tabakas izstrādājumiem divu mēnešu plāna pārpildi par 18% ietekmēja divos mēnešos veiktie apjomīgie avansa maksājumi, kas attiecīgi samazinās ieņēmumus turpmākajos periodos. Avansa </w:t>
      </w:r>
      <w:r w:rsidRPr="00BA38A3">
        <w:rPr>
          <w:sz w:val="28"/>
        </w:rPr>
        <w:lastRenderedPageBreak/>
        <w:t xml:space="preserve">maksājumi tika veikti, jo likumā </w:t>
      </w:r>
      <w:r w:rsidRPr="009B4B86">
        <w:rPr>
          <w:i/>
          <w:sz w:val="28"/>
        </w:rPr>
        <w:t>Par pievienotās vērtības nodokli</w:t>
      </w:r>
      <w:r w:rsidRPr="00BA38A3">
        <w:rPr>
          <w:sz w:val="28"/>
        </w:rPr>
        <w:t xml:space="preserve"> veiktie grozījumi paredzēja, ka līdz 2011.gada 31.janvārim cigaretes varēja realizēt ar pievienotās vērtības nodokļa likmi 21% apmērā.</w:t>
      </w:r>
    </w:p>
    <w:p w:rsidR="00350DE4" w:rsidRPr="00BA38A3" w:rsidRDefault="00350DE4" w:rsidP="00851B3C">
      <w:pPr>
        <w:ind w:left="-142" w:firstLine="284"/>
        <w:jc w:val="both"/>
        <w:rPr>
          <w:sz w:val="28"/>
        </w:rPr>
      </w:pPr>
      <w:r w:rsidRPr="00BA38A3">
        <w:rPr>
          <w:sz w:val="28"/>
        </w:rPr>
        <w:t xml:space="preserve">Iedzīvotāju ienākuma nodokļa ieņēmumi 2010.gadā sastādīja 778,8 milj. latu, kas salīdzinājumā ar 2009.gadu ir par 54,7 milj. latu jeb 7,6% vairāk. Tas skaidrojams ar </w:t>
      </w:r>
      <w:r w:rsidR="009B4B86">
        <w:rPr>
          <w:sz w:val="28"/>
        </w:rPr>
        <w:t>IIN</w:t>
      </w:r>
      <w:r w:rsidRPr="00BA38A3">
        <w:rPr>
          <w:sz w:val="28"/>
        </w:rPr>
        <w:t xml:space="preserve"> likmes paaugstināšanu no 23% uz 26% 2010.gadā, kā arī jaunu </w:t>
      </w:r>
      <w:r w:rsidR="009B4B86">
        <w:rPr>
          <w:sz w:val="28"/>
        </w:rPr>
        <w:t>IIN</w:t>
      </w:r>
      <w:r w:rsidRPr="00BA38A3">
        <w:rPr>
          <w:sz w:val="28"/>
        </w:rPr>
        <w:t xml:space="preserve"> normu ieviešanu un nodarbinātības, darba samaksas stabilizēšanos. Tomēr 2010.gadā iedzīvotāju ienākuma nodokļa ieņēmumi bija par 43,2 milj. latu jeb 5,3% mazāki nekā plānotie ieņēmumi, ko būtisk</w:t>
      </w:r>
      <w:r w:rsidR="009B4B86">
        <w:rPr>
          <w:sz w:val="28"/>
        </w:rPr>
        <w:t>i ietekmēja 2010.gadā ieviesto IIN</w:t>
      </w:r>
      <w:r w:rsidRPr="00BA38A3">
        <w:rPr>
          <w:sz w:val="28"/>
        </w:rPr>
        <w:t xml:space="preserve"> normu ieņēmumu prognozes neizpilde, kā arī lēnāka darba tirgus atkopšanās.</w:t>
      </w:r>
    </w:p>
    <w:p w:rsidR="00350DE4" w:rsidRPr="00BA38A3" w:rsidRDefault="009B4B86" w:rsidP="00851B3C">
      <w:pPr>
        <w:ind w:left="-142" w:firstLine="284"/>
        <w:jc w:val="both"/>
        <w:rPr>
          <w:sz w:val="28"/>
        </w:rPr>
      </w:pPr>
      <w:r>
        <w:rPr>
          <w:sz w:val="28"/>
        </w:rPr>
        <w:t>IIN</w:t>
      </w:r>
      <w:r w:rsidR="00350DE4" w:rsidRPr="00BA38A3">
        <w:rPr>
          <w:sz w:val="28"/>
        </w:rPr>
        <w:t xml:space="preserve"> ieņēmumi valsts pamatbudžetā 2011.gada divos mēnešos bija 120,5 milj. latu, kas salīdzinājumā ar 2010.gada diviem mēnešiem bija par 6,4 milj. latu jeb 5,6% vairāk. Nodokļa ieņēmumus pozitīvi ietekmēja minimālās mēneša darba algas paaugstināšana ar 2011.gada 1.janvāri no 180 </w:t>
      </w:r>
      <w:r w:rsidR="002772D9">
        <w:rPr>
          <w:sz w:val="28"/>
        </w:rPr>
        <w:t xml:space="preserve">līdz </w:t>
      </w:r>
      <w:r w:rsidR="00350DE4" w:rsidRPr="00BA38A3">
        <w:rPr>
          <w:sz w:val="28"/>
        </w:rPr>
        <w:t>200</w:t>
      </w:r>
      <w:r w:rsidR="002772D9">
        <w:rPr>
          <w:sz w:val="28"/>
        </w:rPr>
        <w:t xml:space="preserve"> latiem</w:t>
      </w:r>
      <w:r w:rsidR="00350DE4" w:rsidRPr="00BA38A3">
        <w:rPr>
          <w:sz w:val="28"/>
        </w:rPr>
        <w:t>, ieviestās nodokļa normas ienākumam no kapitāla un ienākumam no kapitāla, kas nav kapitāla pieaugums, kā arī darba ņēmēju</w:t>
      </w:r>
      <w:r w:rsidR="002772D9">
        <w:rPr>
          <w:sz w:val="28"/>
        </w:rPr>
        <w:t xml:space="preserve"> skaita pieaugums salīdzinājumā </w:t>
      </w:r>
      <w:r w:rsidR="00350DE4" w:rsidRPr="00BA38A3">
        <w:rPr>
          <w:sz w:val="28"/>
        </w:rPr>
        <w:t>ar 2010.gada janvāri.</w:t>
      </w:r>
    </w:p>
    <w:p w:rsidR="00350DE4" w:rsidRPr="00BA38A3" w:rsidRDefault="00350DE4" w:rsidP="00851B3C">
      <w:pPr>
        <w:ind w:left="-142" w:firstLine="284"/>
        <w:jc w:val="both"/>
      </w:pPr>
      <w:r w:rsidRPr="00BA38A3">
        <w:rPr>
          <w:sz w:val="28"/>
        </w:rPr>
        <w:t>Sociālās apdrošināšanas iemaksas (ieskaitot iemaksas valsts fondēto pensiju shēmā) 2010.gadā tika iekasētas 1 157,5 milj. latu apmērā, kas ir par 172,8 milj. latu jeb 13% mazāk nekā 2009.gadā. Sociālās apdrošināšanas iemaksu samazinājumu galvenokārt noteica strādājošo mēneša vidējās bruto darba samaksas un nodarbināto skaita samazinājums. 2010.gadā valsts sociālās apdrošināšanas iemaksu ieņēmumi tika plānoti 1172,3 milj. latu apmērā, taču faktiskie ieņēmumi 2010.gadā bija par 14,8 milj. latu jeb 1,3% mazāki nekā plānots.</w:t>
      </w:r>
      <w:r w:rsidRPr="00BA38A3">
        <w:t xml:space="preserve"> </w:t>
      </w:r>
    </w:p>
    <w:p w:rsidR="00350DE4" w:rsidRPr="00BA38A3" w:rsidRDefault="00AE4A63" w:rsidP="00851B3C">
      <w:pPr>
        <w:ind w:left="-142" w:firstLine="284"/>
        <w:jc w:val="both"/>
        <w:rPr>
          <w:sz w:val="28"/>
        </w:rPr>
      </w:pPr>
      <w:r w:rsidRPr="00BA38A3">
        <w:rPr>
          <w:sz w:val="28"/>
        </w:rPr>
        <w:t>2011.g</w:t>
      </w:r>
      <w:r w:rsidR="00350DE4" w:rsidRPr="00BA38A3">
        <w:rPr>
          <w:sz w:val="28"/>
        </w:rPr>
        <w:t>ada divos mēnešos sociālās apdrošināšanas iemaksas bija 190 milj. latu, kas salīdzinājumā ar 2010.gada diviem mēnešiem bija par 9,6% vairāk. Tai skaitā sociālās apdrošināšanas iemaksas valsts speciālajā budžetā bija 179,3 milj. latu un iemaksas fondēto pensiju shēmā 11,1 milj. latu. Sociālās apdrošināšanas iemaksu pieaugumu galvenokārt ietekmēja sociālās apdrošināšanas likmes palielināšana no 2011.gada 1.janvāra no 9% uz 11%, ja darba ņēmējs tiek apdrošināts visiem sociālās apdrošināšanas veidiem, kā arī minimālās mēneša darba algas paaugstināšana.</w:t>
      </w:r>
    </w:p>
    <w:p w:rsidR="00350DE4" w:rsidRPr="00BA38A3" w:rsidRDefault="00350DE4" w:rsidP="00851B3C">
      <w:pPr>
        <w:ind w:left="-142" w:firstLine="284"/>
        <w:jc w:val="both"/>
        <w:rPr>
          <w:sz w:val="28"/>
        </w:rPr>
      </w:pPr>
      <w:r w:rsidRPr="00BA38A3">
        <w:rPr>
          <w:sz w:val="28"/>
        </w:rPr>
        <w:t xml:space="preserve">Valsts konsolidētā kopbudžeta izdevumi 2010.gadā samazinājās straujāk nekā ieņēmumi, un bija 5 409,7 milj. latu, kas ir par 216,6 milj. latu jeb 3,8% mazāk nekā 2009.gadā. Kopbudžeta izdevumu samazinājumu 2010.gadā salīdzinājumā ar 2009.gadu nodrošināja valsts pamatbudžeta un pašvaldību budžeta izdevumu samazināšana. Savukārt, sociālās apdrošināšanas budžetā bija vērojams izdevumu pieaugums. </w:t>
      </w:r>
    </w:p>
    <w:p w:rsidR="00350DE4" w:rsidRPr="00BA38A3" w:rsidRDefault="002772D9" w:rsidP="00851B3C">
      <w:pPr>
        <w:ind w:left="-142" w:firstLine="284"/>
        <w:jc w:val="both"/>
        <w:rPr>
          <w:sz w:val="28"/>
        </w:rPr>
      </w:pPr>
      <w:r>
        <w:rPr>
          <w:sz w:val="28"/>
        </w:rPr>
        <w:t>I</w:t>
      </w:r>
      <w:r w:rsidR="00350DE4" w:rsidRPr="00BA38A3">
        <w:rPr>
          <w:sz w:val="28"/>
        </w:rPr>
        <w:t xml:space="preserve">zdevumi atbilstoši ekonomiskajām kategorijām gandrīz visās izdevumu kategorijās samazinājās. 2010.gadā salīdzinājumā ar 2009.gadu lielāko samazinājumu veidoja kārtējiem izdevumiem novirzīto līdzekļu apmērs un šo izdevumu kopsumma sastādīja 1 778,3 milj. latu, kas ir par 234,2 milj. latu jeb 11,6% mazāk salīdzinājumā ar iepriekšējo gadu. Tai skaitā kopbudžeta izdevumi atalgojumam saruka par 182 milj. latu jeb 17,7%, ko radīja sabiedriskajā sektorā strādājošo skaita samazināšanās, kā arī darba samaksas fonda samazinājums. </w:t>
      </w:r>
    </w:p>
    <w:p w:rsidR="00350DE4" w:rsidRPr="00BA38A3" w:rsidRDefault="00350DE4" w:rsidP="00851B3C">
      <w:pPr>
        <w:ind w:left="-142" w:firstLine="284"/>
        <w:jc w:val="both"/>
        <w:rPr>
          <w:sz w:val="28"/>
        </w:rPr>
      </w:pPr>
      <w:r w:rsidRPr="00BA38A3">
        <w:rPr>
          <w:sz w:val="28"/>
        </w:rPr>
        <w:t>2010.gadā valsts izmaksāto subsīdiju un dotāciju apmērs bija ievērojami mazāks, tas kritās par 46,7 milj. latu jeb 3,8%,</w:t>
      </w:r>
      <w:r w:rsidRPr="00BA38A3">
        <w:t xml:space="preserve"> </w:t>
      </w:r>
      <w:r w:rsidRPr="00BA38A3">
        <w:rPr>
          <w:sz w:val="28"/>
        </w:rPr>
        <w:t xml:space="preserve">salīdzinot ar iepriekšējo gadu, kopsummā sastādot </w:t>
      </w:r>
      <w:r w:rsidRPr="00BA38A3">
        <w:rPr>
          <w:sz w:val="28"/>
        </w:rPr>
        <w:lastRenderedPageBreak/>
        <w:t>1 177,7 milj. latu. Šīs izmaiņas noteica subsīdiju un dotāciju, kas novirzītas komersantiem, biedrībām un nodibinājumiem, izņemot lauksaimniecības ražošanu, samazinājums par 20,5 milj. latu jeb 1,9</w:t>
      </w:r>
      <w:r w:rsidR="00AE4A63" w:rsidRPr="00BA38A3">
        <w:rPr>
          <w:sz w:val="28"/>
        </w:rPr>
        <w:t>%</w:t>
      </w:r>
      <w:r w:rsidRPr="00BA38A3">
        <w:rPr>
          <w:sz w:val="28"/>
        </w:rPr>
        <w:t xml:space="preserve">. Subsīdijas lauksaimniecības ražošanai saruka par 19,7 milj. latu jeb 44,8 procentiem. </w:t>
      </w:r>
    </w:p>
    <w:p w:rsidR="00350DE4" w:rsidRPr="00BA38A3" w:rsidRDefault="00350DE4" w:rsidP="00851B3C">
      <w:pPr>
        <w:ind w:left="-142" w:firstLine="284"/>
        <w:jc w:val="both"/>
        <w:rPr>
          <w:sz w:val="28"/>
        </w:rPr>
      </w:pPr>
      <w:r w:rsidRPr="00BA38A3">
        <w:rPr>
          <w:sz w:val="28"/>
        </w:rPr>
        <w:t>Savukārt, 2010.gadā procentu izdevumi pieauga par 29 milj. latu jeb 19,2% un veidoja 179,6 milj. latu. Šo izdevumu pieaugumu radīja valsts parāda apmēra palielināšanās, kas paredzēts valsts budžeta deficīta finansēšanai un valsts parāda pārfinansēšanai, kā arī finanšu sektora stabilitātes nodrošināšanai.</w:t>
      </w:r>
    </w:p>
    <w:p w:rsidR="00350DE4" w:rsidRPr="00BA38A3" w:rsidRDefault="00350DE4" w:rsidP="00851B3C">
      <w:pPr>
        <w:ind w:left="-142" w:firstLine="284"/>
        <w:jc w:val="both"/>
        <w:rPr>
          <w:sz w:val="28"/>
        </w:rPr>
      </w:pPr>
      <w:r w:rsidRPr="00BA38A3">
        <w:rPr>
          <w:sz w:val="28"/>
        </w:rPr>
        <w:t>Kopējo izdevumu samaz</w:t>
      </w:r>
      <w:r w:rsidR="00AE4A63" w:rsidRPr="00BA38A3">
        <w:rPr>
          <w:sz w:val="28"/>
        </w:rPr>
        <w:t>ināšanos 2010.</w:t>
      </w:r>
      <w:r w:rsidRPr="00BA38A3">
        <w:rPr>
          <w:sz w:val="28"/>
        </w:rPr>
        <w:t xml:space="preserve">gadā negatīvi ietekmēja sociālo pabalstu izmaksai nepieciešamo naudas līdzekļu apjoma pieaugums, ko pamatā noteica veiktā pensiju ieturējumu atmaksa. Rezultātā kopējie izdevumi sociāliem pabalstiem 2010.gadā pieauga par 98,5 milj. latu jeb 6% salīdzinājumā ar 2009.gadu, un bija 1744,8 milj. latu. Kapitālie izdevumi 2010.gadā bija 389,6 milj. latu, kas ir par 40,8 milj. latu jeb 9,5% mazāk, salīdzinot ar 2009.gadu. </w:t>
      </w:r>
    </w:p>
    <w:p w:rsidR="00350DE4" w:rsidRPr="00BA38A3" w:rsidRDefault="00350DE4" w:rsidP="00851B3C">
      <w:pPr>
        <w:ind w:left="-142" w:firstLine="284"/>
        <w:jc w:val="both"/>
        <w:rPr>
          <w:sz w:val="28"/>
        </w:rPr>
      </w:pPr>
      <w:r w:rsidRPr="00BA38A3">
        <w:rPr>
          <w:sz w:val="28"/>
        </w:rPr>
        <w:t>2011.gada divos mēnešos valsts konsolidētā kopbudžeta izdevumi bija 803,6</w:t>
      </w:r>
      <w:r w:rsidR="00AE4A63" w:rsidRPr="00BA38A3">
        <w:rPr>
          <w:sz w:val="28"/>
        </w:rPr>
        <w:t> </w:t>
      </w:r>
      <w:r w:rsidRPr="00BA38A3">
        <w:rPr>
          <w:sz w:val="28"/>
        </w:rPr>
        <w:t>milj. latu, kas ir par 24,2 milj. latu jeb 3,1% vairāk nekā 2010.gada attiecīgajā periodā.</w:t>
      </w:r>
      <w:r w:rsidR="002772D9">
        <w:rPr>
          <w:sz w:val="28"/>
        </w:rPr>
        <w:t xml:space="preserve"> </w:t>
      </w:r>
      <w:r w:rsidRPr="00BA38A3">
        <w:rPr>
          <w:sz w:val="28"/>
        </w:rPr>
        <w:t>2011.gada pirmajos divos mēnešos konsolidētā kopbudžeta izdevumu lielāko samazinājumu veidoja subsīdijām un dotācijām novirzītie līdzekļi 136,2 milj. latu apmērā, kas ir par 25,9 milj. latu jeb 16% mazāk salīdzinājumā ar 2010.gada janvāri-februāri. Tāpat kā 2010.gadā, arī 2011.gada pirmajos divos mēnešos, izmaiņas noteica subsīdiju un dotāciju, kas novirzītas komersantiem, biedrībām un nodibinājumiem, izņemot lauksaimniecības ražoš</w:t>
      </w:r>
      <w:r w:rsidR="002772D9">
        <w:rPr>
          <w:sz w:val="28"/>
        </w:rPr>
        <w:t>anu, samazinājums par 19,6 milj</w:t>
      </w:r>
      <w:r w:rsidRPr="00BA38A3">
        <w:rPr>
          <w:sz w:val="28"/>
        </w:rPr>
        <w:t xml:space="preserve">. </w:t>
      </w:r>
    </w:p>
    <w:p w:rsidR="00350DE4" w:rsidRPr="00BA38A3" w:rsidRDefault="00350DE4" w:rsidP="00851B3C">
      <w:pPr>
        <w:ind w:left="-142" w:firstLine="284"/>
        <w:jc w:val="both"/>
        <w:rPr>
          <w:sz w:val="28"/>
        </w:rPr>
      </w:pPr>
      <w:r w:rsidRPr="00BA38A3">
        <w:rPr>
          <w:sz w:val="28"/>
        </w:rPr>
        <w:t>Pretēji iepriekš minētajiem izdevumu samazinājumiem, kārtējiem izdevumiem novirzīto līdzekļu apmērs 2011.gada pirmajos divos mēnešos pieauga par 5,2 milj. latu jeb 2</w:t>
      </w:r>
      <w:r w:rsidR="00AE4A63" w:rsidRPr="00BA38A3">
        <w:rPr>
          <w:sz w:val="28"/>
        </w:rPr>
        <w:t>%</w:t>
      </w:r>
      <w:r w:rsidRPr="00BA38A3">
        <w:rPr>
          <w:sz w:val="28"/>
        </w:rPr>
        <w:t>. Izdevumu pieaugumu noteica izdevumu precēm un pakalpojumiem pieaugums par 10,4 milj. latu jeb 10,6% salīdzinājumā ar 2010.gada attiecīgo periodu.</w:t>
      </w:r>
      <w:r w:rsidR="002772D9">
        <w:rPr>
          <w:sz w:val="28"/>
        </w:rPr>
        <w:t xml:space="preserve"> </w:t>
      </w:r>
      <w:r w:rsidRPr="00BA38A3">
        <w:rPr>
          <w:sz w:val="28"/>
        </w:rPr>
        <w:t>2011.gada divos mēnešos procentu izdevumi turpināja pieaugt, veidojot 51,3</w:t>
      </w:r>
      <w:r w:rsidR="00AE4A63" w:rsidRPr="00BA38A3">
        <w:rPr>
          <w:sz w:val="28"/>
        </w:rPr>
        <w:t> </w:t>
      </w:r>
      <w:r w:rsidRPr="00BA38A3">
        <w:rPr>
          <w:sz w:val="28"/>
        </w:rPr>
        <w:t>milj. latu, kas ir par 19,5 milj. latu jeb 61,2% vairāk nekā 2010.gada attiecīgajā periodā.</w:t>
      </w:r>
      <w:r w:rsidR="002772D9">
        <w:rPr>
          <w:sz w:val="28"/>
        </w:rPr>
        <w:t xml:space="preserve"> </w:t>
      </w:r>
      <w:r w:rsidRPr="00BA38A3">
        <w:rPr>
          <w:sz w:val="28"/>
        </w:rPr>
        <w:t>2011.gada divos mēnešos kopējie izdevumi sociāliem pabalstiem bija 264,8</w:t>
      </w:r>
      <w:r w:rsidR="00AE4A63" w:rsidRPr="00BA38A3">
        <w:rPr>
          <w:sz w:val="28"/>
        </w:rPr>
        <w:t> </w:t>
      </w:r>
      <w:r w:rsidR="00851B3C">
        <w:rPr>
          <w:sz w:val="28"/>
        </w:rPr>
        <w:t>milj. latu, pieaugot par 1,9 </w:t>
      </w:r>
      <w:r w:rsidRPr="00BA38A3">
        <w:rPr>
          <w:sz w:val="28"/>
        </w:rPr>
        <w:t>milj. latu jeb 0,7% salīdzinājumā ar 2010.gada janvāri</w:t>
      </w:r>
      <w:r w:rsidR="00AE4A63" w:rsidRPr="00BA38A3">
        <w:rPr>
          <w:sz w:val="28"/>
        </w:rPr>
        <w:t>-</w:t>
      </w:r>
      <w:r w:rsidRPr="00BA38A3">
        <w:rPr>
          <w:sz w:val="28"/>
        </w:rPr>
        <w:t>februāri. Izdevumu kāpumu galvenokārt noteica izdevumu pieaugums pensijām, kas salīdzinājumā ar 2010.gada attiecīgo periodu bija par 25,7 milj. latu jeb 15,3% lielāki.</w:t>
      </w:r>
    </w:p>
    <w:p w:rsidR="00350DE4" w:rsidRPr="00BA38A3" w:rsidRDefault="00350DE4" w:rsidP="00851B3C">
      <w:pPr>
        <w:ind w:left="-142" w:firstLine="284"/>
        <w:jc w:val="both"/>
        <w:rPr>
          <w:sz w:val="28"/>
        </w:rPr>
      </w:pPr>
      <w:r w:rsidRPr="00BA38A3">
        <w:rPr>
          <w:sz w:val="28"/>
        </w:rPr>
        <w:t>2011.gada janvārī-februārī kapitālie izdevumi bija 58,3 milj. latu, kas ir par 28,3</w:t>
      </w:r>
      <w:r w:rsidR="00AE4A63" w:rsidRPr="00BA38A3">
        <w:rPr>
          <w:sz w:val="28"/>
        </w:rPr>
        <w:t> </w:t>
      </w:r>
      <w:r w:rsidRPr="00BA38A3">
        <w:rPr>
          <w:sz w:val="28"/>
        </w:rPr>
        <w:t>milj. latu jeb 69,2% vairāk, salīdzinot ar 2010.gada pirmajiem diviem mēnešiem.</w:t>
      </w:r>
    </w:p>
    <w:p w:rsidR="00851B3C" w:rsidRDefault="00851B3C" w:rsidP="00350DE4">
      <w:pPr>
        <w:pStyle w:val="teksts"/>
        <w:spacing w:after="40"/>
        <w:ind w:firstLine="425"/>
        <w:rPr>
          <w:rFonts w:ascii="Times New Roman" w:hAnsi="Times New Roman"/>
          <w:bCs/>
          <w:color w:val="000000"/>
          <w:sz w:val="28"/>
          <w:u w:val="single"/>
        </w:rPr>
      </w:pPr>
    </w:p>
    <w:p w:rsidR="00350DE4" w:rsidRPr="00923828" w:rsidRDefault="00350DE4" w:rsidP="00350DE4">
      <w:pPr>
        <w:pStyle w:val="teksts"/>
        <w:spacing w:after="40"/>
        <w:ind w:firstLine="425"/>
        <w:rPr>
          <w:rFonts w:ascii="Times New Roman" w:hAnsi="Times New Roman"/>
          <w:bCs/>
          <w:color w:val="000000"/>
          <w:sz w:val="28"/>
          <w:u w:val="single"/>
        </w:rPr>
      </w:pPr>
      <w:r w:rsidRPr="00923828">
        <w:rPr>
          <w:rFonts w:ascii="Times New Roman" w:hAnsi="Times New Roman"/>
          <w:bCs/>
          <w:color w:val="000000"/>
          <w:sz w:val="28"/>
          <w:u w:val="single"/>
        </w:rPr>
        <w:t>Banku sektors</w:t>
      </w:r>
    </w:p>
    <w:p w:rsidR="002772D9" w:rsidRPr="002772D9" w:rsidRDefault="002772D9" w:rsidP="002772D9">
      <w:pPr>
        <w:spacing w:after="40"/>
        <w:ind w:firstLine="425"/>
        <w:jc w:val="both"/>
        <w:rPr>
          <w:sz w:val="14"/>
        </w:rPr>
      </w:pPr>
    </w:p>
    <w:p w:rsidR="00350DE4" w:rsidRPr="004A4E67" w:rsidRDefault="002772D9" w:rsidP="00851B3C">
      <w:pPr>
        <w:ind w:left="-142" w:firstLine="284"/>
        <w:jc w:val="both"/>
        <w:rPr>
          <w:sz w:val="28"/>
        </w:rPr>
      </w:pPr>
      <w:r w:rsidRPr="002772D9">
        <w:rPr>
          <w:sz w:val="28"/>
        </w:rPr>
        <w:t xml:space="preserve">Situācija Latvijas finanšu sistēmā sāk stabilizēties. Sākot ar 2009. gada 4. ceturksni, vērojams noguldījumu pieaugums. </w:t>
      </w:r>
      <w:r w:rsidR="00350DE4" w:rsidRPr="004A4E67">
        <w:rPr>
          <w:sz w:val="28"/>
        </w:rPr>
        <w:t xml:space="preserve">2010.gada </w:t>
      </w:r>
      <w:r w:rsidR="00350DE4">
        <w:rPr>
          <w:sz w:val="28"/>
        </w:rPr>
        <w:t>4</w:t>
      </w:r>
      <w:r w:rsidR="00350DE4" w:rsidRPr="004A4E67">
        <w:rPr>
          <w:sz w:val="28"/>
        </w:rPr>
        <w:t>.ceturkšņa beigās noguldījumu apjoms, salīdzinājumā ar 2009.gada attiecīgo periodu</w:t>
      </w:r>
      <w:r w:rsidR="00350DE4">
        <w:rPr>
          <w:sz w:val="28"/>
        </w:rPr>
        <w:t>, pieauga par 8,3 </w:t>
      </w:r>
      <w:r w:rsidR="00350DE4" w:rsidRPr="004A4E67">
        <w:rPr>
          <w:sz w:val="28"/>
        </w:rPr>
        <w:t xml:space="preserve">procentiem. </w:t>
      </w:r>
    </w:p>
    <w:p w:rsidR="00350DE4" w:rsidRPr="004A4E67" w:rsidRDefault="00350DE4" w:rsidP="00851B3C">
      <w:pPr>
        <w:ind w:left="-142" w:firstLine="284"/>
        <w:jc w:val="both"/>
        <w:rPr>
          <w:sz w:val="28"/>
        </w:rPr>
      </w:pPr>
      <w:r w:rsidRPr="004A4E67">
        <w:rPr>
          <w:sz w:val="28"/>
        </w:rPr>
        <w:t xml:space="preserve">2010.gada </w:t>
      </w:r>
      <w:r>
        <w:rPr>
          <w:sz w:val="28"/>
        </w:rPr>
        <w:t>4</w:t>
      </w:r>
      <w:r w:rsidRPr="004A4E67">
        <w:rPr>
          <w:sz w:val="28"/>
        </w:rPr>
        <w:t>.ceturk</w:t>
      </w:r>
      <w:r w:rsidR="002772D9">
        <w:rPr>
          <w:sz w:val="28"/>
        </w:rPr>
        <w:t xml:space="preserve">snī </w:t>
      </w:r>
      <w:r w:rsidRPr="004A4E67">
        <w:rPr>
          <w:sz w:val="28"/>
        </w:rPr>
        <w:t>rezidentu finanšu iestādēm, nefinanšu sabiedrībām un mājsaimniecībām izsniegto kredītu atlikums</w:t>
      </w:r>
      <w:r w:rsidR="00721E6B">
        <w:rPr>
          <w:sz w:val="28"/>
        </w:rPr>
        <w:t>, lai arī lēnākos tempos, tomēr</w:t>
      </w:r>
      <w:r w:rsidRPr="004A4E67">
        <w:rPr>
          <w:sz w:val="28"/>
        </w:rPr>
        <w:t xml:space="preserve"> turpināja samazināties. Ja 200</w:t>
      </w:r>
      <w:r>
        <w:rPr>
          <w:sz w:val="28"/>
        </w:rPr>
        <w:t>9.</w:t>
      </w:r>
      <w:r w:rsidRPr="004A4E67">
        <w:rPr>
          <w:sz w:val="28"/>
        </w:rPr>
        <w:t xml:space="preserve">gada </w:t>
      </w:r>
      <w:r>
        <w:rPr>
          <w:sz w:val="28"/>
        </w:rPr>
        <w:t>4.</w:t>
      </w:r>
      <w:r w:rsidRPr="004A4E67">
        <w:rPr>
          <w:sz w:val="28"/>
        </w:rPr>
        <w:t xml:space="preserve">ceturkšņa beigās kopumā rezidentu finanšu iestādēm, nefinanšu sabiedrībām un mājsaimniecībām izsniegto kredītu atlikumi bija </w:t>
      </w:r>
      <w:r w:rsidRPr="004A4E67">
        <w:rPr>
          <w:sz w:val="28"/>
        </w:rPr>
        <w:lastRenderedPageBreak/>
        <w:t>13,</w:t>
      </w:r>
      <w:r>
        <w:rPr>
          <w:sz w:val="28"/>
        </w:rPr>
        <w:t>5</w:t>
      </w:r>
      <w:r w:rsidR="00851B3C">
        <w:rPr>
          <w:sz w:val="28"/>
        </w:rPr>
        <w:t> </w:t>
      </w:r>
      <w:r w:rsidRPr="004A4E67">
        <w:rPr>
          <w:sz w:val="28"/>
        </w:rPr>
        <w:t xml:space="preserve">miljardu latu, tad 2010.gada </w:t>
      </w:r>
      <w:r>
        <w:rPr>
          <w:sz w:val="28"/>
        </w:rPr>
        <w:t>4</w:t>
      </w:r>
      <w:r w:rsidRPr="004A4E67">
        <w:rPr>
          <w:sz w:val="28"/>
        </w:rPr>
        <w:t>.ceturkšņa beigās – 12,</w:t>
      </w:r>
      <w:r>
        <w:rPr>
          <w:sz w:val="28"/>
        </w:rPr>
        <w:t>4</w:t>
      </w:r>
      <w:r w:rsidRPr="004A4E67">
        <w:rPr>
          <w:sz w:val="28"/>
        </w:rPr>
        <w:t xml:space="preserve"> miljardi latu, kas ir par </w:t>
      </w:r>
      <w:r>
        <w:rPr>
          <w:sz w:val="28"/>
        </w:rPr>
        <w:t>8,3</w:t>
      </w:r>
      <w:r w:rsidRPr="004A4E67">
        <w:rPr>
          <w:sz w:val="28"/>
        </w:rPr>
        <w:t>% mazāk nekā pirms gada.</w:t>
      </w:r>
    </w:p>
    <w:p w:rsidR="00350DE4" w:rsidRPr="004A4E67" w:rsidRDefault="00350DE4" w:rsidP="00851B3C">
      <w:pPr>
        <w:ind w:left="-142" w:firstLine="284"/>
        <w:jc w:val="both"/>
        <w:rPr>
          <w:sz w:val="28"/>
        </w:rPr>
      </w:pPr>
      <w:r w:rsidRPr="004A4E67">
        <w:rPr>
          <w:sz w:val="28"/>
        </w:rPr>
        <w:t xml:space="preserve">2010.gada </w:t>
      </w:r>
      <w:r>
        <w:rPr>
          <w:sz w:val="28"/>
        </w:rPr>
        <w:t>4</w:t>
      </w:r>
      <w:r w:rsidRPr="004A4E67">
        <w:rPr>
          <w:sz w:val="28"/>
        </w:rPr>
        <w:t xml:space="preserve">.ceturksnī joprojām turpināja samazināties komerckredītu atlikumi. Šāda tendence ir vērojama jau kopš 2008.gada beigām. Rezidentiem izsniegto komerckredītu atlikumi 2010.gada </w:t>
      </w:r>
      <w:r>
        <w:rPr>
          <w:sz w:val="28"/>
        </w:rPr>
        <w:t>4</w:t>
      </w:r>
      <w:r w:rsidRPr="004A4E67">
        <w:rPr>
          <w:sz w:val="28"/>
        </w:rPr>
        <w:t xml:space="preserve">.ceturkšņa beigās, salīdzinot ar 2009.gada attiecīgo periodu, samazinājās par </w:t>
      </w:r>
      <w:r>
        <w:rPr>
          <w:sz w:val="28"/>
        </w:rPr>
        <w:t>19,3</w:t>
      </w:r>
      <w:r w:rsidRPr="004A4E67">
        <w:rPr>
          <w:sz w:val="28"/>
        </w:rPr>
        <w:t>%, savukārt industriālo kredītu atlikumi 2010.gada sākumā strauji pieauga</w:t>
      </w:r>
      <w:r>
        <w:rPr>
          <w:sz w:val="28"/>
        </w:rPr>
        <w:t xml:space="preserve">, kas ir skaidrojams ar </w:t>
      </w:r>
      <w:r w:rsidR="00721E6B">
        <w:rPr>
          <w:sz w:val="28"/>
        </w:rPr>
        <w:t>ekonomiskās situācijas uzlabošanos</w:t>
      </w:r>
      <w:r>
        <w:rPr>
          <w:sz w:val="28"/>
        </w:rPr>
        <w:t xml:space="preserve">. </w:t>
      </w:r>
      <w:r w:rsidRPr="004A4E67">
        <w:rPr>
          <w:sz w:val="28"/>
        </w:rPr>
        <w:t xml:space="preserve">2010.gada </w:t>
      </w:r>
      <w:r>
        <w:rPr>
          <w:sz w:val="28"/>
        </w:rPr>
        <w:t>4</w:t>
      </w:r>
      <w:r w:rsidRPr="004A4E67">
        <w:rPr>
          <w:sz w:val="28"/>
        </w:rPr>
        <w:t>.ceturkšņa beigās</w:t>
      </w:r>
      <w:r>
        <w:rPr>
          <w:sz w:val="28"/>
        </w:rPr>
        <w:t>,</w:t>
      </w:r>
      <w:r w:rsidRPr="004A4E67">
        <w:rPr>
          <w:sz w:val="28"/>
        </w:rPr>
        <w:t xml:space="preserve"> salīdzinot</w:t>
      </w:r>
      <w:r>
        <w:rPr>
          <w:sz w:val="28"/>
        </w:rPr>
        <w:t xml:space="preserve"> ar 2009.gada attiecīgo periodu,</w:t>
      </w:r>
      <w:r w:rsidRPr="004A4E67">
        <w:rPr>
          <w:sz w:val="28"/>
        </w:rPr>
        <w:t xml:space="preserve"> industriālo kredītu atlikumi </w:t>
      </w:r>
      <w:r>
        <w:rPr>
          <w:sz w:val="28"/>
        </w:rPr>
        <w:t>pieauga</w:t>
      </w:r>
      <w:r w:rsidRPr="004A4E67">
        <w:rPr>
          <w:sz w:val="28"/>
        </w:rPr>
        <w:t xml:space="preserve"> par </w:t>
      </w:r>
      <w:r>
        <w:rPr>
          <w:sz w:val="28"/>
        </w:rPr>
        <w:t>14,7</w:t>
      </w:r>
      <w:r w:rsidR="00721E6B">
        <w:rPr>
          <w:sz w:val="28"/>
        </w:rPr>
        <w:t>%</w:t>
      </w:r>
      <w:r>
        <w:rPr>
          <w:sz w:val="28"/>
        </w:rPr>
        <w:t>.</w:t>
      </w:r>
      <w:r w:rsidRPr="004A4E67">
        <w:rPr>
          <w:sz w:val="28"/>
        </w:rPr>
        <w:t xml:space="preserve"> Joprojām turpina samazināties hipotekāro kredītu atlikumi, kas 2010.gada </w:t>
      </w:r>
      <w:r>
        <w:rPr>
          <w:sz w:val="28"/>
        </w:rPr>
        <w:t>4</w:t>
      </w:r>
      <w:r w:rsidRPr="004A4E67">
        <w:rPr>
          <w:sz w:val="28"/>
        </w:rPr>
        <w:t xml:space="preserve">.ceturkšņa beigās bija sarukuši par </w:t>
      </w:r>
      <w:r>
        <w:rPr>
          <w:sz w:val="28"/>
        </w:rPr>
        <w:t>9,1</w:t>
      </w:r>
      <w:r w:rsidRPr="004A4E67">
        <w:rPr>
          <w:sz w:val="28"/>
        </w:rPr>
        <w:t xml:space="preserve">%, salīdzinot ar 2009.gada </w:t>
      </w:r>
      <w:r w:rsidR="00721E6B">
        <w:rPr>
          <w:sz w:val="28"/>
        </w:rPr>
        <w:t>beigām</w:t>
      </w:r>
      <w:r w:rsidRPr="004A4E67">
        <w:rPr>
          <w:sz w:val="28"/>
        </w:rPr>
        <w:t xml:space="preserve">. </w:t>
      </w:r>
      <w:r w:rsidR="00721E6B">
        <w:rPr>
          <w:sz w:val="28"/>
        </w:rPr>
        <w:t>Savukārt k</w:t>
      </w:r>
      <w:r w:rsidRPr="004A4E67">
        <w:rPr>
          <w:sz w:val="28"/>
        </w:rPr>
        <w:t xml:space="preserve">redītu </w:t>
      </w:r>
      <w:r w:rsidR="00721E6B" w:rsidRPr="004A4E67">
        <w:rPr>
          <w:sz w:val="28"/>
        </w:rPr>
        <w:t xml:space="preserve">atlikumi </w:t>
      </w:r>
      <w:r w:rsidRPr="004A4E67">
        <w:rPr>
          <w:sz w:val="28"/>
        </w:rPr>
        <w:t>patēriņa preču iegādei kopš 2010.gada 2.ceturkšņa ir pieauguši</w:t>
      </w:r>
      <w:r>
        <w:rPr>
          <w:sz w:val="28"/>
        </w:rPr>
        <w:t xml:space="preserve"> un, </w:t>
      </w:r>
      <w:r w:rsidRPr="004A4E67">
        <w:rPr>
          <w:sz w:val="28"/>
        </w:rPr>
        <w:t xml:space="preserve">salīdzinot ar 2009.gada attiecīgo periodu, </w:t>
      </w:r>
      <w:r w:rsidR="00721E6B">
        <w:rPr>
          <w:sz w:val="28"/>
        </w:rPr>
        <w:t>tie</w:t>
      </w:r>
      <w:r w:rsidRPr="004A4E67">
        <w:rPr>
          <w:sz w:val="28"/>
        </w:rPr>
        <w:t xml:space="preserve"> ir </w:t>
      </w:r>
      <w:r>
        <w:rPr>
          <w:sz w:val="28"/>
        </w:rPr>
        <w:t>2</w:t>
      </w:r>
      <w:r w:rsidR="00721E6B">
        <w:rPr>
          <w:sz w:val="28"/>
        </w:rPr>
        <w:t>% lielāki</w:t>
      </w:r>
      <w:r w:rsidRPr="004A4E67">
        <w:rPr>
          <w:sz w:val="28"/>
        </w:rPr>
        <w:t xml:space="preserve">. </w:t>
      </w:r>
    </w:p>
    <w:p w:rsidR="00350DE4" w:rsidRPr="004A4E67" w:rsidRDefault="00350DE4" w:rsidP="00851B3C">
      <w:pPr>
        <w:ind w:left="-142" w:firstLine="284"/>
        <w:jc w:val="both"/>
        <w:rPr>
          <w:sz w:val="28"/>
        </w:rPr>
      </w:pPr>
      <w:r w:rsidRPr="004A4E67">
        <w:rPr>
          <w:sz w:val="28"/>
        </w:rPr>
        <w:t xml:space="preserve">No visa iekšzemes uzņēmumiem un privātpersonām izsniegtā kredītu apjoma, lielāko daļu veido hipotekārie kredīti, kuru īpatsvars 2010. gada beigās </w:t>
      </w:r>
      <w:r>
        <w:rPr>
          <w:sz w:val="28"/>
        </w:rPr>
        <w:t>bija</w:t>
      </w:r>
      <w:r w:rsidRPr="004A4E67">
        <w:rPr>
          <w:sz w:val="28"/>
        </w:rPr>
        <w:t xml:space="preserve"> 5</w:t>
      </w:r>
      <w:r w:rsidR="00721E6B">
        <w:rPr>
          <w:sz w:val="28"/>
        </w:rPr>
        <w:t>8</w:t>
      </w:r>
      <w:r w:rsidRPr="004A4E67">
        <w:rPr>
          <w:sz w:val="28"/>
        </w:rPr>
        <w:t xml:space="preserve">% no </w:t>
      </w:r>
      <w:r w:rsidR="00721E6B">
        <w:rPr>
          <w:sz w:val="28"/>
        </w:rPr>
        <w:t>kopējā izsniegto kredītu apjoma. S</w:t>
      </w:r>
      <w:r w:rsidRPr="004A4E67">
        <w:rPr>
          <w:sz w:val="28"/>
        </w:rPr>
        <w:t xml:space="preserve">avukārt </w:t>
      </w:r>
      <w:r>
        <w:rPr>
          <w:sz w:val="28"/>
        </w:rPr>
        <w:t xml:space="preserve">kopējais </w:t>
      </w:r>
      <w:r w:rsidRPr="004A4E67">
        <w:rPr>
          <w:sz w:val="28"/>
        </w:rPr>
        <w:t>komerckredītu un industriālo kredītu īpatsvars</w:t>
      </w:r>
      <w:r w:rsidR="00721E6B">
        <w:rPr>
          <w:sz w:val="28"/>
        </w:rPr>
        <w:t xml:space="preserve"> ir </w:t>
      </w:r>
      <w:r>
        <w:rPr>
          <w:sz w:val="28"/>
        </w:rPr>
        <w:t>samazināj</w:t>
      </w:r>
      <w:r w:rsidR="00721E6B">
        <w:rPr>
          <w:sz w:val="28"/>
        </w:rPr>
        <w:t xml:space="preserve">ies un </w:t>
      </w:r>
      <w:r w:rsidRPr="004A4E67">
        <w:rPr>
          <w:sz w:val="28"/>
        </w:rPr>
        <w:t>bija tikai 31,</w:t>
      </w:r>
      <w:r>
        <w:rPr>
          <w:sz w:val="28"/>
        </w:rPr>
        <w:t>3</w:t>
      </w:r>
      <w:r w:rsidR="00721E6B">
        <w:rPr>
          <w:sz w:val="28"/>
        </w:rPr>
        <w:t>%, ko pamatā noteica</w:t>
      </w:r>
      <w:r w:rsidR="009B4B86">
        <w:rPr>
          <w:sz w:val="28"/>
        </w:rPr>
        <w:t xml:space="preserve"> </w:t>
      </w:r>
      <w:r w:rsidRPr="004A4E67">
        <w:rPr>
          <w:sz w:val="28"/>
        </w:rPr>
        <w:t>komerckredītu apjom</w:t>
      </w:r>
      <w:r w:rsidR="00721E6B">
        <w:rPr>
          <w:sz w:val="28"/>
        </w:rPr>
        <w:t xml:space="preserve">u </w:t>
      </w:r>
      <w:r w:rsidRPr="004A4E67">
        <w:rPr>
          <w:sz w:val="28"/>
        </w:rPr>
        <w:t>samazināj</w:t>
      </w:r>
      <w:r w:rsidR="00721E6B">
        <w:rPr>
          <w:sz w:val="28"/>
        </w:rPr>
        <w:t>ums</w:t>
      </w:r>
      <w:r w:rsidRPr="004A4E67">
        <w:rPr>
          <w:sz w:val="28"/>
        </w:rPr>
        <w:t xml:space="preserve">. </w:t>
      </w:r>
    </w:p>
    <w:p w:rsidR="00350DE4" w:rsidRPr="004A4E67" w:rsidRDefault="00350DE4" w:rsidP="00851B3C">
      <w:pPr>
        <w:ind w:left="-142" w:firstLine="284"/>
        <w:jc w:val="both"/>
        <w:rPr>
          <w:sz w:val="28"/>
        </w:rPr>
      </w:pPr>
      <w:r w:rsidRPr="004A4E67">
        <w:rPr>
          <w:sz w:val="28"/>
        </w:rPr>
        <w:t>Rezidentiem izsniegto kredītu struktūrā pa tautsaimniecības nozarēm, vislielākais kredītu atlikumu īpatsvars ir operācijām ar nekustamo īpašumu (3</w:t>
      </w:r>
      <w:r w:rsidR="00721E6B">
        <w:rPr>
          <w:sz w:val="28"/>
        </w:rPr>
        <w:t>5</w:t>
      </w:r>
      <w:r w:rsidRPr="004A4E67">
        <w:rPr>
          <w:sz w:val="28"/>
        </w:rPr>
        <w:t>%), apstrādes rūpniecībai (1</w:t>
      </w:r>
      <w:r w:rsidR="00721E6B">
        <w:rPr>
          <w:sz w:val="28"/>
        </w:rPr>
        <w:t>5</w:t>
      </w:r>
      <w:r>
        <w:rPr>
          <w:sz w:val="28"/>
        </w:rPr>
        <w:t xml:space="preserve">%), tirdzniecībai, </w:t>
      </w:r>
      <w:r w:rsidRPr="004A4E67">
        <w:rPr>
          <w:sz w:val="28"/>
        </w:rPr>
        <w:t>viesnīcām un restorāniem (1</w:t>
      </w:r>
      <w:r w:rsidR="00721E6B">
        <w:rPr>
          <w:sz w:val="28"/>
        </w:rPr>
        <w:t>3</w:t>
      </w:r>
      <w:r w:rsidRPr="004A4E67">
        <w:rPr>
          <w:sz w:val="28"/>
        </w:rPr>
        <w:t>%) un būvniecībai (1</w:t>
      </w:r>
      <w:r w:rsidR="00721E6B">
        <w:rPr>
          <w:sz w:val="28"/>
        </w:rPr>
        <w:t>1</w:t>
      </w:r>
      <w:r w:rsidRPr="004A4E67">
        <w:rPr>
          <w:sz w:val="28"/>
        </w:rPr>
        <w:t xml:space="preserve">%). Latvijas tautsaimniecības nozaru attīstībai izsniegto kredītu atlikums joprojām turpina samazināties un 2010.gada </w:t>
      </w:r>
      <w:r>
        <w:rPr>
          <w:sz w:val="28"/>
        </w:rPr>
        <w:t>4</w:t>
      </w:r>
      <w:r w:rsidRPr="004A4E67">
        <w:rPr>
          <w:sz w:val="28"/>
        </w:rPr>
        <w:t xml:space="preserve">.ceturkšņa beigās tas bija par </w:t>
      </w:r>
      <w:r>
        <w:rPr>
          <w:sz w:val="28"/>
        </w:rPr>
        <w:t>10,4</w:t>
      </w:r>
      <w:r w:rsidRPr="004A4E67">
        <w:rPr>
          <w:sz w:val="28"/>
        </w:rPr>
        <w:t>% mazāks nekā gadu iepriekš. Gada laikā visstraujāk kredītu atlikumi samazinājās f</w:t>
      </w:r>
      <w:r w:rsidR="00721E6B">
        <w:rPr>
          <w:sz w:val="28"/>
        </w:rPr>
        <w:t xml:space="preserve">inanšu starpniecības </w:t>
      </w:r>
      <w:r w:rsidRPr="004A4E67">
        <w:rPr>
          <w:sz w:val="28"/>
        </w:rPr>
        <w:t xml:space="preserve">nozarē (par </w:t>
      </w:r>
      <w:r>
        <w:rPr>
          <w:sz w:val="28"/>
        </w:rPr>
        <w:t>34,5</w:t>
      </w:r>
      <w:r w:rsidRPr="004A4E67">
        <w:rPr>
          <w:sz w:val="28"/>
        </w:rPr>
        <w:t xml:space="preserve">%), </w:t>
      </w:r>
      <w:r>
        <w:rPr>
          <w:sz w:val="28"/>
        </w:rPr>
        <w:t>būvniecībā (par 12,7</w:t>
      </w:r>
      <w:r w:rsidRPr="004A4E67">
        <w:rPr>
          <w:sz w:val="28"/>
        </w:rPr>
        <w:t>%)</w:t>
      </w:r>
      <w:r>
        <w:rPr>
          <w:sz w:val="28"/>
        </w:rPr>
        <w:t>,</w:t>
      </w:r>
      <w:r w:rsidRPr="004A4E67">
        <w:rPr>
          <w:sz w:val="28"/>
        </w:rPr>
        <w:t xml:space="preserve"> tirdzniecības, viesnīcas un restorānu nozarē (par </w:t>
      </w:r>
      <w:r>
        <w:rPr>
          <w:sz w:val="28"/>
        </w:rPr>
        <w:t>11,8</w:t>
      </w:r>
      <w:r w:rsidRPr="004A4E67">
        <w:rPr>
          <w:sz w:val="28"/>
        </w:rPr>
        <w:t>%)</w:t>
      </w:r>
      <w:r>
        <w:rPr>
          <w:sz w:val="28"/>
        </w:rPr>
        <w:t xml:space="preserve">, primārajās nozarēs (par 9,1%), </w:t>
      </w:r>
      <w:r w:rsidRPr="004A4E67">
        <w:rPr>
          <w:sz w:val="28"/>
        </w:rPr>
        <w:t xml:space="preserve">apstrādes rūpniecībā (par </w:t>
      </w:r>
      <w:r>
        <w:rPr>
          <w:sz w:val="28"/>
        </w:rPr>
        <w:t>8,4</w:t>
      </w:r>
      <w:r w:rsidRPr="004A4E67">
        <w:rPr>
          <w:sz w:val="28"/>
        </w:rPr>
        <w:t>%)</w:t>
      </w:r>
      <w:r>
        <w:rPr>
          <w:sz w:val="28"/>
        </w:rPr>
        <w:t xml:space="preserve"> un operācijās ar nekustamo īpašumu (par 8,1%)</w:t>
      </w:r>
      <w:r w:rsidRPr="004A4E67">
        <w:rPr>
          <w:sz w:val="28"/>
        </w:rPr>
        <w:t xml:space="preserve">. Izsniegto kredītu atlikumu pieaugums bija vērojams tikai </w:t>
      </w:r>
      <w:r>
        <w:rPr>
          <w:sz w:val="28"/>
        </w:rPr>
        <w:t>elektroenerģijas, gāzes un ūdensapgādes nozarē (par 6,9</w:t>
      </w:r>
      <w:r w:rsidRPr="004A4E67">
        <w:rPr>
          <w:sz w:val="28"/>
        </w:rPr>
        <w:t>%).</w:t>
      </w:r>
    </w:p>
    <w:p w:rsidR="00350DE4" w:rsidRPr="004A4E67" w:rsidRDefault="00350DE4" w:rsidP="00851B3C">
      <w:pPr>
        <w:tabs>
          <w:tab w:val="left" w:pos="9639"/>
        </w:tabs>
        <w:ind w:left="-142" w:firstLine="284"/>
        <w:jc w:val="both"/>
        <w:rPr>
          <w:bCs/>
          <w:color w:val="000000"/>
          <w:sz w:val="28"/>
        </w:rPr>
      </w:pPr>
      <w:r>
        <w:rPr>
          <w:bCs/>
          <w:color w:val="000000"/>
          <w:sz w:val="28"/>
        </w:rPr>
        <w:t>Mazinoties iedzīvotāju maksātspējai, k</w:t>
      </w:r>
      <w:r w:rsidRPr="004A4E67">
        <w:rPr>
          <w:bCs/>
          <w:color w:val="000000"/>
          <w:sz w:val="28"/>
        </w:rPr>
        <w:t xml:space="preserve">redītu ar maksājumu kavējumiem daļa kopējā kredītportfelī turpina pieaugt. Ja 2009.gada </w:t>
      </w:r>
      <w:r>
        <w:rPr>
          <w:bCs/>
          <w:color w:val="000000"/>
          <w:sz w:val="28"/>
        </w:rPr>
        <w:t>4</w:t>
      </w:r>
      <w:r w:rsidRPr="004A4E67">
        <w:rPr>
          <w:bCs/>
          <w:color w:val="000000"/>
          <w:sz w:val="28"/>
        </w:rPr>
        <w:t xml:space="preserve">.ceturkšņa beigās </w:t>
      </w:r>
      <w:r>
        <w:rPr>
          <w:bCs/>
          <w:color w:val="000000"/>
          <w:sz w:val="28"/>
        </w:rPr>
        <w:t xml:space="preserve">kopējā kredītportfelī </w:t>
      </w:r>
      <w:r w:rsidRPr="004A4E67">
        <w:rPr>
          <w:bCs/>
          <w:color w:val="000000"/>
          <w:sz w:val="28"/>
        </w:rPr>
        <w:t xml:space="preserve">kredīti </w:t>
      </w:r>
      <w:r>
        <w:rPr>
          <w:bCs/>
          <w:color w:val="000000"/>
          <w:sz w:val="28"/>
        </w:rPr>
        <w:t>ar maksājuma kavējumiem bija 25,5</w:t>
      </w:r>
      <w:r w:rsidRPr="004A4E67">
        <w:rPr>
          <w:bCs/>
          <w:color w:val="000000"/>
          <w:sz w:val="28"/>
        </w:rPr>
        <w:t xml:space="preserve">%, tad </w:t>
      </w:r>
      <w:r>
        <w:rPr>
          <w:bCs/>
          <w:color w:val="000000"/>
          <w:sz w:val="28"/>
        </w:rPr>
        <w:t>2010.gada 3.ceturksnī kredīti ar maksājuma kavējumiem</w:t>
      </w:r>
      <w:r w:rsidR="00721E6B">
        <w:rPr>
          <w:bCs/>
          <w:color w:val="000000"/>
          <w:sz w:val="28"/>
        </w:rPr>
        <w:t xml:space="preserve"> kopējā kredītportfelī pieauga</w:t>
      </w:r>
      <w:r>
        <w:rPr>
          <w:bCs/>
          <w:color w:val="000000"/>
          <w:sz w:val="28"/>
        </w:rPr>
        <w:t xml:space="preserve"> līdz 28,6%</w:t>
      </w:r>
      <w:r w:rsidR="00721E6B">
        <w:rPr>
          <w:bCs/>
          <w:color w:val="000000"/>
          <w:sz w:val="28"/>
        </w:rPr>
        <w:t>.</w:t>
      </w:r>
      <w:r>
        <w:rPr>
          <w:bCs/>
          <w:color w:val="000000"/>
          <w:sz w:val="28"/>
        </w:rPr>
        <w:t xml:space="preserve"> Situācija gada </w:t>
      </w:r>
      <w:r w:rsidR="00721E6B">
        <w:rPr>
          <w:bCs/>
          <w:color w:val="000000"/>
          <w:sz w:val="28"/>
        </w:rPr>
        <w:t>nogalē</w:t>
      </w:r>
      <w:r>
        <w:rPr>
          <w:bCs/>
          <w:color w:val="000000"/>
          <w:sz w:val="28"/>
        </w:rPr>
        <w:t xml:space="preserve"> nedaudz uzlabojās</w:t>
      </w:r>
      <w:r w:rsidRPr="004A4E67">
        <w:rPr>
          <w:bCs/>
          <w:color w:val="000000"/>
          <w:sz w:val="28"/>
        </w:rPr>
        <w:t xml:space="preserve"> </w:t>
      </w:r>
      <w:r>
        <w:rPr>
          <w:bCs/>
          <w:color w:val="000000"/>
          <w:sz w:val="28"/>
        </w:rPr>
        <w:t xml:space="preserve">un </w:t>
      </w:r>
      <w:r w:rsidRPr="004A4E67">
        <w:rPr>
          <w:bCs/>
          <w:color w:val="000000"/>
          <w:sz w:val="28"/>
        </w:rPr>
        <w:t xml:space="preserve">2010.gada </w:t>
      </w:r>
      <w:r>
        <w:rPr>
          <w:bCs/>
          <w:color w:val="000000"/>
          <w:sz w:val="28"/>
        </w:rPr>
        <w:t>4</w:t>
      </w:r>
      <w:r w:rsidRPr="004A4E67">
        <w:rPr>
          <w:bCs/>
          <w:color w:val="000000"/>
          <w:sz w:val="28"/>
        </w:rPr>
        <w:t xml:space="preserve">.ceturkšņa beigās </w:t>
      </w:r>
      <w:r>
        <w:rPr>
          <w:bCs/>
          <w:color w:val="000000"/>
          <w:sz w:val="28"/>
        </w:rPr>
        <w:t>kredīti ar maksājuma kavējumiem</w:t>
      </w:r>
      <w:r w:rsidRPr="004A4E67">
        <w:rPr>
          <w:bCs/>
          <w:color w:val="000000"/>
          <w:sz w:val="28"/>
        </w:rPr>
        <w:t xml:space="preserve"> </w:t>
      </w:r>
      <w:r>
        <w:rPr>
          <w:bCs/>
          <w:color w:val="000000"/>
          <w:sz w:val="28"/>
        </w:rPr>
        <w:t>bija 26,6%, savukārt 2011.gada februāra beigās kredīti ar maksājuma kavējumiem</w:t>
      </w:r>
      <w:r w:rsidR="00721E6B">
        <w:rPr>
          <w:bCs/>
          <w:color w:val="000000"/>
          <w:sz w:val="28"/>
        </w:rPr>
        <w:t xml:space="preserve"> atkal pieauga un sasniedza 28%</w:t>
      </w:r>
      <w:r>
        <w:rPr>
          <w:bCs/>
          <w:color w:val="000000"/>
          <w:sz w:val="28"/>
        </w:rPr>
        <w:t xml:space="preserve">. </w:t>
      </w:r>
      <w:r w:rsidRPr="004A4E67">
        <w:rPr>
          <w:bCs/>
          <w:color w:val="000000"/>
          <w:sz w:val="28"/>
        </w:rPr>
        <w:t xml:space="preserve">2010.gada </w:t>
      </w:r>
      <w:r>
        <w:rPr>
          <w:bCs/>
          <w:color w:val="000000"/>
          <w:sz w:val="28"/>
        </w:rPr>
        <w:t>4</w:t>
      </w:r>
      <w:r w:rsidRPr="004A4E67">
        <w:rPr>
          <w:bCs/>
          <w:color w:val="000000"/>
          <w:sz w:val="28"/>
        </w:rPr>
        <w:t>.ceturksnī, salīdzinot ar iepriekšējā gada attiecīgo periodu, ir pieaudzis kredītu</w:t>
      </w:r>
      <w:r w:rsidR="00721E6B">
        <w:rPr>
          <w:bCs/>
          <w:color w:val="000000"/>
          <w:sz w:val="28"/>
        </w:rPr>
        <w:t xml:space="preserve"> skaits</w:t>
      </w:r>
      <w:r w:rsidRPr="004A4E67">
        <w:rPr>
          <w:bCs/>
          <w:color w:val="000000"/>
          <w:sz w:val="28"/>
        </w:rPr>
        <w:t xml:space="preserve"> ar maksājumu kavējumu virs 180 dienām </w:t>
      </w:r>
      <w:r>
        <w:rPr>
          <w:bCs/>
          <w:color w:val="000000"/>
          <w:sz w:val="28"/>
        </w:rPr>
        <w:t>(par 2</w:t>
      </w:r>
      <w:r w:rsidR="00721E6B">
        <w:rPr>
          <w:bCs/>
          <w:color w:val="000000"/>
          <w:sz w:val="28"/>
        </w:rPr>
        <w:t>2</w:t>
      </w:r>
      <w:r w:rsidRPr="004A4E67">
        <w:rPr>
          <w:bCs/>
          <w:color w:val="000000"/>
          <w:sz w:val="28"/>
        </w:rPr>
        <w:t>%), kas</w:t>
      </w:r>
      <w:r>
        <w:rPr>
          <w:bCs/>
          <w:color w:val="000000"/>
          <w:sz w:val="28"/>
        </w:rPr>
        <w:t xml:space="preserve"> </w:t>
      </w:r>
      <w:r w:rsidRPr="004A4E67">
        <w:rPr>
          <w:bCs/>
          <w:color w:val="000000"/>
          <w:sz w:val="28"/>
        </w:rPr>
        <w:t>nozīmē, ka</w:t>
      </w:r>
      <w:r>
        <w:rPr>
          <w:bCs/>
          <w:color w:val="000000"/>
          <w:sz w:val="28"/>
        </w:rPr>
        <w:t xml:space="preserve"> joprojām</w:t>
      </w:r>
      <w:r w:rsidRPr="004A4E67">
        <w:rPr>
          <w:bCs/>
          <w:color w:val="000000"/>
          <w:sz w:val="28"/>
        </w:rPr>
        <w:t xml:space="preserve"> </w:t>
      </w:r>
      <w:r>
        <w:rPr>
          <w:bCs/>
          <w:color w:val="000000"/>
          <w:sz w:val="28"/>
        </w:rPr>
        <w:t>liela daļa</w:t>
      </w:r>
      <w:r w:rsidRPr="004A4E67">
        <w:rPr>
          <w:bCs/>
          <w:color w:val="000000"/>
          <w:sz w:val="28"/>
        </w:rPr>
        <w:t xml:space="preserve"> cilvēku ilgstoši nespēj pildīt savas kredītsaistības un atmaksāt aizņemtās kredītu summas</w:t>
      </w:r>
      <w:r>
        <w:rPr>
          <w:bCs/>
          <w:color w:val="000000"/>
          <w:sz w:val="28"/>
        </w:rPr>
        <w:t>, tomēr salīdzinājumā ar 2010.gada 3.ceturksni šo kredītu apmērs samazinā</w:t>
      </w:r>
      <w:r w:rsidR="00721E6B">
        <w:rPr>
          <w:bCs/>
          <w:color w:val="000000"/>
          <w:sz w:val="28"/>
        </w:rPr>
        <w:t>jās (par 4,</w:t>
      </w:r>
      <w:r>
        <w:rPr>
          <w:bCs/>
          <w:color w:val="000000"/>
          <w:sz w:val="28"/>
        </w:rPr>
        <w:t>3%).</w:t>
      </w:r>
      <w:r w:rsidR="009B4B86">
        <w:rPr>
          <w:bCs/>
          <w:color w:val="000000"/>
          <w:sz w:val="28"/>
        </w:rPr>
        <w:t xml:space="preserve"> </w:t>
      </w:r>
      <w:r>
        <w:rPr>
          <w:bCs/>
          <w:color w:val="000000"/>
          <w:sz w:val="28"/>
        </w:rPr>
        <w:t>2010.gada 4.ceturkšņa beigās, salīdzinot ar iepriekšējā gada attiecīgo periodu, gandrīz uz pusi (par 49,9%) samazinājies kredītu ar maksājumu kavējumiem no 90 līdz 180 dienām apmērs.</w:t>
      </w:r>
      <w:r w:rsidRPr="004A4E67">
        <w:rPr>
          <w:bCs/>
          <w:color w:val="000000"/>
          <w:sz w:val="28"/>
        </w:rPr>
        <w:t xml:space="preserve"> Sadalījumā pa tautsaimniecības nozarēm, lielākais kredītu ar maksājumu kavējumu apmērs</w:t>
      </w:r>
      <w:r>
        <w:rPr>
          <w:bCs/>
          <w:color w:val="000000"/>
          <w:sz w:val="28"/>
        </w:rPr>
        <w:t xml:space="preserve"> no kopējā nozarē izsniegto kredītu apmēra</w:t>
      </w:r>
      <w:r w:rsidRPr="004A4E67">
        <w:rPr>
          <w:bCs/>
          <w:color w:val="000000"/>
          <w:sz w:val="28"/>
        </w:rPr>
        <w:t xml:space="preserve"> ir </w:t>
      </w:r>
      <w:r w:rsidR="00721E6B">
        <w:rPr>
          <w:bCs/>
          <w:color w:val="000000"/>
          <w:sz w:val="28"/>
        </w:rPr>
        <w:t xml:space="preserve">operācijās ar </w:t>
      </w:r>
      <w:r w:rsidRPr="004A4E67">
        <w:rPr>
          <w:bCs/>
          <w:color w:val="000000"/>
          <w:sz w:val="28"/>
        </w:rPr>
        <w:t>nekustamo īpašumu</w:t>
      </w:r>
      <w:r>
        <w:rPr>
          <w:bCs/>
          <w:color w:val="000000"/>
          <w:sz w:val="28"/>
        </w:rPr>
        <w:t xml:space="preserve"> (34,3%)</w:t>
      </w:r>
      <w:r w:rsidR="00721E6B">
        <w:rPr>
          <w:bCs/>
          <w:color w:val="000000"/>
          <w:sz w:val="28"/>
        </w:rPr>
        <w:t xml:space="preserve"> un </w:t>
      </w:r>
      <w:r>
        <w:rPr>
          <w:bCs/>
          <w:color w:val="000000"/>
          <w:sz w:val="28"/>
        </w:rPr>
        <w:t>būvniecības</w:t>
      </w:r>
      <w:r w:rsidR="00721E6B">
        <w:rPr>
          <w:bCs/>
          <w:color w:val="000000"/>
          <w:sz w:val="28"/>
        </w:rPr>
        <w:t xml:space="preserve"> nozarē</w:t>
      </w:r>
      <w:r>
        <w:rPr>
          <w:bCs/>
          <w:color w:val="000000"/>
          <w:sz w:val="28"/>
        </w:rPr>
        <w:t xml:space="preserve"> (33,9</w:t>
      </w:r>
      <w:r w:rsidR="00721E6B">
        <w:rPr>
          <w:bCs/>
          <w:color w:val="000000"/>
          <w:sz w:val="28"/>
        </w:rPr>
        <w:t>%)</w:t>
      </w:r>
      <w:r w:rsidRPr="004A4E67">
        <w:rPr>
          <w:bCs/>
          <w:color w:val="000000"/>
          <w:sz w:val="28"/>
        </w:rPr>
        <w:t xml:space="preserve">. </w:t>
      </w:r>
      <w:r>
        <w:rPr>
          <w:bCs/>
          <w:color w:val="000000"/>
          <w:sz w:val="28"/>
        </w:rPr>
        <w:t xml:space="preserve">2010.gada 4.ceturkšņa </w:t>
      </w:r>
      <w:r>
        <w:rPr>
          <w:bCs/>
          <w:color w:val="000000"/>
          <w:sz w:val="28"/>
        </w:rPr>
        <w:lastRenderedPageBreak/>
        <w:t xml:space="preserve">beigās pārstrukturēto kredītu apjoms kopējā banku kredītportfelī bija </w:t>
      </w:r>
      <w:r w:rsidR="00721E6B">
        <w:rPr>
          <w:bCs/>
          <w:color w:val="000000"/>
          <w:sz w:val="28"/>
        </w:rPr>
        <w:t>2,9 miljardi latu jeb 20%</w:t>
      </w:r>
      <w:r>
        <w:rPr>
          <w:bCs/>
          <w:color w:val="000000"/>
          <w:sz w:val="28"/>
        </w:rPr>
        <w:t>. 2010.gada 3.ceturksnī atgūšanas procesā</w:t>
      </w:r>
      <w:r w:rsidR="00851B3C">
        <w:rPr>
          <w:bCs/>
          <w:color w:val="000000"/>
          <w:sz w:val="28"/>
        </w:rPr>
        <w:t xml:space="preserve"> esošo kredītu apjoms, bija 2,2 </w:t>
      </w:r>
      <w:r>
        <w:rPr>
          <w:bCs/>
          <w:color w:val="000000"/>
          <w:sz w:val="28"/>
        </w:rPr>
        <w:t>miljardi latu jeb 15,3% no kopējā banku kredītportfeļa. Atgūšanas procesā esošo kredītu apjoms turpina pieaugt. No pārstrukturēto un atgūšanas procesā esošā kredītu apjoma, lielāko daļu veido kredīti mikrouzņēmumiem un kredīti mājsaimniecībām patēriņa preču iegādei.</w:t>
      </w:r>
    </w:p>
    <w:p w:rsidR="00721E6B" w:rsidRPr="00721E6B" w:rsidRDefault="00721E6B" w:rsidP="00851B3C">
      <w:pPr>
        <w:ind w:left="-142" w:firstLine="284"/>
        <w:jc w:val="both"/>
        <w:rPr>
          <w:sz w:val="10"/>
        </w:rPr>
      </w:pPr>
    </w:p>
    <w:p w:rsidR="00350DE4" w:rsidRPr="004A4E67" w:rsidRDefault="00350DE4" w:rsidP="00851B3C">
      <w:pPr>
        <w:ind w:left="-142" w:firstLine="284"/>
        <w:jc w:val="both"/>
        <w:rPr>
          <w:sz w:val="28"/>
        </w:rPr>
      </w:pPr>
      <w:r w:rsidRPr="004A4E67">
        <w:rPr>
          <w:sz w:val="28"/>
        </w:rPr>
        <w:t xml:space="preserve">Latos izsniegto īstermiņa kredītu vidējā svērtā procentu likme 2010.gada </w:t>
      </w:r>
      <w:r>
        <w:rPr>
          <w:sz w:val="28"/>
        </w:rPr>
        <w:t>4</w:t>
      </w:r>
      <w:r w:rsidRPr="004A4E67">
        <w:rPr>
          <w:sz w:val="28"/>
        </w:rPr>
        <w:t xml:space="preserve">.ceturksnī bija </w:t>
      </w:r>
      <w:r>
        <w:rPr>
          <w:sz w:val="28"/>
        </w:rPr>
        <w:t>6,6</w:t>
      </w:r>
      <w:r w:rsidRPr="004A4E67">
        <w:rPr>
          <w:sz w:val="28"/>
        </w:rPr>
        <w:t>%, kas ir ievērojami samazinājusies salīdzinājumā</w:t>
      </w:r>
      <w:r w:rsidR="00721E6B">
        <w:rPr>
          <w:sz w:val="28"/>
        </w:rPr>
        <w:t xml:space="preserve"> ar 2009.gada 2.</w:t>
      </w:r>
      <w:r>
        <w:rPr>
          <w:sz w:val="28"/>
        </w:rPr>
        <w:t>ceturksni, kad</w:t>
      </w:r>
      <w:r w:rsidR="009B4B86">
        <w:rPr>
          <w:sz w:val="28"/>
        </w:rPr>
        <w:t xml:space="preserve"> </w:t>
      </w:r>
      <w:r>
        <w:rPr>
          <w:sz w:val="28"/>
        </w:rPr>
        <w:t>l</w:t>
      </w:r>
      <w:r w:rsidRPr="004A4E67">
        <w:rPr>
          <w:sz w:val="28"/>
        </w:rPr>
        <w:t>atos izsniegto īstermiņa kredītu vidējā svērtā procentu likme</w:t>
      </w:r>
      <w:r>
        <w:rPr>
          <w:sz w:val="28"/>
        </w:rPr>
        <w:t xml:space="preserve"> bija 24,4</w:t>
      </w:r>
      <w:r w:rsidR="00721E6B">
        <w:rPr>
          <w:sz w:val="28"/>
        </w:rPr>
        <w:t>%</w:t>
      </w:r>
      <w:r>
        <w:rPr>
          <w:sz w:val="28"/>
        </w:rPr>
        <w:t xml:space="preserve">. </w:t>
      </w:r>
      <w:r w:rsidRPr="004A4E67">
        <w:rPr>
          <w:sz w:val="28"/>
        </w:rPr>
        <w:t xml:space="preserve">Mazāk izteiktas svārstības bija vērojamas latos izsniegto ilgtermiņa kredītu vidējām svērtām procentu likmēm, </w:t>
      </w:r>
      <w:r>
        <w:rPr>
          <w:sz w:val="28"/>
        </w:rPr>
        <w:t xml:space="preserve">kas </w:t>
      </w:r>
      <w:r w:rsidRPr="004A4E67">
        <w:rPr>
          <w:sz w:val="28"/>
        </w:rPr>
        <w:t xml:space="preserve">2010.gada </w:t>
      </w:r>
      <w:r>
        <w:rPr>
          <w:sz w:val="28"/>
        </w:rPr>
        <w:t>4</w:t>
      </w:r>
      <w:r w:rsidRPr="004A4E67">
        <w:rPr>
          <w:sz w:val="28"/>
        </w:rPr>
        <w:t xml:space="preserve">.ceturksnī </w:t>
      </w:r>
      <w:r>
        <w:rPr>
          <w:sz w:val="28"/>
        </w:rPr>
        <w:t>sasniedza lielāko samazinājumu pēdējo gadu laikā (10,2%)</w:t>
      </w:r>
      <w:r w:rsidRPr="004A4E67">
        <w:rPr>
          <w:sz w:val="28"/>
        </w:rPr>
        <w:t xml:space="preserve">. </w:t>
      </w:r>
      <w:r>
        <w:rPr>
          <w:sz w:val="28"/>
        </w:rPr>
        <w:t xml:space="preserve">Ekonomiskai situācijai stabilizējoties, lata likmes ir pietuvinājušās eiro likmēm. </w:t>
      </w:r>
      <w:r w:rsidRPr="004A4E67">
        <w:rPr>
          <w:sz w:val="28"/>
        </w:rPr>
        <w:t xml:space="preserve">Eiro izsniegtajiem kredītiem kā ierasts procentu likmju svārstības </w:t>
      </w:r>
      <w:r>
        <w:rPr>
          <w:sz w:val="28"/>
        </w:rPr>
        <w:t xml:space="preserve">bija </w:t>
      </w:r>
      <w:r w:rsidRPr="004A4E67">
        <w:rPr>
          <w:sz w:val="28"/>
        </w:rPr>
        <w:t>mazāk izteiktas. Eiro izsniegto īstermiņa kredītu vidējā svērtā procentu likme turpināja samazināties no 4,</w:t>
      </w:r>
      <w:r>
        <w:rPr>
          <w:sz w:val="28"/>
        </w:rPr>
        <w:t>6</w:t>
      </w:r>
      <w:r w:rsidRPr="004A4E67">
        <w:rPr>
          <w:sz w:val="28"/>
        </w:rPr>
        <w:t>% 20</w:t>
      </w:r>
      <w:r>
        <w:rPr>
          <w:sz w:val="28"/>
        </w:rPr>
        <w:t>10</w:t>
      </w:r>
      <w:r w:rsidRPr="004A4E67">
        <w:rPr>
          <w:sz w:val="28"/>
        </w:rPr>
        <w:t>.gada 3.ceturksnī līdz 4,</w:t>
      </w:r>
      <w:r>
        <w:rPr>
          <w:sz w:val="28"/>
        </w:rPr>
        <w:t>4</w:t>
      </w:r>
      <w:r w:rsidRPr="004A4E67">
        <w:rPr>
          <w:sz w:val="28"/>
        </w:rPr>
        <w:t xml:space="preserve">% 2010.gada </w:t>
      </w:r>
      <w:r>
        <w:rPr>
          <w:sz w:val="28"/>
        </w:rPr>
        <w:t>4</w:t>
      </w:r>
      <w:r w:rsidRPr="004A4E67">
        <w:rPr>
          <w:sz w:val="28"/>
        </w:rPr>
        <w:t xml:space="preserve">.ceturksnī. Eiro izsniegto ilgtermiņa kredītu vidējā svērtā procentu likme 2010.gada 1.ceturksnī sasniedza augstāko rādītāju un pieauga līdz 8,3%, bet </w:t>
      </w:r>
      <w:r>
        <w:rPr>
          <w:sz w:val="28"/>
        </w:rPr>
        <w:t>4</w:t>
      </w:r>
      <w:r w:rsidRPr="004A4E67">
        <w:rPr>
          <w:sz w:val="28"/>
        </w:rPr>
        <w:t xml:space="preserve">.ceturksnī samazinājās līdz </w:t>
      </w:r>
      <w:r>
        <w:rPr>
          <w:sz w:val="28"/>
        </w:rPr>
        <w:t>6,7</w:t>
      </w:r>
      <w:r w:rsidR="00851B3C">
        <w:rPr>
          <w:sz w:val="28"/>
        </w:rPr>
        <w:t> </w:t>
      </w:r>
      <w:r w:rsidRPr="004A4E67">
        <w:rPr>
          <w:sz w:val="28"/>
        </w:rPr>
        <w:t>procentiem.</w:t>
      </w:r>
    </w:p>
    <w:p w:rsidR="00721E6B" w:rsidRDefault="00721E6B" w:rsidP="00851B3C">
      <w:pPr>
        <w:numPr>
          <w:ilvl w:val="12"/>
          <w:numId w:val="0"/>
        </w:numPr>
        <w:ind w:left="-142" w:firstLine="284"/>
        <w:jc w:val="both"/>
        <w:rPr>
          <w:sz w:val="28"/>
        </w:rPr>
      </w:pPr>
    </w:p>
    <w:p w:rsidR="00350DE4" w:rsidRPr="00163D2C" w:rsidRDefault="00350DE4" w:rsidP="00851B3C">
      <w:pPr>
        <w:numPr>
          <w:ilvl w:val="12"/>
          <w:numId w:val="0"/>
        </w:numPr>
        <w:ind w:left="-142" w:firstLine="284"/>
        <w:jc w:val="both"/>
        <w:rPr>
          <w:rStyle w:val="Heading2Char"/>
          <w:rFonts w:eastAsia="Times New Roman" w:cs="Times New Roman"/>
          <w:b w:val="0"/>
          <w:bCs w:val="0"/>
          <w:szCs w:val="28"/>
        </w:rPr>
      </w:pPr>
      <w:r w:rsidRPr="004A4E67">
        <w:rPr>
          <w:sz w:val="28"/>
        </w:rPr>
        <w:t xml:space="preserve">Nodaļas turpinājumā ir </w:t>
      </w:r>
      <w:r>
        <w:rPr>
          <w:sz w:val="28"/>
        </w:rPr>
        <w:t>sniegti</w:t>
      </w:r>
      <w:r w:rsidRPr="004A4E67">
        <w:rPr>
          <w:sz w:val="28"/>
        </w:rPr>
        <w:t xml:space="preserve"> dati par </w:t>
      </w:r>
      <w:r>
        <w:rPr>
          <w:sz w:val="28"/>
        </w:rPr>
        <w:t>valsts konsolidētā kopbudžeta finansiālajiem rādītājiem, nodokļu ieņēmumiem, izs</w:t>
      </w:r>
      <w:r w:rsidRPr="004A4E67">
        <w:rPr>
          <w:rFonts w:eastAsia="Times New Roman"/>
          <w:sz w:val="28"/>
        </w:rPr>
        <w:t xml:space="preserve">niegtajiem kredītiem, to </w:t>
      </w:r>
      <w:r>
        <w:rPr>
          <w:rFonts w:eastAsia="Times New Roman"/>
          <w:sz w:val="28"/>
        </w:rPr>
        <w:t>struktūru un</w:t>
      </w:r>
      <w:r w:rsidRPr="004A4E67">
        <w:rPr>
          <w:rFonts w:eastAsia="Times New Roman"/>
          <w:sz w:val="28"/>
        </w:rPr>
        <w:t xml:space="preserve"> veidiem</w:t>
      </w:r>
      <w:r>
        <w:rPr>
          <w:rFonts w:eastAsia="Times New Roman"/>
          <w:sz w:val="28"/>
        </w:rPr>
        <w:t xml:space="preserve">, </w:t>
      </w:r>
      <w:r w:rsidRPr="004A4E67">
        <w:rPr>
          <w:rFonts w:eastAsia="Times New Roman"/>
          <w:sz w:val="28"/>
        </w:rPr>
        <w:t>kā arī izsniegto kredītu vidējās svērtās procentu likmes.</w:t>
      </w:r>
      <w:r>
        <w:rPr>
          <w:rFonts w:eastAsia="Times New Roman"/>
          <w:sz w:val="28"/>
        </w:rPr>
        <w:t xml:space="preserve"> </w:t>
      </w:r>
    </w:p>
    <w:p w:rsidR="00AE4A63" w:rsidRPr="009F6E8E" w:rsidRDefault="00163D2C" w:rsidP="00AE4A63">
      <w:pPr>
        <w:rPr>
          <w:b/>
        </w:rPr>
      </w:pPr>
      <w:r>
        <w:rPr>
          <w:rStyle w:val="Heading2Char"/>
          <w:b w:val="0"/>
        </w:rPr>
        <w:br w:type="page"/>
      </w:r>
      <w:bookmarkStart w:id="311" w:name="_Toc282413202"/>
      <w:r w:rsidR="00AE4A63" w:rsidRPr="00CD3CE6">
        <w:rPr>
          <w:rStyle w:val="Heading2Char"/>
          <w:b w:val="0"/>
        </w:rPr>
        <w:lastRenderedPageBreak/>
        <w:t>5.1.attēls.</w:t>
      </w:r>
      <w:r w:rsidR="00AE4A63" w:rsidRPr="009F6E8E">
        <w:rPr>
          <w:rStyle w:val="Heading2Char"/>
        </w:rPr>
        <w:t xml:space="preserve"> Valsts konsolidētā kopbudžeta finansiālie rādītāji</w:t>
      </w:r>
      <w:bookmarkEnd w:id="311"/>
      <w:r w:rsidR="00AE4A63" w:rsidRPr="009F6E8E">
        <w:t>, milj. latu</w:t>
      </w:r>
    </w:p>
    <w:p w:rsidR="00AE4A63" w:rsidRPr="009F6E8E" w:rsidRDefault="00AE4A63" w:rsidP="00AE4A63">
      <w:pPr>
        <w:jc w:val="center"/>
      </w:pPr>
      <w:r w:rsidRPr="009F6E8E">
        <w:rPr>
          <w:noProof/>
          <w:lang w:eastAsia="lv-LV"/>
        </w:rPr>
        <w:drawing>
          <wp:inline distT="0" distB="0" distL="0" distR="0">
            <wp:extent cx="6019800" cy="1943100"/>
            <wp:effectExtent l="0" t="0" r="0" b="0"/>
            <wp:docPr id="7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E4A63" w:rsidRPr="009F6E8E" w:rsidRDefault="00AE4A63" w:rsidP="00AE4A63">
      <w:pPr>
        <w:ind w:firstLine="567"/>
        <w:jc w:val="right"/>
        <w:rPr>
          <w:color w:val="000000"/>
          <w:sz w:val="8"/>
          <w:szCs w:val="12"/>
        </w:rPr>
      </w:pPr>
    </w:p>
    <w:p w:rsidR="00AE4A63" w:rsidRPr="009F6E8E" w:rsidRDefault="00AE4A63" w:rsidP="00AE4A63">
      <w:pPr>
        <w:spacing w:after="40"/>
      </w:pPr>
    </w:p>
    <w:p w:rsidR="00AE4A63" w:rsidRPr="009F6E8E" w:rsidRDefault="00AE4A63" w:rsidP="00AE4A63">
      <w:pPr>
        <w:pStyle w:val="Heading2"/>
      </w:pPr>
      <w:bookmarkStart w:id="312" w:name="_Toc216077871"/>
      <w:bookmarkStart w:id="313" w:name="_Toc216079540"/>
      <w:bookmarkStart w:id="314" w:name="_Toc216079608"/>
      <w:bookmarkStart w:id="315" w:name="_Toc216079670"/>
      <w:bookmarkStart w:id="316" w:name="_Toc216079726"/>
      <w:bookmarkStart w:id="317" w:name="_Toc216079782"/>
      <w:bookmarkStart w:id="318" w:name="_Toc216079838"/>
      <w:bookmarkStart w:id="319" w:name="_Toc282413203"/>
      <w:r>
        <w:rPr>
          <w:b w:val="0"/>
        </w:rPr>
        <w:t>5</w:t>
      </w:r>
      <w:r w:rsidRPr="009F6E8E">
        <w:rPr>
          <w:b w:val="0"/>
        </w:rPr>
        <w:t>.2.attēls.</w:t>
      </w:r>
      <w:r w:rsidRPr="009F6E8E">
        <w:t xml:space="preserve"> Nodokļu ieņēmumi</w:t>
      </w:r>
      <w:bookmarkEnd w:id="312"/>
      <w:bookmarkEnd w:id="313"/>
      <w:bookmarkEnd w:id="314"/>
      <w:bookmarkEnd w:id="315"/>
      <w:bookmarkEnd w:id="316"/>
      <w:bookmarkEnd w:id="317"/>
      <w:bookmarkEnd w:id="318"/>
      <w:bookmarkEnd w:id="319"/>
    </w:p>
    <w:tbl>
      <w:tblPr>
        <w:tblW w:w="0" w:type="auto"/>
        <w:tblLook w:val="01E0"/>
      </w:tblPr>
      <w:tblGrid>
        <w:gridCol w:w="4941"/>
        <w:gridCol w:w="4899"/>
      </w:tblGrid>
      <w:tr w:rsidR="00AE4A63" w:rsidRPr="009F6E8E" w:rsidTr="00AE4A63">
        <w:trPr>
          <w:trHeight w:val="282"/>
        </w:trPr>
        <w:tc>
          <w:tcPr>
            <w:tcW w:w="4941" w:type="dxa"/>
            <w:vAlign w:val="bottom"/>
          </w:tcPr>
          <w:p w:rsidR="00AE4A63" w:rsidRPr="009F6E8E" w:rsidRDefault="00AE4A63" w:rsidP="00AE4A63">
            <w:pPr>
              <w:tabs>
                <w:tab w:val="center" w:pos="2410"/>
              </w:tabs>
              <w:jc w:val="center"/>
              <w:rPr>
                <w:sz w:val="18"/>
                <w:szCs w:val="18"/>
              </w:rPr>
            </w:pPr>
            <w:r w:rsidRPr="009F6E8E">
              <w:rPr>
                <w:sz w:val="18"/>
                <w:szCs w:val="18"/>
              </w:rPr>
              <w:br w:type="page"/>
              <w:t>Nodokļu ieņēmumi kopā, milj. Ls</w:t>
            </w:r>
          </w:p>
        </w:tc>
        <w:tc>
          <w:tcPr>
            <w:tcW w:w="4899" w:type="dxa"/>
            <w:vAlign w:val="bottom"/>
          </w:tcPr>
          <w:p w:rsidR="00AE4A63" w:rsidRPr="009F6E8E" w:rsidRDefault="00AE4A63" w:rsidP="00AE4A63">
            <w:pPr>
              <w:tabs>
                <w:tab w:val="center" w:pos="2588"/>
              </w:tabs>
              <w:jc w:val="center"/>
              <w:rPr>
                <w:sz w:val="18"/>
                <w:szCs w:val="18"/>
              </w:rPr>
            </w:pPr>
            <w:r w:rsidRPr="009F6E8E">
              <w:rPr>
                <w:sz w:val="18"/>
                <w:szCs w:val="18"/>
              </w:rPr>
              <w:t>Pievienotās vērtības nodokļa ieņēmumi, milj. Ls</w:t>
            </w:r>
          </w:p>
        </w:tc>
      </w:tr>
      <w:tr w:rsidR="00AE4A63" w:rsidRPr="009F6E8E" w:rsidTr="00AE4A63">
        <w:trPr>
          <w:trHeight w:val="2560"/>
        </w:trPr>
        <w:tc>
          <w:tcPr>
            <w:tcW w:w="4941" w:type="dxa"/>
          </w:tcPr>
          <w:p w:rsidR="00AE4A63" w:rsidRPr="009F6E8E" w:rsidRDefault="00AE4A63" w:rsidP="00AE4A63">
            <w:r w:rsidRPr="009F6E8E">
              <w:rPr>
                <w:noProof/>
                <w:lang w:eastAsia="lv-LV"/>
              </w:rPr>
              <w:drawing>
                <wp:inline distT="0" distB="0" distL="0" distR="0">
                  <wp:extent cx="2878373" cy="1622066"/>
                  <wp:effectExtent l="0" t="0" r="0" b="0"/>
                  <wp:docPr id="7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4899" w:type="dxa"/>
          </w:tcPr>
          <w:p w:rsidR="00AE4A63" w:rsidRPr="009F6E8E" w:rsidRDefault="00AE4A63" w:rsidP="00AE4A63">
            <w:pPr>
              <w:ind w:firstLine="14"/>
            </w:pPr>
            <w:r w:rsidRPr="00AA2A9F">
              <w:rPr>
                <w:noProof/>
                <w:lang w:eastAsia="lv-LV"/>
              </w:rPr>
              <w:drawing>
                <wp:inline distT="0" distB="0" distL="0" distR="0">
                  <wp:extent cx="2878373" cy="1622066"/>
                  <wp:effectExtent l="0" t="0" r="0" b="0"/>
                  <wp:docPr id="7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AE4A63" w:rsidRPr="009F6E8E" w:rsidTr="00AE4A63">
        <w:trPr>
          <w:trHeight w:val="634"/>
        </w:trPr>
        <w:tc>
          <w:tcPr>
            <w:tcW w:w="4941" w:type="dxa"/>
            <w:vAlign w:val="bottom"/>
          </w:tcPr>
          <w:p w:rsidR="00AE4A63" w:rsidRPr="009F6E8E" w:rsidRDefault="00AE4A63" w:rsidP="00AE4A63">
            <w:pPr>
              <w:jc w:val="center"/>
              <w:rPr>
                <w:sz w:val="18"/>
                <w:szCs w:val="18"/>
              </w:rPr>
            </w:pPr>
            <w:r w:rsidRPr="009F6E8E">
              <w:rPr>
                <w:sz w:val="18"/>
                <w:szCs w:val="18"/>
              </w:rPr>
              <w:br w:type="page"/>
            </w:r>
          </w:p>
          <w:p w:rsidR="00AE4A63" w:rsidRPr="009F6E8E" w:rsidRDefault="00AE4A63" w:rsidP="00AE4A63">
            <w:pPr>
              <w:tabs>
                <w:tab w:val="center" w:pos="2552"/>
              </w:tabs>
              <w:jc w:val="center"/>
              <w:rPr>
                <w:sz w:val="18"/>
                <w:szCs w:val="18"/>
              </w:rPr>
            </w:pPr>
            <w:r w:rsidRPr="009F6E8E">
              <w:rPr>
                <w:sz w:val="18"/>
                <w:szCs w:val="18"/>
              </w:rPr>
              <w:t>Valsts sociālās apdrošināšanas obligātās iemaksas (neieskaitot valsts fondēto pensijas shēmu līdzekļus), milj. Ls</w:t>
            </w:r>
          </w:p>
        </w:tc>
        <w:tc>
          <w:tcPr>
            <w:tcW w:w="4899" w:type="dxa"/>
            <w:vAlign w:val="bottom"/>
          </w:tcPr>
          <w:p w:rsidR="00AE4A63" w:rsidRPr="009F6E8E" w:rsidRDefault="00AE4A63" w:rsidP="00AE4A63">
            <w:pPr>
              <w:ind w:firstLine="14"/>
              <w:jc w:val="center"/>
              <w:rPr>
                <w:sz w:val="18"/>
                <w:szCs w:val="18"/>
              </w:rPr>
            </w:pPr>
          </w:p>
          <w:p w:rsidR="00AE4A63" w:rsidRPr="009F6E8E" w:rsidRDefault="00AE4A63" w:rsidP="00AE4A63">
            <w:pPr>
              <w:tabs>
                <w:tab w:val="center" w:pos="2588"/>
              </w:tabs>
              <w:ind w:firstLine="14"/>
              <w:jc w:val="center"/>
              <w:rPr>
                <w:sz w:val="18"/>
                <w:szCs w:val="18"/>
              </w:rPr>
            </w:pPr>
            <w:r w:rsidRPr="009F6E8E">
              <w:rPr>
                <w:sz w:val="18"/>
                <w:szCs w:val="18"/>
              </w:rPr>
              <w:t>Iedzīvotāju ienākuma nodokļa ieņēmumi, milj. Ls</w:t>
            </w:r>
          </w:p>
        </w:tc>
      </w:tr>
      <w:tr w:rsidR="00AE4A63" w:rsidRPr="009F6E8E" w:rsidTr="00AE4A63">
        <w:trPr>
          <w:trHeight w:val="2580"/>
        </w:trPr>
        <w:tc>
          <w:tcPr>
            <w:tcW w:w="4941" w:type="dxa"/>
          </w:tcPr>
          <w:p w:rsidR="00AE4A63" w:rsidRPr="009F6E8E" w:rsidRDefault="00AE4A63" w:rsidP="00AE4A63">
            <w:r w:rsidRPr="00D64B85">
              <w:rPr>
                <w:noProof/>
                <w:lang w:eastAsia="lv-LV"/>
              </w:rPr>
              <w:drawing>
                <wp:inline distT="0" distB="0" distL="0" distR="0">
                  <wp:extent cx="2878373" cy="1622066"/>
                  <wp:effectExtent l="0" t="0" r="0" b="0"/>
                  <wp:docPr id="8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4899" w:type="dxa"/>
          </w:tcPr>
          <w:p w:rsidR="00AE4A63" w:rsidRPr="009F6E8E" w:rsidRDefault="00AE4A63" w:rsidP="00AE4A63">
            <w:pPr>
              <w:ind w:firstLine="14"/>
            </w:pPr>
            <w:r w:rsidRPr="00D64B85">
              <w:rPr>
                <w:noProof/>
                <w:lang w:eastAsia="lv-LV"/>
              </w:rPr>
              <w:drawing>
                <wp:inline distT="0" distB="0" distL="0" distR="0">
                  <wp:extent cx="2878373" cy="1622066"/>
                  <wp:effectExtent l="0" t="0" r="0" b="0"/>
                  <wp:docPr id="8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AE4A63" w:rsidRPr="009F6E8E" w:rsidTr="00AE4A63">
        <w:trPr>
          <w:trHeight w:val="414"/>
        </w:trPr>
        <w:tc>
          <w:tcPr>
            <w:tcW w:w="4941" w:type="dxa"/>
            <w:vAlign w:val="bottom"/>
          </w:tcPr>
          <w:p w:rsidR="00AE4A63" w:rsidRPr="009F6E8E" w:rsidRDefault="00AE4A63" w:rsidP="00AE4A63">
            <w:pPr>
              <w:jc w:val="center"/>
              <w:rPr>
                <w:sz w:val="18"/>
                <w:szCs w:val="18"/>
              </w:rPr>
            </w:pPr>
            <w:r w:rsidRPr="009F6E8E">
              <w:rPr>
                <w:sz w:val="18"/>
                <w:szCs w:val="18"/>
              </w:rPr>
              <w:br w:type="page"/>
            </w:r>
          </w:p>
          <w:p w:rsidR="00AE4A63" w:rsidRPr="009F6E8E" w:rsidRDefault="00AE4A63" w:rsidP="00AE4A63">
            <w:pPr>
              <w:tabs>
                <w:tab w:val="center" w:pos="2552"/>
              </w:tabs>
              <w:jc w:val="center"/>
              <w:rPr>
                <w:sz w:val="18"/>
                <w:szCs w:val="18"/>
              </w:rPr>
            </w:pPr>
            <w:r w:rsidRPr="009F6E8E">
              <w:rPr>
                <w:sz w:val="18"/>
                <w:szCs w:val="18"/>
              </w:rPr>
              <w:t>Akcīzes nodokļa ieņēmumi, milj. Ls</w:t>
            </w:r>
          </w:p>
        </w:tc>
        <w:tc>
          <w:tcPr>
            <w:tcW w:w="4899" w:type="dxa"/>
            <w:vAlign w:val="bottom"/>
          </w:tcPr>
          <w:p w:rsidR="00AE4A63" w:rsidRPr="009F6E8E" w:rsidRDefault="00AE4A63" w:rsidP="00AE4A63">
            <w:pPr>
              <w:ind w:firstLine="14"/>
              <w:jc w:val="center"/>
              <w:rPr>
                <w:sz w:val="18"/>
                <w:szCs w:val="18"/>
              </w:rPr>
            </w:pPr>
          </w:p>
          <w:p w:rsidR="00AE4A63" w:rsidRPr="009F6E8E" w:rsidRDefault="00AE4A63" w:rsidP="00AE4A63">
            <w:pPr>
              <w:tabs>
                <w:tab w:val="center" w:pos="2588"/>
              </w:tabs>
              <w:ind w:firstLine="14"/>
              <w:jc w:val="center"/>
              <w:rPr>
                <w:sz w:val="18"/>
                <w:szCs w:val="18"/>
              </w:rPr>
            </w:pPr>
            <w:r w:rsidRPr="009F6E8E">
              <w:rPr>
                <w:sz w:val="18"/>
                <w:szCs w:val="18"/>
              </w:rPr>
              <w:t>Uzņēmumu ienākuma nodokļa ieņēmumi, milj. Ls</w:t>
            </w:r>
          </w:p>
        </w:tc>
      </w:tr>
      <w:tr w:rsidR="00AE4A63" w:rsidRPr="009F6E8E" w:rsidTr="00AE4A63">
        <w:trPr>
          <w:trHeight w:val="2693"/>
        </w:trPr>
        <w:tc>
          <w:tcPr>
            <w:tcW w:w="4941" w:type="dxa"/>
          </w:tcPr>
          <w:p w:rsidR="00AE4A63" w:rsidRPr="009F6E8E" w:rsidRDefault="00AE4A63" w:rsidP="00AE4A63">
            <w:r w:rsidRPr="00D64B85">
              <w:rPr>
                <w:noProof/>
                <w:lang w:eastAsia="lv-LV"/>
              </w:rPr>
              <w:drawing>
                <wp:inline distT="0" distB="0" distL="0" distR="0">
                  <wp:extent cx="2878373" cy="1622066"/>
                  <wp:effectExtent l="0" t="0" r="0" b="0"/>
                  <wp:docPr id="9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4899" w:type="dxa"/>
          </w:tcPr>
          <w:p w:rsidR="00AE4A63" w:rsidRPr="009F6E8E" w:rsidRDefault="00AE4A63" w:rsidP="00AE4A63">
            <w:pPr>
              <w:ind w:firstLine="14"/>
            </w:pPr>
            <w:r w:rsidRPr="00D64B85">
              <w:rPr>
                <w:noProof/>
                <w:lang w:eastAsia="lv-LV"/>
              </w:rPr>
              <w:drawing>
                <wp:inline distT="0" distB="0" distL="0" distR="0">
                  <wp:extent cx="2878373" cy="1622066"/>
                  <wp:effectExtent l="0" t="0" r="0" b="0"/>
                  <wp:docPr id="11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bl>
    <w:p w:rsidR="00AE4A63" w:rsidRPr="009F6E8E" w:rsidRDefault="00AE4A63" w:rsidP="00AE4A63"/>
    <w:p w:rsidR="00AE4A63" w:rsidRDefault="00AE4A63" w:rsidP="00AE4A63">
      <w:pPr>
        <w:rPr>
          <w:rFonts w:eastAsia="Times New Roman"/>
          <w:b/>
          <w:bCs/>
          <w:color w:val="000000"/>
          <w:szCs w:val="24"/>
        </w:rPr>
      </w:pPr>
    </w:p>
    <w:p w:rsidR="00AE4A63" w:rsidRDefault="00AE4A63" w:rsidP="00AE4A63">
      <w:pPr>
        <w:pStyle w:val="Heading2"/>
        <w:spacing w:after="120"/>
        <w:ind w:left="-142" w:right="-285"/>
        <w:rPr>
          <w:rFonts w:eastAsia="Times New Roman"/>
        </w:rPr>
      </w:pPr>
      <w:bookmarkStart w:id="320" w:name="_Toc216077872"/>
      <w:bookmarkStart w:id="321" w:name="_Toc216079541"/>
      <w:bookmarkStart w:id="322" w:name="_Toc216079609"/>
      <w:bookmarkStart w:id="323" w:name="_Toc216079671"/>
      <w:bookmarkStart w:id="324" w:name="_Toc216079727"/>
      <w:bookmarkStart w:id="325" w:name="_Toc216079783"/>
      <w:bookmarkStart w:id="326" w:name="_Toc216079839"/>
      <w:bookmarkStart w:id="327" w:name="_Toc282413204"/>
      <w:r>
        <w:rPr>
          <w:b w:val="0"/>
        </w:rPr>
        <w:lastRenderedPageBreak/>
        <w:t>5</w:t>
      </w:r>
      <w:r w:rsidRPr="009F6E8E">
        <w:rPr>
          <w:b w:val="0"/>
        </w:rPr>
        <w:t xml:space="preserve">.3.attēls. </w:t>
      </w:r>
      <w:r w:rsidRPr="009F6E8E">
        <w:rPr>
          <w:rFonts w:eastAsia="Times New Roman"/>
        </w:rPr>
        <w:t>Rezidentu finanšu iestādēm, nefinanšu sabiedrībām un mājsaimniecībām izsniegtie kredīti</w:t>
      </w:r>
      <w:bookmarkEnd w:id="320"/>
      <w:bookmarkEnd w:id="321"/>
      <w:bookmarkEnd w:id="322"/>
      <w:bookmarkEnd w:id="323"/>
      <w:bookmarkEnd w:id="324"/>
      <w:bookmarkEnd w:id="325"/>
      <w:bookmarkEnd w:id="326"/>
      <w:bookmarkEnd w:id="327"/>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AE4A63" w:rsidRPr="00C50EFA" w:rsidTr="00AE4A63">
        <w:trPr>
          <w:cnfStyle w:val="000000100000"/>
        </w:trPr>
        <w:tc>
          <w:tcPr>
            <w:tcW w:w="2500" w:type="pct"/>
            <w:shd w:val="clear" w:color="auto" w:fill="auto"/>
            <w:vAlign w:val="center"/>
          </w:tcPr>
          <w:p w:rsidR="00AE4A63" w:rsidRPr="00C50EFA" w:rsidRDefault="00AE4A63" w:rsidP="00AE4A63">
            <w:pPr>
              <w:jc w:val="center"/>
              <w:rPr>
                <w:sz w:val="18"/>
                <w:szCs w:val="18"/>
              </w:rPr>
            </w:pPr>
            <w:r>
              <w:rPr>
                <w:color w:val="auto"/>
                <w:sz w:val="18"/>
                <w:szCs w:val="18"/>
              </w:rPr>
              <w:t>I</w:t>
            </w:r>
            <w:r w:rsidRPr="00C50EFA">
              <w:rPr>
                <w:color w:val="auto"/>
                <w:sz w:val="18"/>
                <w:szCs w:val="18"/>
              </w:rPr>
              <w:t>zsniegtie kredīti</w:t>
            </w:r>
            <w:r>
              <w:rPr>
                <w:color w:val="auto"/>
                <w:sz w:val="18"/>
                <w:szCs w:val="18"/>
              </w:rPr>
              <w:t xml:space="preserve"> kopā</w:t>
            </w:r>
          </w:p>
        </w:tc>
        <w:tc>
          <w:tcPr>
            <w:tcW w:w="2500" w:type="pct"/>
            <w:shd w:val="clear" w:color="auto" w:fill="auto"/>
            <w:vAlign w:val="center"/>
          </w:tcPr>
          <w:p w:rsidR="00AE4A63" w:rsidRDefault="00AE4A63" w:rsidP="00AE4A63">
            <w:pPr>
              <w:jc w:val="center"/>
              <w:rPr>
                <w:sz w:val="18"/>
                <w:szCs w:val="18"/>
              </w:rPr>
            </w:pPr>
            <w:r>
              <w:rPr>
                <w:sz w:val="18"/>
                <w:szCs w:val="18"/>
              </w:rPr>
              <w:t>I</w:t>
            </w:r>
            <w:r w:rsidRPr="00C50EFA">
              <w:rPr>
                <w:sz w:val="18"/>
                <w:szCs w:val="18"/>
              </w:rPr>
              <w:t>zsniegto kredītu apjoms un struktūra</w:t>
            </w:r>
            <w:r>
              <w:rPr>
                <w:sz w:val="18"/>
                <w:szCs w:val="18"/>
              </w:rPr>
              <w:t>,</w:t>
            </w:r>
          </w:p>
          <w:p w:rsidR="00AE4A63" w:rsidRPr="00C50EFA" w:rsidRDefault="00AE4A63" w:rsidP="00AE4A63">
            <w:pPr>
              <w:jc w:val="center"/>
              <w:rPr>
                <w:sz w:val="18"/>
                <w:szCs w:val="18"/>
              </w:rPr>
            </w:pPr>
            <w:r w:rsidRPr="00C50EFA">
              <w:rPr>
                <w:sz w:val="18"/>
                <w:szCs w:val="18"/>
              </w:rPr>
              <w:t>perioda beigās, milj. latu</w:t>
            </w:r>
          </w:p>
        </w:tc>
      </w:tr>
      <w:tr w:rsidR="00AE4A63" w:rsidRPr="00C50EFA" w:rsidTr="00AE4A63">
        <w:tc>
          <w:tcPr>
            <w:tcW w:w="2500" w:type="pct"/>
            <w:shd w:val="clear" w:color="auto" w:fill="auto"/>
            <w:vAlign w:val="center"/>
          </w:tcPr>
          <w:p w:rsidR="00AE4A63" w:rsidRPr="00C50EFA" w:rsidRDefault="00AE4A63" w:rsidP="00AE4A63">
            <w:pPr>
              <w:spacing w:after="60"/>
              <w:jc w:val="center"/>
              <w:rPr>
                <w:sz w:val="18"/>
                <w:szCs w:val="18"/>
              </w:rPr>
            </w:pPr>
            <w:r w:rsidRPr="009455FD">
              <w:rPr>
                <w:rFonts w:ascii="Garamond" w:hAnsi="Garamond"/>
                <w:noProof/>
                <w:sz w:val="21"/>
                <w:szCs w:val="21"/>
                <w:lang w:eastAsia="lv-LV"/>
              </w:rPr>
              <w:drawing>
                <wp:inline distT="0" distB="0" distL="0" distR="0">
                  <wp:extent cx="2915536" cy="1796902"/>
                  <wp:effectExtent l="19050" t="0" r="0" b="0"/>
                  <wp:docPr id="120"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2500" w:type="pct"/>
            <w:shd w:val="clear" w:color="auto" w:fill="auto"/>
            <w:vAlign w:val="center"/>
          </w:tcPr>
          <w:p w:rsidR="00AE4A63" w:rsidRPr="00C50EFA" w:rsidRDefault="00AE4A63" w:rsidP="00AE4A63">
            <w:pPr>
              <w:spacing w:after="60"/>
              <w:jc w:val="center"/>
              <w:rPr>
                <w:sz w:val="18"/>
                <w:szCs w:val="18"/>
              </w:rPr>
            </w:pPr>
            <w:r w:rsidRPr="00061CE5">
              <w:rPr>
                <w:rFonts w:ascii="Garamond" w:hAnsi="Garamond"/>
                <w:noProof/>
                <w:sz w:val="21"/>
                <w:szCs w:val="21"/>
                <w:lang w:eastAsia="lv-LV"/>
              </w:rPr>
              <w:drawing>
                <wp:inline distT="0" distB="0" distL="0" distR="0">
                  <wp:extent cx="2878372" cy="1800000"/>
                  <wp:effectExtent l="0" t="0" r="0" b="0"/>
                  <wp:docPr id="121"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rsidR="00AE4A63" w:rsidRPr="00343F0A" w:rsidRDefault="00AE4A63" w:rsidP="00AE4A63">
      <w:pPr>
        <w:rPr>
          <w:sz w:val="8"/>
          <w:szCs w:val="8"/>
        </w:rPr>
      </w:pPr>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AE4A63" w:rsidRPr="00C50EFA" w:rsidTr="00AE4A63">
        <w:trPr>
          <w:cnfStyle w:val="000000100000"/>
        </w:trPr>
        <w:tc>
          <w:tcPr>
            <w:tcW w:w="5000" w:type="pct"/>
            <w:gridSpan w:val="2"/>
            <w:shd w:val="clear" w:color="auto" w:fill="auto"/>
            <w:vAlign w:val="center"/>
          </w:tcPr>
          <w:p w:rsidR="00AE4A63" w:rsidRPr="00C50EFA" w:rsidRDefault="00AE4A63" w:rsidP="00AE4A63">
            <w:pPr>
              <w:jc w:val="center"/>
              <w:rPr>
                <w:sz w:val="18"/>
                <w:szCs w:val="18"/>
              </w:rPr>
            </w:pPr>
            <w:r>
              <w:rPr>
                <w:sz w:val="18"/>
                <w:szCs w:val="18"/>
              </w:rPr>
              <w:t xml:space="preserve">Izsniegtie </w:t>
            </w:r>
            <w:r w:rsidRPr="00C50EFA">
              <w:rPr>
                <w:sz w:val="18"/>
                <w:szCs w:val="18"/>
              </w:rPr>
              <w:t>kredīt</w:t>
            </w:r>
            <w:r>
              <w:rPr>
                <w:sz w:val="18"/>
                <w:szCs w:val="18"/>
              </w:rPr>
              <w:t xml:space="preserve">i pa to veidiem, izmaiņas % </w:t>
            </w:r>
            <w:r w:rsidRPr="00C50EFA">
              <w:rPr>
                <w:sz w:val="18"/>
                <w:szCs w:val="18"/>
              </w:rPr>
              <w:t xml:space="preserve">pret iepriekšējā gada atbilstošo </w:t>
            </w:r>
            <w:r>
              <w:rPr>
                <w:sz w:val="18"/>
                <w:szCs w:val="18"/>
              </w:rPr>
              <w:t>ceturksni</w:t>
            </w:r>
          </w:p>
        </w:tc>
      </w:tr>
      <w:tr w:rsidR="00AE4A63" w:rsidRPr="00C50EFA" w:rsidTr="00AE4A63">
        <w:tc>
          <w:tcPr>
            <w:tcW w:w="2500" w:type="pct"/>
            <w:shd w:val="clear" w:color="auto" w:fill="auto"/>
            <w:vAlign w:val="center"/>
          </w:tcPr>
          <w:p w:rsidR="00AE4A63" w:rsidRPr="00C50EFA" w:rsidRDefault="00AE4A63" w:rsidP="00AE4A63">
            <w:pPr>
              <w:spacing w:after="60"/>
              <w:jc w:val="center"/>
              <w:rPr>
                <w:sz w:val="18"/>
                <w:szCs w:val="18"/>
              </w:rPr>
            </w:pPr>
            <w:r w:rsidRPr="009455FD">
              <w:rPr>
                <w:rFonts w:ascii="Garamond" w:hAnsi="Garamond"/>
                <w:b/>
                <w:noProof/>
                <w:sz w:val="21"/>
                <w:szCs w:val="21"/>
                <w:lang w:eastAsia="lv-LV"/>
              </w:rPr>
              <w:drawing>
                <wp:inline distT="0" distB="0" distL="0" distR="0">
                  <wp:extent cx="3116911" cy="1800000"/>
                  <wp:effectExtent l="0" t="0" r="0" b="0"/>
                  <wp:docPr id="12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2500" w:type="pct"/>
            <w:shd w:val="clear" w:color="auto" w:fill="auto"/>
            <w:vAlign w:val="center"/>
          </w:tcPr>
          <w:p w:rsidR="00AE4A63" w:rsidRPr="00C50EFA" w:rsidRDefault="00AE4A63" w:rsidP="00AE4A63">
            <w:pPr>
              <w:spacing w:after="60"/>
              <w:jc w:val="center"/>
              <w:rPr>
                <w:sz w:val="18"/>
                <w:szCs w:val="18"/>
              </w:rPr>
            </w:pPr>
            <w:r w:rsidRPr="003B5917">
              <w:rPr>
                <w:rFonts w:ascii="Garamond" w:hAnsi="Garamond"/>
                <w:noProof/>
                <w:sz w:val="21"/>
                <w:szCs w:val="21"/>
                <w:lang w:eastAsia="lv-LV"/>
              </w:rPr>
              <w:drawing>
                <wp:inline distT="0" distB="0" distL="0" distR="0">
                  <wp:extent cx="2918129" cy="1800000"/>
                  <wp:effectExtent l="0" t="0" r="0" b="0"/>
                  <wp:docPr id="123"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bl>
    <w:p w:rsidR="00AE4A63" w:rsidRDefault="00AE4A63" w:rsidP="00AE4A63">
      <w:pPr>
        <w:rPr>
          <w:b/>
          <w:sz w:val="18"/>
          <w:szCs w:val="18"/>
        </w:rPr>
      </w:pPr>
    </w:p>
    <w:p w:rsidR="00AE4A63" w:rsidRPr="00E97211" w:rsidRDefault="00AE4A63" w:rsidP="00AE4A63">
      <w:pPr>
        <w:jc w:val="center"/>
        <w:rPr>
          <w:b/>
          <w:sz w:val="20"/>
          <w:szCs w:val="18"/>
        </w:rPr>
      </w:pPr>
      <w:r w:rsidRPr="00E97211">
        <w:rPr>
          <w:b/>
          <w:sz w:val="20"/>
          <w:szCs w:val="18"/>
        </w:rPr>
        <w:t>Kredīti rezidentiem sadalījumā pa tautsaimniecības nozarēm</w:t>
      </w:r>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AE4A63" w:rsidRPr="00C50EFA" w:rsidTr="00AE4A63">
        <w:trPr>
          <w:cnfStyle w:val="000000100000"/>
        </w:trPr>
        <w:tc>
          <w:tcPr>
            <w:tcW w:w="2500" w:type="pct"/>
            <w:shd w:val="clear" w:color="auto" w:fill="auto"/>
            <w:vAlign w:val="center"/>
          </w:tcPr>
          <w:p w:rsidR="00AE4A63" w:rsidRDefault="00AE4A63" w:rsidP="00AE4A63">
            <w:pPr>
              <w:jc w:val="center"/>
              <w:rPr>
                <w:sz w:val="18"/>
                <w:szCs w:val="18"/>
              </w:rPr>
            </w:pPr>
            <w:r w:rsidRPr="00C50EFA">
              <w:rPr>
                <w:sz w:val="18"/>
                <w:szCs w:val="18"/>
              </w:rPr>
              <w:t>Izsniegto kredītu atlikumi</w:t>
            </w:r>
            <w:r>
              <w:rPr>
                <w:sz w:val="18"/>
                <w:szCs w:val="18"/>
              </w:rPr>
              <w:t xml:space="preserve"> perioda </w:t>
            </w:r>
            <w:r w:rsidRPr="00C50EFA">
              <w:rPr>
                <w:sz w:val="18"/>
                <w:szCs w:val="18"/>
              </w:rPr>
              <w:t>beigās, milj. latu</w:t>
            </w:r>
          </w:p>
          <w:p w:rsidR="00AE4A63" w:rsidRPr="00C50EFA" w:rsidRDefault="00AE4A63" w:rsidP="00AE4A63">
            <w:pPr>
              <w:jc w:val="center"/>
              <w:rPr>
                <w:sz w:val="18"/>
                <w:szCs w:val="18"/>
              </w:rPr>
            </w:pPr>
          </w:p>
        </w:tc>
        <w:tc>
          <w:tcPr>
            <w:tcW w:w="2500" w:type="pct"/>
            <w:shd w:val="clear" w:color="auto" w:fill="auto"/>
            <w:vAlign w:val="center"/>
          </w:tcPr>
          <w:p w:rsidR="00AE4A63" w:rsidRDefault="00AE4A63" w:rsidP="00AE4A63">
            <w:pPr>
              <w:jc w:val="center"/>
              <w:rPr>
                <w:sz w:val="18"/>
                <w:szCs w:val="18"/>
              </w:rPr>
            </w:pPr>
            <w:r w:rsidRPr="00C50EFA">
              <w:rPr>
                <w:sz w:val="18"/>
                <w:szCs w:val="18"/>
              </w:rPr>
              <w:t>Izsniegto kredītu atlikumu struktūra</w:t>
            </w:r>
            <w:r>
              <w:rPr>
                <w:sz w:val="18"/>
                <w:szCs w:val="18"/>
              </w:rPr>
              <w:t>, %</w:t>
            </w:r>
          </w:p>
          <w:p w:rsidR="00AE4A63" w:rsidRPr="00C50EFA" w:rsidRDefault="00AE4A63" w:rsidP="00AE4A63">
            <w:pPr>
              <w:jc w:val="center"/>
              <w:rPr>
                <w:sz w:val="18"/>
                <w:szCs w:val="18"/>
              </w:rPr>
            </w:pPr>
            <w:r w:rsidRPr="009571F6">
              <w:rPr>
                <w:rFonts w:ascii="Garamond" w:hAnsi="Garamond"/>
                <w:sz w:val="18"/>
                <w:szCs w:val="18"/>
              </w:rPr>
              <w:t>(20</w:t>
            </w:r>
            <w:r>
              <w:rPr>
                <w:rFonts w:ascii="Garamond" w:hAnsi="Garamond"/>
                <w:sz w:val="18"/>
                <w:szCs w:val="18"/>
              </w:rPr>
              <w:t>10.gad</w:t>
            </w:r>
            <w:r w:rsidRPr="009571F6">
              <w:rPr>
                <w:rFonts w:ascii="Garamond" w:hAnsi="Garamond"/>
                <w:sz w:val="18"/>
                <w:szCs w:val="18"/>
              </w:rPr>
              <w:t xml:space="preserve">a </w:t>
            </w:r>
            <w:r>
              <w:rPr>
                <w:rFonts w:ascii="Garamond" w:hAnsi="Garamond"/>
                <w:sz w:val="18"/>
                <w:szCs w:val="18"/>
              </w:rPr>
              <w:t>4.ceturkšņa beigās</w:t>
            </w:r>
            <w:r w:rsidRPr="009571F6">
              <w:rPr>
                <w:rFonts w:ascii="Garamond" w:hAnsi="Garamond"/>
                <w:sz w:val="18"/>
                <w:szCs w:val="18"/>
              </w:rPr>
              <w:t>)</w:t>
            </w:r>
          </w:p>
        </w:tc>
      </w:tr>
      <w:tr w:rsidR="00AE4A63" w:rsidRPr="00C50EFA" w:rsidTr="00AE4A63">
        <w:tc>
          <w:tcPr>
            <w:tcW w:w="2500" w:type="pct"/>
            <w:shd w:val="clear" w:color="auto" w:fill="auto"/>
            <w:vAlign w:val="center"/>
          </w:tcPr>
          <w:p w:rsidR="00AE4A63" w:rsidRPr="00C50EFA" w:rsidRDefault="00AE4A63" w:rsidP="00AE4A63">
            <w:pPr>
              <w:spacing w:after="60"/>
              <w:jc w:val="center"/>
              <w:rPr>
                <w:sz w:val="18"/>
                <w:szCs w:val="18"/>
              </w:rPr>
            </w:pPr>
            <w:r w:rsidRPr="00017556">
              <w:rPr>
                <w:rFonts w:ascii="Garamond" w:hAnsi="Garamond"/>
                <w:noProof/>
                <w:color w:val="000000"/>
                <w:sz w:val="21"/>
                <w:szCs w:val="21"/>
                <w:lang w:eastAsia="lv-LV"/>
              </w:rPr>
              <w:drawing>
                <wp:inline distT="0" distB="0" distL="0" distR="0">
                  <wp:extent cx="2930884" cy="1796995"/>
                  <wp:effectExtent l="0" t="0" r="0" b="0"/>
                  <wp:docPr id="290"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2500" w:type="pct"/>
            <w:shd w:val="clear" w:color="auto" w:fill="auto"/>
            <w:vAlign w:val="center"/>
          </w:tcPr>
          <w:p w:rsidR="00AE4A63" w:rsidRPr="00C50EFA" w:rsidRDefault="00AE4A63" w:rsidP="00AE4A63">
            <w:pPr>
              <w:spacing w:after="60"/>
              <w:jc w:val="center"/>
              <w:rPr>
                <w:sz w:val="18"/>
                <w:szCs w:val="18"/>
              </w:rPr>
            </w:pPr>
            <w:r w:rsidRPr="00343F0A">
              <w:rPr>
                <w:noProof/>
                <w:sz w:val="18"/>
                <w:szCs w:val="18"/>
                <w:lang w:eastAsia="lv-LV"/>
              </w:rPr>
              <w:drawing>
                <wp:inline distT="0" distB="0" distL="0" distR="0">
                  <wp:extent cx="2592126" cy="1800000"/>
                  <wp:effectExtent l="0" t="0" r="0" b="0"/>
                  <wp:docPr id="294"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rsidR="00AE4A63" w:rsidRPr="009F6E8E" w:rsidRDefault="00AE4A63" w:rsidP="00AE4A63">
      <w:pPr>
        <w:ind w:firstLine="567"/>
        <w:jc w:val="right"/>
        <w:rPr>
          <w:color w:val="000000"/>
          <w:sz w:val="8"/>
          <w:szCs w:val="12"/>
        </w:rPr>
      </w:pPr>
    </w:p>
    <w:p w:rsidR="00AE4A63" w:rsidRPr="00163D2C" w:rsidRDefault="00AE4A63" w:rsidP="00AE4A63">
      <w:pPr>
        <w:rPr>
          <w:rStyle w:val="Heading2Char"/>
          <w:b w:val="0"/>
          <w:spacing w:val="-4"/>
          <w:sz w:val="12"/>
          <w:szCs w:val="22"/>
        </w:rPr>
      </w:pPr>
    </w:p>
    <w:p w:rsidR="00AE4A63" w:rsidRPr="00B10C02" w:rsidRDefault="00AE4A63" w:rsidP="00AE4A63">
      <w:pPr>
        <w:pStyle w:val="Heading2"/>
        <w:rPr>
          <w:b w:val="0"/>
        </w:rPr>
      </w:pPr>
      <w:bookmarkStart w:id="328" w:name="_Toc274580837"/>
      <w:bookmarkStart w:id="329" w:name="_Toc282413205"/>
      <w:r w:rsidRPr="00B10C02">
        <w:rPr>
          <w:b w:val="0"/>
        </w:rPr>
        <w:t>5.4.attēls.</w:t>
      </w:r>
      <w:r w:rsidRPr="00B10C02">
        <w:t xml:space="preserve"> </w:t>
      </w:r>
      <w:r w:rsidRPr="00E41855">
        <w:rPr>
          <w:sz w:val="24"/>
          <w:szCs w:val="24"/>
        </w:rPr>
        <w:t>Vidējās svērtās % likmes izsniegtajiem kredītiem</w:t>
      </w:r>
      <w:r w:rsidRPr="00E41855">
        <w:rPr>
          <w:b w:val="0"/>
          <w:sz w:val="24"/>
          <w:szCs w:val="24"/>
        </w:rPr>
        <w:t xml:space="preserve">, </w:t>
      </w:r>
      <w:r w:rsidRPr="00C84A5A">
        <w:rPr>
          <w:b w:val="0"/>
          <w:sz w:val="22"/>
          <w:szCs w:val="22"/>
        </w:rPr>
        <w:t xml:space="preserve">(Ls; </w:t>
      </w:r>
      <w:smartTag w:uri="schemas-tilde-lv/tildestengine" w:element="currency2">
        <w:smartTagPr>
          <w:attr w:name="currency_text" w:val="EUR"/>
          <w:attr w:name="currency_value" w:val="1"/>
          <w:attr w:name="currency_key" w:val="EUR"/>
          <w:attr w:name="currency_id" w:val="16"/>
        </w:smartTagPr>
        <w:r w:rsidRPr="00C84A5A">
          <w:rPr>
            <w:b w:val="0"/>
            <w:sz w:val="22"/>
            <w:szCs w:val="22"/>
          </w:rPr>
          <w:t>EUR</w:t>
        </w:r>
      </w:smartTag>
      <w:r w:rsidRPr="00C84A5A">
        <w:rPr>
          <w:b w:val="0"/>
          <w:sz w:val="22"/>
          <w:szCs w:val="22"/>
        </w:rPr>
        <w:t>)</w:t>
      </w:r>
      <w:bookmarkEnd w:id="328"/>
      <w:bookmarkEnd w:id="329"/>
    </w:p>
    <w:p w:rsidR="00AE4A63" w:rsidRPr="009F6E8E" w:rsidRDefault="00AE4A63" w:rsidP="00AE4A63">
      <w:pPr>
        <w:jc w:val="center"/>
        <w:rPr>
          <w:rFonts w:eastAsia="Times New Roman"/>
          <w:sz w:val="8"/>
        </w:rPr>
      </w:pPr>
    </w:p>
    <w:p w:rsidR="00AE4A63" w:rsidRPr="009F6E8E" w:rsidRDefault="00AE4A63" w:rsidP="00AE4A63">
      <w:pPr>
        <w:tabs>
          <w:tab w:val="center" w:pos="2410"/>
          <w:tab w:val="center" w:pos="7513"/>
        </w:tabs>
        <w:rPr>
          <w:rFonts w:eastAsia="Times New Roman"/>
          <w:bCs/>
          <w:color w:val="000000"/>
          <w:sz w:val="18"/>
          <w:szCs w:val="18"/>
        </w:rPr>
      </w:pPr>
      <w:r w:rsidRPr="009F6E8E">
        <w:rPr>
          <w:rFonts w:eastAsia="Times New Roman"/>
          <w:bCs/>
          <w:color w:val="000000"/>
          <w:sz w:val="18"/>
          <w:szCs w:val="18"/>
        </w:rPr>
        <w:tab/>
        <w:t>Īstermiņa procentu likme</w:t>
      </w:r>
      <w:r w:rsidRPr="009F6E8E">
        <w:rPr>
          <w:rFonts w:eastAsia="Times New Roman"/>
          <w:bCs/>
          <w:color w:val="000000"/>
          <w:sz w:val="18"/>
          <w:szCs w:val="18"/>
        </w:rPr>
        <w:tab/>
        <w:t>Ilgtermiņa procentu likme</w:t>
      </w:r>
    </w:p>
    <w:tbl>
      <w:tblPr>
        <w:tblW w:w="0" w:type="auto"/>
        <w:tblLook w:val="01E0"/>
      </w:tblPr>
      <w:tblGrid>
        <w:gridCol w:w="4943"/>
        <w:gridCol w:w="4912"/>
      </w:tblGrid>
      <w:tr w:rsidR="00AE4A63" w:rsidRPr="009F6E8E" w:rsidTr="00AE4A63">
        <w:tc>
          <w:tcPr>
            <w:tcW w:w="4867" w:type="dxa"/>
          </w:tcPr>
          <w:p w:rsidR="00AE4A63" w:rsidRPr="009F6E8E" w:rsidRDefault="00AE4A63" w:rsidP="00AE4A63">
            <w:pPr>
              <w:rPr>
                <w:rFonts w:eastAsia="Times New Roman"/>
              </w:rPr>
            </w:pPr>
            <w:r w:rsidRPr="009F6E8E">
              <w:rPr>
                <w:rFonts w:eastAsia="Times New Roman"/>
                <w:noProof/>
                <w:sz w:val="20"/>
                <w:szCs w:val="20"/>
                <w:lang w:eastAsia="lv-LV"/>
              </w:rPr>
              <w:drawing>
                <wp:inline distT="0" distB="0" distL="0" distR="0">
                  <wp:extent cx="2989566" cy="1440000"/>
                  <wp:effectExtent l="19050" t="0" r="0" b="0"/>
                  <wp:docPr id="301"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4731" w:type="dxa"/>
          </w:tcPr>
          <w:p w:rsidR="00AE4A63" w:rsidRPr="009F6E8E" w:rsidRDefault="00AE4A63" w:rsidP="00AE4A63">
            <w:pPr>
              <w:rPr>
                <w:rFonts w:eastAsia="Times New Roman"/>
              </w:rPr>
            </w:pPr>
            <w:r w:rsidRPr="009F6E8E">
              <w:rPr>
                <w:rFonts w:eastAsia="Times New Roman"/>
                <w:noProof/>
                <w:color w:val="660033"/>
                <w:sz w:val="20"/>
                <w:szCs w:val="20"/>
                <w:lang w:eastAsia="lv-LV"/>
              </w:rPr>
              <w:drawing>
                <wp:inline distT="0" distB="0" distL="0" distR="0">
                  <wp:extent cx="2988000" cy="1491447"/>
                  <wp:effectExtent l="0" t="0" r="0" b="0"/>
                  <wp:docPr id="307"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bookmarkEnd w:id="303"/>
      <w:bookmarkEnd w:id="304"/>
      <w:bookmarkEnd w:id="305"/>
      <w:bookmarkEnd w:id="306"/>
      <w:bookmarkEnd w:id="307"/>
      <w:bookmarkEnd w:id="308"/>
      <w:bookmarkEnd w:id="309"/>
    </w:tbl>
    <w:p w:rsidR="00BE41C7" w:rsidRPr="009F6E8E" w:rsidRDefault="00BE41C7" w:rsidP="00BE41C7">
      <w:pPr>
        <w:ind w:firstLine="567"/>
        <w:jc w:val="right"/>
        <w:rPr>
          <w:color w:val="000000"/>
          <w:sz w:val="8"/>
          <w:szCs w:val="12"/>
        </w:rPr>
      </w:pPr>
    </w:p>
    <w:p w:rsidR="00BE41C7" w:rsidRPr="009F6E8E" w:rsidRDefault="00CD3CE6" w:rsidP="00BE41C7">
      <w:pPr>
        <w:pStyle w:val="Heading1"/>
      </w:pPr>
      <w:bookmarkStart w:id="330" w:name="_Toc216077875"/>
      <w:bookmarkStart w:id="331" w:name="_Toc216079544"/>
      <w:bookmarkStart w:id="332" w:name="_Toc216079612"/>
      <w:bookmarkStart w:id="333" w:name="_Toc216079674"/>
      <w:bookmarkStart w:id="334" w:name="_Toc216079730"/>
      <w:bookmarkStart w:id="335" w:name="_Toc216079786"/>
      <w:bookmarkStart w:id="336" w:name="_Toc216079842"/>
      <w:bookmarkStart w:id="337" w:name="_Toc274580550"/>
      <w:bookmarkStart w:id="338" w:name="_Toc282413206"/>
      <w:r>
        <w:lastRenderedPageBreak/>
        <w:t>6</w:t>
      </w:r>
      <w:r w:rsidR="00BE41C7" w:rsidRPr="009F6E8E">
        <w:t>. Darba tirgus</w:t>
      </w:r>
      <w:bookmarkEnd w:id="330"/>
      <w:bookmarkEnd w:id="331"/>
      <w:bookmarkEnd w:id="332"/>
      <w:bookmarkEnd w:id="333"/>
      <w:bookmarkEnd w:id="334"/>
      <w:bookmarkEnd w:id="335"/>
      <w:bookmarkEnd w:id="336"/>
      <w:bookmarkEnd w:id="337"/>
      <w:bookmarkEnd w:id="338"/>
    </w:p>
    <w:p w:rsidR="00A40CE2" w:rsidRPr="0007362E" w:rsidRDefault="00A40CE2" w:rsidP="003560AD">
      <w:pPr>
        <w:spacing w:after="40"/>
        <w:ind w:firstLine="425"/>
        <w:jc w:val="both"/>
        <w:rPr>
          <w:sz w:val="8"/>
          <w:u w:val="single"/>
        </w:rPr>
      </w:pPr>
      <w:bookmarkStart w:id="339" w:name="_Toc216077876"/>
      <w:bookmarkStart w:id="340" w:name="_Toc216079545"/>
      <w:bookmarkStart w:id="341" w:name="_Toc216079613"/>
      <w:bookmarkStart w:id="342" w:name="_Toc216079675"/>
      <w:bookmarkStart w:id="343" w:name="_Toc216079731"/>
      <w:bookmarkStart w:id="344" w:name="_Toc216079787"/>
      <w:bookmarkStart w:id="345" w:name="_Toc216079843"/>
    </w:p>
    <w:bookmarkEnd w:id="339"/>
    <w:bookmarkEnd w:id="340"/>
    <w:bookmarkEnd w:id="341"/>
    <w:bookmarkEnd w:id="342"/>
    <w:bookmarkEnd w:id="343"/>
    <w:bookmarkEnd w:id="344"/>
    <w:bookmarkEnd w:id="345"/>
    <w:p w:rsidR="00F22822" w:rsidRDefault="00F22822" w:rsidP="00F22822">
      <w:pPr>
        <w:spacing w:after="40"/>
        <w:ind w:left="-284" w:firstLine="284"/>
        <w:jc w:val="both"/>
        <w:rPr>
          <w:sz w:val="28"/>
          <w:u w:val="single"/>
        </w:rPr>
      </w:pPr>
      <w:r w:rsidRPr="004677BA">
        <w:rPr>
          <w:sz w:val="28"/>
          <w:u w:val="single"/>
        </w:rPr>
        <w:t>Nodarbinātība un bezdarbs</w:t>
      </w:r>
    </w:p>
    <w:p w:rsidR="00851B3C" w:rsidRPr="00851B3C" w:rsidRDefault="00851B3C" w:rsidP="00F22822">
      <w:pPr>
        <w:spacing w:after="40"/>
        <w:ind w:left="-284" w:firstLine="284"/>
        <w:jc w:val="both"/>
        <w:rPr>
          <w:sz w:val="8"/>
          <w:szCs w:val="12"/>
          <w:u w:val="single"/>
        </w:rPr>
      </w:pPr>
    </w:p>
    <w:p w:rsidR="00740451" w:rsidRDefault="00F22822" w:rsidP="00F22822">
      <w:pPr>
        <w:ind w:left="-284" w:firstLine="284"/>
        <w:jc w:val="both"/>
        <w:rPr>
          <w:sz w:val="28"/>
        </w:rPr>
      </w:pPr>
      <w:r>
        <w:rPr>
          <w:sz w:val="28"/>
        </w:rPr>
        <w:t xml:space="preserve">Kopš 2010.gada 2.ceturkšņa situācija darba tirgū </w:t>
      </w:r>
      <w:r w:rsidR="00C676D8">
        <w:rPr>
          <w:sz w:val="28"/>
        </w:rPr>
        <w:t xml:space="preserve">lēnām </w:t>
      </w:r>
      <w:r>
        <w:rPr>
          <w:sz w:val="28"/>
        </w:rPr>
        <w:t>uzlaboj</w:t>
      </w:r>
      <w:r w:rsidR="00C676D8">
        <w:rPr>
          <w:sz w:val="28"/>
        </w:rPr>
        <w:t>ā</w:t>
      </w:r>
      <w:r>
        <w:rPr>
          <w:sz w:val="28"/>
        </w:rPr>
        <w:t>s</w:t>
      </w:r>
      <w:r w:rsidR="00C676D8">
        <w:rPr>
          <w:sz w:val="28"/>
        </w:rPr>
        <w:t xml:space="preserve"> – p</w:t>
      </w:r>
      <w:r>
        <w:rPr>
          <w:sz w:val="28"/>
        </w:rPr>
        <w:t>alielinās nodarbināto un ekonomiski aktīvo iedzīvotāju skaits, kā arī pakāpeniski mazinā</w:t>
      </w:r>
      <w:r w:rsidR="00C676D8">
        <w:rPr>
          <w:sz w:val="28"/>
        </w:rPr>
        <w:t>s</w:t>
      </w:r>
      <w:r>
        <w:rPr>
          <w:sz w:val="28"/>
        </w:rPr>
        <w:t xml:space="preserve"> bezdarbs</w:t>
      </w:r>
      <w:r w:rsidR="00C676D8">
        <w:rPr>
          <w:sz w:val="28"/>
        </w:rPr>
        <w:t>. 2010.</w:t>
      </w:r>
      <w:r>
        <w:rPr>
          <w:sz w:val="28"/>
        </w:rPr>
        <w:t xml:space="preserve">gada beigās, sezonālo faktoru ietekmē </w:t>
      </w:r>
      <w:r w:rsidR="00C676D8">
        <w:rPr>
          <w:sz w:val="28"/>
        </w:rPr>
        <w:t>bija vērojams neliels nodarbināto skait</w:t>
      </w:r>
      <w:r w:rsidR="00851B3C">
        <w:rPr>
          <w:sz w:val="28"/>
        </w:rPr>
        <w:t>a</w:t>
      </w:r>
      <w:r w:rsidR="00C676D8">
        <w:rPr>
          <w:sz w:val="28"/>
        </w:rPr>
        <w:t xml:space="preserve"> samazinājums un bezdarba pieaugums.</w:t>
      </w:r>
      <w:r w:rsidR="0098438D">
        <w:rPr>
          <w:sz w:val="28"/>
        </w:rPr>
        <w:t xml:space="preserve"> </w:t>
      </w:r>
      <w:r>
        <w:rPr>
          <w:sz w:val="28"/>
        </w:rPr>
        <w:t xml:space="preserve">2010.gada 4.ceturksnī, salīdzinot ar iepriekšējā gada attiecīgo ceturksni, nodarbināto iedzīvotāju skaits vecuma grupā no 15-74 gadiem palielinājās par 1,9% un bija 950,4 tūkstoši, kas ir par 17,8 tūkstošiem vairāk </w:t>
      </w:r>
      <w:r w:rsidR="00851B3C">
        <w:rPr>
          <w:sz w:val="28"/>
        </w:rPr>
        <w:t>ne</w:t>
      </w:r>
      <w:r>
        <w:rPr>
          <w:sz w:val="28"/>
        </w:rPr>
        <w:t>kā iepriekšējā gada attiecīgajā periodā, savukārt, salīdzinot ar 2010.gada 3.ceturksni, nodarbināto iedzīvotāju skaits samazinājās par 1% jeb 10 tūkstošiem. 2010.gada 4.ceturksnī, salīdzinot ar iepriekšējā gada attiecīgo ceturksni, par 1,5% samazinājās ekonomiski aktīvo iedzīvotāju skaits un bija 1144 tūksto</w:t>
      </w:r>
      <w:r w:rsidR="00C676D8">
        <w:rPr>
          <w:sz w:val="28"/>
        </w:rPr>
        <w:t>ši</w:t>
      </w:r>
      <w:r>
        <w:rPr>
          <w:sz w:val="28"/>
        </w:rPr>
        <w:t xml:space="preserve">. </w:t>
      </w:r>
    </w:p>
    <w:p w:rsidR="00F22822" w:rsidRDefault="00F22822" w:rsidP="00F22822">
      <w:pPr>
        <w:ind w:left="-284" w:firstLine="284"/>
        <w:jc w:val="both"/>
        <w:rPr>
          <w:sz w:val="28"/>
        </w:rPr>
      </w:pPr>
      <w:r>
        <w:rPr>
          <w:sz w:val="28"/>
        </w:rPr>
        <w:t xml:space="preserve">Saskaņā ar darbaspēka apsekojuma datiem, bezdarba līmenis </w:t>
      </w:r>
      <w:r w:rsidRPr="00BF326D">
        <w:rPr>
          <w:sz w:val="28"/>
        </w:rPr>
        <w:t xml:space="preserve">2010.gada </w:t>
      </w:r>
      <w:r>
        <w:rPr>
          <w:sz w:val="28"/>
        </w:rPr>
        <w:t>4</w:t>
      </w:r>
      <w:r w:rsidRPr="00BF326D">
        <w:rPr>
          <w:sz w:val="28"/>
        </w:rPr>
        <w:t xml:space="preserve">.ceturksnī </w:t>
      </w:r>
      <w:r w:rsidR="00C676D8">
        <w:rPr>
          <w:sz w:val="28"/>
        </w:rPr>
        <w:t>samazinājās līdz 16,9%</w:t>
      </w:r>
      <w:r>
        <w:rPr>
          <w:sz w:val="28"/>
        </w:rPr>
        <w:t>. Kopš 2010.gada marta pakāpeniski mazinājās arī reģistrētā bezdarba līmenis, kas gada beigās bija 14,3%</w:t>
      </w:r>
      <w:r w:rsidRPr="007F571D">
        <w:rPr>
          <w:sz w:val="28"/>
        </w:rPr>
        <w:t xml:space="preserve"> </w:t>
      </w:r>
      <w:r>
        <w:rPr>
          <w:sz w:val="28"/>
        </w:rPr>
        <w:t>apmērā no ekonomiski aktīvo iedzīvotāju skaita</w:t>
      </w:r>
      <w:r w:rsidR="00740451">
        <w:rPr>
          <w:sz w:val="28"/>
        </w:rPr>
        <w:t xml:space="preserve">. </w:t>
      </w:r>
      <w:r>
        <w:rPr>
          <w:sz w:val="28"/>
        </w:rPr>
        <w:t xml:space="preserve">2011.gada pirmajos divos mēnešos reģistrētā bezdarba līmenis nedaudz pieauga un </w:t>
      </w:r>
      <w:r w:rsidR="00740451">
        <w:rPr>
          <w:sz w:val="28"/>
        </w:rPr>
        <w:t>sasniedza</w:t>
      </w:r>
      <w:r>
        <w:rPr>
          <w:sz w:val="28"/>
        </w:rPr>
        <w:t xml:space="preserve"> 14,5%. </w:t>
      </w:r>
      <w:r w:rsidR="00740451">
        <w:rPr>
          <w:sz w:val="28"/>
        </w:rPr>
        <w:t>Savukārt martā, salīdzinot ar f</w:t>
      </w:r>
      <w:r>
        <w:rPr>
          <w:sz w:val="28"/>
        </w:rPr>
        <w:t>ebruār</w:t>
      </w:r>
      <w:r w:rsidR="00740451">
        <w:rPr>
          <w:sz w:val="28"/>
        </w:rPr>
        <w:t>i, reģistrēto bezdarbnieku skaits saruka par vairāk kā 1400 cilvēku. Marta beigās reģistrēti bija 163</w:t>
      </w:r>
      <w:r>
        <w:rPr>
          <w:sz w:val="28"/>
        </w:rPr>
        <w:t>,</w:t>
      </w:r>
      <w:r w:rsidR="00740451">
        <w:rPr>
          <w:sz w:val="28"/>
        </w:rPr>
        <w:t>5 tūkstoši darba meklētāj, kas bija 14,4% no ekonomiski aktīvo iedzīvotāju skaita</w:t>
      </w:r>
      <w:r>
        <w:rPr>
          <w:sz w:val="28"/>
        </w:rPr>
        <w:t xml:space="preserve">. Augstākais reģistrētais bezdarba līmenis 2011.gada </w:t>
      </w:r>
      <w:r w:rsidR="00740451">
        <w:rPr>
          <w:sz w:val="28"/>
        </w:rPr>
        <w:t>marta</w:t>
      </w:r>
      <w:r>
        <w:rPr>
          <w:sz w:val="28"/>
        </w:rPr>
        <w:t xml:space="preserve"> beigās bija Latgales reģionā (22,</w:t>
      </w:r>
      <w:r w:rsidR="00740451">
        <w:rPr>
          <w:sz w:val="28"/>
        </w:rPr>
        <w:t>7</w:t>
      </w:r>
      <w:r>
        <w:rPr>
          <w:sz w:val="28"/>
        </w:rPr>
        <w:t>%), bet zemākais</w:t>
      </w:r>
      <w:r w:rsidR="00851B3C">
        <w:rPr>
          <w:sz w:val="28"/>
        </w:rPr>
        <w:t xml:space="preserve"> –</w:t>
      </w:r>
      <w:r>
        <w:rPr>
          <w:sz w:val="28"/>
        </w:rPr>
        <w:t xml:space="preserve"> Rīg</w:t>
      </w:r>
      <w:r w:rsidR="00740451">
        <w:rPr>
          <w:sz w:val="28"/>
        </w:rPr>
        <w:t>ā (9</w:t>
      </w:r>
      <w:r>
        <w:rPr>
          <w:sz w:val="28"/>
        </w:rPr>
        <w:t>,9%).</w:t>
      </w:r>
    </w:p>
    <w:p w:rsidR="00F22822" w:rsidRPr="00C21334" w:rsidRDefault="00F22822" w:rsidP="00F22822">
      <w:pPr>
        <w:ind w:left="-284" w:firstLine="284"/>
        <w:jc w:val="both"/>
        <w:rPr>
          <w:sz w:val="28"/>
        </w:rPr>
      </w:pPr>
      <w:r w:rsidRPr="00C21334">
        <w:rPr>
          <w:sz w:val="28"/>
        </w:rPr>
        <w:t>Saskaņā ar NVA datiem par darba devēju pieteikt</w:t>
      </w:r>
      <w:r>
        <w:rPr>
          <w:sz w:val="28"/>
        </w:rPr>
        <w:t>aj</w:t>
      </w:r>
      <w:r w:rsidRPr="00C21334">
        <w:rPr>
          <w:sz w:val="28"/>
        </w:rPr>
        <w:t>ām brīv</w:t>
      </w:r>
      <w:r>
        <w:rPr>
          <w:sz w:val="28"/>
        </w:rPr>
        <w:t>aj</w:t>
      </w:r>
      <w:r w:rsidRPr="00C21334">
        <w:rPr>
          <w:sz w:val="28"/>
        </w:rPr>
        <w:t>ām darbavietām, vēsturiski zemākais reģistrētais brīvo darbavietu skaits bija 2009.gada decembr</w:t>
      </w:r>
      <w:r>
        <w:rPr>
          <w:sz w:val="28"/>
        </w:rPr>
        <w:t>a beigās (</w:t>
      </w:r>
      <w:r w:rsidRPr="00C21334">
        <w:rPr>
          <w:sz w:val="28"/>
        </w:rPr>
        <w:t>1</w:t>
      </w:r>
      <w:r>
        <w:rPr>
          <w:sz w:val="28"/>
        </w:rPr>
        <w:t>,4 tūkstoši</w:t>
      </w:r>
      <w:r w:rsidRPr="00C21334">
        <w:rPr>
          <w:sz w:val="28"/>
        </w:rPr>
        <w:t xml:space="preserve"> darbavietas</w:t>
      </w:r>
      <w:r>
        <w:rPr>
          <w:sz w:val="28"/>
        </w:rPr>
        <w:t>)</w:t>
      </w:r>
      <w:r w:rsidRPr="00C21334">
        <w:rPr>
          <w:sz w:val="28"/>
        </w:rPr>
        <w:t>. Sākot ar 2010.gada janvāri, reģistrēto brīvo darbavietu skai</w:t>
      </w:r>
      <w:r>
        <w:rPr>
          <w:sz w:val="28"/>
        </w:rPr>
        <w:t>ts pakāpeniski pieauga un augusta beigās</w:t>
      </w:r>
      <w:r w:rsidRPr="00C21334">
        <w:rPr>
          <w:sz w:val="28"/>
        </w:rPr>
        <w:t xml:space="preserve"> </w:t>
      </w:r>
      <w:r>
        <w:rPr>
          <w:sz w:val="28"/>
        </w:rPr>
        <w:t xml:space="preserve">jau sasniedza </w:t>
      </w:r>
      <w:r w:rsidRPr="00C21334">
        <w:rPr>
          <w:sz w:val="28"/>
        </w:rPr>
        <w:t>3</w:t>
      </w:r>
      <w:r>
        <w:rPr>
          <w:sz w:val="28"/>
        </w:rPr>
        <w:t>,6 tūkstošus</w:t>
      </w:r>
      <w:r w:rsidRPr="00C21334">
        <w:rPr>
          <w:sz w:val="28"/>
        </w:rPr>
        <w:t xml:space="preserve">, kas </w:t>
      </w:r>
      <w:r>
        <w:rPr>
          <w:sz w:val="28"/>
        </w:rPr>
        <w:t xml:space="preserve">bija </w:t>
      </w:r>
      <w:r w:rsidRPr="00C21334">
        <w:rPr>
          <w:sz w:val="28"/>
        </w:rPr>
        <w:t xml:space="preserve">visaugstākais gada rādītājs. </w:t>
      </w:r>
      <w:r>
        <w:rPr>
          <w:sz w:val="28"/>
        </w:rPr>
        <w:t xml:space="preserve">Turpmākajos mēnešos, mazinoties sezonālā rakstura darbiem, bija vērojama </w:t>
      </w:r>
      <w:r w:rsidRPr="00C21334">
        <w:rPr>
          <w:sz w:val="28"/>
        </w:rPr>
        <w:t>brīvo darbavietu skaita samazinā</w:t>
      </w:r>
      <w:r>
        <w:rPr>
          <w:sz w:val="28"/>
        </w:rPr>
        <w:t>šanās. 2010.gada beigās</w:t>
      </w:r>
      <w:r w:rsidRPr="00C21334">
        <w:rPr>
          <w:sz w:val="28"/>
        </w:rPr>
        <w:t xml:space="preserve"> brīvo darbavietu skaits </w:t>
      </w:r>
      <w:r>
        <w:rPr>
          <w:sz w:val="28"/>
        </w:rPr>
        <w:t>bija 2,3 tūkstoši</w:t>
      </w:r>
      <w:r w:rsidRPr="00C21334">
        <w:rPr>
          <w:sz w:val="28"/>
        </w:rPr>
        <w:t>,</w:t>
      </w:r>
      <w:r>
        <w:rPr>
          <w:sz w:val="28"/>
        </w:rPr>
        <w:t xml:space="preserve"> bet 2011.gada </w:t>
      </w:r>
      <w:r w:rsidR="00740451">
        <w:rPr>
          <w:sz w:val="28"/>
        </w:rPr>
        <w:t>mart</w:t>
      </w:r>
      <w:r w:rsidR="00851B3C">
        <w:rPr>
          <w:sz w:val="28"/>
        </w:rPr>
        <w:t xml:space="preserve">ā </w:t>
      </w:r>
      <w:r>
        <w:rPr>
          <w:sz w:val="28"/>
        </w:rPr>
        <w:t>brīvo darbavietu skaits</w:t>
      </w:r>
      <w:r w:rsidR="0098438D">
        <w:rPr>
          <w:sz w:val="28"/>
        </w:rPr>
        <w:t xml:space="preserve"> atsāka palielināties un</w:t>
      </w:r>
      <w:r w:rsidR="00851B3C">
        <w:rPr>
          <w:sz w:val="28"/>
        </w:rPr>
        <w:t xml:space="preserve"> mēneša beigās to </w:t>
      </w:r>
      <w:r>
        <w:rPr>
          <w:sz w:val="28"/>
        </w:rPr>
        <w:t>bija</w:t>
      </w:r>
      <w:r w:rsidR="0098438D">
        <w:rPr>
          <w:sz w:val="28"/>
        </w:rPr>
        <w:t xml:space="preserve"> vairāk </w:t>
      </w:r>
      <w:r w:rsidR="00851B3C">
        <w:rPr>
          <w:sz w:val="28"/>
        </w:rPr>
        <w:t>ne</w:t>
      </w:r>
      <w:r w:rsidR="0098438D">
        <w:rPr>
          <w:sz w:val="28"/>
        </w:rPr>
        <w:t xml:space="preserve">kā </w:t>
      </w:r>
      <w:r>
        <w:rPr>
          <w:sz w:val="28"/>
        </w:rPr>
        <w:t>2,</w:t>
      </w:r>
      <w:r w:rsidR="0098438D">
        <w:rPr>
          <w:sz w:val="28"/>
        </w:rPr>
        <w:t>5</w:t>
      </w:r>
      <w:r>
        <w:rPr>
          <w:sz w:val="28"/>
        </w:rPr>
        <w:t xml:space="preserve"> tūkstoši. </w:t>
      </w:r>
    </w:p>
    <w:p w:rsidR="00F22822" w:rsidRPr="0098438D" w:rsidRDefault="00F22822" w:rsidP="00F22822">
      <w:pPr>
        <w:jc w:val="both"/>
        <w:rPr>
          <w:sz w:val="16"/>
        </w:rPr>
      </w:pPr>
    </w:p>
    <w:p w:rsidR="00F22822" w:rsidRPr="004677BA" w:rsidRDefault="00F22822" w:rsidP="00F22822">
      <w:pPr>
        <w:ind w:left="-284" w:firstLine="284"/>
        <w:jc w:val="both"/>
        <w:rPr>
          <w:sz w:val="28"/>
          <w:u w:val="single"/>
        </w:rPr>
      </w:pPr>
      <w:r>
        <w:rPr>
          <w:sz w:val="28"/>
          <w:u w:val="single"/>
        </w:rPr>
        <w:t>I</w:t>
      </w:r>
      <w:r w:rsidRPr="004677BA">
        <w:rPr>
          <w:sz w:val="28"/>
          <w:u w:val="single"/>
        </w:rPr>
        <w:t>edzīvotāju ienākumi</w:t>
      </w:r>
    </w:p>
    <w:p w:rsidR="00EE240A" w:rsidRPr="00851B3C" w:rsidRDefault="00EE240A" w:rsidP="00EE240A">
      <w:pPr>
        <w:ind w:left="-284" w:firstLine="284"/>
        <w:jc w:val="both"/>
        <w:rPr>
          <w:sz w:val="16"/>
        </w:rPr>
      </w:pPr>
    </w:p>
    <w:p w:rsidR="00EE240A" w:rsidRPr="00EE240A" w:rsidRDefault="00851B3C" w:rsidP="00EE240A">
      <w:pPr>
        <w:ind w:left="-284" w:firstLine="284"/>
        <w:jc w:val="both"/>
        <w:rPr>
          <w:sz w:val="28"/>
        </w:rPr>
      </w:pPr>
      <w:r>
        <w:rPr>
          <w:sz w:val="28"/>
        </w:rPr>
        <w:t>2010.</w:t>
      </w:r>
      <w:r w:rsidR="00EE240A" w:rsidRPr="00EE240A">
        <w:rPr>
          <w:sz w:val="28"/>
        </w:rPr>
        <w:t>gadā darba algas samazināš</w:t>
      </w:r>
      <w:r w:rsidR="00EE240A">
        <w:rPr>
          <w:sz w:val="28"/>
        </w:rPr>
        <w:t>anās tempi palēninājās un 2010.gada 4.</w:t>
      </w:r>
      <w:r w:rsidR="00EE240A" w:rsidRPr="00EE240A">
        <w:rPr>
          <w:sz w:val="28"/>
        </w:rPr>
        <w:t>ceturksnī darba samaks</w:t>
      </w:r>
      <w:r w:rsidR="00EE240A">
        <w:rPr>
          <w:sz w:val="28"/>
        </w:rPr>
        <w:t>a jau par 3,4% pārsniedza 2009.</w:t>
      </w:r>
      <w:r w:rsidR="00EE240A" w:rsidRPr="00EE240A">
        <w:rPr>
          <w:sz w:val="28"/>
        </w:rPr>
        <w:t>gada 4.</w:t>
      </w:r>
      <w:r w:rsidR="00EE240A">
        <w:rPr>
          <w:sz w:val="28"/>
        </w:rPr>
        <w:t>ceturkšņa līmeni. Kopumā 2010.</w:t>
      </w:r>
      <w:r w:rsidR="00EE240A" w:rsidRPr="00EE240A">
        <w:rPr>
          <w:sz w:val="28"/>
        </w:rPr>
        <w:t>gadā tautsaimniecībā vidējā bruto darba alga bija 445 lati, kas</w:t>
      </w:r>
      <w:r w:rsidR="00EE240A">
        <w:rPr>
          <w:sz w:val="28"/>
        </w:rPr>
        <w:t xml:space="preserve"> bija par 3,5% mazāk nekā 2009.</w:t>
      </w:r>
      <w:r w:rsidR="00EE240A" w:rsidRPr="00EE240A">
        <w:rPr>
          <w:sz w:val="28"/>
        </w:rPr>
        <w:t xml:space="preserve">gadā. 2010.gadā sabiedriskajā sektorā strādājošo algas samazinājās straujāk nekā privātajā sektorā (attiecīgi par 6,8% un 1,4%). </w:t>
      </w:r>
    </w:p>
    <w:p w:rsidR="00EE240A" w:rsidRPr="00EE240A" w:rsidRDefault="00EE240A" w:rsidP="00EE240A">
      <w:pPr>
        <w:ind w:left="-284" w:firstLine="284"/>
        <w:jc w:val="both"/>
        <w:rPr>
          <w:sz w:val="28"/>
        </w:rPr>
      </w:pPr>
      <w:r w:rsidRPr="00EE240A">
        <w:rPr>
          <w:sz w:val="28"/>
        </w:rPr>
        <w:t>Nozaru griezumā</w:t>
      </w:r>
      <w:r w:rsidR="003C6522">
        <w:rPr>
          <w:sz w:val="28"/>
        </w:rPr>
        <w:t xml:space="preserve"> 2010.gadā, salīdzinot ar 2009.gadu,</w:t>
      </w:r>
      <w:r w:rsidRPr="00EE240A">
        <w:rPr>
          <w:sz w:val="28"/>
        </w:rPr>
        <w:t xml:space="preserve"> būtiski bruto darba samaksa samazinājās valsts pārvaldē (par 9%) un būvniecības nozarē (par 5,3%). Savukārt lielākais pieaugums bija lauksaimniecības un mežsaimniecības nozarē (par 5,8%) un elektroenerģijas, gāzes un siltumapgādes nozarē (par 5,5%). </w:t>
      </w:r>
    </w:p>
    <w:p w:rsidR="00EE240A" w:rsidRPr="003C6522" w:rsidRDefault="00EE240A" w:rsidP="00EE240A">
      <w:pPr>
        <w:ind w:left="-284" w:firstLine="284"/>
        <w:jc w:val="both"/>
        <w:rPr>
          <w:sz w:val="20"/>
        </w:rPr>
      </w:pPr>
    </w:p>
    <w:p w:rsidR="00F22822" w:rsidRDefault="00F22822" w:rsidP="00F22822">
      <w:pPr>
        <w:ind w:left="-284" w:firstLine="284"/>
        <w:jc w:val="both"/>
        <w:rPr>
          <w:sz w:val="28"/>
        </w:rPr>
      </w:pPr>
      <w:r>
        <w:rPr>
          <w:sz w:val="28"/>
        </w:rPr>
        <w:t xml:space="preserve">Nodaļas turpinājumā ir sniegti dati </w:t>
      </w:r>
      <w:r w:rsidRPr="00850001">
        <w:rPr>
          <w:sz w:val="28"/>
        </w:rPr>
        <w:t>par nodarbināto skaita izmaiņ</w:t>
      </w:r>
      <w:r>
        <w:rPr>
          <w:sz w:val="28"/>
        </w:rPr>
        <w:t>ām</w:t>
      </w:r>
      <w:r w:rsidRPr="00850001">
        <w:rPr>
          <w:sz w:val="28"/>
        </w:rPr>
        <w:t>, bezdarba līmeni</w:t>
      </w:r>
      <w:r>
        <w:rPr>
          <w:sz w:val="28"/>
        </w:rPr>
        <w:t>, brīvo darba vietu skaita izmaiņām</w:t>
      </w:r>
      <w:r w:rsidRPr="00850001">
        <w:rPr>
          <w:sz w:val="28"/>
        </w:rPr>
        <w:t xml:space="preserve"> pa ceturkšņiem</w:t>
      </w:r>
      <w:r>
        <w:rPr>
          <w:sz w:val="28"/>
        </w:rPr>
        <w:t xml:space="preserve"> un </w:t>
      </w:r>
      <w:r w:rsidRPr="00850001">
        <w:rPr>
          <w:sz w:val="28"/>
        </w:rPr>
        <w:t>strādājošo mēneša vidēj</w:t>
      </w:r>
      <w:r>
        <w:rPr>
          <w:sz w:val="28"/>
        </w:rPr>
        <w:t>o bruto darba samaksu</w:t>
      </w:r>
      <w:r w:rsidRPr="00850001">
        <w:rPr>
          <w:sz w:val="28"/>
        </w:rPr>
        <w:t>.</w:t>
      </w:r>
    </w:p>
    <w:p w:rsidR="00F22822" w:rsidRPr="00C676D8" w:rsidRDefault="00F22822" w:rsidP="00C676D8">
      <w:pPr>
        <w:pStyle w:val="Heading2"/>
      </w:pPr>
      <w:r>
        <w:br w:type="page"/>
      </w:r>
      <w:bookmarkStart w:id="346" w:name="_Toc282413207"/>
      <w:r w:rsidRPr="00C676D8">
        <w:rPr>
          <w:b w:val="0"/>
        </w:rPr>
        <w:lastRenderedPageBreak/>
        <w:t>6.1.attēls.</w:t>
      </w:r>
      <w:r w:rsidRPr="009F6E8E">
        <w:t xml:space="preserve"> </w:t>
      </w:r>
      <w:r w:rsidRPr="00C676D8">
        <w:t>Darba tirgu raksturojoši rādītāji</w:t>
      </w:r>
      <w:bookmarkEnd w:id="346"/>
    </w:p>
    <w:p w:rsidR="00F22822" w:rsidRPr="00A038F9" w:rsidRDefault="00F22822" w:rsidP="00F228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7"/>
        <w:gridCol w:w="4928"/>
      </w:tblGrid>
      <w:tr w:rsidR="00F22822" w:rsidRPr="00AC4A28" w:rsidTr="00F22822">
        <w:tc>
          <w:tcPr>
            <w:tcW w:w="4927" w:type="dxa"/>
          </w:tcPr>
          <w:p w:rsidR="00F22822" w:rsidRPr="00AC4A28" w:rsidRDefault="00F22822" w:rsidP="00F22822">
            <w:pPr>
              <w:jc w:val="center"/>
              <w:rPr>
                <w:b/>
                <w:sz w:val="22"/>
                <w:szCs w:val="18"/>
              </w:rPr>
            </w:pPr>
            <w:r w:rsidRPr="00AC4A28">
              <w:rPr>
                <w:b/>
                <w:sz w:val="22"/>
                <w:szCs w:val="18"/>
              </w:rPr>
              <w:t>Nodarbināto skaita izmaiņas pa ceturkšņiem</w:t>
            </w:r>
          </w:p>
          <w:p w:rsidR="00F22822" w:rsidRPr="00AC4A28" w:rsidRDefault="00F22822" w:rsidP="00F22822">
            <w:pPr>
              <w:jc w:val="center"/>
              <w:rPr>
                <w:b/>
                <w:sz w:val="22"/>
                <w:szCs w:val="18"/>
              </w:rPr>
            </w:pPr>
            <w:r w:rsidRPr="00AC4A28">
              <w:rPr>
                <w:rFonts w:eastAsia="Times New Roman"/>
                <w:bCs/>
                <w:color w:val="000000"/>
                <w:sz w:val="22"/>
                <w:szCs w:val="18"/>
              </w:rPr>
              <w:t>200</w:t>
            </w:r>
            <w:r>
              <w:rPr>
                <w:rFonts w:eastAsia="Times New Roman"/>
                <w:bCs/>
                <w:color w:val="000000"/>
                <w:sz w:val="22"/>
                <w:szCs w:val="18"/>
              </w:rPr>
              <w:t>6</w:t>
            </w:r>
            <w:r w:rsidRPr="00AC4A28">
              <w:rPr>
                <w:rFonts w:eastAsia="Times New Roman"/>
                <w:bCs/>
                <w:color w:val="000000"/>
                <w:sz w:val="22"/>
                <w:szCs w:val="18"/>
              </w:rPr>
              <w:t>.g IV ceturksnis=100</w:t>
            </w:r>
          </w:p>
        </w:tc>
        <w:tc>
          <w:tcPr>
            <w:tcW w:w="4928" w:type="dxa"/>
          </w:tcPr>
          <w:p w:rsidR="00F22822" w:rsidRPr="00AC4A28" w:rsidRDefault="00F22822" w:rsidP="00F22822">
            <w:pPr>
              <w:jc w:val="center"/>
              <w:rPr>
                <w:sz w:val="22"/>
                <w:szCs w:val="18"/>
              </w:rPr>
            </w:pPr>
            <w:r>
              <w:rPr>
                <w:b/>
                <w:sz w:val="22"/>
                <w:szCs w:val="18"/>
              </w:rPr>
              <w:t>Nodarbināto un ekonomiski aktīvo iedzīvotāju skaits</w:t>
            </w:r>
            <w:r>
              <w:rPr>
                <w:sz w:val="22"/>
                <w:szCs w:val="18"/>
              </w:rPr>
              <w:t>, tūkstošos, vecuma grupā 15-74 gadi</w:t>
            </w:r>
          </w:p>
        </w:tc>
      </w:tr>
      <w:tr w:rsidR="00F22822" w:rsidRPr="009F6E8E" w:rsidTr="00F22822">
        <w:tc>
          <w:tcPr>
            <w:tcW w:w="4927" w:type="dxa"/>
          </w:tcPr>
          <w:p w:rsidR="00F22822" w:rsidRPr="009F6E8E" w:rsidRDefault="00F22822" w:rsidP="00F22822">
            <w:pPr>
              <w:rPr>
                <w:b/>
                <w:sz w:val="20"/>
                <w:szCs w:val="20"/>
              </w:rPr>
            </w:pPr>
            <w:r w:rsidRPr="009F6E8E">
              <w:rPr>
                <w:b/>
                <w:noProof/>
                <w:sz w:val="20"/>
                <w:szCs w:val="20"/>
              </w:rPr>
              <w:drawing>
                <wp:inline distT="0" distB="0" distL="0" distR="0">
                  <wp:extent cx="3019245" cy="2232000"/>
                  <wp:effectExtent l="0" t="0" r="0" b="0"/>
                  <wp:docPr id="31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4928" w:type="dxa"/>
          </w:tcPr>
          <w:p w:rsidR="00F22822" w:rsidRPr="009F6E8E" w:rsidRDefault="00F22822" w:rsidP="00F22822">
            <w:pPr>
              <w:rPr>
                <w:b/>
                <w:sz w:val="20"/>
                <w:szCs w:val="20"/>
              </w:rPr>
            </w:pPr>
            <w:r w:rsidRPr="00A038F9">
              <w:rPr>
                <w:b/>
                <w:noProof/>
                <w:sz w:val="20"/>
                <w:szCs w:val="20"/>
              </w:rPr>
              <w:drawing>
                <wp:inline distT="0" distB="0" distL="0" distR="0">
                  <wp:extent cx="3017448" cy="2232000"/>
                  <wp:effectExtent l="19050" t="0" r="0" b="0"/>
                  <wp:docPr id="31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bl>
    <w:p w:rsidR="00F22822" w:rsidRDefault="00F22822" w:rsidP="00F22822">
      <w:pPr>
        <w:rPr>
          <w:b/>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5002"/>
      </w:tblGrid>
      <w:tr w:rsidR="00F22822" w:rsidTr="00F22822">
        <w:tc>
          <w:tcPr>
            <w:tcW w:w="2500" w:type="pct"/>
          </w:tcPr>
          <w:p w:rsidR="00F22822" w:rsidRDefault="00F22822" w:rsidP="00F22822">
            <w:pPr>
              <w:jc w:val="center"/>
              <w:rPr>
                <w:b/>
                <w:sz w:val="22"/>
                <w:szCs w:val="18"/>
              </w:rPr>
            </w:pPr>
            <w:r>
              <w:rPr>
                <w:b/>
                <w:sz w:val="22"/>
                <w:szCs w:val="18"/>
              </w:rPr>
              <w:t>Reģistrētais bezdarba līmenis</w:t>
            </w:r>
          </w:p>
          <w:p w:rsidR="00F22822" w:rsidRDefault="00F22822" w:rsidP="00F22822">
            <w:pPr>
              <w:jc w:val="center"/>
              <w:rPr>
                <w:b/>
                <w:sz w:val="22"/>
                <w:szCs w:val="18"/>
              </w:rPr>
            </w:pPr>
            <w:r w:rsidRPr="00AC4A28">
              <w:rPr>
                <w:sz w:val="22"/>
                <w:szCs w:val="18"/>
              </w:rPr>
              <w:t>% no ekonomiski aktīvo iedzīvotāju skaita</w:t>
            </w:r>
          </w:p>
        </w:tc>
        <w:tc>
          <w:tcPr>
            <w:tcW w:w="2500" w:type="pct"/>
          </w:tcPr>
          <w:p w:rsidR="00F22822" w:rsidRPr="00AC4A28" w:rsidRDefault="00F22822" w:rsidP="00F22822">
            <w:pPr>
              <w:jc w:val="center"/>
              <w:rPr>
                <w:sz w:val="22"/>
                <w:szCs w:val="18"/>
              </w:rPr>
            </w:pPr>
            <w:r w:rsidRPr="00AC4A28">
              <w:rPr>
                <w:b/>
                <w:sz w:val="22"/>
                <w:szCs w:val="18"/>
              </w:rPr>
              <w:t>Bezdarba līmenis</w:t>
            </w:r>
            <w:r>
              <w:rPr>
                <w:b/>
                <w:sz w:val="22"/>
                <w:szCs w:val="18"/>
              </w:rPr>
              <w:t xml:space="preserve"> pēc darbaspēka apsekojumu datiem</w:t>
            </w:r>
            <w:r w:rsidRPr="00115BF4">
              <w:rPr>
                <w:sz w:val="20"/>
                <w:szCs w:val="18"/>
              </w:rPr>
              <w:t xml:space="preserve">, </w:t>
            </w:r>
            <w:r>
              <w:rPr>
                <w:sz w:val="22"/>
                <w:szCs w:val="18"/>
              </w:rPr>
              <w:t>sezonāli neizlīdzināti dati</w:t>
            </w:r>
          </w:p>
        </w:tc>
      </w:tr>
      <w:tr w:rsidR="00F22822" w:rsidTr="00F22822">
        <w:tc>
          <w:tcPr>
            <w:tcW w:w="2500" w:type="pct"/>
          </w:tcPr>
          <w:p w:rsidR="00F22822" w:rsidRDefault="00F22822" w:rsidP="00F22822">
            <w:pPr>
              <w:rPr>
                <w:b/>
                <w:sz w:val="22"/>
                <w:szCs w:val="18"/>
              </w:rPr>
            </w:pPr>
            <w:r w:rsidRPr="00AC4A28">
              <w:rPr>
                <w:rFonts w:eastAsia="Times New Roman"/>
                <w:b/>
                <w:noProof/>
                <w:sz w:val="22"/>
                <w:szCs w:val="20"/>
              </w:rPr>
              <w:drawing>
                <wp:inline distT="0" distB="0" distL="0" distR="0">
                  <wp:extent cx="2849526" cy="2232837"/>
                  <wp:effectExtent l="0" t="0" r="0" b="0"/>
                  <wp:docPr id="3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c>
          <w:tcPr>
            <w:tcW w:w="2500" w:type="pct"/>
            <w:vAlign w:val="bottom"/>
          </w:tcPr>
          <w:p w:rsidR="00F22822" w:rsidRPr="009F6E8E" w:rsidRDefault="00F22822" w:rsidP="00F22822">
            <w:pPr>
              <w:jc w:val="center"/>
              <w:rPr>
                <w:b/>
                <w:sz w:val="20"/>
                <w:szCs w:val="20"/>
              </w:rPr>
            </w:pPr>
            <w:r w:rsidRPr="009F6E8E">
              <w:rPr>
                <w:rFonts w:eastAsia="Times New Roman"/>
                <w:noProof/>
                <w:sz w:val="20"/>
                <w:szCs w:val="20"/>
              </w:rPr>
              <w:drawing>
                <wp:inline distT="0" distB="0" distL="0" distR="0">
                  <wp:extent cx="3019646" cy="2232837"/>
                  <wp:effectExtent l="19050" t="0" r="0" b="0"/>
                  <wp:docPr id="326"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r>
    </w:tbl>
    <w:p w:rsidR="00F22822" w:rsidRDefault="00F22822" w:rsidP="00F22822">
      <w:pPr>
        <w:rPr>
          <w:b/>
          <w:sz w:val="20"/>
          <w:szCs w:val="20"/>
        </w:rPr>
      </w:pPr>
    </w:p>
    <w:p w:rsidR="00F22822" w:rsidRDefault="00F22822" w:rsidP="00F22822">
      <w:pPr>
        <w:rPr>
          <w:rFonts w:eastAsia="Times New Roman"/>
          <w:b/>
          <w:szCs w:val="20"/>
        </w:rPr>
      </w:pPr>
      <w:r w:rsidRPr="00F37D39">
        <w:rPr>
          <w:rFonts w:eastAsia="Times New Roman"/>
          <w:b/>
          <w:szCs w:val="20"/>
        </w:rPr>
        <w:t>Strādājošo mēneša vidējā bruto darba samaksa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85"/>
        <w:gridCol w:w="3285"/>
        <w:gridCol w:w="3285"/>
      </w:tblGrid>
      <w:tr w:rsidR="00F22822" w:rsidRPr="00AD744C" w:rsidTr="00F22822">
        <w:trPr>
          <w:jc w:val="center"/>
        </w:trPr>
        <w:tc>
          <w:tcPr>
            <w:tcW w:w="3285" w:type="dxa"/>
            <w:vAlign w:val="bottom"/>
          </w:tcPr>
          <w:p w:rsidR="00F22822" w:rsidRPr="00AD744C" w:rsidRDefault="00F22822" w:rsidP="00F22822">
            <w:pPr>
              <w:spacing w:before="120"/>
              <w:ind w:left="-142" w:right="-51" w:firstLine="142"/>
              <w:jc w:val="center"/>
              <w:rPr>
                <w:sz w:val="20"/>
                <w:szCs w:val="20"/>
              </w:rPr>
            </w:pPr>
            <w:r w:rsidRPr="00AD744C">
              <w:rPr>
                <w:rFonts w:eastAsia="Times New Roman"/>
                <w:sz w:val="20"/>
                <w:szCs w:val="20"/>
              </w:rPr>
              <w:t>latos</w:t>
            </w:r>
          </w:p>
        </w:tc>
        <w:tc>
          <w:tcPr>
            <w:tcW w:w="3285" w:type="dxa"/>
            <w:vAlign w:val="bottom"/>
          </w:tcPr>
          <w:p w:rsidR="00F22822" w:rsidRPr="00AD744C" w:rsidRDefault="00F22822" w:rsidP="00F22822">
            <w:pPr>
              <w:spacing w:before="120"/>
              <w:ind w:left="-142" w:right="-51" w:firstLine="142"/>
              <w:jc w:val="center"/>
              <w:rPr>
                <w:sz w:val="20"/>
                <w:szCs w:val="20"/>
              </w:rPr>
            </w:pPr>
            <w:r w:rsidRPr="00AD744C">
              <w:rPr>
                <w:sz w:val="20"/>
                <w:szCs w:val="20"/>
              </w:rPr>
              <w:t>izmaiņas pret iepriekšējā gada atbilstošo periodu, %</w:t>
            </w:r>
          </w:p>
        </w:tc>
        <w:tc>
          <w:tcPr>
            <w:tcW w:w="3285" w:type="dxa"/>
            <w:vAlign w:val="bottom"/>
          </w:tcPr>
          <w:p w:rsidR="00F22822" w:rsidRPr="00AD744C" w:rsidRDefault="00F22822" w:rsidP="00F22822">
            <w:pPr>
              <w:spacing w:before="120"/>
              <w:ind w:left="-142" w:right="-51" w:firstLine="142"/>
              <w:jc w:val="center"/>
              <w:rPr>
                <w:sz w:val="20"/>
                <w:szCs w:val="20"/>
              </w:rPr>
            </w:pPr>
            <w:r w:rsidRPr="00AD744C">
              <w:rPr>
                <w:rFonts w:eastAsia="Times New Roman"/>
                <w:sz w:val="20"/>
                <w:szCs w:val="20"/>
              </w:rPr>
              <w:t>12 mēnešu slīdošais vidējais indekss, 2007.gada decembris = 100</w:t>
            </w:r>
          </w:p>
        </w:tc>
      </w:tr>
      <w:tr w:rsidR="00F22822" w:rsidTr="00F22822">
        <w:trPr>
          <w:jc w:val="center"/>
        </w:trPr>
        <w:tc>
          <w:tcPr>
            <w:tcW w:w="3285" w:type="dxa"/>
          </w:tcPr>
          <w:p w:rsidR="00F22822" w:rsidRDefault="00F22822" w:rsidP="00F22822">
            <w:pPr>
              <w:ind w:left="-142" w:right="-50" w:firstLine="142"/>
              <w:rPr>
                <w:b/>
                <w:sz w:val="22"/>
                <w:szCs w:val="20"/>
              </w:rPr>
            </w:pPr>
            <w:r w:rsidRPr="00AD744C">
              <w:rPr>
                <w:b/>
                <w:noProof/>
                <w:sz w:val="22"/>
                <w:szCs w:val="20"/>
              </w:rPr>
              <w:drawing>
                <wp:inline distT="0" distB="0" distL="0" distR="0">
                  <wp:extent cx="1999531" cy="2579298"/>
                  <wp:effectExtent l="19050" t="0" r="0" b="0"/>
                  <wp:docPr id="32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3285" w:type="dxa"/>
          </w:tcPr>
          <w:p w:rsidR="00F22822" w:rsidRDefault="00F22822" w:rsidP="00F22822">
            <w:pPr>
              <w:ind w:left="-142" w:right="-50" w:firstLine="142"/>
              <w:jc w:val="center"/>
              <w:rPr>
                <w:b/>
                <w:sz w:val="22"/>
                <w:szCs w:val="20"/>
              </w:rPr>
            </w:pPr>
            <w:r w:rsidRPr="00AD744C">
              <w:rPr>
                <w:b/>
                <w:noProof/>
                <w:sz w:val="22"/>
                <w:szCs w:val="20"/>
              </w:rPr>
              <w:drawing>
                <wp:inline distT="0" distB="0" distL="0" distR="0">
                  <wp:extent cx="2042663" cy="2579298"/>
                  <wp:effectExtent l="19050" t="0" r="0" b="0"/>
                  <wp:docPr id="32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c>
          <w:tcPr>
            <w:tcW w:w="3285" w:type="dxa"/>
          </w:tcPr>
          <w:p w:rsidR="00F22822" w:rsidRDefault="00F22822" w:rsidP="00F22822">
            <w:pPr>
              <w:ind w:left="-142" w:right="-50" w:firstLine="142"/>
              <w:rPr>
                <w:b/>
                <w:sz w:val="22"/>
                <w:szCs w:val="20"/>
              </w:rPr>
            </w:pPr>
            <w:r w:rsidRPr="00AD744C">
              <w:rPr>
                <w:b/>
                <w:noProof/>
                <w:sz w:val="22"/>
                <w:szCs w:val="20"/>
              </w:rPr>
              <w:drawing>
                <wp:inline distT="0" distB="0" distL="0" distR="0">
                  <wp:extent cx="2042663" cy="2579298"/>
                  <wp:effectExtent l="19050" t="0" r="0" b="0"/>
                  <wp:docPr id="32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bl>
    <w:p w:rsidR="00F22822" w:rsidRPr="00F37D39" w:rsidRDefault="00F22822" w:rsidP="00F22822">
      <w:pPr>
        <w:rPr>
          <w:b/>
          <w:sz w:val="22"/>
          <w:szCs w:val="20"/>
        </w:rPr>
      </w:pPr>
    </w:p>
    <w:p w:rsidR="00A038F9" w:rsidRDefault="00A038F9" w:rsidP="00BE41C7">
      <w:pPr>
        <w:rPr>
          <w:b/>
          <w:sz w:val="20"/>
          <w:szCs w:val="20"/>
        </w:rPr>
      </w:pPr>
    </w:p>
    <w:p w:rsidR="00BE41C7" w:rsidRPr="009F6E8E" w:rsidRDefault="00CD3CE6" w:rsidP="00BE41C7">
      <w:pPr>
        <w:pStyle w:val="Heading1"/>
      </w:pPr>
      <w:bookmarkStart w:id="347" w:name="_Toc274580551"/>
      <w:bookmarkStart w:id="348" w:name="_Toc282413208"/>
      <w:r>
        <w:lastRenderedPageBreak/>
        <w:t>7</w:t>
      </w:r>
      <w:r w:rsidR="00BE41C7" w:rsidRPr="009F6E8E">
        <w:t xml:space="preserve">. </w:t>
      </w:r>
      <w:bookmarkEnd w:id="242"/>
      <w:bookmarkEnd w:id="243"/>
      <w:bookmarkEnd w:id="244"/>
      <w:bookmarkEnd w:id="245"/>
      <w:bookmarkEnd w:id="246"/>
      <w:bookmarkEnd w:id="247"/>
      <w:bookmarkEnd w:id="248"/>
      <w:r w:rsidR="00F77E00">
        <w:t>Cenas</w:t>
      </w:r>
      <w:bookmarkEnd w:id="347"/>
      <w:bookmarkEnd w:id="348"/>
    </w:p>
    <w:p w:rsidR="005D5DF1" w:rsidRPr="003F5B41" w:rsidRDefault="005D5DF1" w:rsidP="005D5DF1">
      <w:pPr>
        <w:ind w:firstLine="709"/>
        <w:rPr>
          <w:rFonts w:eastAsia="Times New Roman"/>
          <w:b/>
          <w:sz w:val="6"/>
          <w:szCs w:val="24"/>
        </w:rPr>
      </w:pPr>
      <w:bookmarkStart w:id="349" w:name="_Toc216077887"/>
      <w:bookmarkStart w:id="350" w:name="_Toc216079555"/>
      <w:bookmarkStart w:id="351" w:name="_Toc216079623"/>
      <w:bookmarkStart w:id="352" w:name="_Toc216079685"/>
      <w:bookmarkStart w:id="353" w:name="_Toc216079741"/>
      <w:bookmarkStart w:id="354" w:name="_Toc216079797"/>
      <w:bookmarkStart w:id="355" w:name="_Toc216079853"/>
      <w:bookmarkStart w:id="356" w:name="_Toc274580552"/>
      <w:bookmarkStart w:id="357" w:name="_Toc282413217"/>
    </w:p>
    <w:p w:rsidR="005D5DF1" w:rsidRPr="00412659" w:rsidRDefault="005D5DF1" w:rsidP="003F5B41">
      <w:pPr>
        <w:ind w:left="-142" w:firstLine="426"/>
        <w:jc w:val="both"/>
        <w:rPr>
          <w:sz w:val="28"/>
        </w:rPr>
      </w:pPr>
      <w:bookmarkStart w:id="358" w:name="_Toc216079547"/>
      <w:bookmarkStart w:id="359" w:name="_Toc216079615"/>
      <w:bookmarkStart w:id="360" w:name="_Toc216079677"/>
      <w:bookmarkStart w:id="361" w:name="_Toc216079733"/>
      <w:bookmarkStart w:id="362" w:name="_Toc216079789"/>
      <w:bookmarkStart w:id="363" w:name="_Toc216079845"/>
      <w:bookmarkStart w:id="364" w:name="_Toc216077878"/>
      <w:r>
        <w:rPr>
          <w:sz w:val="28"/>
        </w:rPr>
        <w:t>2010.g</w:t>
      </w:r>
      <w:r w:rsidRPr="00412659">
        <w:rPr>
          <w:sz w:val="28"/>
        </w:rPr>
        <w:t>ad</w:t>
      </w:r>
      <w:r w:rsidR="003C6522">
        <w:rPr>
          <w:sz w:val="28"/>
        </w:rPr>
        <w:t xml:space="preserve">a laikā </w:t>
      </w:r>
      <w:r w:rsidRPr="00412659">
        <w:rPr>
          <w:b/>
          <w:sz w:val="28"/>
        </w:rPr>
        <w:t>patēriņa cenu</w:t>
      </w:r>
      <w:r w:rsidRPr="00412659">
        <w:rPr>
          <w:sz w:val="28"/>
        </w:rPr>
        <w:t xml:space="preserve"> līmenis pieauga p</w:t>
      </w:r>
      <w:r>
        <w:rPr>
          <w:sz w:val="28"/>
        </w:rPr>
        <w:t>ar 2,5%, t.sk. precēm – par 4,3</w:t>
      </w:r>
      <w:r w:rsidRPr="00412659">
        <w:rPr>
          <w:sz w:val="28"/>
        </w:rPr>
        <w:t xml:space="preserve">%, bet pakalpojumiem cenas samazinājās par 2,1%. Ņemot vērā 2009.gada deflāciju, vidējais cenu līmenis 2010.gadā bija par 1,1% mazāks nekā iepriekšējā gadā. </w:t>
      </w:r>
    </w:p>
    <w:p w:rsidR="005D5DF1" w:rsidRDefault="005D5DF1" w:rsidP="003F5B41">
      <w:pPr>
        <w:ind w:left="-142" w:firstLine="426"/>
        <w:jc w:val="both"/>
        <w:rPr>
          <w:sz w:val="28"/>
        </w:rPr>
      </w:pPr>
      <w:r w:rsidRPr="00412659">
        <w:rPr>
          <w:sz w:val="28"/>
        </w:rPr>
        <w:t>Cenu kāpumu 2010.gadā galvenokārt ietekmēja pasaules cenu pieaugums pārtikai un naftas produktiem. Pārtikas cenu pieaugums noteic</w:t>
      </w:r>
      <w:r w:rsidR="00851B3C">
        <w:rPr>
          <w:sz w:val="28"/>
        </w:rPr>
        <w:t>a patēriņa cenu pieaugumu par 2 </w:t>
      </w:r>
      <w:r w:rsidRPr="00412659">
        <w:rPr>
          <w:sz w:val="28"/>
        </w:rPr>
        <w:t>procentpunktiem, siltumenerģijas – par 0,8 un degvielas – par 0,9 procentpunktiem. Pārējo preču un pakalpojumu grupu cenu izmaiņām 2010.gadā kopumā bija samazinoša ietekme uz patēriņa cenu līmeni.</w:t>
      </w:r>
    </w:p>
    <w:p w:rsidR="005D5DF1" w:rsidRDefault="005D5DF1" w:rsidP="003F5B41">
      <w:pPr>
        <w:ind w:left="-142" w:firstLine="426"/>
        <w:jc w:val="both"/>
        <w:rPr>
          <w:sz w:val="28"/>
        </w:rPr>
      </w:pPr>
      <w:r>
        <w:rPr>
          <w:sz w:val="28"/>
        </w:rPr>
        <w:t>Patēriņa cenas 2011.gada sākumā turpināja palielināties. To noteica gan situācija iekšējā tirgū (</w:t>
      </w:r>
      <w:r w:rsidR="002109E8">
        <w:rPr>
          <w:sz w:val="28"/>
        </w:rPr>
        <w:t xml:space="preserve">nodokļu likmju palielinājums, </w:t>
      </w:r>
      <w:r>
        <w:rPr>
          <w:sz w:val="28"/>
        </w:rPr>
        <w:t xml:space="preserve">privātā patēriņa neliels pieaugums), gan cenu kāpums pasaulē (galvenokārt </w:t>
      </w:r>
      <w:r w:rsidRPr="00646C04">
        <w:rPr>
          <w:sz w:val="28"/>
        </w:rPr>
        <w:t>pārtikai un enerģētikas resursiem</w:t>
      </w:r>
      <w:r w:rsidR="00CF615A">
        <w:rPr>
          <w:sz w:val="28"/>
        </w:rPr>
        <w:t>).</w:t>
      </w:r>
    </w:p>
    <w:p w:rsidR="003F5B41" w:rsidRDefault="005D5DF1" w:rsidP="003F5B41">
      <w:pPr>
        <w:pStyle w:val="BodyText"/>
        <w:spacing w:after="0"/>
        <w:ind w:left="-142" w:firstLine="426"/>
        <w:jc w:val="both"/>
        <w:rPr>
          <w:sz w:val="28"/>
          <w:szCs w:val="28"/>
        </w:rPr>
      </w:pPr>
      <w:r w:rsidRPr="006F5355">
        <w:rPr>
          <w:bCs/>
          <w:sz w:val="28"/>
          <w:szCs w:val="28"/>
        </w:rPr>
        <w:t xml:space="preserve">2011.gada </w:t>
      </w:r>
      <w:r>
        <w:rPr>
          <w:bCs/>
          <w:sz w:val="28"/>
          <w:szCs w:val="28"/>
        </w:rPr>
        <w:t>trīs</w:t>
      </w:r>
      <w:r w:rsidRPr="006F5355">
        <w:rPr>
          <w:bCs/>
          <w:sz w:val="28"/>
          <w:szCs w:val="28"/>
        </w:rPr>
        <w:t xml:space="preserve"> mēnešos patēriņa cenas palielinājās par </w:t>
      </w:r>
      <w:r>
        <w:rPr>
          <w:bCs/>
          <w:sz w:val="28"/>
          <w:szCs w:val="28"/>
        </w:rPr>
        <w:t>2,3</w:t>
      </w:r>
      <w:r w:rsidRPr="006F5355">
        <w:rPr>
          <w:bCs/>
          <w:sz w:val="28"/>
          <w:szCs w:val="28"/>
        </w:rPr>
        <w:t>%. Pievienotās vērtības nodokļa likmes palielinājums 2011.gada janvār</w:t>
      </w:r>
      <w:r w:rsidR="00CF615A">
        <w:rPr>
          <w:bCs/>
          <w:sz w:val="28"/>
          <w:szCs w:val="28"/>
        </w:rPr>
        <w:t>ī</w:t>
      </w:r>
      <w:r w:rsidRPr="006F5355">
        <w:rPr>
          <w:bCs/>
          <w:sz w:val="28"/>
          <w:szCs w:val="28"/>
        </w:rPr>
        <w:t xml:space="preserve"> noteica patēriņa cenu kāpumu par 0,9%. Tāpat joprojām liela ietekme bija pārtikas preču cenu kāpumam.</w:t>
      </w:r>
      <w:r w:rsidRPr="006F5355">
        <w:t xml:space="preserve"> </w:t>
      </w:r>
      <w:r>
        <w:rPr>
          <w:sz w:val="28"/>
        </w:rPr>
        <w:t>Pārtikas preču grupā martā, salīdzinot ar 2010.gada decembri, cenas pieauga par 4,4%, kas ietekmēja</w:t>
      </w:r>
      <w:r w:rsidRPr="00646C04">
        <w:rPr>
          <w:sz w:val="28"/>
        </w:rPr>
        <w:t xml:space="preserve"> kopējā patēriņa cenu indeksa </w:t>
      </w:r>
      <w:r w:rsidR="0098438D">
        <w:rPr>
          <w:sz w:val="28"/>
        </w:rPr>
        <w:t>pieaugumu par 1,1 </w:t>
      </w:r>
      <w:r>
        <w:rPr>
          <w:sz w:val="28"/>
        </w:rPr>
        <w:t>procentpunktu.</w:t>
      </w:r>
      <w:r w:rsidR="003F5B41">
        <w:rPr>
          <w:sz w:val="28"/>
        </w:rPr>
        <w:t xml:space="preserve"> </w:t>
      </w:r>
      <w:r w:rsidR="003C6522">
        <w:rPr>
          <w:sz w:val="28"/>
        </w:rPr>
        <w:t>Gandrīz ¼ daļu</w:t>
      </w:r>
      <w:r>
        <w:rPr>
          <w:sz w:val="28"/>
        </w:rPr>
        <w:t xml:space="preserve"> no kopējā patēriņa cenu kāpuma gada pirmajos trīs mēnešos noteica </w:t>
      </w:r>
      <w:r w:rsidRPr="00646C04">
        <w:rPr>
          <w:sz w:val="28"/>
        </w:rPr>
        <w:t>degvielas</w:t>
      </w:r>
      <w:r>
        <w:rPr>
          <w:sz w:val="28"/>
        </w:rPr>
        <w:t xml:space="preserve"> cenu pieaugums. </w:t>
      </w:r>
      <w:r w:rsidR="003C6522" w:rsidRPr="00CF615A">
        <w:rPr>
          <w:sz w:val="28"/>
        </w:rPr>
        <w:t>2011.gada pirmajos divos mēnešos s</w:t>
      </w:r>
      <w:r w:rsidRPr="00CF615A">
        <w:rPr>
          <w:sz w:val="28"/>
        </w:rPr>
        <w:t>traujāk nekā citus gadus samazi</w:t>
      </w:r>
      <w:r w:rsidR="00CF615A">
        <w:rPr>
          <w:sz w:val="28"/>
        </w:rPr>
        <w:t>nājās cenas apģērbiem un apaviem, t</w:t>
      </w:r>
      <w:r w:rsidR="003C6522" w:rsidRPr="00CF615A">
        <w:rPr>
          <w:sz w:val="28"/>
        </w:rPr>
        <w:t xml:space="preserve">urpretim martā šajā preču grupā jau </w:t>
      </w:r>
      <w:r w:rsidRPr="00CF615A">
        <w:rPr>
          <w:sz w:val="28"/>
        </w:rPr>
        <w:t>bija vērojams strauj</w:t>
      </w:r>
      <w:r w:rsidR="003C6522" w:rsidRPr="00CF615A">
        <w:rPr>
          <w:sz w:val="28"/>
        </w:rPr>
        <w:t xml:space="preserve">š </w:t>
      </w:r>
      <w:r w:rsidRPr="00CF615A">
        <w:rPr>
          <w:sz w:val="28"/>
        </w:rPr>
        <w:t>cenu palielinājums (par 6,1%)</w:t>
      </w:r>
      <w:r w:rsidR="003C6522" w:rsidRPr="00CF615A">
        <w:rPr>
          <w:sz w:val="28"/>
        </w:rPr>
        <w:t>, kas par 0,45 procentpunktiem noteica kopējā patēriņa cenu līmeņa pieaugumu.</w:t>
      </w:r>
      <w:r w:rsidR="00CF615A" w:rsidRPr="00CF615A">
        <w:rPr>
          <w:sz w:val="28"/>
        </w:rPr>
        <w:t xml:space="preserve"> </w:t>
      </w:r>
      <w:r w:rsidR="003F5B41" w:rsidRPr="003F5B41">
        <w:rPr>
          <w:sz w:val="28"/>
          <w:szCs w:val="28"/>
        </w:rPr>
        <w:t>Pakalpojumu cenu izmaiņas nebija izteiktas un tās praktiski neietekmēja PCI palielinājumu. Tāpēc var teikt, ka pašreizējo inflāciju galvenokārt uztur importēto preču cenu kāpums.</w:t>
      </w:r>
    </w:p>
    <w:p w:rsidR="003F5B41" w:rsidRPr="003F5B41" w:rsidRDefault="003F5B41" w:rsidP="003F5B41">
      <w:pPr>
        <w:pStyle w:val="BodyText"/>
        <w:spacing w:after="0"/>
        <w:ind w:left="-142" w:firstLine="426"/>
        <w:jc w:val="both"/>
        <w:rPr>
          <w:sz w:val="8"/>
          <w:szCs w:val="8"/>
        </w:rPr>
      </w:pPr>
    </w:p>
    <w:p w:rsidR="005D5DF1" w:rsidRPr="00AE2C0D" w:rsidRDefault="005D5DF1" w:rsidP="00CF615A">
      <w:pPr>
        <w:ind w:left="-142" w:firstLine="426"/>
        <w:jc w:val="both"/>
        <w:rPr>
          <w:sz w:val="28"/>
        </w:rPr>
      </w:pPr>
      <w:r w:rsidRPr="00034FE0">
        <w:rPr>
          <w:b/>
          <w:sz w:val="28"/>
        </w:rPr>
        <w:t>Ražotāju cenas</w:t>
      </w:r>
      <w:r w:rsidRPr="00C75F3F">
        <w:rPr>
          <w:sz w:val="28"/>
        </w:rPr>
        <w:t xml:space="preserve"> </w:t>
      </w:r>
      <w:r>
        <w:rPr>
          <w:sz w:val="28"/>
        </w:rPr>
        <w:t>atsāka pieaugt 2009.</w:t>
      </w:r>
      <w:r w:rsidRPr="00C75F3F">
        <w:rPr>
          <w:sz w:val="28"/>
        </w:rPr>
        <w:t>gada beigās</w:t>
      </w:r>
      <w:r>
        <w:rPr>
          <w:sz w:val="28"/>
        </w:rPr>
        <w:t>. Cenu kāpums kopumā turpinājās arī 2010.gadā, lai gan gada pēdējos mēnešos cenu pieaugum</w:t>
      </w:r>
      <w:r w:rsidR="00CF615A">
        <w:rPr>
          <w:sz w:val="28"/>
        </w:rPr>
        <w:t xml:space="preserve">a tempi </w:t>
      </w:r>
      <w:r>
        <w:rPr>
          <w:sz w:val="28"/>
        </w:rPr>
        <w:t>kļuva mērenāk</w:t>
      </w:r>
      <w:r w:rsidR="00CF615A">
        <w:rPr>
          <w:sz w:val="28"/>
        </w:rPr>
        <w:t>i</w:t>
      </w:r>
      <w:r>
        <w:rPr>
          <w:sz w:val="28"/>
        </w:rPr>
        <w:t xml:space="preserve">. Cenas palielinājās gan vietējā </w:t>
      </w:r>
      <w:r w:rsidRPr="00AE2C0D">
        <w:rPr>
          <w:sz w:val="28"/>
        </w:rPr>
        <w:t>tirgū realizēt</w:t>
      </w:r>
      <w:r>
        <w:rPr>
          <w:sz w:val="28"/>
        </w:rPr>
        <w:t xml:space="preserve">ajai produkcijai, ko ietekmēja iekšzemes pieprasījuma stabilizēšanās, gan eksportētajai produkcijai, ko pamatā noteica </w:t>
      </w:r>
      <w:r w:rsidRPr="00C75F3F">
        <w:rPr>
          <w:sz w:val="28"/>
        </w:rPr>
        <w:t>Latvijas galveno eksportpreču, t.</w:t>
      </w:r>
      <w:r>
        <w:rPr>
          <w:sz w:val="28"/>
        </w:rPr>
        <w:t xml:space="preserve"> </w:t>
      </w:r>
      <w:r w:rsidRPr="00C75F3F">
        <w:rPr>
          <w:sz w:val="28"/>
        </w:rPr>
        <w:t>sk. kokmateriālu</w:t>
      </w:r>
      <w:r>
        <w:rPr>
          <w:sz w:val="28"/>
        </w:rPr>
        <w:t xml:space="preserve">, metāla izstrādājumu </w:t>
      </w:r>
      <w:r w:rsidRPr="00C75F3F">
        <w:rPr>
          <w:sz w:val="28"/>
        </w:rPr>
        <w:t>un pārtikas preču cenu</w:t>
      </w:r>
      <w:r>
        <w:rPr>
          <w:sz w:val="28"/>
        </w:rPr>
        <w:t xml:space="preserve"> kāpums pasaules tirgos.</w:t>
      </w:r>
    </w:p>
    <w:p w:rsidR="005D5DF1" w:rsidRDefault="005D5DF1" w:rsidP="00CF615A">
      <w:pPr>
        <w:ind w:left="-142" w:firstLine="426"/>
        <w:jc w:val="both"/>
        <w:rPr>
          <w:sz w:val="28"/>
        </w:rPr>
      </w:pPr>
      <w:r w:rsidRPr="00851FD1">
        <w:rPr>
          <w:sz w:val="28"/>
        </w:rPr>
        <w:t xml:space="preserve">2011.gada </w:t>
      </w:r>
      <w:r>
        <w:rPr>
          <w:sz w:val="28"/>
        </w:rPr>
        <w:t>febru</w:t>
      </w:r>
      <w:r w:rsidRPr="00851FD1">
        <w:rPr>
          <w:sz w:val="28"/>
        </w:rPr>
        <w:t>ārī ražotāju cenas bija par 8,</w:t>
      </w:r>
      <w:r>
        <w:rPr>
          <w:sz w:val="28"/>
        </w:rPr>
        <w:t>6</w:t>
      </w:r>
      <w:r w:rsidRPr="00851FD1">
        <w:rPr>
          <w:sz w:val="28"/>
        </w:rPr>
        <w:t xml:space="preserve">% augstākas nekā 2010.gada </w:t>
      </w:r>
      <w:r>
        <w:rPr>
          <w:sz w:val="28"/>
        </w:rPr>
        <w:t>febru</w:t>
      </w:r>
      <w:r w:rsidRPr="00851FD1">
        <w:rPr>
          <w:sz w:val="28"/>
        </w:rPr>
        <w:t>ārī</w:t>
      </w:r>
      <w:r>
        <w:rPr>
          <w:sz w:val="28"/>
        </w:rPr>
        <w:t>,</w:t>
      </w:r>
      <w:r w:rsidRPr="00851FD1">
        <w:rPr>
          <w:sz w:val="28"/>
        </w:rPr>
        <w:t xml:space="preserve"> </w:t>
      </w:r>
      <w:r>
        <w:rPr>
          <w:sz w:val="28"/>
        </w:rPr>
        <w:t>t.sk. apstrādes rūpniecībā – par 8,4%</w:t>
      </w:r>
      <w:r w:rsidRPr="00851FD1">
        <w:rPr>
          <w:sz w:val="28"/>
        </w:rPr>
        <w:t xml:space="preserve">. Vietējā tirgū realizētās produkcijas cenas pieauga par </w:t>
      </w:r>
      <w:r>
        <w:rPr>
          <w:sz w:val="28"/>
        </w:rPr>
        <w:t>7,9</w:t>
      </w:r>
      <w:r w:rsidRPr="00851FD1">
        <w:rPr>
          <w:sz w:val="28"/>
        </w:rPr>
        <w:t xml:space="preserve">%, bet eksportētajai produkcijai – par </w:t>
      </w:r>
      <w:r>
        <w:rPr>
          <w:sz w:val="28"/>
        </w:rPr>
        <w:t>9,7</w:t>
      </w:r>
      <w:r w:rsidRPr="00851FD1">
        <w:rPr>
          <w:sz w:val="28"/>
        </w:rPr>
        <w:t xml:space="preserve">%. Straujāk tās palielinājās metālu ražošanā – par </w:t>
      </w:r>
      <w:r>
        <w:rPr>
          <w:sz w:val="28"/>
        </w:rPr>
        <w:t>40,1</w:t>
      </w:r>
      <w:r w:rsidRPr="00851FD1">
        <w:rPr>
          <w:sz w:val="28"/>
        </w:rPr>
        <w:t xml:space="preserve">%, koksnes un koka izstrādājumu ražošanā – par </w:t>
      </w:r>
      <w:r>
        <w:rPr>
          <w:sz w:val="28"/>
        </w:rPr>
        <w:t>9,8</w:t>
      </w:r>
      <w:r w:rsidRPr="00851FD1">
        <w:rPr>
          <w:sz w:val="28"/>
        </w:rPr>
        <w:t xml:space="preserve">%, enerģētikā – par </w:t>
      </w:r>
      <w:r>
        <w:rPr>
          <w:sz w:val="28"/>
        </w:rPr>
        <w:t>8,3</w:t>
      </w:r>
      <w:r w:rsidRPr="00851FD1">
        <w:rPr>
          <w:sz w:val="28"/>
        </w:rPr>
        <w:t xml:space="preserve">% un pārtikas produktu ražošanā – par </w:t>
      </w:r>
      <w:r>
        <w:rPr>
          <w:sz w:val="28"/>
        </w:rPr>
        <w:t>9,8</w:t>
      </w:r>
      <w:r w:rsidR="00CF615A">
        <w:rPr>
          <w:sz w:val="28"/>
        </w:rPr>
        <w:t xml:space="preserve"> procentiem</w:t>
      </w:r>
      <w:r w:rsidRPr="00851FD1">
        <w:rPr>
          <w:sz w:val="28"/>
        </w:rPr>
        <w:t>.</w:t>
      </w:r>
    </w:p>
    <w:p w:rsidR="005D5DF1" w:rsidRDefault="005D5DF1" w:rsidP="00CF615A">
      <w:pPr>
        <w:ind w:left="-142" w:firstLine="426"/>
        <w:jc w:val="both"/>
        <w:rPr>
          <w:sz w:val="28"/>
        </w:rPr>
      </w:pPr>
      <w:r>
        <w:rPr>
          <w:sz w:val="28"/>
        </w:rPr>
        <w:t>Februārī, salīdzinot ar 2010.gada decembri</w:t>
      </w:r>
      <w:r w:rsidR="00CF615A">
        <w:rPr>
          <w:sz w:val="28"/>
        </w:rPr>
        <w:t>,</w:t>
      </w:r>
      <w:r>
        <w:rPr>
          <w:sz w:val="28"/>
        </w:rPr>
        <w:t xml:space="preserve"> ražotāju cenas pieauga par 1,6%. Arī apstrādes rūpniecībā ražotāju cenas turpināja pieaugt (par 2,5%). Ja 2010.gada pēdējos mēnešos un ražotāju cenas apstrādes rūpniecībā pamatā noteica vietējā tirgū realizētās produkcijas cenu pieaugums, tad jau 2011.gada februārī pieaugumu vairāk ietekmēja cenu kāpums eksportētai produkcijai (februārī, salīdzinot ar 2010.gada decembri, cenas </w:t>
      </w:r>
      <w:r w:rsidR="00CF615A">
        <w:rPr>
          <w:sz w:val="28"/>
        </w:rPr>
        <w:t xml:space="preserve">eksportētajai produkcijai </w:t>
      </w:r>
      <w:r>
        <w:rPr>
          <w:sz w:val="28"/>
        </w:rPr>
        <w:t>pieauga par 2,7%). Šajā pašā laikā vietējā tirgū realizētās produkcijas cenas pieauga par 2,2 procentiem.</w:t>
      </w:r>
    </w:p>
    <w:p w:rsidR="003F5B41" w:rsidRPr="003F5B41" w:rsidRDefault="003F5B41" w:rsidP="00CF615A">
      <w:pPr>
        <w:ind w:left="-142" w:firstLine="426"/>
        <w:jc w:val="both"/>
        <w:rPr>
          <w:rFonts w:eastAsia="Times New Roman"/>
          <w:sz w:val="8"/>
          <w:szCs w:val="8"/>
          <w:lang w:eastAsia="lv-LV"/>
        </w:rPr>
      </w:pPr>
    </w:p>
    <w:p w:rsidR="005D5DF1" w:rsidRPr="0086370B" w:rsidRDefault="005D5DF1" w:rsidP="00CF615A">
      <w:pPr>
        <w:ind w:left="-142" w:firstLine="426"/>
        <w:jc w:val="both"/>
        <w:rPr>
          <w:rFonts w:eastAsia="Times New Roman"/>
          <w:sz w:val="28"/>
          <w:lang w:eastAsia="lv-LV"/>
        </w:rPr>
      </w:pPr>
      <w:r w:rsidRPr="0086370B">
        <w:rPr>
          <w:rFonts w:eastAsia="Times New Roman"/>
          <w:sz w:val="28"/>
          <w:lang w:eastAsia="lv-LV"/>
        </w:rPr>
        <w:t>Turpinājumā ir sniegta vispusīga statistiskā informācija par patēriņa un ražotāju cenu pārmaiņām.</w:t>
      </w:r>
    </w:p>
    <w:p w:rsidR="005D5DF1" w:rsidRDefault="005D5DF1" w:rsidP="005D5DF1">
      <w:bookmarkStart w:id="365" w:name="_Toc282413209"/>
      <w:bookmarkEnd w:id="358"/>
      <w:bookmarkEnd w:id="359"/>
      <w:bookmarkEnd w:id="360"/>
      <w:bookmarkEnd w:id="361"/>
      <w:bookmarkEnd w:id="362"/>
      <w:bookmarkEnd w:id="363"/>
      <w:bookmarkEnd w:id="364"/>
      <w:r>
        <w:rPr>
          <w:rStyle w:val="Heading2Char"/>
          <w:b w:val="0"/>
        </w:rPr>
        <w:lastRenderedPageBreak/>
        <w:t>7</w:t>
      </w:r>
      <w:r w:rsidRPr="00CD3CE6">
        <w:rPr>
          <w:rStyle w:val="Heading2Char"/>
          <w:b w:val="0"/>
        </w:rPr>
        <w:t>.1.attēls.</w:t>
      </w:r>
      <w:r w:rsidRPr="009F6E8E">
        <w:rPr>
          <w:rStyle w:val="Heading2Char"/>
        </w:rPr>
        <w:t xml:space="preserve"> Patēriņa cenu pārmaiņas</w:t>
      </w:r>
      <w:bookmarkEnd w:id="365"/>
      <w:r w:rsidRPr="009F6E8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903"/>
      </w:tblGrid>
      <w:tr w:rsidR="005D5DF1" w:rsidTr="005D5DF1">
        <w:tc>
          <w:tcPr>
            <w:tcW w:w="4952" w:type="dxa"/>
            <w:vAlign w:val="bottom"/>
          </w:tcPr>
          <w:p w:rsidR="005D5DF1" w:rsidRDefault="005D5DF1" w:rsidP="005D5DF1">
            <w:pPr>
              <w:jc w:val="center"/>
            </w:pPr>
            <w:r>
              <w:t>Izmaiņas % pret iepriekšējā gada atbilstošo mēnesi (</w:t>
            </w:r>
            <w:r w:rsidRPr="009F6E8E">
              <w:t>12 mēnešu inflācija</w:t>
            </w:r>
            <w:r>
              <w:t>)</w:t>
            </w:r>
          </w:p>
        </w:tc>
        <w:tc>
          <w:tcPr>
            <w:tcW w:w="4903" w:type="dxa"/>
            <w:vAlign w:val="bottom"/>
          </w:tcPr>
          <w:p w:rsidR="005D5DF1" w:rsidRDefault="005D5DF1" w:rsidP="005D5DF1">
            <w:pPr>
              <w:jc w:val="center"/>
            </w:pPr>
            <w:r>
              <w:t>2006.gada decembris = 100</w:t>
            </w:r>
          </w:p>
        </w:tc>
      </w:tr>
      <w:tr w:rsidR="005D5DF1" w:rsidTr="005D5DF1">
        <w:tc>
          <w:tcPr>
            <w:tcW w:w="4952" w:type="dxa"/>
          </w:tcPr>
          <w:p w:rsidR="005D5DF1" w:rsidRDefault="005D5DF1" w:rsidP="005D5DF1">
            <w:r w:rsidRPr="009F6E8E">
              <w:rPr>
                <w:noProof/>
              </w:rPr>
              <w:drawing>
                <wp:inline distT="0" distB="0" distL="0" distR="0">
                  <wp:extent cx="3003550" cy="2787650"/>
                  <wp:effectExtent l="19050" t="0" r="0" b="0"/>
                  <wp:docPr id="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c>
          <w:tcPr>
            <w:tcW w:w="4903" w:type="dxa"/>
          </w:tcPr>
          <w:p w:rsidR="005D5DF1" w:rsidRDefault="005D5DF1" w:rsidP="005D5DF1">
            <w:r w:rsidRPr="00CE5FF6">
              <w:rPr>
                <w:noProof/>
              </w:rPr>
              <w:drawing>
                <wp:inline distT="0" distB="0" distL="0" distR="0">
                  <wp:extent cx="2971800" cy="2755900"/>
                  <wp:effectExtent l="19050" t="0" r="0" b="0"/>
                  <wp:docPr id="2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bl>
    <w:p w:rsidR="005D5DF1" w:rsidRPr="009F6E8E" w:rsidRDefault="005D5DF1" w:rsidP="005D5DF1">
      <w:pPr>
        <w:pStyle w:val="Heading2"/>
      </w:pPr>
      <w:bookmarkStart w:id="366" w:name="_Toc216077879"/>
      <w:bookmarkStart w:id="367" w:name="_Toc216079548"/>
      <w:bookmarkStart w:id="368" w:name="_Toc216079616"/>
      <w:bookmarkStart w:id="369" w:name="_Toc216079678"/>
      <w:bookmarkStart w:id="370" w:name="_Toc216079734"/>
      <w:bookmarkStart w:id="371" w:name="_Toc216079790"/>
      <w:bookmarkStart w:id="372" w:name="_Toc216079846"/>
      <w:bookmarkStart w:id="373" w:name="_Toc282413210"/>
      <w:r>
        <w:rPr>
          <w:b w:val="0"/>
        </w:rPr>
        <w:t>7</w:t>
      </w:r>
      <w:r w:rsidRPr="009F6E8E">
        <w:rPr>
          <w:b w:val="0"/>
        </w:rPr>
        <w:t>.1.tabula.</w:t>
      </w:r>
      <w:r w:rsidRPr="009F6E8E">
        <w:t xml:space="preserve"> Patēriņa cenu pārmaiņas pa mēnešiem</w:t>
      </w:r>
      <w:bookmarkEnd w:id="366"/>
      <w:bookmarkEnd w:id="367"/>
      <w:bookmarkEnd w:id="368"/>
      <w:bookmarkEnd w:id="369"/>
      <w:bookmarkEnd w:id="370"/>
      <w:bookmarkEnd w:id="371"/>
      <w:bookmarkEnd w:id="372"/>
      <w:bookmarkEnd w:id="373"/>
    </w:p>
    <w:p w:rsidR="005D5DF1" w:rsidRPr="009F6E8E" w:rsidRDefault="005D5DF1" w:rsidP="005D5DF1">
      <w:pPr>
        <w:pStyle w:val="BodyTextIndent"/>
        <w:spacing w:after="0"/>
        <w:ind w:left="0"/>
        <w:jc w:val="center"/>
        <w:rPr>
          <w:b/>
          <w:sz w:val="6"/>
          <w:szCs w:val="20"/>
        </w:rPr>
      </w:pPr>
    </w:p>
    <w:tbl>
      <w:tblPr>
        <w:tblStyle w:val="LightShading1"/>
        <w:tblW w:w="7986" w:type="dxa"/>
        <w:jc w:val="center"/>
        <w:tblLayout w:type="fixed"/>
        <w:tblLook w:val="0400"/>
      </w:tblPr>
      <w:tblGrid>
        <w:gridCol w:w="734"/>
        <w:gridCol w:w="1441"/>
        <w:gridCol w:w="1937"/>
        <w:gridCol w:w="2433"/>
        <w:gridCol w:w="1441"/>
      </w:tblGrid>
      <w:tr w:rsidR="005D5DF1" w:rsidRPr="001C74F0" w:rsidTr="00CF615A">
        <w:trPr>
          <w:cnfStyle w:val="000000100000"/>
          <w:jc w:val="center"/>
        </w:trPr>
        <w:tc>
          <w:tcPr>
            <w:tcW w:w="734" w:type="dxa"/>
            <w:tcBorders>
              <w:top w:val="single" w:sz="8" w:space="0" w:color="0070C0"/>
              <w:bottom w:val="nil"/>
            </w:tcBorders>
            <w:noWrap/>
          </w:tcPr>
          <w:p w:rsidR="005D5DF1" w:rsidRPr="001C74F0" w:rsidRDefault="005D5DF1" w:rsidP="005D5DF1">
            <w:pPr>
              <w:spacing w:before="20" w:after="20"/>
              <w:ind w:left="-288" w:firstLine="288"/>
              <w:jc w:val="center"/>
              <w:rPr>
                <w:bCs/>
                <w:color w:val="auto"/>
                <w:sz w:val="22"/>
                <w:szCs w:val="22"/>
              </w:rPr>
            </w:pPr>
            <w:r w:rsidRPr="001C74F0">
              <w:rPr>
                <w:bCs/>
                <w:color w:val="auto"/>
                <w:sz w:val="22"/>
                <w:szCs w:val="22"/>
              </w:rPr>
              <w:t>Gads</w:t>
            </w:r>
          </w:p>
        </w:tc>
        <w:tc>
          <w:tcPr>
            <w:tcW w:w="1441" w:type="dxa"/>
            <w:tcBorders>
              <w:top w:val="single" w:sz="8" w:space="0" w:color="0070C0"/>
              <w:bottom w:val="nil"/>
            </w:tcBorders>
            <w:noWrap/>
          </w:tcPr>
          <w:p w:rsidR="005D5DF1" w:rsidRPr="001C74F0" w:rsidRDefault="005D5DF1" w:rsidP="005D5DF1">
            <w:pPr>
              <w:spacing w:before="20" w:after="20"/>
              <w:jc w:val="center"/>
              <w:rPr>
                <w:bCs/>
                <w:color w:val="auto"/>
                <w:sz w:val="22"/>
                <w:szCs w:val="22"/>
              </w:rPr>
            </w:pPr>
            <w:r w:rsidRPr="001C74F0">
              <w:rPr>
                <w:bCs/>
                <w:color w:val="auto"/>
                <w:sz w:val="22"/>
                <w:szCs w:val="22"/>
              </w:rPr>
              <w:t>Mēnesis</w:t>
            </w:r>
          </w:p>
        </w:tc>
        <w:tc>
          <w:tcPr>
            <w:tcW w:w="5811" w:type="dxa"/>
            <w:gridSpan w:val="3"/>
            <w:tcBorders>
              <w:top w:val="single" w:sz="8" w:space="0" w:color="0070C0"/>
              <w:bottom w:val="nil"/>
            </w:tcBorders>
            <w:noWrap/>
          </w:tcPr>
          <w:p w:rsidR="005D5DF1" w:rsidRPr="001C74F0" w:rsidRDefault="005D5DF1" w:rsidP="005D5DF1">
            <w:pPr>
              <w:spacing w:before="20" w:after="20"/>
              <w:jc w:val="center"/>
              <w:rPr>
                <w:bCs/>
                <w:color w:val="auto"/>
                <w:sz w:val="22"/>
                <w:szCs w:val="22"/>
              </w:rPr>
            </w:pPr>
            <w:r w:rsidRPr="001C74F0">
              <w:rPr>
                <w:bCs/>
                <w:color w:val="auto"/>
                <w:sz w:val="22"/>
                <w:szCs w:val="22"/>
              </w:rPr>
              <w:t>Cenu izmaiņas %</w:t>
            </w:r>
          </w:p>
        </w:tc>
      </w:tr>
      <w:tr w:rsidR="005D5DF1" w:rsidRPr="0028053D" w:rsidTr="00CF615A">
        <w:trPr>
          <w:jc w:val="center"/>
        </w:trPr>
        <w:tc>
          <w:tcPr>
            <w:tcW w:w="734" w:type="dxa"/>
            <w:tcBorders>
              <w:top w:val="nil"/>
              <w:bottom w:val="single" w:sz="8" w:space="0" w:color="0070C0"/>
            </w:tcBorders>
          </w:tcPr>
          <w:p w:rsidR="005D5DF1" w:rsidRPr="0028053D" w:rsidRDefault="005D5DF1" w:rsidP="005D5DF1">
            <w:pPr>
              <w:spacing w:before="20" w:after="20"/>
              <w:jc w:val="center"/>
              <w:rPr>
                <w:b/>
                <w:bCs/>
                <w:color w:val="auto"/>
                <w:sz w:val="22"/>
                <w:szCs w:val="22"/>
              </w:rPr>
            </w:pPr>
          </w:p>
        </w:tc>
        <w:tc>
          <w:tcPr>
            <w:tcW w:w="1441" w:type="dxa"/>
            <w:tcBorders>
              <w:top w:val="nil"/>
              <w:bottom w:val="single" w:sz="8" w:space="0" w:color="0070C0"/>
            </w:tcBorders>
          </w:tcPr>
          <w:p w:rsidR="005D5DF1" w:rsidRPr="0028053D" w:rsidRDefault="005D5DF1" w:rsidP="005D5DF1">
            <w:pPr>
              <w:spacing w:before="20" w:after="20"/>
              <w:jc w:val="center"/>
              <w:rPr>
                <w:b/>
                <w:bCs/>
                <w:color w:val="auto"/>
                <w:sz w:val="22"/>
                <w:szCs w:val="22"/>
              </w:rPr>
            </w:pPr>
          </w:p>
        </w:tc>
        <w:tc>
          <w:tcPr>
            <w:tcW w:w="1937" w:type="dxa"/>
            <w:tcBorders>
              <w:top w:val="nil"/>
              <w:bottom w:val="single" w:sz="8" w:space="0" w:color="0070C0"/>
            </w:tcBorders>
          </w:tcPr>
          <w:p w:rsidR="005D5DF1" w:rsidRPr="0028053D" w:rsidRDefault="005D5DF1" w:rsidP="005D5DF1">
            <w:pPr>
              <w:spacing w:before="20" w:after="20"/>
              <w:jc w:val="center"/>
              <w:rPr>
                <w:bCs/>
                <w:color w:val="auto"/>
                <w:sz w:val="22"/>
                <w:szCs w:val="22"/>
              </w:rPr>
            </w:pPr>
            <w:r w:rsidRPr="0028053D">
              <w:rPr>
                <w:bCs/>
                <w:color w:val="auto"/>
                <w:sz w:val="22"/>
                <w:szCs w:val="22"/>
              </w:rPr>
              <w:t>salīdzinot ar iepriekšējo mēnesi</w:t>
            </w:r>
          </w:p>
        </w:tc>
        <w:tc>
          <w:tcPr>
            <w:tcW w:w="2433" w:type="dxa"/>
            <w:tcBorders>
              <w:top w:val="nil"/>
              <w:bottom w:val="single" w:sz="8" w:space="0" w:color="0070C0"/>
            </w:tcBorders>
          </w:tcPr>
          <w:p w:rsidR="005D5DF1" w:rsidRPr="0028053D" w:rsidRDefault="005D5DF1" w:rsidP="005D5DF1">
            <w:pPr>
              <w:spacing w:before="20" w:after="20"/>
              <w:jc w:val="center"/>
              <w:rPr>
                <w:bCs/>
                <w:color w:val="auto"/>
                <w:sz w:val="22"/>
                <w:szCs w:val="22"/>
              </w:rPr>
            </w:pPr>
            <w:r w:rsidRPr="0028053D">
              <w:rPr>
                <w:bCs/>
                <w:color w:val="auto"/>
                <w:sz w:val="22"/>
                <w:szCs w:val="22"/>
              </w:rPr>
              <w:t>salīdzinot ar iepriekšējā gada attiecīgo mēnesi</w:t>
            </w:r>
          </w:p>
        </w:tc>
        <w:tc>
          <w:tcPr>
            <w:tcW w:w="1441" w:type="dxa"/>
            <w:tcBorders>
              <w:top w:val="nil"/>
              <w:bottom w:val="single" w:sz="8" w:space="0" w:color="0070C0"/>
            </w:tcBorders>
          </w:tcPr>
          <w:p w:rsidR="005D5DF1" w:rsidRPr="0028053D" w:rsidRDefault="005D5DF1" w:rsidP="005D5DF1">
            <w:pPr>
              <w:spacing w:before="20" w:after="20"/>
              <w:jc w:val="center"/>
              <w:rPr>
                <w:bCs/>
                <w:color w:val="auto"/>
                <w:sz w:val="22"/>
                <w:szCs w:val="22"/>
              </w:rPr>
            </w:pPr>
            <w:r w:rsidRPr="0028053D">
              <w:rPr>
                <w:bCs/>
                <w:color w:val="auto"/>
                <w:sz w:val="22"/>
                <w:szCs w:val="22"/>
              </w:rPr>
              <w:t>vidēji gada laikā</w:t>
            </w:r>
          </w:p>
        </w:tc>
      </w:tr>
      <w:tr w:rsidR="005D5DF1" w:rsidRPr="0028053D" w:rsidTr="00CF615A">
        <w:trPr>
          <w:cnfStyle w:val="000000100000"/>
          <w:jc w:val="center"/>
        </w:trPr>
        <w:tc>
          <w:tcPr>
            <w:tcW w:w="734" w:type="dxa"/>
            <w:tcBorders>
              <w:top w:val="single" w:sz="8" w:space="0" w:color="0070C0"/>
              <w:bottom w:val="nil"/>
            </w:tcBorders>
            <w:noWrap/>
          </w:tcPr>
          <w:p w:rsidR="005D5DF1" w:rsidRPr="0028053D" w:rsidRDefault="005D5DF1" w:rsidP="005D5DF1">
            <w:pPr>
              <w:spacing w:before="20" w:after="20"/>
              <w:jc w:val="center"/>
              <w:rPr>
                <w:b/>
                <w:color w:val="auto"/>
                <w:sz w:val="22"/>
                <w:szCs w:val="22"/>
              </w:rPr>
            </w:pPr>
            <w:r w:rsidRPr="0028053D">
              <w:rPr>
                <w:b/>
                <w:color w:val="auto"/>
                <w:sz w:val="22"/>
                <w:szCs w:val="22"/>
              </w:rPr>
              <w:t>2009</w:t>
            </w:r>
          </w:p>
        </w:tc>
        <w:tc>
          <w:tcPr>
            <w:tcW w:w="1441" w:type="dxa"/>
            <w:tcBorders>
              <w:top w:val="single" w:sz="8" w:space="0" w:color="0070C0"/>
              <w:bottom w:val="nil"/>
            </w:tcBorders>
            <w:noWrap/>
          </w:tcPr>
          <w:p w:rsidR="005D5DF1" w:rsidRPr="0028053D" w:rsidRDefault="005D5DF1" w:rsidP="005D5DF1">
            <w:pPr>
              <w:spacing w:before="20" w:after="20"/>
              <w:ind w:left="212"/>
              <w:rPr>
                <w:color w:val="auto"/>
                <w:sz w:val="22"/>
                <w:szCs w:val="22"/>
              </w:rPr>
            </w:pPr>
            <w:r w:rsidRPr="0028053D">
              <w:rPr>
                <w:color w:val="auto"/>
                <w:sz w:val="22"/>
                <w:szCs w:val="22"/>
              </w:rPr>
              <w:t>Janvāris</w:t>
            </w:r>
          </w:p>
        </w:tc>
        <w:tc>
          <w:tcPr>
            <w:tcW w:w="1937" w:type="dxa"/>
            <w:tcBorders>
              <w:top w:val="single" w:sz="8" w:space="0" w:color="0070C0"/>
              <w:bottom w:val="nil"/>
            </w:tcBorders>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2,1</w:t>
            </w:r>
          </w:p>
        </w:tc>
        <w:tc>
          <w:tcPr>
            <w:tcW w:w="2433" w:type="dxa"/>
            <w:tcBorders>
              <w:top w:val="single" w:sz="8" w:space="0" w:color="0070C0"/>
              <w:bottom w:val="nil"/>
            </w:tcBorders>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9,8</w:t>
            </w:r>
          </w:p>
        </w:tc>
        <w:tc>
          <w:tcPr>
            <w:tcW w:w="1441" w:type="dxa"/>
            <w:tcBorders>
              <w:top w:val="single" w:sz="8" w:space="0" w:color="0070C0"/>
              <w:bottom w:val="nil"/>
            </w:tcBorders>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14,9</w:t>
            </w:r>
          </w:p>
        </w:tc>
      </w:tr>
      <w:tr w:rsidR="005D5DF1" w:rsidRPr="0028053D" w:rsidTr="005D5DF1">
        <w:trPr>
          <w:jc w:val="center"/>
        </w:trPr>
        <w:tc>
          <w:tcPr>
            <w:tcW w:w="734" w:type="dxa"/>
            <w:tcBorders>
              <w:top w:val="nil"/>
            </w:tcBorders>
            <w:noWrap/>
          </w:tcPr>
          <w:p w:rsidR="005D5DF1" w:rsidRPr="0028053D" w:rsidRDefault="005D5DF1" w:rsidP="005D5DF1">
            <w:pPr>
              <w:spacing w:before="20" w:after="20"/>
              <w:jc w:val="center"/>
              <w:rPr>
                <w:b/>
                <w:color w:val="auto"/>
                <w:sz w:val="22"/>
                <w:szCs w:val="22"/>
              </w:rPr>
            </w:pPr>
          </w:p>
        </w:tc>
        <w:tc>
          <w:tcPr>
            <w:tcW w:w="1441" w:type="dxa"/>
            <w:tcBorders>
              <w:top w:val="nil"/>
            </w:tcBorders>
            <w:noWrap/>
          </w:tcPr>
          <w:p w:rsidR="005D5DF1" w:rsidRPr="0028053D" w:rsidRDefault="005D5DF1" w:rsidP="005D5DF1">
            <w:pPr>
              <w:spacing w:before="20" w:after="20"/>
              <w:ind w:left="212"/>
              <w:rPr>
                <w:color w:val="auto"/>
                <w:sz w:val="22"/>
                <w:szCs w:val="22"/>
              </w:rPr>
            </w:pPr>
            <w:r w:rsidRPr="0028053D">
              <w:rPr>
                <w:color w:val="auto"/>
                <w:sz w:val="22"/>
                <w:szCs w:val="22"/>
              </w:rPr>
              <w:t>Februāris</w:t>
            </w:r>
          </w:p>
        </w:tc>
        <w:tc>
          <w:tcPr>
            <w:tcW w:w="1937" w:type="dxa"/>
            <w:tcBorders>
              <w:top w:val="nil"/>
            </w:tcBorders>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1,1</w:t>
            </w:r>
          </w:p>
        </w:tc>
        <w:tc>
          <w:tcPr>
            <w:tcW w:w="2433" w:type="dxa"/>
            <w:tcBorders>
              <w:top w:val="nil"/>
            </w:tcBorders>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9,6</w:t>
            </w:r>
          </w:p>
        </w:tc>
        <w:tc>
          <w:tcPr>
            <w:tcW w:w="1441" w:type="dxa"/>
            <w:tcBorders>
              <w:top w:val="nil"/>
            </w:tcBorders>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14,3</w:t>
            </w:r>
          </w:p>
        </w:tc>
      </w:tr>
      <w:tr w:rsidR="005D5DF1" w:rsidRPr="0028053D" w:rsidTr="005D5DF1">
        <w:trPr>
          <w:cnfStyle w:val="000000100000"/>
          <w:jc w:val="center"/>
        </w:trPr>
        <w:tc>
          <w:tcPr>
            <w:tcW w:w="734" w:type="dxa"/>
            <w:noWrap/>
          </w:tcPr>
          <w:p w:rsidR="005D5DF1" w:rsidRPr="0028053D" w:rsidRDefault="005D5DF1" w:rsidP="005D5DF1">
            <w:pPr>
              <w:spacing w:before="20" w:after="20"/>
              <w:jc w:val="center"/>
              <w:rPr>
                <w:b/>
                <w:color w:val="auto"/>
                <w:sz w:val="22"/>
                <w:szCs w:val="22"/>
              </w:rPr>
            </w:pP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Marts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0,1</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8,2</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13,5</w:t>
            </w:r>
          </w:p>
        </w:tc>
      </w:tr>
      <w:tr w:rsidR="005D5DF1" w:rsidRPr="0028053D" w:rsidTr="005D5DF1">
        <w:trPr>
          <w:jc w:val="center"/>
        </w:trPr>
        <w:tc>
          <w:tcPr>
            <w:tcW w:w="734" w:type="dxa"/>
            <w:noWrap/>
          </w:tcPr>
          <w:p w:rsidR="005D5DF1" w:rsidRPr="0028053D" w:rsidRDefault="005D5DF1" w:rsidP="005D5DF1">
            <w:pPr>
              <w:spacing w:before="20" w:after="20"/>
              <w:jc w:val="center"/>
              <w:rPr>
                <w:b/>
                <w:color w:val="auto"/>
                <w:sz w:val="22"/>
                <w:szCs w:val="22"/>
              </w:rPr>
            </w:pP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Aprīlis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-0,4</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6,2</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12,5</w:t>
            </w:r>
          </w:p>
        </w:tc>
      </w:tr>
      <w:tr w:rsidR="005D5DF1" w:rsidRPr="0028053D" w:rsidTr="005D5DF1">
        <w:trPr>
          <w:cnfStyle w:val="000000100000"/>
          <w:trHeight w:val="273"/>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0"/>
              </w:rPr>
            </w:pPr>
            <w:r w:rsidRPr="0028053D">
              <w:rPr>
                <w:color w:val="auto"/>
                <w:sz w:val="22"/>
                <w:szCs w:val="20"/>
              </w:rPr>
              <w:t>Maijs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-0,4</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4,7</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11,4</w:t>
            </w:r>
          </w:p>
        </w:tc>
      </w:tr>
      <w:tr w:rsidR="005D5DF1" w:rsidRPr="0028053D" w:rsidTr="005D5DF1">
        <w:trPr>
          <w:trHeight w:val="303"/>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0"/>
              </w:rPr>
            </w:pPr>
            <w:r w:rsidRPr="0028053D">
              <w:rPr>
                <w:color w:val="auto"/>
                <w:sz w:val="22"/>
                <w:szCs w:val="20"/>
              </w:rPr>
              <w:t>Jūnijs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-0,5</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3,4</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10,2</w:t>
            </w:r>
          </w:p>
        </w:tc>
      </w:tr>
      <w:tr w:rsidR="005D5DF1" w:rsidRPr="0028053D" w:rsidTr="005D5DF1">
        <w:trPr>
          <w:cnfStyle w:val="000000100000"/>
          <w:trHeight w:val="287"/>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0"/>
              </w:rPr>
            </w:pPr>
            <w:r w:rsidRPr="0028053D">
              <w:rPr>
                <w:color w:val="auto"/>
                <w:sz w:val="22"/>
                <w:szCs w:val="20"/>
              </w:rPr>
              <w:t>Jūlijs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-0,6</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2,5</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9,1</w:t>
            </w:r>
          </w:p>
        </w:tc>
      </w:tr>
      <w:tr w:rsidR="005D5DF1" w:rsidRPr="0028053D" w:rsidTr="005D5DF1">
        <w:trPr>
          <w:trHeight w:val="236"/>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0"/>
              </w:rPr>
            </w:pPr>
            <w:r w:rsidRPr="0028053D">
              <w:rPr>
                <w:color w:val="auto"/>
                <w:sz w:val="22"/>
                <w:szCs w:val="20"/>
              </w:rPr>
              <w:t>Augusts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-1,0</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1,8</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7,9</w:t>
            </w:r>
          </w:p>
        </w:tc>
      </w:tr>
      <w:tr w:rsidR="005D5DF1" w:rsidRPr="0028053D" w:rsidTr="005D5DF1">
        <w:trPr>
          <w:cnfStyle w:val="000000100000"/>
          <w:trHeight w:val="236"/>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Septembris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-0,1</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0,5</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6,7</w:t>
            </w:r>
          </w:p>
        </w:tc>
      </w:tr>
      <w:tr w:rsidR="005D5DF1" w:rsidRPr="0028053D" w:rsidTr="005D5DF1">
        <w:trPr>
          <w:trHeight w:val="236"/>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Oktobris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-0,2</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-0,9</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5,5</w:t>
            </w:r>
          </w:p>
        </w:tc>
      </w:tr>
      <w:tr w:rsidR="005D5DF1" w:rsidRPr="0028053D" w:rsidTr="005D5DF1">
        <w:trPr>
          <w:cnfStyle w:val="000000100000"/>
          <w:trHeight w:val="236"/>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Novembris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-0,7</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-1,2</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4,5</w:t>
            </w:r>
          </w:p>
        </w:tc>
      </w:tr>
      <w:tr w:rsidR="005D5DF1" w:rsidRPr="0028053D" w:rsidTr="005D5DF1">
        <w:trPr>
          <w:trHeight w:val="236"/>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Decembris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-0,5</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-1,2</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3,5</w:t>
            </w:r>
          </w:p>
        </w:tc>
      </w:tr>
      <w:tr w:rsidR="005D5DF1" w:rsidRPr="0028053D" w:rsidTr="005D5DF1">
        <w:trPr>
          <w:cnfStyle w:val="000000100000"/>
          <w:trHeight w:val="236"/>
          <w:jc w:val="center"/>
        </w:trPr>
        <w:tc>
          <w:tcPr>
            <w:tcW w:w="734" w:type="dxa"/>
            <w:noWrap/>
          </w:tcPr>
          <w:p w:rsidR="005D5DF1" w:rsidRPr="0028053D" w:rsidRDefault="005D5DF1" w:rsidP="005D5DF1">
            <w:pPr>
              <w:spacing w:before="20" w:after="20"/>
              <w:jc w:val="center"/>
              <w:rPr>
                <w:b/>
                <w:color w:val="auto"/>
                <w:sz w:val="22"/>
                <w:szCs w:val="20"/>
              </w:rPr>
            </w:pPr>
            <w:r w:rsidRPr="0028053D">
              <w:rPr>
                <w:b/>
                <w:color w:val="auto"/>
                <w:sz w:val="22"/>
                <w:szCs w:val="20"/>
              </w:rPr>
              <w:t>2010</w:t>
            </w: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Janvāris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0,2</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-3,1</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2,5</w:t>
            </w:r>
          </w:p>
        </w:tc>
      </w:tr>
      <w:tr w:rsidR="005D5DF1" w:rsidRPr="0028053D" w:rsidTr="005D5DF1">
        <w:trPr>
          <w:trHeight w:val="236"/>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Februāris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0,0</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-4,2</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1,3</w:t>
            </w:r>
          </w:p>
        </w:tc>
      </w:tr>
      <w:tr w:rsidR="005D5DF1" w:rsidRPr="0028053D" w:rsidTr="005D5DF1">
        <w:trPr>
          <w:cnfStyle w:val="000000100000"/>
          <w:trHeight w:val="236"/>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Marts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0,5</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-3,9</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0,3</w:t>
            </w:r>
          </w:p>
        </w:tc>
      </w:tr>
      <w:tr w:rsidR="005D5DF1" w:rsidRPr="0028053D" w:rsidTr="005D5DF1">
        <w:trPr>
          <w:trHeight w:val="236"/>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2"/>
              </w:rPr>
            </w:pPr>
            <w:r w:rsidRPr="0028053D">
              <w:rPr>
                <w:color w:val="auto"/>
                <w:sz w:val="22"/>
                <w:szCs w:val="22"/>
              </w:rPr>
              <w:t>Aprīlis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0,9</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-2,7</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-0,4</w:t>
            </w:r>
          </w:p>
        </w:tc>
      </w:tr>
      <w:tr w:rsidR="005D5DF1" w:rsidRPr="0028053D" w:rsidTr="005D5DF1">
        <w:trPr>
          <w:cnfStyle w:val="000000100000"/>
          <w:trHeight w:val="236"/>
          <w:jc w:val="center"/>
        </w:trPr>
        <w:tc>
          <w:tcPr>
            <w:tcW w:w="734" w:type="dxa"/>
            <w:noWrap/>
          </w:tcPr>
          <w:p w:rsidR="005D5DF1" w:rsidRPr="0028053D" w:rsidRDefault="005D5DF1" w:rsidP="005D5DF1">
            <w:pPr>
              <w:spacing w:before="20" w:after="20"/>
              <w:jc w:val="center"/>
              <w:rPr>
                <w:b/>
                <w:color w:val="auto"/>
                <w:sz w:val="22"/>
                <w:szCs w:val="20"/>
              </w:rPr>
            </w:pPr>
          </w:p>
        </w:tc>
        <w:tc>
          <w:tcPr>
            <w:tcW w:w="1441" w:type="dxa"/>
            <w:noWrap/>
          </w:tcPr>
          <w:p w:rsidR="005D5DF1" w:rsidRPr="0028053D" w:rsidRDefault="005D5DF1" w:rsidP="005D5DF1">
            <w:pPr>
              <w:spacing w:before="20" w:after="20"/>
              <w:ind w:left="212"/>
              <w:rPr>
                <w:color w:val="auto"/>
                <w:sz w:val="22"/>
                <w:szCs w:val="20"/>
              </w:rPr>
            </w:pPr>
            <w:r w:rsidRPr="0028053D">
              <w:rPr>
                <w:color w:val="auto"/>
                <w:sz w:val="22"/>
                <w:szCs w:val="20"/>
              </w:rPr>
              <w:t>Maijs</w:t>
            </w:r>
          </w:p>
        </w:tc>
        <w:tc>
          <w:tcPr>
            <w:tcW w:w="1937" w:type="dxa"/>
            <w:noWrap/>
          </w:tcPr>
          <w:p w:rsidR="005D5DF1" w:rsidRPr="0028053D" w:rsidRDefault="005D5DF1" w:rsidP="005D5DF1">
            <w:pPr>
              <w:tabs>
                <w:tab w:val="decimal" w:pos="860"/>
              </w:tabs>
              <w:spacing w:before="20" w:after="20"/>
              <w:rPr>
                <w:color w:val="auto"/>
                <w:sz w:val="20"/>
                <w:szCs w:val="18"/>
              </w:rPr>
            </w:pPr>
            <w:r w:rsidRPr="0028053D">
              <w:rPr>
                <w:color w:val="auto"/>
                <w:sz w:val="20"/>
                <w:szCs w:val="18"/>
              </w:rPr>
              <w:t>-0,1</w:t>
            </w:r>
          </w:p>
        </w:tc>
        <w:tc>
          <w:tcPr>
            <w:tcW w:w="2433" w:type="dxa"/>
            <w:noWrap/>
          </w:tcPr>
          <w:p w:rsidR="005D5DF1" w:rsidRPr="0028053D" w:rsidRDefault="005D5DF1" w:rsidP="005D5DF1">
            <w:pPr>
              <w:tabs>
                <w:tab w:val="decimal" w:pos="1050"/>
              </w:tabs>
              <w:spacing w:before="20" w:after="20"/>
              <w:rPr>
                <w:color w:val="auto"/>
                <w:sz w:val="20"/>
                <w:szCs w:val="18"/>
              </w:rPr>
            </w:pPr>
            <w:r w:rsidRPr="0028053D">
              <w:rPr>
                <w:color w:val="auto"/>
                <w:sz w:val="20"/>
                <w:szCs w:val="18"/>
              </w:rPr>
              <w:t>-2,3</w:t>
            </w:r>
          </w:p>
        </w:tc>
        <w:tc>
          <w:tcPr>
            <w:tcW w:w="1441" w:type="dxa"/>
            <w:noWrap/>
          </w:tcPr>
          <w:p w:rsidR="005D5DF1" w:rsidRPr="0028053D" w:rsidRDefault="005D5DF1" w:rsidP="005D5DF1">
            <w:pPr>
              <w:tabs>
                <w:tab w:val="decimal" w:pos="459"/>
              </w:tabs>
              <w:spacing w:before="20" w:after="20"/>
              <w:jc w:val="center"/>
              <w:rPr>
                <w:color w:val="auto"/>
                <w:sz w:val="20"/>
                <w:szCs w:val="18"/>
              </w:rPr>
            </w:pPr>
            <w:r w:rsidRPr="0028053D">
              <w:rPr>
                <w:color w:val="auto"/>
                <w:sz w:val="20"/>
                <w:szCs w:val="18"/>
              </w:rPr>
              <w:t>-1,0</w:t>
            </w:r>
          </w:p>
        </w:tc>
      </w:tr>
      <w:tr w:rsidR="005D5DF1" w:rsidRPr="0028053D" w:rsidTr="005D5DF1">
        <w:trPr>
          <w:trHeight w:val="236"/>
          <w:jc w:val="center"/>
        </w:trPr>
        <w:tc>
          <w:tcPr>
            <w:tcW w:w="734" w:type="dxa"/>
            <w:noWrap/>
          </w:tcPr>
          <w:p w:rsidR="005D5DF1" w:rsidRPr="0028053D" w:rsidRDefault="005D5DF1" w:rsidP="005D5DF1">
            <w:pPr>
              <w:spacing w:before="20" w:after="20"/>
              <w:jc w:val="center"/>
              <w:rPr>
                <w:b/>
                <w:sz w:val="22"/>
                <w:szCs w:val="20"/>
              </w:rPr>
            </w:pPr>
          </w:p>
        </w:tc>
        <w:tc>
          <w:tcPr>
            <w:tcW w:w="1441" w:type="dxa"/>
            <w:noWrap/>
          </w:tcPr>
          <w:p w:rsidR="005D5DF1" w:rsidRPr="0028053D" w:rsidRDefault="005D5DF1" w:rsidP="005D5DF1">
            <w:pPr>
              <w:spacing w:before="20" w:after="20"/>
              <w:ind w:left="212"/>
              <w:rPr>
                <w:color w:val="auto"/>
                <w:sz w:val="22"/>
                <w:szCs w:val="20"/>
              </w:rPr>
            </w:pPr>
            <w:r w:rsidRPr="0028053D">
              <w:rPr>
                <w:color w:val="auto"/>
                <w:sz w:val="22"/>
                <w:szCs w:val="20"/>
              </w:rPr>
              <w:t>Jūnijs</w:t>
            </w:r>
          </w:p>
        </w:tc>
        <w:tc>
          <w:tcPr>
            <w:tcW w:w="1937" w:type="dxa"/>
            <w:noWrap/>
          </w:tcPr>
          <w:p w:rsidR="005D5DF1" w:rsidRPr="00A22198" w:rsidRDefault="005D5DF1" w:rsidP="005D5DF1">
            <w:pPr>
              <w:tabs>
                <w:tab w:val="decimal" w:pos="860"/>
              </w:tabs>
              <w:spacing w:before="20" w:after="20"/>
              <w:rPr>
                <w:color w:val="auto"/>
                <w:sz w:val="20"/>
                <w:szCs w:val="18"/>
              </w:rPr>
            </w:pPr>
            <w:r w:rsidRPr="00A22198">
              <w:rPr>
                <w:color w:val="auto"/>
                <w:sz w:val="20"/>
                <w:szCs w:val="18"/>
              </w:rPr>
              <w:t>0,4</w:t>
            </w:r>
          </w:p>
        </w:tc>
        <w:tc>
          <w:tcPr>
            <w:tcW w:w="2433" w:type="dxa"/>
            <w:noWrap/>
          </w:tcPr>
          <w:p w:rsidR="005D5DF1" w:rsidRPr="00A22198" w:rsidRDefault="005D5DF1" w:rsidP="005D5DF1">
            <w:pPr>
              <w:tabs>
                <w:tab w:val="decimal" w:pos="1050"/>
              </w:tabs>
              <w:spacing w:before="20" w:after="20"/>
              <w:rPr>
                <w:color w:val="auto"/>
                <w:sz w:val="20"/>
                <w:szCs w:val="18"/>
              </w:rPr>
            </w:pPr>
            <w:r>
              <w:rPr>
                <w:color w:val="auto"/>
                <w:sz w:val="20"/>
                <w:szCs w:val="18"/>
              </w:rPr>
              <w:t>-1,4</w:t>
            </w:r>
          </w:p>
        </w:tc>
        <w:tc>
          <w:tcPr>
            <w:tcW w:w="1441" w:type="dxa"/>
            <w:noWrap/>
          </w:tcPr>
          <w:p w:rsidR="005D5DF1" w:rsidRPr="00A22198" w:rsidRDefault="005D5DF1" w:rsidP="005D5DF1">
            <w:pPr>
              <w:tabs>
                <w:tab w:val="decimal" w:pos="459"/>
              </w:tabs>
              <w:spacing w:before="20" w:after="20"/>
              <w:jc w:val="center"/>
              <w:rPr>
                <w:color w:val="auto"/>
                <w:sz w:val="20"/>
                <w:szCs w:val="18"/>
              </w:rPr>
            </w:pPr>
            <w:r>
              <w:rPr>
                <w:color w:val="auto"/>
                <w:sz w:val="20"/>
                <w:szCs w:val="18"/>
              </w:rPr>
              <w:t>-1,4</w:t>
            </w:r>
          </w:p>
        </w:tc>
      </w:tr>
      <w:tr w:rsidR="005D5DF1" w:rsidRPr="0028053D" w:rsidTr="005D5DF1">
        <w:trPr>
          <w:cnfStyle w:val="000000100000"/>
          <w:trHeight w:val="236"/>
          <w:jc w:val="center"/>
        </w:trPr>
        <w:tc>
          <w:tcPr>
            <w:tcW w:w="734" w:type="dxa"/>
            <w:noWrap/>
          </w:tcPr>
          <w:p w:rsidR="005D5DF1" w:rsidRPr="0028053D" w:rsidRDefault="005D5DF1" w:rsidP="005D5DF1">
            <w:pPr>
              <w:spacing w:before="20" w:after="20"/>
              <w:jc w:val="center"/>
              <w:rPr>
                <w:b/>
                <w:sz w:val="22"/>
                <w:szCs w:val="20"/>
              </w:rPr>
            </w:pPr>
          </w:p>
        </w:tc>
        <w:tc>
          <w:tcPr>
            <w:tcW w:w="1441" w:type="dxa"/>
            <w:noWrap/>
          </w:tcPr>
          <w:p w:rsidR="005D5DF1" w:rsidRPr="0028053D" w:rsidRDefault="005D5DF1" w:rsidP="005D5DF1">
            <w:pPr>
              <w:spacing w:before="20" w:after="20"/>
              <w:ind w:left="212"/>
              <w:rPr>
                <w:color w:val="auto"/>
                <w:sz w:val="22"/>
                <w:szCs w:val="20"/>
              </w:rPr>
            </w:pPr>
            <w:r w:rsidRPr="0028053D">
              <w:rPr>
                <w:color w:val="auto"/>
                <w:sz w:val="22"/>
                <w:szCs w:val="20"/>
              </w:rPr>
              <w:t>Jūlijs</w:t>
            </w:r>
          </w:p>
        </w:tc>
        <w:tc>
          <w:tcPr>
            <w:tcW w:w="1937" w:type="dxa"/>
            <w:noWrap/>
          </w:tcPr>
          <w:p w:rsidR="005D5DF1" w:rsidRPr="00A22198" w:rsidRDefault="005D5DF1" w:rsidP="005D5DF1">
            <w:pPr>
              <w:tabs>
                <w:tab w:val="decimal" w:pos="860"/>
              </w:tabs>
              <w:spacing w:before="20" w:after="20"/>
              <w:rPr>
                <w:color w:val="auto"/>
                <w:sz w:val="20"/>
                <w:szCs w:val="18"/>
              </w:rPr>
            </w:pPr>
            <w:r w:rsidRPr="00A22198">
              <w:rPr>
                <w:color w:val="auto"/>
                <w:sz w:val="20"/>
                <w:szCs w:val="18"/>
              </w:rPr>
              <w:t>0,2</w:t>
            </w:r>
          </w:p>
        </w:tc>
        <w:tc>
          <w:tcPr>
            <w:tcW w:w="2433" w:type="dxa"/>
            <w:noWrap/>
          </w:tcPr>
          <w:p w:rsidR="005D5DF1" w:rsidRPr="00A22198" w:rsidRDefault="005D5DF1" w:rsidP="005D5DF1">
            <w:pPr>
              <w:tabs>
                <w:tab w:val="decimal" w:pos="1050"/>
              </w:tabs>
              <w:spacing w:before="20" w:after="20"/>
              <w:rPr>
                <w:color w:val="auto"/>
                <w:sz w:val="20"/>
                <w:szCs w:val="18"/>
              </w:rPr>
            </w:pPr>
            <w:r>
              <w:rPr>
                <w:color w:val="auto"/>
                <w:sz w:val="20"/>
                <w:szCs w:val="18"/>
              </w:rPr>
              <w:t>-0,6</w:t>
            </w:r>
          </w:p>
        </w:tc>
        <w:tc>
          <w:tcPr>
            <w:tcW w:w="1441" w:type="dxa"/>
            <w:noWrap/>
          </w:tcPr>
          <w:p w:rsidR="005D5DF1" w:rsidRPr="00A22198" w:rsidRDefault="005D5DF1" w:rsidP="005D5DF1">
            <w:pPr>
              <w:tabs>
                <w:tab w:val="decimal" w:pos="459"/>
              </w:tabs>
              <w:spacing w:before="20" w:after="20"/>
              <w:jc w:val="center"/>
              <w:rPr>
                <w:color w:val="auto"/>
                <w:sz w:val="20"/>
                <w:szCs w:val="18"/>
              </w:rPr>
            </w:pPr>
            <w:r>
              <w:rPr>
                <w:color w:val="auto"/>
                <w:sz w:val="20"/>
                <w:szCs w:val="18"/>
              </w:rPr>
              <w:t>-1,6</w:t>
            </w:r>
          </w:p>
        </w:tc>
      </w:tr>
      <w:tr w:rsidR="005D5DF1" w:rsidRPr="0028053D" w:rsidTr="005D5DF1">
        <w:trPr>
          <w:trHeight w:val="236"/>
          <w:jc w:val="center"/>
        </w:trPr>
        <w:tc>
          <w:tcPr>
            <w:tcW w:w="734" w:type="dxa"/>
            <w:tcBorders>
              <w:bottom w:val="nil"/>
            </w:tcBorders>
            <w:noWrap/>
          </w:tcPr>
          <w:p w:rsidR="005D5DF1" w:rsidRPr="0028053D" w:rsidRDefault="005D5DF1" w:rsidP="005D5DF1">
            <w:pPr>
              <w:spacing w:before="20" w:after="20"/>
              <w:jc w:val="center"/>
              <w:rPr>
                <w:b/>
                <w:sz w:val="22"/>
                <w:szCs w:val="20"/>
              </w:rPr>
            </w:pPr>
          </w:p>
        </w:tc>
        <w:tc>
          <w:tcPr>
            <w:tcW w:w="1441" w:type="dxa"/>
            <w:tcBorders>
              <w:bottom w:val="nil"/>
            </w:tcBorders>
            <w:noWrap/>
          </w:tcPr>
          <w:p w:rsidR="005D5DF1" w:rsidRPr="0028053D" w:rsidRDefault="005D5DF1" w:rsidP="005D5DF1">
            <w:pPr>
              <w:spacing w:before="20" w:after="20"/>
              <w:ind w:left="212"/>
              <w:rPr>
                <w:color w:val="auto"/>
                <w:sz w:val="22"/>
                <w:szCs w:val="20"/>
              </w:rPr>
            </w:pPr>
            <w:r w:rsidRPr="0028053D">
              <w:rPr>
                <w:color w:val="auto"/>
                <w:sz w:val="22"/>
                <w:szCs w:val="20"/>
              </w:rPr>
              <w:t>Augusts</w:t>
            </w:r>
          </w:p>
        </w:tc>
        <w:tc>
          <w:tcPr>
            <w:tcW w:w="1937" w:type="dxa"/>
            <w:tcBorders>
              <w:bottom w:val="nil"/>
            </w:tcBorders>
            <w:noWrap/>
            <w:vAlign w:val="bottom"/>
          </w:tcPr>
          <w:p w:rsidR="005D5DF1" w:rsidRPr="001C74F0" w:rsidRDefault="005D5DF1" w:rsidP="005D5DF1">
            <w:pPr>
              <w:tabs>
                <w:tab w:val="decimal" w:pos="860"/>
              </w:tabs>
              <w:spacing w:before="20" w:after="20"/>
              <w:rPr>
                <w:color w:val="auto"/>
                <w:sz w:val="20"/>
                <w:szCs w:val="18"/>
              </w:rPr>
            </w:pPr>
            <w:r w:rsidRPr="001C74F0">
              <w:rPr>
                <w:color w:val="auto"/>
                <w:sz w:val="20"/>
                <w:szCs w:val="18"/>
              </w:rPr>
              <w:t>-0,7</w:t>
            </w:r>
          </w:p>
        </w:tc>
        <w:tc>
          <w:tcPr>
            <w:tcW w:w="2433" w:type="dxa"/>
            <w:tcBorders>
              <w:bottom w:val="nil"/>
            </w:tcBorders>
            <w:noWrap/>
            <w:vAlign w:val="bottom"/>
          </w:tcPr>
          <w:p w:rsidR="005D5DF1" w:rsidRPr="001C74F0" w:rsidRDefault="005D5DF1" w:rsidP="005D5DF1">
            <w:pPr>
              <w:tabs>
                <w:tab w:val="decimal" w:pos="1050"/>
              </w:tabs>
              <w:spacing w:before="20" w:after="20"/>
              <w:rPr>
                <w:color w:val="auto"/>
                <w:sz w:val="20"/>
                <w:szCs w:val="18"/>
              </w:rPr>
            </w:pPr>
            <w:r w:rsidRPr="001C74F0">
              <w:rPr>
                <w:color w:val="auto"/>
                <w:sz w:val="20"/>
                <w:szCs w:val="18"/>
              </w:rPr>
              <w:t>-0,3</w:t>
            </w:r>
          </w:p>
        </w:tc>
        <w:tc>
          <w:tcPr>
            <w:tcW w:w="1441" w:type="dxa"/>
            <w:tcBorders>
              <w:bottom w:val="nil"/>
            </w:tcBorders>
            <w:noWrap/>
            <w:vAlign w:val="bottom"/>
          </w:tcPr>
          <w:p w:rsidR="005D5DF1" w:rsidRPr="001C74F0" w:rsidRDefault="005D5DF1" w:rsidP="005D5DF1">
            <w:pPr>
              <w:tabs>
                <w:tab w:val="decimal" w:pos="459"/>
              </w:tabs>
              <w:spacing w:before="20" w:after="20"/>
              <w:jc w:val="center"/>
              <w:rPr>
                <w:color w:val="auto"/>
                <w:sz w:val="20"/>
                <w:szCs w:val="18"/>
              </w:rPr>
            </w:pPr>
            <w:r w:rsidRPr="001C74F0">
              <w:rPr>
                <w:color w:val="auto"/>
                <w:sz w:val="20"/>
                <w:szCs w:val="18"/>
              </w:rPr>
              <w:t>-1,8</w:t>
            </w:r>
          </w:p>
        </w:tc>
      </w:tr>
      <w:tr w:rsidR="005D5DF1" w:rsidRPr="0028053D" w:rsidTr="005D5DF1">
        <w:trPr>
          <w:cnfStyle w:val="000000100000"/>
          <w:trHeight w:val="236"/>
          <w:jc w:val="center"/>
        </w:trPr>
        <w:tc>
          <w:tcPr>
            <w:tcW w:w="734" w:type="dxa"/>
            <w:tcBorders>
              <w:top w:val="nil"/>
              <w:bottom w:val="nil"/>
            </w:tcBorders>
            <w:noWrap/>
          </w:tcPr>
          <w:p w:rsidR="005D5DF1" w:rsidRPr="0028053D" w:rsidRDefault="005D5DF1" w:rsidP="005D5DF1">
            <w:pPr>
              <w:spacing w:before="20" w:after="20"/>
              <w:jc w:val="center"/>
              <w:rPr>
                <w:b/>
                <w:sz w:val="22"/>
                <w:szCs w:val="20"/>
              </w:rPr>
            </w:pPr>
          </w:p>
        </w:tc>
        <w:tc>
          <w:tcPr>
            <w:tcW w:w="1441" w:type="dxa"/>
            <w:tcBorders>
              <w:top w:val="nil"/>
              <w:bottom w:val="nil"/>
            </w:tcBorders>
            <w:noWrap/>
          </w:tcPr>
          <w:p w:rsidR="005D5DF1" w:rsidRPr="0028053D" w:rsidRDefault="005D5DF1" w:rsidP="005D5DF1">
            <w:pPr>
              <w:spacing w:before="20" w:after="20"/>
              <w:ind w:left="212"/>
              <w:rPr>
                <w:sz w:val="22"/>
                <w:szCs w:val="20"/>
              </w:rPr>
            </w:pPr>
            <w:r w:rsidRPr="0028053D">
              <w:rPr>
                <w:color w:val="auto"/>
                <w:sz w:val="22"/>
                <w:szCs w:val="22"/>
              </w:rPr>
              <w:t>Septembris</w:t>
            </w:r>
          </w:p>
        </w:tc>
        <w:tc>
          <w:tcPr>
            <w:tcW w:w="1937" w:type="dxa"/>
            <w:tcBorders>
              <w:top w:val="nil"/>
              <w:bottom w:val="nil"/>
            </w:tcBorders>
            <w:noWrap/>
            <w:vAlign w:val="bottom"/>
          </w:tcPr>
          <w:p w:rsidR="005D5DF1" w:rsidRPr="001C74F0" w:rsidRDefault="005D5DF1" w:rsidP="005D5DF1">
            <w:pPr>
              <w:tabs>
                <w:tab w:val="decimal" w:pos="860"/>
              </w:tabs>
              <w:spacing w:before="20" w:after="20"/>
              <w:rPr>
                <w:color w:val="auto"/>
                <w:sz w:val="20"/>
                <w:szCs w:val="18"/>
              </w:rPr>
            </w:pPr>
            <w:r w:rsidRPr="001C74F0">
              <w:rPr>
                <w:color w:val="auto"/>
                <w:sz w:val="20"/>
                <w:szCs w:val="18"/>
              </w:rPr>
              <w:t>0,4</w:t>
            </w:r>
          </w:p>
        </w:tc>
        <w:tc>
          <w:tcPr>
            <w:tcW w:w="2433" w:type="dxa"/>
            <w:tcBorders>
              <w:top w:val="nil"/>
              <w:bottom w:val="nil"/>
            </w:tcBorders>
            <w:noWrap/>
            <w:vAlign w:val="bottom"/>
          </w:tcPr>
          <w:p w:rsidR="005D5DF1" w:rsidRPr="001C74F0" w:rsidRDefault="005D5DF1" w:rsidP="005D5DF1">
            <w:pPr>
              <w:tabs>
                <w:tab w:val="decimal" w:pos="1050"/>
              </w:tabs>
              <w:spacing w:before="20" w:after="20"/>
              <w:rPr>
                <w:color w:val="auto"/>
                <w:sz w:val="20"/>
                <w:szCs w:val="18"/>
              </w:rPr>
            </w:pPr>
            <w:r w:rsidRPr="001C74F0">
              <w:rPr>
                <w:color w:val="auto"/>
                <w:sz w:val="20"/>
                <w:szCs w:val="18"/>
              </w:rPr>
              <w:t>0,4</w:t>
            </w:r>
          </w:p>
        </w:tc>
        <w:tc>
          <w:tcPr>
            <w:tcW w:w="1441" w:type="dxa"/>
            <w:tcBorders>
              <w:top w:val="nil"/>
              <w:bottom w:val="nil"/>
            </w:tcBorders>
            <w:noWrap/>
            <w:vAlign w:val="bottom"/>
          </w:tcPr>
          <w:p w:rsidR="005D5DF1" w:rsidRPr="001C74F0" w:rsidRDefault="005D5DF1" w:rsidP="005D5DF1">
            <w:pPr>
              <w:tabs>
                <w:tab w:val="decimal" w:pos="459"/>
              </w:tabs>
              <w:spacing w:before="20" w:after="20"/>
              <w:jc w:val="center"/>
              <w:rPr>
                <w:color w:val="auto"/>
                <w:sz w:val="20"/>
                <w:szCs w:val="18"/>
              </w:rPr>
            </w:pPr>
            <w:r w:rsidRPr="001C74F0">
              <w:rPr>
                <w:color w:val="auto"/>
                <w:sz w:val="20"/>
                <w:szCs w:val="18"/>
              </w:rPr>
              <w:t>-1,8</w:t>
            </w:r>
          </w:p>
        </w:tc>
      </w:tr>
      <w:tr w:rsidR="005D5DF1" w:rsidRPr="0028053D" w:rsidTr="005D5DF1">
        <w:trPr>
          <w:trHeight w:val="236"/>
          <w:jc w:val="center"/>
        </w:trPr>
        <w:tc>
          <w:tcPr>
            <w:tcW w:w="734" w:type="dxa"/>
            <w:tcBorders>
              <w:top w:val="nil"/>
              <w:bottom w:val="nil"/>
            </w:tcBorders>
            <w:noWrap/>
          </w:tcPr>
          <w:p w:rsidR="005D5DF1" w:rsidRPr="0028053D" w:rsidRDefault="005D5DF1" w:rsidP="005D5DF1">
            <w:pPr>
              <w:spacing w:before="20" w:after="20"/>
              <w:jc w:val="center"/>
              <w:rPr>
                <w:b/>
                <w:sz w:val="22"/>
                <w:szCs w:val="20"/>
              </w:rPr>
            </w:pPr>
          </w:p>
        </w:tc>
        <w:tc>
          <w:tcPr>
            <w:tcW w:w="1441" w:type="dxa"/>
            <w:tcBorders>
              <w:top w:val="nil"/>
              <w:bottom w:val="nil"/>
            </w:tcBorders>
            <w:noWrap/>
          </w:tcPr>
          <w:p w:rsidR="005D5DF1" w:rsidRPr="0028053D" w:rsidRDefault="005D5DF1" w:rsidP="005D5DF1">
            <w:pPr>
              <w:spacing w:before="20" w:after="20"/>
              <w:ind w:left="212"/>
              <w:rPr>
                <w:sz w:val="22"/>
                <w:szCs w:val="22"/>
              </w:rPr>
            </w:pPr>
            <w:r>
              <w:rPr>
                <w:sz w:val="22"/>
                <w:szCs w:val="22"/>
              </w:rPr>
              <w:t>Oktobris</w:t>
            </w:r>
          </w:p>
        </w:tc>
        <w:tc>
          <w:tcPr>
            <w:tcW w:w="1937" w:type="dxa"/>
            <w:tcBorders>
              <w:top w:val="nil"/>
              <w:bottom w:val="nil"/>
            </w:tcBorders>
            <w:noWrap/>
            <w:vAlign w:val="bottom"/>
          </w:tcPr>
          <w:p w:rsidR="005D5DF1" w:rsidRPr="001C74F0" w:rsidRDefault="005D5DF1" w:rsidP="005D5DF1">
            <w:pPr>
              <w:tabs>
                <w:tab w:val="decimal" w:pos="860"/>
              </w:tabs>
              <w:spacing w:before="20" w:after="20"/>
              <w:rPr>
                <w:color w:val="auto"/>
                <w:sz w:val="20"/>
                <w:szCs w:val="18"/>
              </w:rPr>
            </w:pPr>
            <w:r w:rsidRPr="001C74F0">
              <w:rPr>
                <w:color w:val="auto"/>
                <w:sz w:val="20"/>
                <w:szCs w:val="18"/>
              </w:rPr>
              <w:t>0,4</w:t>
            </w:r>
          </w:p>
        </w:tc>
        <w:tc>
          <w:tcPr>
            <w:tcW w:w="2433" w:type="dxa"/>
            <w:tcBorders>
              <w:top w:val="nil"/>
              <w:bottom w:val="nil"/>
            </w:tcBorders>
            <w:noWrap/>
            <w:vAlign w:val="bottom"/>
          </w:tcPr>
          <w:p w:rsidR="005D5DF1" w:rsidRPr="001C74F0" w:rsidRDefault="005D5DF1" w:rsidP="005D5DF1">
            <w:pPr>
              <w:tabs>
                <w:tab w:val="decimal" w:pos="1050"/>
              </w:tabs>
              <w:spacing w:before="20" w:after="20"/>
              <w:rPr>
                <w:color w:val="auto"/>
                <w:sz w:val="20"/>
                <w:szCs w:val="18"/>
              </w:rPr>
            </w:pPr>
            <w:r w:rsidRPr="001C74F0">
              <w:rPr>
                <w:color w:val="auto"/>
                <w:sz w:val="20"/>
                <w:szCs w:val="18"/>
              </w:rPr>
              <w:t>1,0</w:t>
            </w:r>
          </w:p>
        </w:tc>
        <w:tc>
          <w:tcPr>
            <w:tcW w:w="1441" w:type="dxa"/>
            <w:tcBorders>
              <w:top w:val="nil"/>
              <w:bottom w:val="nil"/>
            </w:tcBorders>
            <w:noWrap/>
            <w:vAlign w:val="bottom"/>
          </w:tcPr>
          <w:p w:rsidR="005D5DF1" w:rsidRPr="001C74F0" w:rsidRDefault="005D5DF1" w:rsidP="005D5DF1">
            <w:pPr>
              <w:tabs>
                <w:tab w:val="decimal" w:pos="459"/>
              </w:tabs>
              <w:spacing w:before="20" w:after="20"/>
              <w:jc w:val="center"/>
              <w:rPr>
                <w:color w:val="auto"/>
                <w:sz w:val="20"/>
                <w:szCs w:val="18"/>
              </w:rPr>
            </w:pPr>
            <w:r w:rsidRPr="001C74F0">
              <w:rPr>
                <w:color w:val="auto"/>
                <w:sz w:val="20"/>
                <w:szCs w:val="18"/>
              </w:rPr>
              <w:t>-1,6</w:t>
            </w:r>
          </w:p>
        </w:tc>
      </w:tr>
      <w:tr w:rsidR="005D5DF1" w:rsidRPr="0028053D" w:rsidTr="005D5DF1">
        <w:trPr>
          <w:cnfStyle w:val="000000100000"/>
          <w:trHeight w:val="236"/>
          <w:jc w:val="center"/>
        </w:trPr>
        <w:tc>
          <w:tcPr>
            <w:tcW w:w="734" w:type="dxa"/>
            <w:tcBorders>
              <w:top w:val="nil"/>
              <w:bottom w:val="nil"/>
            </w:tcBorders>
            <w:noWrap/>
          </w:tcPr>
          <w:p w:rsidR="005D5DF1" w:rsidRPr="0028053D" w:rsidRDefault="005D5DF1" w:rsidP="005D5DF1">
            <w:pPr>
              <w:spacing w:before="20" w:after="20"/>
              <w:jc w:val="center"/>
              <w:rPr>
                <w:b/>
                <w:sz w:val="22"/>
                <w:szCs w:val="20"/>
              </w:rPr>
            </w:pPr>
          </w:p>
        </w:tc>
        <w:tc>
          <w:tcPr>
            <w:tcW w:w="1441" w:type="dxa"/>
            <w:tcBorders>
              <w:top w:val="nil"/>
              <w:bottom w:val="nil"/>
            </w:tcBorders>
            <w:noWrap/>
          </w:tcPr>
          <w:p w:rsidR="005D5DF1" w:rsidRPr="0028053D" w:rsidRDefault="005D5DF1" w:rsidP="005D5DF1">
            <w:pPr>
              <w:spacing w:before="20" w:after="20"/>
              <w:ind w:left="212"/>
              <w:rPr>
                <w:sz w:val="22"/>
                <w:szCs w:val="22"/>
              </w:rPr>
            </w:pPr>
            <w:r>
              <w:rPr>
                <w:sz w:val="22"/>
                <w:szCs w:val="22"/>
              </w:rPr>
              <w:t>Novembris</w:t>
            </w:r>
          </w:p>
        </w:tc>
        <w:tc>
          <w:tcPr>
            <w:tcW w:w="1937" w:type="dxa"/>
            <w:tcBorders>
              <w:top w:val="nil"/>
              <w:bottom w:val="nil"/>
            </w:tcBorders>
            <w:noWrap/>
            <w:vAlign w:val="bottom"/>
          </w:tcPr>
          <w:p w:rsidR="005D5DF1" w:rsidRPr="001C74F0" w:rsidRDefault="005D5DF1" w:rsidP="005D5DF1">
            <w:pPr>
              <w:tabs>
                <w:tab w:val="decimal" w:pos="860"/>
              </w:tabs>
              <w:spacing w:before="20" w:after="20"/>
              <w:rPr>
                <w:color w:val="auto"/>
                <w:sz w:val="20"/>
                <w:szCs w:val="18"/>
              </w:rPr>
            </w:pPr>
            <w:r w:rsidRPr="001C74F0">
              <w:rPr>
                <w:color w:val="auto"/>
                <w:sz w:val="20"/>
                <w:szCs w:val="18"/>
              </w:rPr>
              <w:t>0,2</w:t>
            </w:r>
          </w:p>
        </w:tc>
        <w:tc>
          <w:tcPr>
            <w:tcW w:w="2433" w:type="dxa"/>
            <w:tcBorders>
              <w:top w:val="nil"/>
              <w:bottom w:val="nil"/>
            </w:tcBorders>
            <w:noWrap/>
            <w:vAlign w:val="bottom"/>
          </w:tcPr>
          <w:p w:rsidR="005D5DF1" w:rsidRPr="001C74F0" w:rsidRDefault="005D5DF1" w:rsidP="005D5DF1">
            <w:pPr>
              <w:tabs>
                <w:tab w:val="decimal" w:pos="1050"/>
              </w:tabs>
              <w:spacing w:before="20" w:after="20"/>
              <w:rPr>
                <w:color w:val="auto"/>
                <w:sz w:val="20"/>
                <w:szCs w:val="18"/>
              </w:rPr>
            </w:pPr>
            <w:r w:rsidRPr="001C74F0">
              <w:rPr>
                <w:color w:val="auto"/>
                <w:sz w:val="20"/>
                <w:szCs w:val="18"/>
              </w:rPr>
              <w:t>1,9</w:t>
            </w:r>
          </w:p>
        </w:tc>
        <w:tc>
          <w:tcPr>
            <w:tcW w:w="1441" w:type="dxa"/>
            <w:tcBorders>
              <w:top w:val="nil"/>
              <w:bottom w:val="nil"/>
            </w:tcBorders>
            <w:noWrap/>
            <w:vAlign w:val="bottom"/>
          </w:tcPr>
          <w:p w:rsidR="005D5DF1" w:rsidRPr="001C74F0" w:rsidRDefault="005D5DF1" w:rsidP="005D5DF1">
            <w:pPr>
              <w:tabs>
                <w:tab w:val="decimal" w:pos="459"/>
              </w:tabs>
              <w:spacing w:before="20" w:after="20"/>
              <w:jc w:val="center"/>
              <w:rPr>
                <w:color w:val="auto"/>
                <w:sz w:val="20"/>
                <w:szCs w:val="18"/>
              </w:rPr>
            </w:pPr>
            <w:r w:rsidRPr="001C74F0">
              <w:rPr>
                <w:color w:val="auto"/>
                <w:sz w:val="20"/>
                <w:szCs w:val="18"/>
              </w:rPr>
              <w:t>-1,4</w:t>
            </w:r>
          </w:p>
        </w:tc>
      </w:tr>
      <w:tr w:rsidR="005D5DF1" w:rsidRPr="0028053D" w:rsidTr="005D5DF1">
        <w:trPr>
          <w:trHeight w:val="236"/>
          <w:jc w:val="center"/>
        </w:trPr>
        <w:tc>
          <w:tcPr>
            <w:tcW w:w="734" w:type="dxa"/>
            <w:tcBorders>
              <w:top w:val="nil"/>
              <w:bottom w:val="nil"/>
            </w:tcBorders>
            <w:noWrap/>
          </w:tcPr>
          <w:p w:rsidR="005D5DF1" w:rsidRPr="0028053D" w:rsidRDefault="005D5DF1" w:rsidP="005D5DF1">
            <w:pPr>
              <w:spacing w:before="20" w:after="20"/>
              <w:jc w:val="center"/>
              <w:rPr>
                <w:b/>
                <w:sz w:val="22"/>
                <w:szCs w:val="20"/>
              </w:rPr>
            </w:pPr>
          </w:p>
        </w:tc>
        <w:tc>
          <w:tcPr>
            <w:tcW w:w="1441" w:type="dxa"/>
            <w:tcBorders>
              <w:top w:val="nil"/>
              <w:bottom w:val="nil"/>
            </w:tcBorders>
            <w:noWrap/>
          </w:tcPr>
          <w:p w:rsidR="005D5DF1" w:rsidRDefault="005D5DF1" w:rsidP="005D5DF1">
            <w:pPr>
              <w:spacing w:before="20" w:after="20"/>
              <w:ind w:left="212"/>
              <w:rPr>
                <w:sz w:val="22"/>
                <w:szCs w:val="22"/>
              </w:rPr>
            </w:pPr>
            <w:r>
              <w:rPr>
                <w:sz w:val="22"/>
                <w:szCs w:val="22"/>
              </w:rPr>
              <w:t>Decembris</w:t>
            </w:r>
          </w:p>
        </w:tc>
        <w:tc>
          <w:tcPr>
            <w:tcW w:w="1937" w:type="dxa"/>
            <w:tcBorders>
              <w:top w:val="nil"/>
              <w:bottom w:val="nil"/>
            </w:tcBorders>
            <w:noWrap/>
            <w:vAlign w:val="bottom"/>
          </w:tcPr>
          <w:p w:rsidR="005D5DF1" w:rsidRPr="00151AD6" w:rsidRDefault="005D5DF1" w:rsidP="005D5DF1">
            <w:pPr>
              <w:tabs>
                <w:tab w:val="decimal" w:pos="860"/>
              </w:tabs>
              <w:spacing w:before="20" w:after="20"/>
              <w:rPr>
                <w:color w:val="auto"/>
                <w:sz w:val="20"/>
                <w:szCs w:val="18"/>
              </w:rPr>
            </w:pPr>
            <w:r w:rsidRPr="00151AD6">
              <w:rPr>
                <w:color w:val="auto"/>
                <w:sz w:val="20"/>
                <w:szCs w:val="18"/>
              </w:rPr>
              <w:t>0,</w:t>
            </w:r>
            <w:r>
              <w:rPr>
                <w:color w:val="auto"/>
                <w:sz w:val="20"/>
                <w:szCs w:val="18"/>
              </w:rPr>
              <w:t>1</w:t>
            </w:r>
          </w:p>
        </w:tc>
        <w:tc>
          <w:tcPr>
            <w:tcW w:w="2433" w:type="dxa"/>
            <w:tcBorders>
              <w:top w:val="nil"/>
              <w:bottom w:val="nil"/>
            </w:tcBorders>
            <w:noWrap/>
            <w:vAlign w:val="bottom"/>
          </w:tcPr>
          <w:p w:rsidR="005D5DF1" w:rsidRPr="00151AD6" w:rsidRDefault="005D5DF1" w:rsidP="005D5DF1">
            <w:pPr>
              <w:tabs>
                <w:tab w:val="decimal" w:pos="1050"/>
              </w:tabs>
              <w:spacing w:before="20" w:after="20"/>
              <w:rPr>
                <w:color w:val="auto"/>
                <w:sz w:val="20"/>
                <w:szCs w:val="18"/>
              </w:rPr>
            </w:pPr>
            <w:r w:rsidRPr="00151AD6">
              <w:rPr>
                <w:color w:val="auto"/>
                <w:sz w:val="20"/>
                <w:szCs w:val="18"/>
              </w:rPr>
              <w:t>2,5</w:t>
            </w:r>
          </w:p>
        </w:tc>
        <w:tc>
          <w:tcPr>
            <w:tcW w:w="1441" w:type="dxa"/>
            <w:tcBorders>
              <w:top w:val="nil"/>
              <w:bottom w:val="nil"/>
            </w:tcBorders>
            <w:noWrap/>
            <w:vAlign w:val="bottom"/>
          </w:tcPr>
          <w:p w:rsidR="005D5DF1" w:rsidRPr="00151AD6" w:rsidRDefault="005D5DF1" w:rsidP="005D5DF1">
            <w:pPr>
              <w:tabs>
                <w:tab w:val="decimal" w:pos="459"/>
              </w:tabs>
              <w:spacing w:before="20" w:after="20"/>
              <w:jc w:val="center"/>
              <w:rPr>
                <w:color w:val="auto"/>
                <w:sz w:val="20"/>
                <w:szCs w:val="18"/>
              </w:rPr>
            </w:pPr>
            <w:r w:rsidRPr="00151AD6">
              <w:rPr>
                <w:color w:val="auto"/>
                <w:sz w:val="20"/>
                <w:szCs w:val="18"/>
              </w:rPr>
              <w:t>-1,1</w:t>
            </w:r>
          </w:p>
        </w:tc>
      </w:tr>
      <w:tr w:rsidR="005D5DF1" w:rsidRPr="0028053D" w:rsidTr="005D5DF1">
        <w:trPr>
          <w:cnfStyle w:val="000000100000"/>
          <w:trHeight w:val="236"/>
          <w:jc w:val="center"/>
        </w:trPr>
        <w:tc>
          <w:tcPr>
            <w:tcW w:w="734" w:type="dxa"/>
            <w:tcBorders>
              <w:top w:val="nil"/>
              <w:bottom w:val="nil"/>
            </w:tcBorders>
            <w:noWrap/>
          </w:tcPr>
          <w:p w:rsidR="005D5DF1" w:rsidRPr="0028053D" w:rsidRDefault="005D5DF1" w:rsidP="005D5DF1">
            <w:pPr>
              <w:spacing w:before="20" w:after="20"/>
              <w:jc w:val="center"/>
              <w:rPr>
                <w:b/>
                <w:sz w:val="22"/>
                <w:szCs w:val="20"/>
              </w:rPr>
            </w:pPr>
            <w:r>
              <w:rPr>
                <w:b/>
                <w:sz w:val="22"/>
                <w:szCs w:val="20"/>
              </w:rPr>
              <w:t>2011</w:t>
            </w:r>
          </w:p>
        </w:tc>
        <w:tc>
          <w:tcPr>
            <w:tcW w:w="1441" w:type="dxa"/>
            <w:tcBorders>
              <w:top w:val="nil"/>
              <w:bottom w:val="nil"/>
            </w:tcBorders>
            <w:noWrap/>
          </w:tcPr>
          <w:p w:rsidR="005D5DF1" w:rsidRPr="0028053D" w:rsidRDefault="005D5DF1" w:rsidP="005D5DF1">
            <w:pPr>
              <w:spacing w:before="20" w:after="20"/>
              <w:ind w:left="212"/>
              <w:rPr>
                <w:sz w:val="22"/>
                <w:szCs w:val="22"/>
              </w:rPr>
            </w:pPr>
            <w:r>
              <w:rPr>
                <w:sz w:val="22"/>
                <w:szCs w:val="22"/>
              </w:rPr>
              <w:t>Janvāris</w:t>
            </w:r>
          </w:p>
        </w:tc>
        <w:tc>
          <w:tcPr>
            <w:tcW w:w="1937" w:type="dxa"/>
            <w:tcBorders>
              <w:top w:val="nil"/>
              <w:bottom w:val="nil"/>
            </w:tcBorders>
            <w:noWrap/>
            <w:vAlign w:val="bottom"/>
          </w:tcPr>
          <w:p w:rsidR="005D5DF1" w:rsidRPr="001C74F0" w:rsidRDefault="005D5DF1" w:rsidP="005D5DF1">
            <w:pPr>
              <w:tabs>
                <w:tab w:val="decimal" w:pos="860"/>
              </w:tabs>
              <w:spacing w:before="20" w:after="20"/>
              <w:rPr>
                <w:color w:val="auto"/>
                <w:sz w:val="20"/>
                <w:szCs w:val="18"/>
              </w:rPr>
            </w:pPr>
            <w:r>
              <w:rPr>
                <w:color w:val="auto"/>
                <w:sz w:val="20"/>
                <w:szCs w:val="18"/>
              </w:rPr>
              <w:t>1,3</w:t>
            </w:r>
          </w:p>
        </w:tc>
        <w:tc>
          <w:tcPr>
            <w:tcW w:w="2433" w:type="dxa"/>
            <w:tcBorders>
              <w:top w:val="nil"/>
              <w:bottom w:val="nil"/>
            </w:tcBorders>
            <w:noWrap/>
            <w:vAlign w:val="bottom"/>
          </w:tcPr>
          <w:p w:rsidR="005D5DF1" w:rsidRPr="001C74F0" w:rsidRDefault="005D5DF1" w:rsidP="005D5DF1">
            <w:pPr>
              <w:tabs>
                <w:tab w:val="decimal" w:pos="1050"/>
              </w:tabs>
              <w:spacing w:before="20" w:after="20"/>
              <w:rPr>
                <w:color w:val="auto"/>
                <w:sz w:val="20"/>
                <w:szCs w:val="18"/>
              </w:rPr>
            </w:pPr>
            <w:r>
              <w:rPr>
                <w:color w:val="auto"/>
                <w:sz w:val="20"/>
                <w:szCs w:val="18"/>
              </w:rPr>
              <w:t>3,7</w:t>
            </w:r>
          </w:p>
        </w:tc>
        <w:tc>
          <w:tcPr>
            <w:tcW w:w="1441" w:type="dxa"/>
            <w:tcBorders>
              <w:top w:val="nil"/>
              <w:bottom w:val="nil"/>
            </w:tcBorders>
            <w:noWrap/>
            <w:vAlign w:val="bottom"/>
          </w:tcPr>
          <w:p w:rsidR="005D5DF1" w:rsidRPr="001C74F0" w:rsidRDefault="005D5DF1" w:rsidP="005D5DF1">
            <w:pPr>
              <w:tabs>
                <w:tab w:val="decimal" w:pos="459"/>
              </w:tabs>
              <w:spacing w:before="20" w:after="20"/>
              <w:jc w:val="center"/>
              <w:rPr>
                <w:color w:val="auto"/>
                <w:sz w:val="20"/>
                <w:szCs w:val="18"/>
              </w:rPr>
            </w:pPr>
            <w:r>
              <w:rPr>
                <w:color w:val="auto"/>
                <w:sz w:val="20"/>
                <w:szCs w:val="18"/>
              </w:rPr>
              <w:t>-0,5</w:t>
            </w:r>
          </w:p>
        </w:tc>
      </w:tr>
      <w:tr w:rsidR="005D5DF1" w:rsidRPr="0028053D" w:rsidTr="00CF615A">
        <w:trPr>
          <w:trHeight w:val="236"/>
          <w:jc w:val="center"/>
        </w:trPr>
        <w:tc>
          <w:tcPr>
            <w:tcW w:w="734" w:type="dxa"/>
            <w:tcBorders>
              <w:top w:val="nil"/>
              <w:bottom w:val="nil"/>
            </w:tcBorders>
            <w:noWrap/>
          </w:tcPr>
          <w:p w:rsidR="005D5DF1" w:rsidRPr="0028053D" w:rsidRDefault="005D5DF1" w:rsidP="005D5DF1">
            <w:pPr>
              <w:spacing w:before="20" w:after="20"/>
              <w:jc w:val="center"/>
              <w:rPr>
                <w:b/>
                <w:sz w:val="22"/>
                <w:szCs w:val="20"/>
              </w:rPr>
            </w:pPr>
          </w:p>
        </w:tc>
        <w:tc>
          <w:tcPr>
            <w:tcW w:w="1441" w:type="dxa"/>
            <w:tcBorders>
              <w:top w:val="nil"/>
              <w:bottom w:val="nil"/>
            </w:tcBorders>
            <w:noWrap/>
          </w:tcPr>
          <w:p w:rsidR="005D5DF1" w:rsidRDefault="005D5DF1" w:rsidP="005D5DF1">
            <w:pPr>
              <w:spacing w:before="20" w:after="20"/>
              <w:ind w:left="212"/>
              <w:rPr>
                <w:sz w:val="22"/>
                <w:szCs w:val="22"/>
              </w:rPr>
            </w:pPr>
            <w:r>
              <w:rPr>
                <w:sz w:val="22"/>
                <w:szCs w:val="22"/>
              </w:rPr>
              <w:t>Februāris</w:t>
            </w:r>
          </w:p>
        </w:tc>
        <w:tc>
          <w:tcPr>
            <w:tcW w:w="1937" w:type="dxa"/>
            <w:tcBorders>
              <w:top w:val="nil"/>
              <w:bottom w:val="nil"/>
            </w:tcBorders>
            <w:noWrap/>
            <w:vAlign w:val="bottom"/>
          </w:tcPr>
          <w:p w:rsidR="005D5DF1" w:rsidRPr="00151AD6" w:rsidRDefault="005D5DF1" w:rsidP="005D5DF1">
            <w:pPr>
              <w:tabs>
                <w:tab w:val="decimal" w:pos="860"/>
              </w:tabs>
              <w:spacing w:before="20" w:after="20"/>
              <w:rPr>
                <w:color w:val="auto"/>
                <w:sz w:val="20"/>
                <w:szCs w:val="18"/>
              </w:rPr>
            </w:pPr>
            <w:r>
              <w:rPr>
                <w:color w:val="auto"/>
                <w:sz w:val="20"/>
                <w:szCs w:val="18"/>
              </w:rPr>
              <w:t>0,3</w:t>
            </w:r>
          </w:p>
        </w:tc>
        <w:tc>
          <w:tcPr>
            <w:tcW w:w="2433" w:type="dxa"/>
            <w:tcBorders>
              <w:top w:val="nil"/>
              <w:bottom w:val="nil"/>
            </w:tcBorders>
            <w:noWrap/>
            <w:vAlign w:val="bottom"/>
          </w:tcPr>
          <w:p w:rsidR="005D5DF1" w:rsidRPr="00151AD6" w:rsidRDefault="005D5DF1" w:rsidP="005D5DF1">
            <w:pPr>
              <w:tabs>
                <w:tab w:val="decimal" w:pos="1050"/>
              </w:tabs>
              <w:spacing w:before="20" w:after="20"/>
              <w:rPr>
                <w:color w:val="auto"/>
                <w:sz w:val="20"/>
                <w:szCs w:val="18"/>
              </w:rPr>
            </w:pPr>
            <w:r>
              <w:rPr>
                <w:color w:val="auto"/>
                <w:sz w:val="20"/>
                <w:szCs w:val="18"/>
              </w:rPr>
              <w:t>4,0</w:t>
            </w:r>
          </w:p>
        </w:tc>
        <w:tc>
          <w:tcPr>
            <w:tcW w:w="1441" w:type="dxa"/>
            <w:tcBorders>
              <w:top w:val="nil"/>
              <w:bottom w:val="nil"/>
            </w:tcBorders>
            <w:noWrap/>
            <w:vAlign w:val="bottom"/>
          </w:tcPr>
          <w:p w:rsidR="005D5DF1" w:rsidRPr="00151AD6" w:rsidRDefault="005D5DF1" w:rsidP="005D5DF1">
            <w:pPr>
              <w:tabs>
                <w:tab w:val="decimal" w:pos="459"/>
              </w:tabs>
              <w:spacing w:before="20" w:after="20"/>
              <w:jc w:val="center"/>
              <w:rPr>
                <w:color w:val="auto"/>
                <w:sz w:val="20"/>
                <w:szCs w:val="18"/>
              </w:rPr>
            </w:pPr>
            <w:r>
              <w:rPr>
                <w:color w:val="auto"/>
                <w:sz w:val="20"/>
                <w:szCs w:val="18"/>
              </w:rPr>
              <w:t>0,2</w:t>
            </w:r>
          </w:p>
        </w:tc>
      </w:tr>
      <w:tr w:rsidR="005D5DF1" w:rsidRPr="0028053D" w:rsidTr="00CF615A">
        <w:trPr>
          <w:cnfStyle w:val="000000100000"/>
          <w:trHeight w:val="236"/>
          <w:jc w:val="center"/>
        </w:trPr>
        <w:tc>
          <w:tcPr>
            <w:tcW w:w="734" w:type="dxa"/>
            <w:tcBorders>
              <w:top w:val="nil"/>
              <w:bottom w:val="single" w:sz="8" w:space="0" w:color="0070C0"/>
            </w:tcBorders>
            <w:noWrap/>
          </w:tcPr>
          <w:p w:rsidR="005D5DF1" w:rsidRPr="0028053D" w:rsidRDefault="005D5DF1" w:rsidP="005D5DF1">
            <w:pPr>
              <w:spacing w:before="20" w:after="20"/>
              <w:jc w:val="center"/>
              <w:rPr>
                <w:b/>
                <w:sz w:val="22"/>
                <w:szCs w:val="20"/>
              </w:rPr>
            </w:pPr>
          </w:p>
        </w:tc>
        <w:tc>
          <w:tcPr>
            <w:tcW w:w="1441" w:type="dxa"/>
            <w:tcBorders>
              <w:top w:val="nil"/>
              <w:bottom w:val="single" w:sz="8" w:space="0" w:color="0070C0"/>
            </w:tcBorders>
            <w:noWrap/>
          </w:tcPr>
          <w:p w:rsidR="005D5DF1" w:rsidRDefault="005D5DF1" w:rsidP="005D5DF1">
            <w:pPr>
              <w:spacing w:before="20" w:after="20"/>
              <w:ind w:left="212"/>
              <w:rPr>
                <w:sz w:val="22"/>
                <w:szCs w:val="22"/>
              </w:rPr>
            </w:pPr>
            <w:r>
              <w:rPr>
                <w:sz w:val="22"/>
                <w:szCs w:val="22"/>
              </w:rPr>
              <w:t>Marts</w:t>
            </w:r>
          </w:p>
        </w:tc>
        <w:tc>
          <w:tcPr>
            <w:tcW w:w="1937" w:type="dxa"/>
            <w:tcBorders>
              <w:top w:val="nil"/>
              <w:bottom w:val="single" w:sz="8" w:space="0" w:color="0070C0"/>
            </w:tcBorders>
            <w:noWrap/>
            <w:vAlign w:val="bottom"/>
          </w:tcPr>
          <w:p w:rsidR="005D5DF1" w:rsidRDefault="005D5DF1" w:rsidP="005D5DF1">
            <w:pPr>
              <w:tabs>
                <w:tab w:val="decimal" w:pos="860"/>
              </w:tabs>
              <w:spacing w:before="20" w:after="20"/>
              <w:rPr>
                <w:sz w:val="20"/>
                <w:szCs w:val="18"/>
              </w:rPr>
            </w:pPr>
            <w:r>
              <w:rPr>
                <w:sz w:val="20"/>
                <w:szCs w:val="18"/>
              </w:rPr>
              <w:t>0,7</w:t>
            </w:r>
          </w:p>
        </w:tc>
        <w:tc>
          <w:tcPr>
            <w:tcW w:w="2433" w:type="dxa"/>
            <w:tcBorders>
              <w:top w:val="nil"/>
              <w:bottom w:val="single" w:sz="8" w:space="0" w:color="0070C0"/>
            </w:tcBorders>
            <w:noWrap/>
            <w:vAlign w:val="bottom"/>
          </w:tcPr>
          <w:p w:rsidR="005D5DF1" w:rsidRDefault="005D5DF1" w:rsidP="005D5DF1">
            <w:pPr>
              <w:tabs>
                <w:tab w:val="decimal" w:pos="1050"/>
              </w:tabs>
              <w:spacing w:before="20" w:after="20"/>
              <w:rPr>
                <w:sz w:val="20"/>
                <w:szCs w:val="18"/>
              </w:rPr>
            </w:pPr>
            <w:r>
              <w:rPr>
                <w:sz w:val="20"/>
                <w:szCs w:val="18"/>
              </w:rPr>
              <w:t>4,2</w:t>
            </w:r>
          </w:p>
        </w:tc>
        <w:tc>
          <w:tcPr>
            <w:tcW w:w="1441" w:type="dxa"/>
            <w:tcBorders>
              <w:top w:val="nil"/>
              <w:bottom w:val="single" w:sz="8" w:space="0" w:color="0070C0"/>
            </w:tcBorders>
            <w:noWrap/>
            <w:vAlign w:val="bottom"/>
          </w:tcPr>
          <w:p w:rsidR="005D5DF1" w:rsidRDefault="005D5DF1" w:rsidP="005D5DF1">
            <w:pPr>
              <w:tabs>
                <w:tab w:val="decimal" w:pos="459"/>
              </w:tabs>
              <w:spacing w:before="20" w:after="20"/>
              <w:jc w:val="center"/>
              <w:rPr>
                <w:sz w:val="20"/>
                <w:szCs w:val="18"/>
              </w:rPr>
            </w:pPr>
            <w:r>
              <w:rPr>
                <w:sz w:val="20"/>
                <w:szCs w:val="18"/>
              </w:rPr>
              <w:t>0,8</w:t>
            </w:r>
          </w:p>
        </w:tc>
      </w:tr>
    </w:tbl>
    <w:p w:rsidR="005D5DF1" w:rsidRDefault="005D5DF1" w:rsidP="005D5DF1">
      <w:pPr>
        <w:keepNext/>
        <w:keepLines/>
      </w:pPr>
      <w:bookmarkStart w:id="374" w:name="_Toc216079549"/>
      <w:bookmarkStart w:id="375" w:name="_Toc216079617"/>
      <w:bookmarkStart w:id="376" w:name="_Toc216079679"/>
      <w:bookmarkStart w:id="377" w:name="_Toc216079735"/>
      <w:bookmarkStart w:id="378" w:name="_Toc216079791"/>
      <w:bookmarkStart w:id="379" w:name="_Toc216079847"/>
      <w:bookmarkStart w:id="380" w:name="_Toc282413211"/>
      <w:bookmarkStart w:id="381" w:name="_Toc216077880"/>
      <w:r w:rsidRPr="00CD3CE6">
        <w:rPr>
          <w:rStyle w:val="Heading2Char"/>
          <w:b w:val="0"/>
        </w:rPr>
        <w:lastRenderedPageBreak/>
        <w:t>7.2.attēls.</w:t>
      </w:r>
      <w:r w:rsidRPr="009F6E8E">
        <w:rPr>
          <w:rStyle w:val="Heading2Char"/>
        </w:rPr>
        <w:t xml:space="preserve"> Patēriņa cenu indekss grupās un apakšgrupās</w:t>
      </w:r>
      <w:bookmarkEnd w:id="374"/>
      <w:bookmarkEnd w:id="375"/>
      <w:bookmarkEnd w:id="376"/>
      <w:bookmarkEnd w:id="377"/>
      <w:bookmarkEnd w:id="378"/>
      <w:bookmarkEnd w:id="379"/>
      <w:bookmarkEnd w:id="380"/>
      <w:r w:rsidRPr="009F6E8E">
        <w:t xml:space="preserve">, </w:t>
      </w:r>
    </w:p>
    <w:p w:rsidR="005D5DF1" w:rsidRPr="009F6E8E" w:rsidRDefault="005D5DF1" w:rsidP="005D5DF1">
      <w:pPr>
        <w:keepNext/>
        <w:keepLines/>
      </w:pPr>
      <w:r w:rsidRPr="009F6E8E">
        <w:t>iepriekšējā gada decembris =100</w:t>
      </w:r>
      <w:bookmarkEnd w:id="381"/>
    </w:p>
    <w:p w:rsidR="005D5DF1" w:rsidRPr="009F6E8E" w:rsidRDefault="005D5DF1" w:rsidP="005D5DF1">
      <w:pPr>
        <w:keepNext/>
        <w:keepLines/>
        <w:spacing w:before="20" w:after="20"/>
        <w:jc w:val="center"/>
        <w:rPr>
          <w:sz w:val="18"/>
          <w:szCs w:val="18"/>
        </w:rPr>
      </w:pPr>
    </w:p>
    <w:p w:rsidR="005D5DF1" w:rsidRPr="009F6E8E" w:rsidRDefault="005D5DF1" w:rsidP="005D5DF1">
      <w:pPr>
        <w:keepNext/>
        <w:keepLines/>
        <w:spacing w:before="20" w:after="20"/>
        <w:jc w:val="center"/>
        <w:rPr>
          <w:sz w:val="20"/>
          <w:szCs w:val="18"/>
        </w:rPr>
      </w:pPr>
      <w:r w:rsidRPr="009F6E8E">
        <w:rPr>
          <w:sz w:val="20"/>
          <w:szCs w:val="18"/>
        </w:rPr>
        <w:t>Kopējais patēriņa cenu indekss</w:t>
      </w:r>
    </w:p>
    <w:p w:rsidR="005D5DF1" w:rsidRPr="009F6E8E" w:rsidRDefault="005D5DF1" w:rsidP="005D5DF1">
      <w:pPr>
        <w:keepNext/>
        <w:keepLines/>
        <w:jc w:val="center"/>
        <w:rPr>
          <w:szCs w:val="24"/>
        </w:rPr>
      </w:pPr>
      <w:r w:rsidRPr="009F6E8E">
        <w:rPr>
          <w:noProof/>
          <w:szCs w:val="24"/>
          <w:lang w:eastAsia="lv-LV"/>
        </w:rPr>
        <w:drawing>
          <wp:inline distT="0" distB="0" distL="0" distR="0">
            <wp:extent cx="4710224" cy="1701210"/>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D5DF1" w:rsidRPr="009F6E8E" w:rsidRDefault="005D5DF1" w:rsidP="005D5DF1">
      <w:pPr>
        <w:keepNext/>
        <w:keepLines/>
        <w:jc w:val="center"/>
        <w:rPr>
          <w:szCs w:val="24"/>
        </w:rPr>
      </w:pPr>
    </w:p>
    <w:tbl>
      <w:tblPr>
        <w:tblW w:w="0" w:type="auto"/>
        <w:jc w:val="center"/>
        <w:tblLook w:val="01E0"/>
      </w:tblPr>
      <w:tblGrid>
        <w:gridCol w:w="4931"/>
        <w:gridCol w:w="4924"/>
      </w:tblGrid>
      <w:tr w:rsidR="005D5DF1" w:rsidRPr="009F6E8E" w:rsidTr="005D5DF1">
        <w:trPr>
          <w:jc w:val="center"/>
        </w:trPr>
        <w:tc>
          <w:tcPr>
            <w:tcW w:w="4948" w:type="dxa"/>
            <w:vAlign w:val="bottom"/>
          </w:tcPr>
          <w:p w:rsidR="005D5DF1" w:rsidRPr="009F6E8E" w:rsidRDefault="005D5DF1" w:rsidP="005D5DF1">
            <w:pPr>
              <w:tabs>
                <w:tab w:val="center" w:pos="2552"/>
              </w:tabs>
              <w:spacing w:before="120" w:after="40"/>
              <w:ind w:left="91"/>
              <w:rPr>
                <w:sz w:val="20"/>
                <w:szCs w:val="18"/>
                <w:lang w:eastAsia="lv-LV"/>
              </w:rPr>
            </w:pPr>
            <w:r w:rsidRPr="009F6E8E">
              <w:rPr>
                <w:sz w:val="20"/>
                <w:szCs w:val="18"/>
                <w:lang w:eastAsia="lv-LV"/>
              </w:rPr>
              <w:tab/>
              <w:t>Pārtika un bezalkoholiskie dzērieni</w:t>
            </w:r>
          </w:p>
        </w:tc>
        <w:tc>
          <w:tcPr>
            <w:tcW w:w="4940" w:type="dxa"/>
            <w:vAlign w:val="bottom"/>
          </w:tcPr>
          <w:p w:rsidR="005D5DF1" w:rsidRPr="009F6E8E" w:rsidRDefault="005D5DF1" w:rsidP="005D5DF1">
            <w:pPr>
              <w:tabs>
                <w:tab w:val="center" w:pos="2440"/>
              </w:tabs>
              <w:spacing w:before="120" w:after="40"/>
              <w:ind w:left="91"/>
              <w:rPr>
                <w:sz w:val="20"/>
                <w:szCs w:val="18"/>
                <w:lang w:eastAsia="lv-LV"/>
              </w:rPr>
            </w:pPr>
            <w:r w:rsidRPr="009F6E8E">
              <w:rPr>
                <w:sz w:val="20"/>
                <w:szCs w:val="18"/>
              </w:rPr>
              <w:br w:type="page"/>
            </w:r>
            <w:r w:rsidRPr="009F6E8E">
              <w:rPr>
                <w:sz w:val="20"/>
                <w:szCs w:val="18"/>
              </w:rPr>
              <w:tab/>
            </w:r>
            <w:r w:rsidRPr="009F6E8E">
              <w:rPr>
                <w:sz w:val="20"/>
                <w:szCs w:val="18"/>
                <w:lang w:eastAsia="lv-LV"/>
              </w:rPr>
              <w:t>Administratīvi regulējamās cenas</w:t>
            </w:r>
          </w:p>
        </w:tc>
      </w:tr>
      <w:tr w:rsidR="005D5DF1" w:rsidRPr="009F6E8E" w:rsidTr="005D5DF1">
        <w:trPr>
          <w:jc w:val="center"/>
        </w:trPr>
        <w:tc>
          <w:tcPr>
            <w:tcW w:w="4948" w:type="dxa"/>
          </w:tcPr>
          <w:p w:rsidR="005D5DF1" w:rsidRPr="009F6E8E" w:rsidRDefault="005D5DF1" w:rsidP="005D5DF1">
            <w:pPr>
              <w:ind w:firstLine="14"/>
              <w:jc w:val="center"/>
              <w:rPr>
                <w:szCs w:val="24"/>
              </w:rPr>
            </w:pPr>
            <w:r w:rsidRPr="009F6E8E">
              <w:rPr>
                <w:noProof/>
                <w:szCs w:val="24"/>
                <w:lang w:eastAsia="lv-LV"/>
              </w:rPr>
              <w:drawing>
                <wp:inline distT="0" distB="0" distL="0" distR="0">
                  <wp:extent cx="2881423" cy="1594884"/>
                  <wp:effectExtent l="0" t="0" r="0" b="0"/>
                  <wp:docPr id="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c>
          <w:tcPr>
            <w:tcW w:w="4940" w:type="dxa"/>
          </w:tcPr>
          <w:p w:rsidR="005D5DF1" w:rsidRPr="009F6E8E" w:rsidRDefault="005D5DF1" w:rsidP="005D5DF1">
            <w:pPr>
              <w:jc w:val="center"/>
              <w:rPr>
                <w:szCs w:val="24"/>
              </w:rPr>
            </w:pPr>
            <w:r w:rsidRPr="00DD25B6">
              <w:rPr>
                <w:noProof/>
                <w:szCs w:val="24"/>
                <w:lang w:eastAsia="lv-LV"/>
              </w:rPr>
              <w:drawing>
                <wp:inline distT="0" distB="0" distL="0" distR="0">
                  <wp:extent cx="2881423" cy="1594884"/>
                  <wp:effectExtent l="0" t="0" r="0" b="0"/>
                  <wp:docPr id="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r w:rsidR="005D5DF1" w:rsidRPr="009F6E8E" w:rsidTr="005D5DF1">
        <w:trPr>
          <w:jc w:val="center"/>
        </w:trPr>
        <w:tc>
          <w:tcPr>
            <w:tcW w:w="4948" w:type="dxa"/>
            <w:vAlign w:val="bottom"/>
          </w:tcPr>
          <w:p w:rsidR="005D5DF1" w:rsidRPr="009F6E8E" w:rsidRDefault="005D5DF1" w:rsidP="005D5DF1">
            <w:pPr>
              <w:tabs>
                <w:tab w:val="center" w:pos="2410"/>
              </w:tabs>
              <w:spacing w:before="120" w:after="40"/>
              <w:ind w:left="91"/>
              <w:rPr>
                <w:sz w:val="20"/>
                <w:szCs w:val="18"/>
                <w:lang w:eastAsia="lv-LV"/>
              </w:rPr>
            </w:pPr>
            <w:r w:rsidRPr="009F6E8E">
              <w:rPr>
                <w:sz w:val="20"/>
                <w:szCs w:val="18"/>
                <w:lang w:eastAsia="lv-LV"/>
              </w:rPr>
              <w:tab/>
              <w:t>Apģērbs un apavi</w:t>
            </w:r>
          </w:p>
        </w:tc>
        <w:tc>
          <w:tcPr>
            <w:tcW w:w="4940" w:type="dxa"/>
            <w:vAlign w:val="bottom"/>
          </w:tcPr>
          <w:p w:rsidR="005D5DF1" w:rsidRPr="009F6E8E" w:rsidRDefault="005D5DF1" w:rsidP="005D5DF1">
            <w:pPr>
              <w:tabs>
                <w:tab w:val="center" w:pos="2582"/>
              </w:tabs>
              <w:spacing w:before="120" w:after="40"/>
              <w:ind w:left="91"/>
              <w:rPr>
                <w:sz w:val="20"/>
                <w:szCs w:val="18"/>
                <w:lang w:eastAsia="lv-LV"/>
              </w:rPr>
            </w:pPr>
            <w:r w:rsidRPr="009F6E8E">
              <w:rPr>
                <w:sz w:val="20"/>
                <w:szCs w:val="18"/>
                <w:lang w:eastAsia="lv-LV"/>
              </w:rPr>
              <w:tab/>
              <w:t>Alkoholiskie dzērieni un tabaka</w:t>
            </w:r>
          </w:p>
        </w:tc>
      </w:tr>
      <w:tr w:rsidR="005D5DF1" w:rsidRPr="009F6E8E" w:rsidTr="005D5DF1">
        <w:trPr>
          <w:jc w:val="center"/>
        </w:trPr>
        <w:tc>
          <w:tcPr>
            <w:tcW w:w="4948" w:type="dxa"/>
          </w:tcPr>
          <w:p w:rsidR="005D5DF1" w:rsidRPr="009F6E8E" w:rsidRDefault="005D5DF1" w:rsidP="005D5DF1">
            <w:pPr>
              <w:ind w:firstLine="14"/>
              <w:jc w:val="center"/>
              <w:rPr>
                <w:szCs w:val="24"/>
              </w:rPr>
            </w:pPr>
            <w:r w:rsidRPr="00DD25B6">
              <w:rPr>
                <w:noProof/>
                <w:szCs w:val="24"/>
                <w:lang w:eastAsia="lv-LV"/>
              </w:rPr>
              <w:drawing>
                <wp:inline distT="0" distB="0" distL="0" distR="0">
                  <wp:extent cx="2881423" cy="1594884"/>
                  <wp:effectExtent l="0" t="0" r="0" b="0"/>
                  <wp:docPr id="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c>
          <w:tcPr>
            <w:tcW w:w="4940" w:type="dxa"/>
          </w:tcPr>
          <w:p w:rsidR="005D5DF1" w:rsidRPr="009F6E8E" w:rsidRDefault="005D5DF1" w:rsidP="005D5DF1">
            <w:pPr>
              <w:jc w:val="center"/>
              <w:rPr>
                <w:szCs w:val="24"/>
                <w:lang w:eastAsia="lv-LV"/>
              </w:rPr>
            </w:pPr>
            <w:r w:rsidRPr="00DD25B6">
              <w:rPr>
                <w:noProof/>
                <w:szCs w:val="24"/>
                <w:lang w:eastAsia="lv-LV"/>
              </w:rPr>
              <w:drawing>
                <wp:inline distT="0" distB="0" distL="0" distR="0">
                  <wp:extent cx="2881423" cy="1594884"/>
                  <wp:effectExtent l="0" t="0" r="0" b="0"/>
                  <wp:docPr id="2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r w:rsidR="005D5DF1" w:rsidRPr="009F6E8E" w:rsidTr="005D5DF1">
        <w:trPr>
          <w:jc w:val="center"/>
        </w:trPr>
        <w:tc>
          <w:tcPr>
            <w:tcW w:w="4948" w:type="dxa"/>
            <w:vAlign w:val="bottom"/>
          </w:tcPr>
          <w:p w:rsidR="005D5DF1" w:rsidRPr="009F6E8E" w:rsidRDefault="005D5DF1" w:rsidP="005D5DF1">
            <w:pPr>
              <w:tabs>
                <w:tab w:val="center" w:pos="2268"/>
              </w:tabs>
              <w:spacing w:before="120" w:after="40"/>
              <w:ind w:left="91"/>
              <w:rPr>
                <w:sz w:val="20"/>
                <w:szCs w:val="18"/>
                <w:lang w:eastAsia="lv-LV"/>
              </w:rPr>
            </w:pPr>
            <w:r w:rsidRPr="009F6E8E">
              <w:rPr>
                <w:sz w:val="20"/>
                <w:szCs w:val="18"/>
                <w:lang w:eastAsia="lv-LV"/>
              </w:rPr>
              <w:tab/>
              <w:t>Degviela</w:t>
            </w:r>
          </w:p>
        </w:tc>
        <w:tc>
          <w:tcPr>
            <w:tcW w:w="4940" w:type="dxa"/>
            <w:vAlign w:val="bottom"/>
          </w:tcPr>
          <w:p w:rsidR="005D5DF1" w:rsidRPr="009F6E8E" w:rsidRDefault="005D5DF1" w:rsidP="005D5DF1">
            <w:pPr>
              <w:tabs>
                <w:tab w:val="center" w:pos="2391"/>
              </w:tabs>
              <w:spacing w:before="120" w:after="40"/>
              <w:ind w:left="91"/>
              <w:rPr>
                <w:sz w:val="20"/>
                <w:szCs w:val="18"/>
                <w:lang w:eastAsia="lv-LV"/>
              </w:rPr>
            </w:pPr>
            <w:r w:rsidRPr="009F6E8E">
              <w:rPr>
                <w:sz w:val="20"/>
                <w:szCs w:val="18"/>
                <w:lang w:eastAsia="lv-LV"/>
              </w:rPr>
              <w:tab/>
              <w:t>Pārējās preču un pakalpojumu grupas</w:t>
            </w:r>
          </w:p>
        </w:tc>
      </w:tr>
      <w:tr w:rsidR="005D5DF1" w:rsidRPr="009F6E8E" w:rsidTr="005D5DF1">
        <w:trPr>
          <w:jc w:val="center"/>
        </w:trPr>
        <w:tc>
          <w:tcPr>
            <w:tcW w:w="4948" w:type="dxa"/>
          </w:tcPr>
          <w:p w:rsidR="005D5DF1" w:rsidRPr="009F6E8E" w:rsidRDefault="005D5DF1" w:rsidP="005D5DF1">
            <w:pPr>
              <w:ind w:firstLine="14"/>
              <w:jc w:val="center"/>
              <w:rPr>
                <w:szCs w:val="24"/>
              </w:rPr>
            </w:pPr>
            <w:r w:rsidRPr="00DD25B6">
              <w:rPr>
                <w:noProof/>
                <w:szCs w:val="24"/>
                <w:lang w:eastAsia="lv-LV"/>
              </w:rPr>
              <w:drawing>
                <wp:inline distT="0" distB="0" distL="0" distR="0">
                  <wp:extent cx="2881423" cy="1594884"/>
                  <wp:effectExtent l="0" t="0" r="0" b="0"/>
                  <wp:docPr id="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c>
          <w:tcPr>
            <w:tcW w:w="4940" w:type="dxa"/>
          </w:tcPr>
          <w:p w:rsidR="005D5DF1" w:rsidRPr="009F6E8E" w:rsidRDefault="005D5DF1" w:rsidP="005D5DF1">
            <w:pPr>
              <w:jc w:val="center"/>
              <w:rPr>
                <w:szCs w:val="24"/>
                <w:lang w:eastAsia="lv-LV"/>
              </w:rPr>
            </w:pPr>
            <w:r w:rsidRPr="00DD25B6">
              <w:rPr>
                <w:noProof/>
                <w:szCs w:val="24"/>
                <w:lang w:eastAsia="lv-LV"/>
              </w:rPr>
              <w:drawing>
                <wp:inline distT="0" distB="0" distL="0" distR="0">
                  <wp:extent cx="2881423" cy="1594884"/>
                  <wp:effectExtent l="0" t="0" r="0" b="0"/>
                  <wp:docPr id="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bl>
    <w:p w:rsidR="005D5DF1" w:rsidRPr="009F6E8E" w:rsidRDefault="005D5DF1" w:rsidP="005D5DF1">
      <w:pPr>
        <w:pStyle w:val="BodyText"/>
        <w:spacing w:after="0"/>
        <w:ind w:firstLine="567"/>
        <w:jc w:val="both"/>
      </w:pPr>
    </w:p>
    <w:p w:rsidR="005D5DF1" w:rsidRPr="009F6E8E" w:rsidRDefault="005D5DF1" w:rsidP="005D5DF1">
      <w:pPr>
        <w:rPr>
          <w:rFonts w:eastAsiaTheme="majorEastAsia" w:cstheme="majorBidi"/>
          <w:bCs/>
          <w:szCs w:val="26"/>
        </w:rPr>
      </w:pPr>
      <w:bookmarkStart w:id="382" w:name="_Toc216077881"/>
      <w:bookmarkStart w:id="383" w:name="_Toc216079550"/>
      <w:bookmarkStart w:id="384" w:name="_Toc216079618"/>
      <w:bookmarkStart w:id="385" w:name="_Toc216079680"/>
      <w:bookmarkStart w:id="386" w:name="_Toc216079736"/>
      <w:bookmarkStart w:id="387" w:name="_Toc216079792"/>
      <w:bookmarkStart w:id="388" w:name="_Toc216079848"/>
      <w:r w:rsidRPr="009F6E8E">
        <w:rPr>
          <w:b/>
        </w:rPr>
        <w:br w:type="page"/>
      </w:r>
    </w:p>
    <w:p w:rsidR="005D5DF1" w:rsidRPr="009F6E8E" w:rsidRDefault="005D5DF1" w:rsidP="005D5DF1">
      <w:pPr>
        <w:pStyle w:val="Heading2"/>
        <w:rPr>
          <w:b w:val="0"/>
        </w:rPr>
      </w:pPr>
    </w:p>
    <w:p w:rsidR="005D5DF1" w:rsidRPr="009F6E8E" w:rsidRDefault="005D5DF1" w:rsidP="005D5DF1">
      <w:pPr>
        <w:pStyle w:val="Heading2"/>
        <w:ind w:right="2268"/>
      </w:pPr>
      <w:bookmarkStart w:id="389" w:name="_Toc282413212"/>
      <w:r>
        <w:rPr>
          <w:b w:val="0"/>
        </w:rPr>
        <w:t>7</w:t>
      </w:r>
      <w:r w:rsidRPr="0044009E">
        <w:rPr>
          <w:b w:val="0"/>
        </w:rPr>
        <w:t>.3.attēls.</w:t>
      </w:r>
      <w:r w:rsidRPr="0044009E">
        <w:t xml:space="preserve"> Atsevišķu preču un pakalpojumu grupu ietekme uz kopējo patēriņa cenu indeksu</w:t>
      </w:r>
      <w:bookmarkEnd w:id="382"/>
      <w:bookmarkEnd w:id="383"/>
      <w:bookmarkEnd w:id="384"/>
      <w:bookmarkEnd w:id="385"/>
      <w:bookmarkEnd w:id="386"/>
      <w:bookmarkEnd w:id="387"/>
      <w:bookmarkEnd w:id="388"/>
      <w:bookmarkEnd w:id="389"/>
      <w:r w:rsidRPr="009F6E8E">
        <w:t xml:space="preserve"> </w:t>
      </w:r>
    </w:p>
    <w:p w:rsidR="005D5DF1" w:rsidRDefault="005D5DF1" w:rsidP="005D5DF1">
      <w:pPr>
        <w:pStyle w:val="BodyText"/>
        <w:spacing w:after="0"/>
        <w:rPr>
          <w:sz w:val="22"/>
        </w:rPr>
      </w:pPr>
    </w:p>
    <w:p w:rsidR="005D5DF1" w:rsidRDefault="005D5DF1" w:rsidP="005D5DF1">
      <w:pPr>
        <w:pStyle w:val="BodyText"/>
        <w:spacing w:after="0"/>
        <w:rPr>
          <w:sz w:val="22"/>
        </w:rPr>
      </w:pPr>
      <w:r w:rsidRPr="009F6E8E">
        <w:rPr>
          <w:sz w:val="22"/>
        </w:rPr>
        <w:t>12 mēnešu inflācija, procentpunkti</w:t>
      </w:r>
    </w:p>
    <w:p w:rsidR="005D5DF1" w:rsidRDefault="005D5DF1" w:rsidP="005D5DF1">
      <w:pPr>
        <w:pStyle w:val="BodyText"/>
        <w:spacing w:after="0"/>
        <w:rPr>
          <w:sz w:val="22"/>
        </w:rPr>
      </w:pPr>
    </w:p>
    <w:p w:rsidR="005D5DF1" w:rsidRDefault="005D5DF1" w:rsidP="005D5DF1">
      <w:pPr>
        <w:pStyle w:val="BodyText"/>
        <w:spacing w:after="0"/>
        <w:rPr>
          <w:sz w:val="22"/>
        </w:rPr>
      </w:pPr>
      <w:r w:rsidRPr="00A1172E">
        <w:rPr>
          <w:noProof/>
          <w:sz w:val="22"/>
        </w:rPr>
        <w:drawing>
          <wp:inline distT="0" distB="0" distL="0" distR="0">
            <wp:extent cx="6074797" cy="6114553"/>
            <wp:effectExtent l="19050" t="0" r="0" b="0"/>
            <wp:docPr id="2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5D5DF1" w:rsidRDefault="005D5DF1" w:rsidP="005D5DF1">
      <w:pPr>
        <w:rPr>
          <w:rFonts w:eastAsia="Times New Roman"/>
          <w:sz w:val="22"/>
          <w:szCs w:val="24"/>
          <w:lang w:eastAsia="lv-LV"/>
        </w:rPr>
      </w:pPr>
      <w:r>
        <w:rPr>
          <w:sz w:val="22"/>
        </w:rPr>
        <w:br w:type="page"/>
      </w:r>
    </w:p>
    <w:p w:rsidR="005D5DF1" w:rsidRPr="009F6E8E" w:rsidRDefault="005D5DF1" w:rsidP="005D5DF1">
      <w:bookmarkStart w:id="390" w:name="_Toc216079551"/>
      <w:bookmarkStart w:id="391" w:name="_Toc216079619"/>
      <w:bookmarkStart w:id="392" w:name="_Toc216079681"/>
      <w:bookmarkStart w:id="393" w:name="_Toc216079737"/>
      <w:bookmarkStart w:id="394" w:name="_Toc216079793"/>
      <w:bookmarkStart w:id="395" w:name="_Toc216079849"/>
      <w:bookmarkStart w:id="396" w:name="_Toc282413213"/>
      <w:bookmarkStart w:id="397" w:name="_Toc216077883"/>
      <w:r w:rsidRPr="005B4F7E">
        <w:rPr>
          <w:rStyle w:val="Heading2Char"/>
          <w:b w:val="0"/>
        </w:rPr>
        <w:lastRenderedPageBreak/>
        <w:t>7.4.attēls.</w:t>
      </w:r>
      <w:r w:rsidRPr="005B4F7E">
        <w:rPr>
          <w:rStyle w:val="Heading2Char"/>
        </w:rPr>
        <w:t xml:space="preserve"> Saskaņotais patēriņa cenu indekss pa mēnešiem</w:t>
      </w:r>
      <w:bookmarkEnd w:id="390"/>
      <w:bookmarkEnd w:id="391"/>
      <w:bookmarkEnd w:id="392"/>
      <w:bookmarkEnd w:id="393"/>
      <w:bookmarkEnd w:id="394"/>
      <w:bookmarkEnd w:id="395"/>
      <w:bookmarkEnd w:id="396"/>
      <w:r w:rsidRPr="005B4F7E">
        <w:t>, 200</w:t>
      </w:r>
      <w:r>
        <w:t>8</w:t>
      </w:r>
      <w:r w:rsidRPr="005B4F7E">
        <w:t>.g</w:t>
      </w:r>
      <w:r>
        <w:t>ada</w:t>
      </w:r>
      <w:r w:rsidRPr="005B4F7E">
        <w:t xml:space="preserve"> </w:t>
      </w:r>
      <w:r>
        <w:t>decembris</w:t>
      </w:r>
      <w:r w:rsidRPr="005B4F7E">
        <w:t xml:space="preserve"> =100</w:t>
      </w:r>
      <w:bookmarkEnd w:id="397"/>
    </w:p>
    <w:p w:rsidR="005D5DF1" w:rsidRPr="009F6E8E" w:rsidRDefault="005D5DF1" w:rsidP="005D5DF1">
      <w:pPr>
        <w:spacing w:before="120"/>
        <w:jc w:val="center"/>
        <w:rPr>
          <w:rFonts w:eastAsia="Times New Roman"/>
          <w:bCs/>
          <w:color w:val="000000"/>
          <w:sz w:val="20"/>
          <w:szCs w:val="24"/>
        </w:rPr>
      </w:pPr>
      <w:r w:rsidRPr="009F6E8E">
        <w:rPr>
          <w:rFonts w:eastAsia="Times New Roman"/>
          <w:bCs/>
          <w:color w:val="000000"/>
          <w:sz w:val="20"/>
          <w:szCs w:val="24"/>
        </w:rPr>
        <w:t>Kopējais indekss</w:t>
      </w:r>
    </w:p>
    <w:p w:rsidR="005D5DF1" w:rsidRPr="009F6E8E" w:rsidRDefault="005D5DF1" w:rsidP="005D5DF1">
      <w:pPr>
        <w:jc w:val="center"/>
        <w:rPr>
          <w:b/>
          <w:szCs w:val="24"/>
        </w:rPr>
      </w:pPr>
      <w:r w:rsidRPr="009F6E8E">
        <w:rPr>
          <w:b/>
          <w:noProof/>
          <w:szCs w:val="24"/>
          <w:lang w:eastAsia="lv-LV"/>
        </w:rPr>
        <w:drawing>
          <wp:inline distT="0" distB="0" distL="0" distR="0">
            <wp:extent cx="5890161" cy="1876301"/>
            <wp:effectExtent l="0" t="0" r="0" b="0"/>
            <wp:docPr id="3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W w:w="9789" w:type="dxa"/>
        <w:tblLook w:val="01E0"/>
      </w:tblPr>
      <w:tblGrid>
        <w:gridCol w:w="4965"/>
        <w:gridCol w:w="4824"/>
      </w:tblGrid>
      <w:tr w:rsidR="005D5DF1" w:rsidRPr="009F6E8E" w:rsidTr="005D5DF1">
        <w:tc>
          <w:tcPr>
            <w:tcW w:w="4967" w:type="dxa"/>
            <w:vAlign w:val="center"/>
          </w:tcPr>
          <w:p w:rsidR="005D5DF1" w:rsidRPr="009F6E8E" w:rsidRDefault="005D5DF1" w:rsidP="005D5DF1">
            <w:pPr>
              <w:tabs>
                <w:tab w:val="center" w:pos="2552"/>
              </w:tabs>
              <w:spacing w:before="120"/>
              <w:rPr>
                <w:rFonts w:eastAsia="Times New Roman"/>
                <w:sz w:val="20"/>
                <w:szCs w:val="18"/>
              </w:rPr>
            </w:pPr>
            <w:r w:rsidRPr="009F6E8E">
              <w:rPr>
                <w:sz w:val="20"/>
                <w:szCs w:val="18"/>
              </w:rPr>
              <w:tab/>
              <w:t>pārtikas precēm (ieskaitot alkoholu un tabaku)</w:t>
            </w:r>
          </w:p>
        </w:tc>
        <w:tc>
          <w:tcPr>
            <w:tcW w:w="4822" w:type="dxa"/>
            <w:vAlign w:val="center"/>
          </w:tcPr>
          <w:p w:rsidR="005D5DF1" w:rsidRPr="009F6E8E" w:rsidRDefault="005D5DF1" w:rsidP="005D5DF1">
            <w:pPr>
              <w:tabs>
                <w:tab w:val="center" w:pos="2408"/>
              </w:tabs>
              <w:spacing w:before="120"/>
              <w:rPr>
                <w:rFonts w:eastAsia="Times New Roman"/>
                <w:sz w:val="20"/>
                <w:szCs w:val="18"/>
              </w:rPr>
            </w:pPr>
            <w:r w:rsidRPr="009F6E8E">
              <w:rPr>
                <w:rFonts w:eastAsia="Times New Roman"/>
                <w:sz w:val="20"/>
                <w:szCs w:val="18"/>
              </w:rPr>
              <w:br w:type="page"/>
            </w:r>
            <w:r w:rsidRPr="009F6E8E">
              <w:rPr>
                <w:rFonts w:eastAsia="Times New Roman"/>
                <w:sz w:val="20"/>
                <w:szCs w:val="18"/>
              </w:rPr>
              <w:tab/>
            </w:r>
            <w:r w:rsidRPr="009F6E8E">
              <w:rPr>
                <w:rFonts w:eastAsia="Times New Roman"/>
                <w:bCs/>
                <w:color w:val="000000"/>
                <w:sz w:val="20"/>
                <w:szCs w:val="18"/>
              </w:rPr>
              <w:t>enerģijai</w:t>
            </w:r>
          </w:p>
        </w:tc>
      </w:tr>
      <w:tr w:rsidR="005D5DF1" w:rsidRPr="009F6E8E" w:rsidTr="005D5DF1">
        <w:tc>
          <w:tcPr>
            <w:tcW w:w="4967" w:type="dxa"/>
          </w:tcPr>
          <w:p w:rsidR="005D5DF1" w:rsidRPr="009F6E8E" w:rsidRDefault="005D5DF1" w:rsidP="005D5DF1">
            <w:pPr>
              <w:jc w:val="center"/>
              <w:rPr>
                <w:rFonts w:eastAsia="Times New Roman"/>
                <w:szCs w:val="24"/>
              </w:rPr>
            </w:pPr>
            <w:r w:rsidRPr="009F6E8E">
              <w:rPr>
                <w:noProof/>
                <w:szCs w:val="24"/>
                <w:lang w:eastAsia="lv-LV"/>
              </w:rPr>
              <w:drawing>
                <wp:inline distT="0" distB="0" distL="0" distR="0">
                  <wp:extent cx="2926080" cy="1692000"/>
                  <wp:effectExtent l="0" t="0" r="0" b="0"/>
                  <wp:docPr id="3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c>
          <w:tcPr>
            <w:tcW w:w="4822" w:type="dxa"/>
          </w:tcPr>
          <w:p w:rsidR="005D5DF1" w:rsidRPr="009F6E8E" w:rsidRDefault="005D5DF1" w:rsidP="005D5DF1">
            <w:pPr>
              <w:jc w:val="center"/>
              <w:rPr>
                <w:rFonts w:eastAsia="Times New Roman"/>
                <w:szCs w:val="24"/>
              </w:rPr>
            </w:pPr>
            <w:r w:rsidRPr="00F94E76">
              <w:rPr>
                <w:rFonts w:eastAsia="Times New Roman"/>
                <w:noProof/>
                <w:szCs w:val="24"/>
                <w:lang w:eastAsia="lv-LV"/>
              </w:rPr>
              <w:drawing>
                <wp:inline distT="0" distB="0" distL="0" distR="0">
                  <wp:extent cx="2926080" cy="1692000"/>
                  <wp:effectExtent l="0" t="0" r="0" b="0"/>
                  <wp:docPr id="1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bl>
    <w:p w:rsidR="005D5DF1" w:rsidRDefault="005D5DF1" w:rsidP="005D5DF1">
      <w:pPr>
        <w:ind w:firstLine="567"/>
        <w:jc w:val="both"/>
        <w:rPr>
          <w:rFonts w:eastAsia="Times New Roman"/>
          <w:sz w:val="12"/>
          <w:szCs w:val="24"/>
        </w:rPr>
      </w:pPr>
    </w:p>
    <w:tbl>
      <w:tblPr>
        <w:tblW w:w="9789" w:type="dxa"/>
        <w:tblLook w:val="01E0"/>
      </w:tblPr>
      <w:tblGrid>
        <w:gridCol w:w="4965"/>
        <w:gridCol w:w="4824"/>
      </w:tblGrid>
      <w:tr w:rsidR="005D5DF1" w:rsidRPr="009F6E8E" w:rsidTr="005D5DF1">
        <w:tc>
          <w:tcPr>
            <w:tcW w:w="4967" w:type="dxa"/>
            <w:vAlign w:val="center"/>
          </w:tcPr>
          <w:p w:rsidR="005D5DF1" w:rsidRPr="009F6E8E" w:rsidRDefault="005D5DF1" w:rsidP="005D5DF1">
            <w:pPr>
              <w:tabs>
                <w:tab w:val="center" w:pos="2552"/>
              </w:tabs>
              <w:spacing w:before="120"/>
              <w:rPr>
                <w:rFonts w:eastAsia="Times New Roman"/>
                <w:sz w:val="20"/>
                <w:szCs w:val="18"/>
              </w:rPr>
            </w:pPr>
            <w:r w:rsidRPr="009F6E8E">
              <w:rPr>
                <w:sz w:val="20"/>
                <w:szCs w:val="18"/>
              </w:rPr>
              <w:tab/>
            </w:r>
            <w:r>
              <w:rPr>
                <w:sz w:val="20"/>
                <w:szCs w:val="18"/>
              </w:rPr>
              <w:t>pakalpojumiem</w:t>
            </w:r>
          </w:p>
        </w:tc>
        <w:tc>
          <w:tcPr>
            <w:tcW w:w="4822" w:type="dxa"/>
            <w:vAlign w:val="center"/>
          </w:tcPr>
          <w:p w:rsidR="005D5DF1" w:rsidRPr="009F6E8E" w:rsidRDefault="005D5DF1" w:rsidP="005D5DF1">
            <w:pPr>
              <w:tabs>
                <w:tab w:val="center" w:pos="2408"/>
              </w:tabs>
              <w:spacing w:before="120"/>
              <w:rPr>
                <w:rFonts w:eastAsia="Times New Roman"/>
                <w:sz w:val="20"/>
                <w:szCs w:val="18"/>
              </w:rPr>
            </w:pPr>
            <w:r w:rsidRPr="009F6E8E">
              <w:rPr>
                <w:rFonts w:eastAsia="Times New Roman"/>
                <w:sz w:val="20"/>
                <w:szCs w:val="18"/>
              </w:rPr>
              <w:br w:type="page"/>
            </w:r>
            <w:r w:rsidRPr="009F6E8E">
              <w:rPr>
                <w:rFonts w:eastAsia="Times New Roman"/>
                <w:sz w:val="20"/>
                <w:szCs w:val="18"/>
              </w:rPr>
              <w:tab/>
            </w:r>
            <w:r>
              <w:rPr>
                <w:rFonts w:eastAsia="Times New Roman"/>
                <w:bCs/>
                <w:color w:val="000000"/>
                <w:sz w:val="20"/>
                <w:szCs w:val="18"/>
              </w:rPr>
              <w:t>administratīvi regulējamām precēm</w:t>
            </w:r>
          </w:p>
        </w:tc>
      </w:tr>
      <w:tr w:rsidR="005D5DF1" w:rsidRPr="009F6E8E" w:rsidTr="005D5DF1">
        <w:tc>
          <w:tcPr>
            <w:tcW w:w="4967" w:type="dxa"/>
          </w:tcPr>
          <w:p w:rsidR="005D5DF1" w:rsidRPr="009F6E8E" w:rsidRDefault="005D5DF1" w:rsidP="005D5DF1">
            <w:pPr>
              <w:jc w:val="center"/>
              <w:rPr>
                <w:rFonts w:eastAsia="Times New Roman"/>
                <w:szCs w:val="24"/>
              </w:rPr>
            </w:pPr>
            <w:r w:rsidRPr="009F6E8E">
              <w:rPr>
                <w:noProof/>
                <w:szCs w:val="24"/>
                <w:lang w:eastAsia="lv-LV"/>
              </w:rPr>
              <w:drawing>
                <wp:inline distT="0" distB="0" distL="0" distR="0">
                  <wp:extent cx="2926080" cy="1692000"/>
                  <wp:effectExtent l="0" t="0" r="0" b="0"/>
                  <wp:docPr id="1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4822" w:type="dxa"/>
          </w:tcPr>
          <w:p w:rsidR="005D5DF1" w:rsidRPr="009F6E8E" w:rsidRDefault="005D5DF1" w:rsidP="005D5DF1">
            <w:pPr>
              <w:jc w:val="center"/>
              <w:rPr>
                <w:rFonts w:eastAsia="Times New Roman"/>
                <w:szCs w:val="24"/>
              </w:rPr>
            </w:pPr>
            <w:r w:rsidRPr="00F94E76">
              <w:rPr>
                <w:rFonts w:eastAsia="Times New Roman"/>
                <w:noProof/>
                <w:szCs w:val="24"/>
                <w:lang w:eastAsia="lv-LV"/>
              </w:rPr>
              <w:drawing>
                <wp:inline distT="0" distB="0" distL="0" distR="0">
                  <wp:extent cx="2926080" cy="1692000"/>
                  <wp:effectExtent l="0" t="0" r="0" b="0"/>
                  <wp:docPr id="1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bl>
    <w:p w:rsidR="005D5DF1" w:rsidRPr="009F6E8E" w:rsidRDefault="005D5DF1" w:rsidP="005D5DF1">
      <w:pPr>
        <w:ind w:firstLine="567"/>
        <w:jc w:val="both"/>
        <w:rPr>
          <w:rFonts w:eastAsia="Times New Roman"/>
          <w:sz w:val="12"/>
          <w:szCs w:val="24"/>
        </w:rPr>
      </w:pPr>
    </w:p>
    <w:p w:rsidR="005D5DF1" w:rsidRPr="009F6E8E" w:rsidRDefault="005D5DF1" w:rsidP="005D5DF1">
      <w:pPr>
        <w:ind w:firstLine="567"/>
        <w:jc w:val="right"/>
        <w:rPr>
          <w:rFonts w:eastAsia="Times New Roman"/>
          <w:sz w:val="6"/>
          <w:szCs w:val="24"/>
        </w:rPr>
      </w:pPr>
    </w:p>
    <w:p w:rsidR="005D5DF1" w:rsidRPr="009F6E8E" w:rsidRDefault="005D5DF1" w:rsidP="005D5DF1">
      <w:pPr>
        <w:pStyle w:val="Heading2"/>
        <w:rPr>
          <w:rFonts w:eastAsia="Times New Roman"/>
        </w:rPr>
      </w:pPr>
      <w:bookmarkStart w:id="398" w:name="_Toc216077884"/>
      <w:bookmarkStart w:id="399" w:name="_Toc216079552"/>
      <w:bookmarkStart w:id="400" w:name="_Toc216079620"/>
      <w:bookmarkStart w:id="401" w:name="_Toc216079682"/>
      <w:bookmarkStart w:id="402" w:name="_Toc216079738"/>
      <w:bookmarkStart w:id="403" w:name="_Toc216079794"/>
      <w:bookmarkStart w:id="404" w:name="_Toc216079850"/>
      <w:bookmarkStart w:id="405" w:name="_Toc282413214"/>
      <w:r>
        <w:rPr>
          <w:b w:val="0"/>
        </w:rPr>
        <w:t>7</w:t>
      </w:r>
      <w:r w:rsidRPr="009F6E8E">
        <w:rPr>
          <w:b w:val="0"/>
        </w:rPr>
        <w:t>.</w:t>
      </w:r>
      <w:r>
        <w:rPr>
          <w:b w:val="0"/>
        </w:rPr>
        <w:t>5</w:t>
      </w:r>
      <w:r w:rsidRPr="009F6E8E">
        <w:rPr>
          <w:b w:val="0"/>
        </w:rPr>
        <w:t>.attēls.</w:t>
      </w:r>
      <w:r w:rsidRPr="009F6E8E">
        <w:t xml:space="preserve"> </w:t>
      </w:r>
      <w:r w:rsidRPr="009F6E8E">
        <w:rPr>
          <w:rFonts w:eastAsia="Times New Roman"/>
        </w:rPr>
        <w:t>Ražotāju cenu pārmaiņas</w:t>
      </w:r>
      <w:bookmarkEnd w:id="398"/>
      <w:bookmarkEnd w:id="399"/>
      <w:bookmarkEnd w:id="400"/>
      <w:bookmarkEnd w:id="401"/>
      <w:bookmarkEnd w:id="402"/>
      <w:bookmarkEnd w:id="403"/>
      <w:bookmarkEnd w:id="404"/>
      <w:bookmarkEnd w:id="405"/>
    </w:p>
    <w:p w:rsidR="005D5DF1" w:rsidRPr="009F6E8E" w:rsidRDefault="005D5DF1" w:rsidP="005D5DF1">
      <w:pPr>
        <w:jc w:val="center"/>
        <w:rPr>
          <w:color w:val="000000"/>
          <w:sz w:val="22"/>
          <w:szCs w:val="18"/>
        </w:rPr>
      </w:pPr>
      <w:r w:rsidRPr="009F6E8E">
        <w:rPr>
          <w:color w:val="000000"/>
          <w:sz w:val="22"/>
          <w:szCs w:val="18"/>
        </w:rPr>
        <w:t>12 mēnešu inflācija</w:t>
      </w:r>
    </w:p>
    <w:p w:rsidR="005D5DF1" w:rsidRPr="009F6E8E" w:rsidRDefault="005D5DF1" w:rsidP="005D5DF1">
      <w:pPr>
        <w:jc w:val="center"/>
        <w:rPr>
          <w:szCs w:val="24"/>
        </w:rPr>
      </w:pPr>
      <w:r w:rsidRPr="009F6E8E">
        <w:rPr>
          <w:noProof/>
          <w:szCs w:val="24"/>
          <w:lang w:eastAsia="lv-LV"/>
        </w:rPr>
        <w:drawing>
          <wp:inline distT="0" distB="0" distL="0" distR="0">
            <wp:extent cx="5868062" cy="1868557"/>
            <wp:effectExtent l="0" t="0" r="0" b="0"/>
            <wp:docPr id="1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5D5DF1" w:rsidRPr="009F6E8E" w:rsidRDefault="005D5DF1" w:rsidP="005D5DF1">
      <w:pPr>
        <w:pStyle w:val="BodyText"/>
        <w:spacing w:after="0"/>
        <w:jc w:val="right"/>
        <w:rPr>
          <w:bCs/>
          <w:spacing w:val="-2"/>
          <w:sz w:val="8"/>
        </w:rPr>
      </w:pPr>
    </w:p>
    <w:p w:rsidR="005D5DF1" w:rsidRDefault="005D5DF1" w:rsidP="005D5DF1">
      <w:pPr>
        <w:rPr>
          <w:rFonts w:eastAsiaTheme="majorEastAsia" w:cstheme="majorBidi"/>
          <w:bCs/>
          <w:sz w:val="28"/>
          <w:szCs w:val="26"/>
        </w:rPr>
      </w:pPr>
      <w:bookmarkStart w:id="406" w:name="_Toc216077885"/>
      <w:bookmarkStart w:id="407" w:name="_Toc216079553"/>
      <w:bookmarkStart w:id="408" w:name="_Toc216079621"/>
      <w:bookmarkStart w:id="409" w:name="_Toc216079683"/>
      <w:bookmarkStart w:id="410" w:name="_Toc216079739"/>
      <w:bookmarkStart w:id="411" w:name="_Toc216079795"/>
      <w:bookmarkStart w:id="412" w:name="_Toc216079851"/>
      <w:r>
        <w:rPr>
          <w:b/>
        </w:rPr>
        <w:br w:type="page"/>
      </w:r>
    </w:p>
    <w:p w:rsidR="005D5DF1" w:rsidRPr="009F6E8E" w:rsidRDefault="005D5DF1" w:rsidP="005D5DF1">
      <w:pPr>
        <w:pStyle w:val="Heading2"/>
      </w:pPr>
      <w:bookmarkStart w:id="413" w:name="_Toc282413215"/>
      <w:bookmarkEnd w:id="406"/>
      <w:bookmarkEnd w:id="407"/>
      <w:bookmarkEnd w:id="408"/>
      <w:bookmarkEnd w:id="409"/>
      <w:bookmarkEnd w:id="410"/>
      <w:bookmarkEnd w:id="411"/>
      <w:bookmarkEnd w:id="412"/>
      <w:r w:rsidRPr="00B839A8">
        <w:rPr>
          <w:b w:val="0"/>
        </w:rPr>
        <w:lastRenderedPageBreak/>
        <w:t>7.6.attēls</w:t>
      </w:r>
      <w:r>
        <w:rPr>
          <w:b w:val="0"/>
        </w:rPr>
        <w:t>.</w:t>
      </w:r>
      <w:r w:rsidRPr="009F6E8E">
        <w:t xml:space="preserve"> Ražotāju cenu dinamika apstrādes rūpniecībā</w:t>
      </w:r>
      <w:bookmarkEnd w:id="413"/>
    </w:p>
    <w:p w:rsidR="005D5DF1" w:rsidRPr="009F6E8E" w:rsidRDefault="005D5DF1" w:rsidP="005D5DF1">
      <w:pPr>
        <w:ind w:firstLine="567"/>
        <w:jc w:val="both"/>
        <w:rPr>
          <w:sz w:val="12"/>
          <w:szCs w:val="24"/>
        </w:rPr>
      </w:pPr>
    </w:p>
    <w:p w:rsidR="005D5DF1" w:rsidRPr="009F6E8E" w:rsidRDefault="005D5DF1" w:rsidP="005D5DF1">
      <w:pPr>
        <w:tabs>
          <w:tab w:val="center" w:pos="4813"/>
        </w:tabs>
        <w:rPr>
          <w:rFonts w:eastAsia="Times New Roman"/>
          <w:bCs/>
          <w:color w:val="000000"/>
          <w:sz w:val="22"/>
          <w:szCs w:val="18"/>
        </w:rPr>
      </w:pPr>
      <w:r w:rsidRPr="009F6E8E">
        <w:rPr>
          <w:rFonts w:eastAsia="Times New Roman"/>
          <w:sz w:val="22"/>
          <w:szCs w:val="18"/>
        </w:rPr>
        <w:tab/>
      </w:r>
      <w:r w:rsidRPr="009F6E8E">
        <w:rPr>
          <w:rFonts w:eastAsia="Times New Roman"/>
          <w:bCs/>
          <w:color w:val="000000"/>
          <w:sz w:val="22"/>
          <w:szCs w:val="18"/>
        </w:rPr>
        <w:t>200</w:t>
      </w:r>
      <w:r>
        <w:rPr>
          <w:rFonts w:eastAsia="Times New Roman"/>
          <w:bCs/>
          <w:color w:val="000000"/>
          <w:sz w:val="22"/>
          <w:szCs w:val="18"/>
        </w:rPr>
        <w:t>8</w:t>
      </w:r>
      <w:r w:rsidRPr="009F6E8E">
        <w:rPr>
          <w:rFonts w:eastAsia="Times New Roman"/>
          <w:bCs/>
          <w:color w:val="000000"/>
          <w:sz w:val="22"/>
          <w:szCs w:val="18"/>
        </w:rPr>
        <w:t xml:space="preserve">.g. </w:t>
      </w:r>
      <w:r>
        <w:rPr>
          <w:rFonts w:eastAsia="Times New Roman"/>
          <w:bCs/>
          <w:color w:val="000000"/>
          <w:sz w:val="22"/>
          <w:szCs w:val="18"/>
        </w:rPr>
        <w:t>decembris</w:t>
      </w:r>
      <w:r w:rsidRPr="009F6E8E">
        <w:rPr>
          <w:rFonts w:eastAsia="Times New Roman"/>
          <w:bCs/>
          <w:color w:val="000000"/>
          <w:sz w:val="22"/>
          <w:szCs w:val="18"/>
        </w:rPr>
        <w:t>=100</w:t>
      </w:r>
    </w:p>
    <w:p w:rsidR="005D5DF1" w:rsidRPr="009F6E8E" w:rsidRDefault="005D5DF1" w:rsidP="005D5DF1">
      <w:pPr>
        <w:jc w:val="center"/>
        <w:rPr>
          <w:rFonts w:eastAsia="Times New Roman"/>
          <w:szCs w:val="24"/>
        </w:rPr>
      </w:pPr>
      <w:r w:rsidRPr="009F6E8E">
        <w:rPr>
          <w:noProof/>
          <w:szCs w:val="24"/>
          <w:lang w:eastAsia="lv-LV"/>
        </w:rPr>
        <w:drawing>
          <wp:inline distT="0" distB="0" distL="0" distR="0">
            <wp:extent cx="6115792" cy="2244436"/>
            <wp:effectExtent l="0" t="0" r="0" b="0"/>
            <wp:docPr id="1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5D5DF1" w:rsidRPr="009F6E8E" w:rsidRDefault="005D5DF1" w:rsidP="005D5DF1">
      <w:pPr>
        <w:tabs>
          <w:tab w:val="center" w:pos="4813"/>
        </w:tabs>
        <w:jc w:val="center"/>
        <w:rPr>
          <w:rFonts w:eastAsia="Times New Roman"/>
          <w:sz w:val="22"/>
          <w:szCs w:val="18"/>
        </w:rPr>
      </w:pPr>
      <w:r w:rsidRPr="009F6E8E">
        <w:rPr>
          <w:rFonts w:eastAsia="Times New Roman"/>
          <w:bCs/>
          <w:color w:val="000000"/>
          <w:sz w:val="22"/>
          <w:szCs w:val="18"/>
        </w:rPr>
        <w:t>Pieaugums pret iepriekšējā gada attiecīgo periodu, %</w:t>
      </w:r>
    </w:p>
    <w:p w:rsidR="005D5DF1" w:rsidRPr="009F6E8E" w:rsidRDefault="005D5DF1" w:rsidP="005D5DF1">
      <w:pPr>
        <w:rPr>
          <w:rFonts w:eastAsia="Times New Roman"/>
          <w:szCs w:val="24"/>
        </w:rPr>
      </w:pPr>
      <w:r w:rsidRPr="009F6E8E">
        <w:rPr>
          <w:rFonts w:eastAsia="Times New Roman"/>
          <w:noProof/>
          <w:szCs w:val="24"/>
          <w:lang w:eastAsia="lv-LV"/>
        </w:rPr>
        <w:drawing>
          <wp:inline distT="0" distB="0" distL="0" distR="0">
            <wp:extent cx="6103917" cy="2648197"/>
            <wp:effectExtent l="19050" t="0" r="0" b="0"/>
            <wp:docPr id="15"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5D5DF1" w:rsidRPr="009F6E8E" w:rsidRDefault="005D5DF1" w:rsidP="005D5DF1">
      <w:pPr>
        <w:rPr>
          <w:rStyle w:val="Heading2Char"/>
          <w:b w:val="0"/>
        </w:rPr>
      </w:pPr>
      <w:bookmarkStart w:id="414" w:name="_Toc216079554"/>
      <w:bookmarkStart w:id="415" w:name="_Toc216079622"/>
      <w:bookmarkStart w:id="416" w:name="_Toc216079684"/>
      <w:bookmarkStart w:id="417" w:name="_Toc216079740"/>
      <w:bookmarkStart w:id="418" w:name="_Toc216079796"/>
      <w:bookmarkStart w:id="419" w:name="_Toc216079852"/>
      <w:bookmarkStart w:id="420" w:name="_Toc216077886"/>
    </w:p>
    <w:p w:rsidR="005D5DF1" w:rsidRPr="009F6E8E" w:rsidRDefault="005D5DF1" w:rsidP="005D5DF1">
      <w:bookmarkStart w:id="421" w:name="_Toc282413216"/>
      <w:r>
        <w:rPr>
          <w:rStyle w:val="Heading2Char"/>
          <w:b w:val="0"/>
        </w:rPr>
        <w:t>7</w:t>
      </w:r>
      <w:r w:rsidRPr="00CD3CE6">
        <w:rPr>
          <w:rStyle w:val="Heading2Char"/>
          <w:b w:val="0"/>
        </w:rPr>
        <w:t>.</w:t>
      </w:r>
      <w:r>
        <w:rPr>
          <w:rStyle w:val="Heading2Char"/>
          <w:b w:val="0"/>
        </w:rPr>
        <w:t>7</w:t>
      </w:r>
      <w:r w:rsidRPr="00CD3CE6">
        <w:rPr>
          <w:rStyle w:val="Heading2Char"/>
          <w:b w:val="0"/>
        </w:rPr>
        <w:t>.attēls.</w:t>
      </w:r>
      <w:r w:rsidRPr="009F6E8E">
        <w:rPr>
          <w:rStyle w:val="Heading2Char"/>
        </w:rPr>
        <w:t xml:space="preserve"> Patēriņa cenu, ražotāju cenu un tirgus pakalpojumu pievienotās vērtības deflatora izmaiņas</w:t>
      </w:r>
      <w:bookmarkEnd w:id="414"/>
      <w:bookmarkEnd w:id="415"/>
      <w:bookmarkEnd w:id="416"/>
      <w:bookmarkEnd w:id="417"/>
      <w:bookmarkEnd w:id="418"/>
      <w:bookmarkEnd w:id="419"/>
      <w:bookmarkEnd w:id="421"/>
      <w:r w:rsidRPr="009F6E8E">
        <w:t>, izmaiņas pret iepriekšējā gada atbilstošo ceturksni, %</w:t>
      </w:r>
      <w:bookmarkEnd w:id="420"/>
    </w:p>
    <w:p w:rsidR="005D5DF1" w:rsidRPr="009F6E8E" w:rsidRDefault="005D5DF1" w:rsidP="005D5DF1">
      <w:pPr>
        <w:rPr>
          <w:b/>
          <w:sz w:val="16"/>
        </w:rPr>
      </w:pPr>
    </w:p>
    <w:p w:rsidR="005D5DF1" w:rsidRPr="009F6E8E" w:rsidRDefault="005D5DF1" w:rsidP="005D5DF1">
      <w:pPr>
        <w:jc w:val="center"/>
        <w:rPr>
          <w:color w:val="000000"/>
          <w:szCs w:val="24"/>
        </w:rPr>
      </w:pPr>
      <w:r w:rsidRPr="009F6E8E">
        <w:rPr>
          <w:noProof/>
          <w:color w:val="000000"/>
          <w:szCs w:val="24"/>
          <w:lang w:eastAsia="lv-LV"/>
        </w:rPr>
        <w:drawing>
          <wp:inline distT="0" distB="0" distL="0" distR="0">
            <wp:extent cx="6068291" cy="2636322"/>
            <wp:effectExtent l="0" t="0" r="0" b="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5D5DF1" w:rsidRDefault="005D5DF1" w:rsidP="005D5DF1">
      <w:pPr>
        <w:rPr>
          <w:rFonts w:eastAsia="Times New Roman"/>
          <w:sz w:val="4"/>
        </w:rPr>
      </w:pPr>
    </w:p>
    <w:p w:rsidR="005D5DF1" w:rsidRDefault="005D5DF1">
      <w:pPr>
        <w:rPr>
          <w:rFonts w:eastAsiaTheme="majorEastAsia" w:cstheme="majorBidi"/>
          <w:b/>
          <w:bCs/>
          <w:sz w:val="32"/>
        </w:rPr>
      </w:pPr>
      <w:r>
        <w:br w:type="page"/>
      </w:r>
    </w:p>
    <w:p w:rsidR="008B622B" w:rsidRDefault="008B622B" w:rsidP="00BE41C7">
      <w:pPr>
        <w:pStyle w:val="Heading1"/>
        <w:ind w:right="283"/>
        <w:rPr>
          <w:sz w:val="20"/>
        </w:rPr>
      </w:pPr>
    </w:p>
    <w:p w:rsidR="001D224E" w:rsidRPr="001D224E" w:rsidRDefault="001D224E" w:rsidP="001D224E"/>
    <w:p w:rsidR="00BE41C7" w:rsidRPr="009F6E8E" w:rsidRDefault="006C532B" w:rsidP="00BE41C7">
      <w:pPr>
        <w:pStyle w:val="Heading1"/>
        <w:ind w:right="283"/>
      </w:pPr>
      <w:r>
        <w:t>8</w:t>
      </w:r>
      <w:r w:rsidR="00BE41C7" w:rsidRPr="009F6E8E">
        <w:t>. Prognozes</w:t>
      </w:r>
      <w:bookmarkEnd w:id="349"/>
      <w:bookmarkEnd w:id="350"/>
      <w:bookmarkEnd w:id="351"/>
      <w:bookmarkEnd w:id="352"/>
      <w:bookmarkEnd w:id="353"/>
      <w:bookmarkEnd w:id="354"/>
      <w:bookmarkEnd w:id="355"/>
      <w:bookmarkEnd w:id="356"/>
      <w:bookmarkEnd w:id="357"/>
    </w:p>
    <w:p w:rsidR="008B622B" w:rsidRDefault="008B622B" w:rsidP="00F22592">
      <w:pPr>
        <w:spacing w:after="80"/>
        <w:ind w:firstLine="425"/>
        <w:jc w:val="both"/>
        <w:rPr>
          <w:sz w:val="28"/>
          <w:u w:val="single"/>
          <w:lang w:eastAsia="lv-LV"/>
        </w:rPr>
      </w:pPr>
      <w:bookmarkStart w:id="422" w:name="_Toc216079556"/>
      <w:bookmarkStart w:id="423" w:name="_Toc216079624"/>
      <w:bookmarkStart w:id="424" w:name="_Toc216079686"/>
      <w:bookmarkStart w:id="425" w:name="_Toc216079742"/>
      <w:bookmarkStart w:id="426" w:name="_Toc216079798"/>
      <w:bookmarkStart w:id="427" w:name="_Toc216079854"/>
      <w:bookmarkStart w:id="428" w:name="_Toc216077888"/>
    </w:p>
    <w:p w:rsidR="00923F1D" w:rsidRPr="005D5DF1" w:rsidRDefault="00923F1D" w:rsidP="008B622B">
      <w:pPr>
        <w:spacing w:after="80"/>
        <w:jc w:val="both"/>
        <w:rPr>
          <w:sz w:val="28"/>
          <w:u w:val="single"/>
          <w:lang w:eastAsia="lv-LV"/>
        </w:rPr>
      </w:pPr>
      <w:r w:rsidRPr="005D5DF1">
        <w:rPr>
          <w:sz w:val="28"/>
          <w:u w:val="single"/>
          <w:lang w:eastAsia="lv-LV"/>
        </w:rPr>
        <w:t>Tautsaimniecības attīstība</w:t>
      </w:r>
    </w:p>
    <w:p w:rsidR="0002566A" w:rsidRDefault="00007248" w:rsidP="00953911">
      <w:pPr>
        <w:pStyle w:val="BodyTextIndent"/>
        <w:spacing w:after="0"/>
        <w:ind w:left="0" w:firstLine="284"/>
        <w:jc w:val="both"/>
        <w:rPr>
          <w:rFonts w:eastAsia="Calibri"/>
          <w:sz w:val="28"/>
          <w:szCs w:val="28"/>
          <w:lang w:eastAsia="en-US"/>
        </w:rPr>
      </w:pPr>
      <w:bookmarkStart w:id="429" w:name="_Toc227642591"/>
      <w:bookmarkEnd w:id="422"/>
      <w:bookmarkEnd w:id="423"/>
      <w:bookmarkEnd w:id="424"/>
      <w:bookmarkEnd w:id="425"/>
      <w:bookmarkEnd w:id="426"/>
      <w:bookmarkEnd w:id="427"/>
      <w:bookmarkEnd w:id="428"/>
      <w:r>
        <w:rPr>
          <w:rFonts w:eastAsia="Calibri"/>
          <w:sz w:val="28"/>
          <w:szCs w:val="28"/>
          <w:lang w:eastAsia="en-US"/>
        </w:rPr>
        <w:t xml:space="preserve">Tāpat kā </w:t>
      </w:r>
      <w:r w:rsidR="001D224E">
        <w:rPr>
          <w:rFonts w:eastAsia="Calibri"/>
          <w:sz w:val="28"/>
          <w:szCs w:val="28"/>
          <w:lang w:eastAsia="en-US"/>
        </w:rPr>
        <w:t xml:space="preserve">aizvadītajā </w:t>
      </w:r>
      <w:r w:rsidR="00953911" w:rsidRPr="00953911">
        <w:rPr>
          <w:rFonts w:eastAsia="Calibri"/>
          <w:sz w:val="28"/>
          <w:szCs w:val="28"/>
          <w:lang w:eastAsia="en-US"/>
        </w:rPr>
        <w:t>gadā</w:t>
      </w:r>
      <w:r w:rsidR="001D224E">
        <w:rPr>
          <w:rFonts w:eastAsia="Calibri"/>
          <w:sz w:val="28"/>
          <w:szCs w:val="28"/>
          <w:lang w:eastAsia="en-US"/>
        </w:rPr>
        <w:t>,</w:t>
      </w:r>
      <w:r w:rsidR="00953911" w:rsidRPr="00953911">
        <w:rPr>
          <w:rFonts w:eastAsia="Calibri"/>
          <w:sz w:val="28"/>
          <w:szCs w:val="28"/>
          <w:lang w:eastAsia="en-US"/>
        </w:rPr>
        <w:t xml:space="preserve"> arī</w:t>
      </w:r>
      <w:r w:rsidR="001D224E">
        <w:rPr>
          <w:rFonts w:eastAsia="Calibri"/>
          <w:sz w:val="28"/>
          <w:szCs w:val="28"/>
          <w:lang w:eastAsia="en-US"/>
        </w:rPr>
        <w:t xml:space="preserve"> 2011. un 2012.gadā </w:t>
      </w:r>
      <w:r w:rsidR="00953911" w:rsidRPr="00953911">
        <w:rPr>
          <w:rFonts w:eastAsia="Calibri"/>
          <w:sz w:val="28"/>
          <w:szCs w:val="28"/>
          <w:lang w:eastAsia="en-US"/>
        </w:rPr>
        <w:t xml:space="preserve">galvenais ekonomikas dzinulis būs eksports. </w:t>
      </w:r>
    </w:p>
    <w:p w:rsidR="00953911" w:rsidRPr="00953911" w:rsidRDefault="00953911" w:rsidP="00953911">
      <w:pPr>
        <w:pStyle w:val="BodyTextIndent"/>
        <w:spacing w:after="0"/>
        <w:ind w:left="0" w:firstLine="284"/>
        <w:jc w:val="both"/>
        <w:rPr>
          <w:rFonts w:eastAsia="Calibri"/>
          <w:sz w:val="28"/>
          <w:szCs w:val="28"/>
          <w:lang w:eastAsia="en-US"/>
        </w:rPr>
      </w:pPr>
      <w:r w:rsidRPr="00953911">
        <w:rPr>
          <w:rFonts w:eastAsia="Calibri"/>
          <w:sz w:val="28"/>
          <w:szCs w:val="28"/>
          <w:lang w:eastAsia="en-US"/>
        </w:rPr>
        <w:t xml:space="preserve">Tāpēc lielākais Latvijas izaugsmes risks saistīts ar globālās ekonomikas attīstību, kas turpmākajos gados var piebremzēties, tādējādi sašaurinot Latvijas eksporta iespējas. Vēl arvien saglabājas spriedze finanšu tirgos ar iespējamo atgriezenisko ietekmi uz reālo sektoru. Ekonomikas atveseļošanos var kavēt naftas un citu preču cenu pieaugums. Daudzās valstīs ekonomiskās aktivitātes atjaunošanos lielā mērā ierobežos fiskālās konsolidācijas pasākumi, valsts parāda līmeņa pieaugums un saspringtā situācija darba tirgū. </w:t>
      </w:r>
    </w:p>
    <w:p w:rsidR="00953911" w:rsidRPr="00953911" w:rsidRDefault="0002566A" w:rsidP="00953911">
      <w:pPr>
        <w:pStyle w:val="BodyTextIndent"/>
        <w:spacing w:after="0"/>
        <w:ind w:left="0" w:firstLine="284"/>
        <w:jc w:val="both"/>
        <w:rPr>
          <w:rFonts w:eastAsia="Calibri"/>
          <w:sz w:val="28"/>
          <w:szCs w:val="28"/>
          <w:lang w:eastAsia="en-US"/>
        </w:rPr>
      </w:pPr>
      <w:r>
        <w:rPr>
          <w:rFonts w:eastAsia="Calibri"/>
          <w:sz w:val="28"/>
          <w:szCs w:val="28"/>
          <w:lang w:eastAsia="en-US"/>
        </w:rPr>
        <w:t>Tuvākajos gados</w:t>
      </w:r>
      <w:r w:rsidR="00220780">
        <w:rPr>
          <w:rFonts w:eastAsia="Calibri"/>
          <w:sz w:val="28"/>
          <w:szCs w:val="28"/>
          <w:lang w:eastAsia="en-US"/>
        </w:rPr>
        <w:t xml:space="preserve"> </w:t>
      </w:r>
      <w:r w:rsidR="00953911" w:rsidRPr="00953911">
        <w:rPr>
          <w:rFonts w:eastAsia="Calibri"/>
          <w:sz w:val="28"/>
          <w:szCs w:val="28"/>
          <w:lang w:eastAsia="en-US"/>
        </w:rPr>
        <w:t xml:space="preserve">nav sagaidāms </w:t>
      </w:r>
      <w:r>
        <w:rPr>
          <w:rFonts w:eastAsia="Calibri"/>
          <w:sz w:val="28"/>
          <w:szCs w:val="28"/>
          <w:lang w:eastAsia="en-US"/>
        </w:rPr>
        <w:t xml:space="preserve">ļoti būtisks </w:t>
      </w:r>
      <w:r w:rsidR="00953911" w:rsidRPr="00953911">
        <w:rPr>
          <w:rFonts w:eastAsia="Calibri"/>
          <w:sz w:val="28"/>
          <w:szCs w:val="28"/>
          <w:lang w:eastAsia="en-US"/>
        </w:rPr>
        <w:t>iekšējā pieprasījuma pieaugums. Lai gan privātais patēriņš pakāpeniski atjaunosies, tomēr strauju tā pieaugumu ierobežos mājsaimniecību lielās parādsaistības un, neraugoties uz turpmāku situācijas uzlabošanos darba tirgū, arī relatīvi augstais bezdarba līmenis.</w:t>
      </w:r>
    </w:p>
    <w:p w:rsidR="00953911" w:rsidRPr="00953911" w:rsidRDefault="00953911" w:rsidP="00953911">
      <w:pPr>
        <w:pStyle w:val="BodyTextIndent"/>
        <w:spacing w:after="0"/>
        <w:ind w:left="0" w:firstLine="284"/>
        <w:jc w:val="both"/>
        <w:rPr>
          <w:rFonts w:eastAsia="Calibri"/>
          <w:sz w:val="28"/>
          <w:szCs w:val="28"/>
          <w:lang w:eastAsia="en-US"/>
        </w:rPr>
      </w:pPr>
      <w:r w:rsidRPr="00953911">
        <w:rPr>
          <w:rFonts w:eastAsia="Calibri"/>
          <w:sz w:val="28"/>
          <w:szCs w:val="28"/>
          <w:lang w:eastAsia="en-US"/>
        </w:rPr>
        <w:t xml:space="preserve">Investīciju dinamiku ietekmēs komercbanku piesardzīgā kreditēšanas politika. Privātā sektora investīcijas noteiks uzņēmēju nogaidošais noskaņojums attiecībā uz nākotnes perspektīvām, ko ietekmē pagaidām vājais kopējais pieprasījums. </w:t>
      </w:r>
    </w:p>
    <w:p w:rsidR="00953911" w:rsidRPr="00953911" w:rsidRDefault="00953911" w:rsidP="00953911">
      <w:pPr>
        <w:pStyle w:val="BodyTextIndent"/>
        <w:spacing w:after="0"/>
        <w:ind w:left="0" w:firstLine="284"/>
        <w:jc w:val="both"/>
        <w:rPr>
          <w:rFonts w:eastAsia="Calibri"/>
          <w:sz w:val="28"/>
          <w:szCs w:val="28"/>
          <w:lang w:eastAsia="en-US"/>
        </w:rPr>
      </w:pPr>
      <w:r w:rsidRPr="00953911">
        <w:rPr>
          <w:rFonts w:eastAsia="Calibri"/>
          <w:sz w:val="28"/>
          <w:szCs w:val="28"/>
          <w:lang w:eastAsia="en-US"/>
        </w:rPr>
        <w:t>Eksporta un importa izmaiņu tempi būs līdzvērtīgi, jo apstrādes rūpniecības izaugsme palielinās starppatēriņa preču importu. Importa pieaugumu noteiks arī investīciju palielinājums, galvenokārt privātajā sektorā. Savukārt privātais patēriņš, saglabājoties relatīvi zemā līmenī, neradīs papildu spiedienu uz importa palielinājumu.</w:t>
      </w:r>
    </w:p>
    <w:p w:rsidR="0002566A" w:rsidRDefault="00F53018" w:rsidP="00083B51">
      <w:pPr>
        <w:ind w:firstLine="284"/>
        <w:jc w:val="both"/>
        <w:rPr>
          <w:bCs/>
          <w:sz w:val="28"/>
        </w:rPr>
      </w:pPr>
      <w:r w:rsidRPr="005D5DF1">
        <w:rPr>
          <w:bCs/>
          <w:sz w:val="28"/>
        </w:rPr>
        <w:t xml:space="preserve">2011.gada kopējā izaugsme jau būs pozitīva un IKP apjoms var par </w:t>
      </w:r>
      <w:r w:rsidR="0002566A">
        <w:rPr>
          <w:bCs/>
          <w:sz w:val="28"/>
        </w:rPr>
        <w:t>3,5% pārsniegt 2010.gada līmeni, savukārt 2012.gadā IKP izaugsme var sasniegt 4 procentus.</w:t>
      </w:r>
    </w:p>
    <w:p w:rsidR="009F2C8B" w:rsidRPr="00A76815" w:rsidRDefault="009F2C8B" w:rsidP="009F2C8B">
      <w:pPr>
        <w:ind w:right="284"/>
        <w:rPr>
          <w:rStyle w:val="Heading2Char"/>
          <w:rFonts w:cs="Times New Roman"/>
          <w:b w:val="0"/>
          <w:sz w:val="6"/>
        </w:rPr>
      </w:pPr>
    </w:p>
    <w:p w:rsidR="00B9297B" w:rsidRDefault="00B9297B" w:rsidP="009F2C8B">
      <w:pPr>
        <w:ind w:right="284"/>
        <w:rPr>
          <w:rStyle w:val="Heading2Char"/>
          <w:rFonts w:cs="Times New Roman"/>
          <w:b w:val="0"/>
        </w:rPr>
      </w:pPr>
      <w:bookmarkStart w:id="430" w:name="_Toc282413218"/>
    </w:p>
    <w:p w:rsidR="001D224E" w:rsidRDefault="001D224E" w:rsidP="009F2C8B">
      <w:pPr>
        <w:ind w:right="284"/>
        <w:rPr>
          <w:rStyle w:val="Heading2Char"/>
          <w:rFonts w:cs="Times New Roman"/>
          <w:b w:val="0"/>
        </w:rPr>
      </w:pPr>
    </w:p>
    <w:p w:rsidR="009F2C8B" w:rsidRDefault="009F2C8B" w:rsidP="009F2C8B">
      <w:pPr>
        <w:ind w:right="284"/>
        <w:rPr>
          <w:rStyle w:val="Heading2Char"/>
          <w:rFonts w:cs="Times New Roman"/>
        </w:rPr>
      </w:pPr>
      <w:r w:rsidRPr="00CD3CE6">
        <w:rPr>
          <w:rStyle w:val="Heading2Char"/>
          <w:rFonts w:cs="Times New Roman"/>
          <w:b w:val="0"/>
        </w:rPr>
        <w:t>8.</w:t>
      </w:r>
      <w:r>
        <w:rPr>
          <w:rStyle w:val="Heading2Char"/>
          <w:rFonts w:cs="Times New Roman"/>
          <w:b w:val="0"/>
        </w:rPr>
        <w:t>1</w:t>
      </w:r>
      <w:r w:rsidRPr="00CD3CE6">
        <w:rPr>
          <w:rStyle w:val="Heading2Char"/>
          <w:rFonts w:cs="Times New Roman"/>
          <w:b w:val="0"/>
        </w:rPr>
        <w:t>.attēls.</w:t>
      </w:r>
      <w:r w:rsidRPr="00850001">
        <w:rPr>
          <w:rStyle w:val="Heading2Char"/>
          <w:rFonts w:cs="Times New Roman"/>
        </w:rPr>
        <w:t xml:space="preserve"> </w:t>
      </w:r>
      <w:r>
        <w:rPr>
          <w:rStyle w:val="Heading2Char"/>
          <w:rFonts w:cs="Times New Roman"/>
        </w:rPr>
        <w:t>IKP no izlietojuma puses</w:t>
      </w:r>
      <w:bookmarkEnd w:id="430"/>
      <w:r>
        <w:rPr>
          <w:rStyle w:val="Heading2Char"/>
          <w:rFonts w:cs="Times New Roman"/>
        </w:rPr>
        <w:t xml:space="preserve"> </w:t>
      </w:r>
    </w:p>
    <w:p w:rsidR="009F2C8B" w:rsidRDefault="009F2C8B" w:rsidP="00A76815">
      <w:pPr>
        <w:ind w:right="284"/>
      </w:pPr>
      <w:r w:rsidRPr="00811252">
        <w:t>(2005.gada 4.ceturksnis = 100)</w:t>
      </w:r>
    </w:p>
    <w:p w:rsidR="0002566A" w:rsidRPr="0002566A" w:rsidRDefault="0002566A" w:rsidP="00A76815">
      <w:pPr>
        <w:ind w:right="284"/>
        <w:rPr>
          <w:rStyle w:val="Heading2Char"/>
          <w:rFonts w:cs="Times New Roman"/>
          <w:sz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51"/>
      </w:tblGrid>
      <w:tr w:rsidR="009F2C8B" w:rsidRPr="00CF7249" w:rsidTr="004557BF">
        <w:tc>
          <w:tcPr>
            <w:tcW w:w="2488" w:type="pct"/>
          </w:tcPr>
          <w:p w:rsidR="009F2C8B" w:rsidRPr="00CF7249" w:rsidRDefault="009F2C8B" w:rsidP="004557BF">
            <w:pPr>
              <w:tabs>
                <w:tab w:val="left" w:pos="4881"/>
              </w:tabs>
              <w:spacing w:before="120"/>
              <w:jc w:val="center"/>
              <w:rPr>
                <w:b/>
                <w:sz w:val="22"/>
                <w:szCs w:val="22"/>
              </w:rPr>
            </w:pPr>
            <w:r w:rsidRPr="00CF7249">
              <w:rPr>
                <w:b/>
                <w:sz w:val="22"/>
                <w:szCs w:val="22"/>
              </w:rPr>
              <w:t>Iekšzemes kopprodukts</w:t>
            </w:r>
          </w:p>
        </w:tc>
        <w:tc>
          <w:tcPr>
            <w:tcW w:w="2512" w:type="pct"/>
          </w:tcPr>
          <w:p w:rsidR="009F2C8B" w:rsidRPr="00CF7249" w:rsidRDefault="009F2C8B" w:rsidP="004557BF">
            <w:pPr>
              <w:tabs>
                <w:tab w:val="left" w:pos="4881"/>
              </w:tabs>
              <w:spacing w:before="120"/>
              <w:jc w:val="center"/>
              <w:rPr>
                <w:b/>
                <w:sz w:val="22"/>
                <w:szCs w:val="22"/>
              </w:rPr>
            </w:pPr>
            <w:r w:rsidRPr="00CF7249">
              <w:rPr>
                <w:b/>
                <w:sz w:val="22"/>
                <w:szCs w:val="22"/>
              </w:rPr>
              <w:t>Preču un pakalpojumu eksports</w:t>
            </w:r>
          </w:p>
        </w:tc>
      </w:tr>
      <w:tr w:rsidR="009F2C8B" w:rsidRPr="00460702" w:rsidTr="004557BF">
        <w:trPr>
          <w:trHeight w:val="2525"/>
        </w:trPr>
        <w:tc>
          <w:tcPr>
            <w:tcW w:w="2488" w:type="pct"/>
          </w:tcPr>
          <w:p w:rsidR="009F2C8B" w:rsidRPr="00460702" w:rsidRDefault="009F2C8B" w:rsidP="004557BF">
            <w:pPr>
              <w:tabs>
                <w:tab w:val="left" w:pos="4881"/>
              </w:tabs>
              <w:jc w:val="center"/>
            </w:pPr>
            <w:r w:rsidRPr="00460702">
              <w:rPr>
                <w:noProof/>
              </w:rPr>
              <w:drawing>
                <wp:inline distT="0" distB="0" distL="0" distR="0">
                  <wp:extent cx="2695575" cy="1714500"/>
                  <wp:effectExtent l="19050" t="0" r="0" b="0"/>
                  <wp:docPr id="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c>
          <w:tcPr>
            <w:tcW w:w="2512" w:type="pct"/>
          </w:tcPr>
          <w:p w:rsidR="009F2C8B" w:rsidRPr="00460702" w:rsidRDefault="009F2C8B" w:rsidP="004557BF">
            <w:pPr>
              <w:tabs>
                <w:tab w:val="left" w:pos="4881"/>
              </w:tabs>
              <w:jc w:val="center"/>
            </w:pPr>
            <w:r w:rsidRPr="00F77582">
              <w:rPr>
                <w:noProof/>
              </w:rPr>
              <w:drawing>
                <wp:inline distT="0" distB="0" distL="0" distR="0">
                  <wp:extent cx="2695575" cy="1714500"/>
                  <wp:effectExtent l="19050" t="0" r="0" b="0"/>
                  <wp:docPr id="1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r>
    </w:tbl>
    <w:p w:rsidR="00B9297B" w:rsidRDefault="00B9297B" w:rsidP="009F2C8B">
      <w:pPr>
        <w:rPr>
          <w:sz w:val="28"/>
        </w:rPr>
      </w:pPr>
    </w:p>
    <w:p w:rsidR="00953911" w:rsidRDefault="00953911" w:rsidP="009F2C8B">
      <w:pPr>
        <w:rPr>
          <w:sz w:val="28"/>
        </w:rPr>
      </w:pPr>
    </w:p>
    <w:p w:rsidR="00953911" w:rsidRDefault="00953911" w:rsidP="009F2C8B">
      <w:pPr>
        <w:rPr>
          <w:sz w:val="28"/>
        </w:rPr>
      </w:pPr>
    </w:p>
    <w:p w:rsidR="009F2C8B" w:rsidRPr="0099079B" w:rsidRDefault="009F2C8B" w:rsidP="009F2C8B">
      <w:pPr>
        <w:rPr>
          <w:sz w:val="28"/>
        </w:rPr>
      </w:pPr>
      <w:r w:rsidRPr="0099079B">
        <w:rPr>
          <w:sz w:val="28"/>
        </w:rPr>
        <w:t>8.1. attēla turpinājums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51"/>
      </w:tblGrid>
      <w:tr w:rsidR="009F2C8B" w:rsidRPr="00CF7249" w:rsidTr="004557BF">
        <w:tc>
          <w:tcPr>
            <w:tcW w:w="2488" w:type="pct"/>
          </w:tcPr>
          <w:p w:rsidR="009F2C8B" w:rsidRPr="00CF7249" w:rsidRDefault="009F2C8B" w:rsidP="004557BF">
            <w:pPr>
              <w:tabs>
                <w:tab w:val="left" w:pos="4881"/>
              </w:tabs>
              <w:spacing w:before="120"/>
              <w:jc w:val="center"/>
              <w:rPr>
                <w:b/>
                <w:sz w:val="22"/>
                <w:szCs w:val="22"/>
              </w:rPr>
            </w:pPr>
            <w:r w:rsidRPr="00CF7249">
              <w:rPr>
                <w:b/>
                <w:sz w:val="22"/>
                <w:szCs w:val="22"/>
              </w:rPr>
              <w:t>Privātais patēriņš</w:t>
            </w:r>
          </w:p>
        </w:tc>
        <w:tc>
          <w:tcPr>
            <w:tcW w:w="2512" w:type="pct"/>
          </w:tcPr>
          <w:p w:rsidR="009F2C8B" w:rsidRPr="00CF7249" w:rsidRDefault="009F2C8B" w:rsidP="004557BF">
            <w:pPr>
              <w:tabs>
                <w:tab w:val="left" w:pos="4881"/>
              </w:tabs>
              <w:spacing w:before="120"/>
              <w:jc w:val="center"/>
              <w:rPr>
                <w:b/>
                <w:sz w:val="22"/>
                <w:szCs w:val="22"/>
              </w:rPr>
            </w:pPr>
            <w:r w:rsidRPr="00CF7249">
              <w:rPr>
                <w:b/>
                <w:sz w:val="22"/>
                <w:szCs w:val="22"/>
              </w:rPr>
              <w:t>Investīcijas</w:t>
            </w:r>
          </w:p>
        </w:tc>
      </w:tr>
      <w:tr w:rsidR="009F2C8B" w:rsidRPr="00460702" w:rsidTr="004557BF">
        <w:trPr>
          <w:trHeight w:val="2525"/>
        </w:trPr>
        <w:tc>
          <w:tcPr>
            <w:tcW w:w="2488" w:type="pct"/>
          </w:tcPr>
          <w:p w:rsidR="009F2C8B" w:rsidRPr="00460702" w:rsidRDefault="009F2C8B" w:rsidP="004557BF">
            <w:pPr>
              <w:tabs>
                <w:tab w:val="left" w:pos="4881"/>
              </w:tabs>
              <w:jc w:val="center"/>
            </w:pPr>
            <w:r w:rsidRPr="00460702">
              <w:rPr>
                <w:noProof/>
              </w:rPr>
              <w:drawing>
                <wp:inline distT="0" distB="0" distL="0" distR="0">
                  <wp:extent cx="2664000" cy="1652847"/>
                  <wp:effectExtent l="19050" t="0" r="0" b="0"/>
                  <wp:docPr id="1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c>
          <w:tcPr>
            <w:tcW w:w="2512" w:type="pct"/>
          </w:tcPr>
          <w:p w:rsidR="009F2C8B" w:rsidRPr="00460702" w:rsidRDefault="009F2C8B" w:rsidP="004557BF">
            <w:pPr>
              <w:tabs>
                <w:tab w:val="left" w:pos="4881"/>
              </w:tabs>
              <w:jc w:val="center"/>
            </w:pPr>
            <w:r w:rsidRPr="00460702">
              <w:rPr>
                <w:noProof/>
              </w:rPr>
              <w:drawing>
                <wp:inline distT="0" distB="0" distL="0" distR="0">
                  <wp:extent cx="2650058" cy="1620000"/>
                  <wp:effectExtent l="19050" t="0" r="0" b="0"/>
                  <wp:docPr id="2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bl>
    <w:p w:rsidR="009F2C8B" w:rsidRPr="0099079B" w:rsidRDefault="009F2C8B" w:rsidP="009F2C8B">
      <w:pPr>
        <w:spacing w:after="60"/>
        <w:ind w:right="284"/>
        <w:rPr>
          <w:rStyle w:val="Heading2Char"/>
          <w:rFonts w:cs="Times New Roman"/>
          <w:b w:val="0"/>
          <w:sz w:val="12"/>
          <w:szCs w:val="4"/>
        </w:rPr>
      </w:pPr>
    </w:p>
    <w:p w:rsidR="00560B46" w:rsidRDefault="00560B46" w:rsidP="00230967">
      <w:pPr>
        <w:pStyle w:val="BodyTextIndent"/>
        <w:spacing w:after="0"/>
        <w:ind w:left="0" w:firstLine="284"/>
        <w:jc w:val="both"/>
        <w:rPr>
          <w:sz w:val="28"/>
          <w:szCs w:val="28"/>
          <w:lang w:eastAsia="en-US"/>
        </w:rPr>
      </w:pPr>
    </w:p>
    <w:p w:rsidR="0002566A" w:rsidRDefault="0002566A" w:rsidP="00230967">
      <w:pPr>
        <w:pStyle w:val="BodyTextIndent"/>
        <w:spacing w:after="0"/>
        <w:ind w:left="0" w:firstLine="284"/>
        <w:jc w:val="both"/>
        <w:rPr>
          <w:sz w:val="28"/>
          <w:szCs w:val="28"/>
          <w:lang w:eastAsia="en-US"/>
        </w:rPr>
      </w:pPr>
      <w:r w:rsidRPr="00B476A3">
        <w:rPr>
          <w:sz w:val="28"/>
          <w:szCs w:val="28"/>
        </w:rPr>
        <w:t>2011.</w:t>
      </w:r>
      <w:r w:rsidR="003754D8">
        <w:rPr>
          <w:sz w:val="28"/>
          <w:szCs w:val="28"/>
        </w:rPr>
        <w:t xml:space="preserve"> un 2012.</w:t>
      </w:r>
      <w:r w:rsidRPr="00B476A3">
        <w:rPr>
          <w:sz w:val="28"/>
          <w:szCs w:val="28"/>
        </w:rPr>
        <w:t>gad</w:t>
      </w:r>
      <w:r w:rsidR="003754D8">
        <w:rPr>
          <w:sz w:val="28"/>
          <w:szCs w:val="28"/>
        </w:rPr>
        <w:t>ā</w:t>
      </w:r>
      <w:r w:rsidRPr="00B476A3">
        <w:rPr>
          <w:sz w:val="28"/>
          <w:szCs w:val="28"/>
        </w:rPr>
        <w:t xml:space="preserve"> gandrīz visām tautsaimniecības nozarēm ir gaidāmi pozitīvi pieauguma tempi, bet uz eksportu vērstām nozarēm (apstrādes rūpniecība, lauksaimniecība un mežsaimniecība, transporta pakalpojumiem) izaugsme būs straujāka nekā vidēji tautsaimniecībā. Tomēr jāatzīmē, ka apstrādes rūpniecības pieauguma temps 2011.gadā vairs nebūs tik straujš kā 2010.gadā. Savukārt valsts budžeta izdevumu samazinājums atsauksies uz sabiedrisko pakalpojumu nozarēm, kurās izlaide būs mazāka nekā 2010.gadā</w:t>
      </w:r>
      <w:r>
        <w:rPr>
          <w:sz w:val="28"/>
          <w:szCs w:val="28"/>
        </w:rPr>
        <w:t>.</w:t>
      </w:r>
    </w:p>
    <w:p w:rsidR="00230967" w:rsidRDefault="00230967" w:rsidP="00230967">
      <w:pPr>
        <w:spacing w:after="60"/>
        <w:ind w:right="284"/>
        <w:rPr>
          <w:rStyle w:val="Heading2Char"/>
          <w:rFonts w:cs="Times New Roman"/>
          <w:b w:val="0"/>
          <w:sz w:val="12"/>
          <w:szCs w:val="4"/>
        </w:rPr>
      </w:pPr>
    </w:p>
    <w:p w:rsidR="00560B46" w:rsidRPr="0099079B" w:rsidRDefault="00560B46" w:rsidP="00230967">
      <w:pPr>
        <w:spacing w:after="60"/>
        <w:ind w:right="284"/>
        <w:rPr>
          <w:rStyle w:val="Heading2Char"/>
          <w:rFonts w:cs="Times New Roman"/>
          <w:b w:val="0"/>
          <w:sz w:val="12"/>
          <w:szCs w:val="4"/>
        </w:rPr>
      </w:pPr>
    </w:p>
    <w:p w:rsidR="009F2C8B" w:rsidRDefault="009F2C8B" w:rsidP="009F2C8B">
      <w:pPr>
        <w:ind w:right="284"/>
        <w:rPr>
          <w:rStyle w:val="Heading2Char"/>
          <w:rFonts w:cs="Times New Roman"/>
        </w:rPr>
      </w:pPr>
      <w:bookmarkStart w:id="431" w:name="_Toc282413219"/>
      <w:r w:rsidRPr="00CD3CE6">
        <w:rPr>
          <w:rStyle w:val="Heading2Char"/>
          <w:rFonts w:cs="Times New Roman"/>
          <w:b w:val="0"/>
        </w:rPr>
        <w:t>8.</w:t>
      </w:r>
      <w:r>
        <w:rPr>
          <w:rStyle w:val="Heading2Char"/>
          <w:rFonts w:cs="Times New Roman"/>
          <w:b w:val="0"/>
        </w:rPr>
        <w:t>2</w:t>
      </w:r>
      <w:r w:rsidRPr="00CD3CE6">
        <w:rPr>
          <w:rStyle w:val="Heading2Char"/>
          <w:rFonts w:cs="Times New Roman"/>
          <w:b w:val="0"/>
        </w:rPr>
        <w:t>.attēls.</w:t>
      </w:r>
      <w:r w:rsidRPr="00850001">
        <w:rPr>
          <w:rStyle w:val="Heading2Char"/>
          <w:rFonts w:cs="Times New Roman"/>
        </w:rPr>
        <w:t xml:space="preserve"> </w:t>
      </w:r>
      <w:r>
        <w:rPr>
          <w:rStyle w:val="Heading2Char"/>
          <w:rFonts w:cs="Times New Roman"/>
        </w:rPr>
        <w:t>Nozaru attīstības tendences</w:t>
      </w:r>
      <w:bookmarkEnd w:id="431"/>
      <w:r>
        <w:rPr>
          <w:rStyle w:val="Heading2Char"/>
          <w:rFonts w:cs="Times New Roman"/>
        </w:rPr>
        <w:t xml:space="preserve"> </w:t>
      </w:r>
    </w:p>
    <w:p w:rsidR="009F2C8B" w:rsidRPr="00811252" w:rsidRDefault="009F2C8B" w:rsidP="009F2C8B">
      <w:pPr>
        <w:spacing w:after="60"/>
        <w:ind w:right="284"/>
        <w:rPr>
          <w:rStyle w:val="Heading2Char"/>
          <w:rFonts w:cs="Times New Roman"/>
          <w:sz w:val="24"/>
        </w:rPr>
      </w:pPr>
      <w:r w:rsidRPr="00811252">
        <w:t>(2005.gada 4.ceturksnis = 100)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51"/>
      </w:tblGrid>
      <w:tr w:rsidR="009F2C8B" w:rsidRPr="00CF7249" w:rsidTr="004557BF">
        <w:tc>
          <w:tcPr>
            <w:tcW w:w="2488" w:type="pct"/>
          </w:tcPr>
          <w:p w:rsidR="009F2C8B" w:rsidRPr="00CF7249" w:rsidRDefault="009F2C8B" w:rsidP="004557BF">
            <w:pPr>
              <w:tabs>
                <w:tab w:val="left" w:pos="4881"/>
              </w:tabs>
              <w:spacing w:before="120"/>
              <w:jc w:val="center"/>
              <w:rPr>
                <w:b/>
                <w:sz w:val="22"/>
                <w:szCs w:val="22"/>
              </w:rPr>
            </w:pPr>
            <w:r w:rsidRPr="00CF7249">
              <w:rPr>
                <w:b/>
                <w:sz w:val="22"/>
                <w:szCs w:val="22"/>
              </w:rPr>
              <w:t>Apstrādes rūpniecība</w:t>
            </w:r>
          </w:p>
        </w:tc>
        <w:tc>
          <w:tcPr>
            <w:tcW w:w="2512" w:type="pct"/>
          </w:tcPr>
          <w:p w:rsidR="009F2C8B" w:rsidRPr="00CF7249" w:rsidRDefault="009F2C8B" w:rsidP="004557BF">
            <w:pPr>
              <w:tabs>
                <w:tab w:val="left" w:pos="4881"/>
              </w:tabs>
              <w:spacing w:before="120"/>
              <w:jc w:val="center"/>
              <w:rPr>
                <w:b/>
                <w:sz w:val="22"/>
                <w:szCs w:val="22"/>
              </w:rPr>
            </w:pPr>
            <w:r w:rsidRPr="00CF7249">
              <w:rPr>
                <w:b/>
                <w:sz w:val="22"/>
                <w:szCs w:val="22"/>
              </w:rPr>
              <w:t>Transports un sakari</w:t>
            </w:r>
          </w:p>
        </w:tc>
      </w:tr>
      <w:tr w:rsidR="009F2C8B" w:rsidRPr="00460702" w:rsidTr="004557BF">
        <w:trPr>
          <w:trHeight w:val="2525"/>
        </w:trPr>
        <w:tc>
          <w:tcPr>
            <w:tcW w:w="2488" w:type="pct"/>
          </w:tcPr>
          <w:p w:rsidR="009F2C8B" w:rsidRPr="00460702" w:rsidRDefault="009F2C8B" w:rsidP="004557BF">
            <w:pPr>
              <w:tabs>
                <w:tab w:val="left" w:pos="4881"/>
              </w:tabs>
              <w:jc w:val="center"/>
            </w:pPr>
            <w:r w:rsidRPr="00460702">
              <w:rPr>
                <w:noProof/>
              </w:rPr>
              <w:drawing>
                <wp:inline distT="0" distB="0" distL="0" distR="0">
                  <wp:extent cx="2695575" cy="1628775"/>
                  <wp:effectExtent l="19050" t="0" r="0" b="0"/>
                  <wp:docPr id="4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c>
          <w:tcPr>
            <w:tcW w:w="2512" w:type="pct"/>
          </w:tcPr>
          <w:p w:rsidR="009F2C8B" w:rsidRPr="00460702" w:rsidRDefault="009F2C8B" w:rsidP="004557BF">
            <w:pPr>
              <w:tabs>
                <w:tab w:val="left" w:pos="4881"/>
              </w:tabs>
              <w:jc w:val="center"/>
            </w:pPr>
            <w:r w:rsidRPr="00F77582">
              <w:rPr>
                <w:noProof/>
              </w:rPr>
              <w:drawing>
                <wp:inline distT="0" distB="0" distL="0" distR="0">
                  <wp:extent cx="2695575" cy="1628775"/>
                  <wp:effectExtent l="19050" t="0" r="0" b="0"/>
                  <wp:docPr id="5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r w:rsidR="009F2C8B" w:rsidRPr="00CF7249" w:rsidTr="004557BF">
        <w:tc>
          <w:tcPr>
            <w:tcW w:w="2488" w:type="pct"/>
          </w:tcPr>
          <w:p w:rsidR="009F2C8B" w:rsidRPr="00CF7249" w:rsidRDefault="009F2C8B" w:rsidP="004557BF">
            <w:pPr>
              <w:tabs>
                <w:tab w:val="left" w:pos="4881"/>
              </w:tabs>
              <w:spacing w:before="120"/>
              <w:jc w:val="center"/>
              <w:rPr>
                <w:sz w:val="22"/>
                <w:szCs w:val="22"/>
              </w:rPr>
            </w:pPr>
            <w:r w:rsidRPr="00CF7249">
              <w:rPr>
                <w:b/>
                <w:sz w:val="22"/>
                <w:szCs w:val="22"/>
              </w:rPr>
              <w:t>Tirdzniecība</w:t>
            </w:r>
          </w:p>
        </w:tc>
        <w:tc>
          <w:tcPr>
            <w:tcW w:w="2512" w:type="pct"/>
          </w:tcPr>
          <w:p w:rsidR="009F2C8B" w:rsidRPr="00CF7249" w:rsidRDefault="009F2C8B" w:rsidP="004557BF">
            <w:pPr>
              <w:tabs>
                <w:tab w:val="left" w:pos="4881"/>
              </w:tabs>
              <w:spacing w:before="120"/>
              <w:jc w:val="center"/>
              <w:rPr>
                <w:b/>
                <w:sz w:val="22"/>
                <w:szCs w:val="22"/>
              </w:rPr>
            </w:pPr>
            <w:r w:rsidRPr="00CF7249">
              <w:rPr>
                <w:b/>
                <w:sz w:val="22"/>
                <w:szCs w:val="22"/>
              </w:rPr>
              <w:t>Būvniecība</w:t>
            </w:r>
          </w:p>
        </w:tc>
      </w:tr>
      <w:tr w:rsidR="009F2C8B" w:rsidRPr="00460702" w:rsidTr="004557BF">
        <w:trPr>
          <w:trHeight w:val="2525"/>
        </w:trPr>
        <w:tc>
          <w:tcPr>
            <w:tcW w:w="2488" w:type="pct"/>
          </w:tcPr>
          <w:p w:rsidR="009F2C8B" w:rsidRPr="00460702" w:rsidRDefault="009F2C8B" w:rsidP="004557BF">
            <w:pPr>
              <w:tabs>
                <w:tab w:val="left" w:pos="4881"/>
              </w:tabs>
              <w:jc w:val="center"/>
            </w:pPr>
            <w:r w:rsidRPr="00F77582">
              <w:rPr>
                <w:noProof/>
              </w:rPr>
              <w:drawing>
                <wp:inline distT="0" distB="0" distL="0" distR="0">
                  <wp:extent cx="2695575" cy="1609725"/>
                  <wp:effectExtent l="19050" t="0" r="0" b="0"/>
                  <wp:docPr id="5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c>
          <w:tcPr>
            <w:tcW w:w="2512" w:type="pct"/>
          </w:tcPr>
          <w:p w:rsidR="009F2C8B" w:rsidRPr="00460702" w:rsidRDefault="009F2C8B" w:rsidP="004557BF">
            <w:pPr>
              <w:tabs>
                <w:tab w:val="left" w:pos="4881"/>
              </w:tabs>
              <w:jc w:val="center"/>
            </w:pPr>
            <w:r w:rsidRPr="009F6775">
              <w:rPr>
                <w:noProof/>
              </w:rPr>
              <w:drawing>
                <wp:inline distT="0" distB="0" distL="0" distR="0">
                  <wp:extent cx="2650058" cy="1620000"/>
                  <wp:effectExtent l="19050" t="0" r="0" b="0"/>
                  <wp:docPr id="5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r>
    </w:tbl>
    <w:p w:rsidR="009F2C8B" w:rsidRDefault="009F2C8B" w:rsidP="009F2C8B">
      <w:pPr>
        <w:pStyle w:val="BodyTextIndent"/>
        <w:spacing w:after="0"/>
        <w:ind w:left="0" w:firstLine="284"/>
        <w:jc w:val="both"/>
        <w:rPr>
          <w:rFonts w:ascii="Garamond" w:hAnsi="Garamond"/>
          <w:sz w:val="21"/>
          <w:szCs w:val="22"/>
        </w:rPr>
      </w:pPr>
    </w:p>
    <w:p w:rsidR="00F53018" w:rsidRDefault="00F53018" w:rsidP="00CD3CE6">
      <w:pPr>
        <w:pStyle w:val="Heading2"/>
        <w:rPr>
          <w:b w:val="0"/>
        </w:rPr>
      </w:pPr>
    </w:p>
    <w:p w:rsidR="0002566A" w:rsidRDefault="0002566A">
      <w:pPr>
        <w:rPr>
          <w:rFonts w:eastAsiaTheme="majorEastAsia" w:cstheme="majorBidi"/>
          <w:bCs/>
          <w:sz w:val="28"/>
          <w:szCs w:val="26"/>
        </w:rPr>
      </w:pPr>
      <w:bookmarkStart w:id="432" w:name="_Toc282413220"/>
      <w:r>
        <w:rPr>
          <w:b/>
        </w:rPr>
        <w:br w:type="page"/>
      </w:r>
    </w:p>
    <w:p w:rsidR="0002566A" w:rsidRDefault="0002566A" w:rsidP="00CD3CE6">
      <w:pPr>
        <w:pStyle w:val="Heading2"/>
        <w:rPr>
          <w:b w:val="0"/>
        </w:rPr>
      </w:pPr>
    </w:p>
    <w:p w:rsidR="00486489" w:rsidRDefault="00486489" w:rsidP="00CD3CE6">
      <w:pPr>
        <w:pStyle w:val="Heading2"/>
        <w:rPr>
          <w:b w:val="0"/>
        </w:rPr>
      </w:pPr>
      <w:r w:rsidRPr="00CD3CE6">
        <w:rPr>
          <w:b w:val="0"/>
        </w:rPr>
        <w:t>8.</w:t>
      </w:r>
      <w:r w:rsidR="00CE2F80">
        <w:rPr>
          <w:b w:val="0"/>
        </w:rPr>
        <w:t>1</w:t>
      </w:r>
      <w:r w:rsidRPr="00CD3CE6">
        <w:rPr>
          <w:b w:val="0"/>
        </w:rPr>
        <w:t xml:space="preserve">.tabula. </w:t>
      </w:r>
      <w:r w:rsidRPr="00CD3CE6">
        <w:t>IKP dinamika</w:t>
      </w:r>
      <w:r w:rsidR="00CD3CE6" w:rsidRPr="00CD3CE6">
        <w:rPr>
          <w:b w:val="0"/>
        </w:rPr>
        <w:t>,</w:t>
      </w:r>
      <w:r w:rsidRPr="00CD3CE6">
        <w:rPr>
          <w:b w:val="0"/>
        </w:rPr>
        <w:t xml:space="preserve"> % pret iepriekšējo gadu</w:t>
      </w:r>
      <w:bookmarkEnd w:id="432"/>
    </w:p>
    <w:p w:rsidR="00BD42EA" w:rsidRPr="00BD42EA" w:rsidRDefault="00BD42EA" w:rsidP="00BD42EA">
      <w:pPr>
        <w:rPr>
          <w:sz w:val="16"/>
          <w:szCs w:val="16"/>
        </w:rPr>
      </w:pPr>
    </w:p>
    <w:p w:rsidR="00486489" w:rsidRDefault="00486489" w:rsidP="00486489">
      <w:pPr>
        <w:ind w:left="-284" w:right="283"/>
        <w:jc w:val="center"/>
        <w:rPr>
          <w:b/>
          <w:sz w:val="8"/>
          <w:szCs w:val="8"/>
        </w:rPr>
      </w:pPr>
    </w:p>
    <w:tbl>
      <w:tblPr>
        <w:tblStyle w:val="LightShading1"/>
        <w:tblW w:w="4999" w:type="pct"/>
        <w:jc w:val="center"/>
        <w:tblLook w:val="04A0"/>
      </w:tblPr>
      <w:tblGrid>
        <w:gridCol w:w="4754"/>
        <w:gridCol w:w="1021"/>
        <w:gridCol w:w="1021"/>
        <w:gridCol w:w="1021"/>
        <w:gridCol w:w="1019"/>
        <w:gridCol w:w="1017"/>
      </w:tblGrid>
      <w:tr w:rsidR="00E87B05" w:rsidRPr="00470EB7" w:rsidTr="00395E0C">
        <w:trPr>
          <w:cnfStyle w:val="100000000000"/>
          <w:jc w:val="center"/>
        </w:trPr>
        <w:tc>
          <w:tcPr>
            <w:cnfStyle w:val="001000000000"/>
            <w:tcW w:w="2412" w:type="pct"/>
            <w:tcBorders>
              <w:top w:val="single" w:sz="8" w:space="0" w:color="0070C0"/>
              <w:bottom w:val="single" w:sz="8" w:space="0" w:color="0070C0"/>
            </w:tcBorders>
          </w:tcPr>
          <w:p w:rsidR="00E87B05" w:rsidRPr="00470EB7" w:rsidRDefault="00E87B05" w:rsidP="00F27DAB">
            <w:pPr>
              <w:spacing w:before="20" w:after="20"/>
              <w:ind w:left="-3"/>
              <w:rPr>
                <w:bCs w:val="0"/>
                <w:color w:val="auto"/>
                <w:sz w:val="20"/>
                <w:szCs w:val="20"/>
              </w:rPr>
            </w:pPr>
            <w:bookmarkStart w:id="433" w:name="_Toc216077889"/>
            <w:bookmarkStart w:id="434" w:name="_Toc216079557"/>
            <w:bookmarkStart w:id="435" w:name="_Toc216079625"/>
            <w:bookmarkStart w:id="436" w:name="_Toc216079687"/>
            <w:bookmarkStart w:id="437" w:name="_Toc216079743"/>
            <w:bookmarkStart w:id="438" w:name="_Toc216079799"/>
            <w:bookmarkStart w:id="439" w:name="_Toc216079855"/>
          </w:p>
        </w:tc>
        <w:tc>
          <w:tcPr>
            <w:tcW w:w="518" w:type="pct"/>
            <w:tcBorders>
              <w:top w:val="single" w:sz="8" w:space="0" w:color="0070C0"/>
              <w:bottom w:val="single" w:sz="8" w:space="0" w:color="0070C0"/>
            </w:tcBorders>
          </w:tcPr>
          <w:p w:rsidR="00E87B05" w:rsidRPr="00470EB7" w:rsidRDefault="00E87B05" w:rsidP="00CD152D">
            <w:pPr>
              <w:spacing w:before="20" w:after="20"/>
              <w:ind w:left="-3"/>
              <w:jc w:val="center"/>
              <w:cnfStyle w:val="100000000000"/>
              <w:rPr>
                <w:bCs w:val="0"/>
                <w:color w:val="auto"/>
                <w:sz w:val="20"/>
                <w:szCs w:val="20"/>
              </w:rPr>
            </w:pPr>
            <w:r w:rsidRPr="00470EB7">
              <w:rPr>
                <w:bCs w:val="0"/>
                <w:color w:val="auto"/>
                <w:sz w:val="20"/>
                <w:szCs w:val="20"/>
              </w:rPr>
              <w:t>2008</w:t>
            </w:r>
          </w:p>
        </w:tc>
        <w:tc>
          <w:tcPr>
            <w:tcW w:w="518" w:type="pct"/>
            <w:tcBorders>
              <w:top w:val="single" w:sz="8" w:space="0" w:color="0070C0"/>
              <w:bottom w:val="single" w:sz="8" w:space="0" w:color="0070C0"/>
            </w:tcBorders>
          </w:tcPr>
          <w:p w:rsidR="00E87B05" w:rsidRPr="00470EB7" w:rsidRDefault="00E87B05" w:rsidP="00CD152D">
            <w:pPr>
              <w:spacing w:before="20" w:after="20"/>
              <w:ind w:left="-3"/>
              <w:jc w:val="center"/>
              <w:cnfStyle w:val="100000000000"/>
              <w:rPr>
                <w:bCs w:val="0"/>
                <w:color w:val="auto"/>
                <w:sz w:val="20"/>
                <w:szCs w:val="20"/>
              </w:rPr>
            </w:pPr>
            <w:r w:rsidRPr="00470EB7">
              <w:rPr>
                <w:bCs w:val="0"/>
                <w:color w:val="auto"/>
                <w:sz w:val="20"/>
                <w:szCs w:val="20"/>
              </w:rPr>
              <w:t>2009</w:t>
            </w:r>
          </w:p>
        </w:tc>
        <w:tc>
          <w:tcPr>
            <w:tcW w:w="518" w:type="pct"/>
            <w:tcBorders>
              <w:top w:val="single" w:sz="8" w:space="0" w:color="0070C0"/>
              <w:bottom w:val="single" w:sz="8" w:space="0" w:color="0070C0"/>
            </w:tcBorders>
            <w:noWrap/>
            <w:hideMark/>
          </w:tcPr>
          <w:p w:rsidR="00E87B05" w:rsidRPr="00470EB7" w:rsidRDefault="00E87B05" w:rsidP="00CD152D">
            <w:pPr>
              <w:spacing w:before="20" w:after="20"/>
              <w:ind w:left="-3"/>
              <w:jc w:val="center"/>
              <w:cnfStyle w:val="100000000000"/>
              <w:rPr>
                <w:bCs w:val="0"/>
                <w:color w:val="auto"/>
                <w:sz w:val="20"/>
                <w:szCs w:val="20"/>
              </w:rPr>
            </w:pPr>
            <w:r w:rsidRPr="00470EB7">
              <w:rPr>
                <w:bCs w:val="0"/>
                <w:color w:val="auto"/>
                <w:sz w:val="20"/>
                <w:szCs w:val="20"/>
              </w:rPr>
              <w:t>2010</w:t>
            </w:r>
          </w:p>
        </w:tc>
        <w:tc>
          <w:tcPr>
            <w:tcW w:w="517" w:type="pct"/>
            <w:tcBorders>
              <w:top w:val="single" w:sz="8" w:space="0" w:color="0070C0"/>
              <w:bottom w:val="single" w:sz="8" w:space="0" w:color="0070C0"/>
            </w:tcBorders>
          </w:tcPr>
          <w:p w:rsidR="00E87B05" w:rsidRPr="00470EB7" w:rsidRDefault="00E87B05" w:rsidP="00CD152D">
            <w:pPr>
              <w:spacing w:before="20" w:after="20"/>
              <w:ind w:left="-3"/>
              <w:jc w:val="center"/>
              <w:cnfStyle w:val="100000000000"/>
              <w:rPr>
                <w:bCs w:val="0"/>
                <w:color w:val="auto"/>
                <w:sz w:val="20"/>
                <w:szCs w:val="20"/>
              </w:rPr>
            </w:pPr>
            <w:r w:rsidRPr="00470EB7">
              <w:rPr>
                <w:bCs w:val="0"/>
                <w:color w:val="auto"/>
                <w:sz w:val="20"/>
                <w:szCs w:val="20"/>
              </w:rPr>
              <w:t>2011</w:t>
            </w:r>
          </w:p>
        </w:tc>
        <w:tc>
          <w:tcPr>
            <w:tcW w:w="516" w:type="pct"/>
            <w:tcBorders>
              <w:top w:val="single" w:sz="8" w:space="0" w:color="0070C0"/>
              <w:bottom w:val="single" w:sz="8" w:space="0" w:color="0070C0"/>
            </w:tcBorders>
          </w:tcPr>
          <w:p w:rsidR="00E87B05" w:rsidRPr="00470EB7" w:rsidRDefault="00E87B05" w:rsidP="00CD152D">
            <w:pPr>
              <w:spacing w:before="20" w:after="20"/>
              <w:ind w:left="-3"/>
              <w:jc w:val="center"/>
              <w:cnfStyle w:val="100000000000"/>
              <w:rPr>
                <w:bCs w:val="0"/>
                <w:sz w:val="20"/>
                <w:szCs w:val="20"/>
              </w:rPr>
            </w:pPr>
            <w:r>
              <w:rPr>
                <w:bCs w:val="0"/>
                <w:sz w:val="20"/>
                <w:szCs w:val="20"/>
              </w:rPr>
              <w:t>2012</w:t>
            </w:r>
          </w:p>
        </w:tc>
      </w:tr>
      <w:tr w:rsidR="00E87B05" w:rsidRPr="00470EB7" w:rsidTr="00395E0C">
        <w:trPr>
          <w:cnfStyle w:val="000000100000"/>
          <w:jc w:val="center"/>
        </w:trPr>
        <w:tc>
          <w:tcPr>
            <w:cnfStyle w:val="001000000000"/>
            <w:tcW w:w="2412" w:type="pct"/>
            <w:tcBorders>
              <w:top w:val="single" w:sz="8" w:space="0" w:color="0070C0"/>
            </w:tcBorders>
          </w:tcPr>
          <w:p w:rsidR="00E87B05" w:rsidRPr="00470EB7" w:rsidRDefault="00E87B05" w:rsidP="00CD152D">
            <w:pPr>
              <w:spacing w:before="60" w:after="40"/>
              <w:ind w:right="34"/>
              <w:rPr>
                <w:color w:val="auto"/>
                <w:sz w:val="20"/>
                <w:szCs w:val="20"/>
              </w:rPr>
            </w:pPr>
            <w:r w:rsidRPr="00470EB7">
              <w:rPr>
                <w:color w:val="auto"/>
                <w:sz w:val="20"/>
                <w:szCs w:val="20"/>
              </w:rPr>
              <w:t xml:space="preserve">IKP </w:t>
            </w:r>
            <w:r w:rsidRPr="00470EB7">
              <w:rPr>
                <w:color w:val="auto"/>
                <w:spacing w:val="-6"/>
                <w:sz w:val="20"/>
                <w:szCs w:val="20"/>
              </w:rPr>
              <w:t>no izlietojuma puses</w:t>
            </w:r>
          </w:p>
        </w:tc>
        <w:tc>
          <w:tcPr>
            <w:tcW w:w="518" w:type="pct"/>
            <w:tcBorders>
              <w:top w:val="single" w:sz="8" w:space="0" w:color="0070C0"/>
            </w:tcBorders>
          </w:tcPr>
          <w:p w:rsidR="00E87B05" w:rsidRPr="00470EB7" w:rsidRDefault="00E87B05" w:rsidP="00470EB7">
            <w:pPr>
              <w:tabs>
                <w:tab w:val="decimal" w:pos="374"/>
              </w:tabs>
              <w:spacing w:before="40" w:after="40"/>
              <w:ind w:right="34"/>
              <w:cnfStyle w:val="000000100000"/>
              <w:rPr>
                <w:b/>
                <w:color w:val="auto"/>
                <w:sz w:val="20"/>
                <w:szCs w:val="20"/>
              </w:rPr>
            </w:pPr>
            <w:r w:rsidRPr="00470EB7">
              <w:rPr>
                <w:b/>
                <w:color w:val="auto"/>
                <w:sz w:val="20"/>
                <w:szCs w:val="20"/>
              </w:rPr>
              <w:t>-4,2</w:t>
            </w:r>
          </w:p>
        </w:tc>
        <w:tc>
          <w:tcPr>
            <w:tcW w:w="518" w:type="pct"/>
            <w:tcBorders>
              <w:top w:val="single" w:sz="8" w:space="0" w:color="0070C0"/>
            </w:tcBorders>
          </w:tcPr>
          <w:p w:rsidR="00E87B05" w:rsidRPr="00470EB7" w:rsidRDefault="00E87B05" w:rsidP="00470EB7">
            <w:pPr>
              <w:tabs>
                <w:tab w:val="decimal" w:pos="374"/>
              </w:tabs>
              <w:spacing w:before="40" w:after="40"/>
              <w:ind w:right="34"/>
              <w:cnfStyle w:val="000000100000"/>
              <w:rPr>
                <w:b/>
                <w:color w:val="auto"/>
                <w:sz w:val="20"/>
                <w:szCs w:val="20"/>
              </w:rPr>
            </w:pPr>
            <w:r w:rsidRPr="00470EB7">
              <w:rPr>
                <w:b/>
                <w:color w:val="auto"/>
                <w:sz w:val="20"/>
                <w:szCs w:val="20"/>
              </w:rPr>
              <w:t>-18,0</w:t>
            </w:r>
          </w:p>
        </w:tc>
        <w:tc>
          <w:tcPr>
            <w:tcW w:w="518" w:type="pct"/>
            <w:tcBorders>
              <w:top w:val="single" w:sz="8" w:space="0" w:color="0070C0"/>
            </w:tcBorders>
            <w:noWrap/>
            <w:hideMark/>
          </w:tcPr>
          <w:p w:rsidR="00E87B05" w:rsidRPr="00470EB7" w:rsidRDefault="00E87B05" w:rsidP="00325F51">
            <w:pPr>
              <w:tabs>
                <w:tab w:val="decimal" w:pos="374"/>
              </w:tabs>
              <w:spacing w:before="40" w:after="40"/>
              <w:cnfStyle w:val="000000100000"/>
              <w:rPr>
                <w:b/>
                <w:color w:val="auto"/>
                <w:sz w:val="20"/>
                <w:szCs w:val="20"/>
              </w:rPr>
            </w:pPr>
            <w:r>
              <w:rPr>
                <w:b/>
                <w:color w:val="auto"/>
                <w:sz w:val="20"/>
                <w:szCs w:val="20"/>
              </w:rPr>
              <w:t>-0</w:t>
            </w:r>
            <w:r w:rsidRPr="00470EB7">
              <w:rPr>
                <w:b/>
                <w:color w:val="auto"/>
                <w:sz w:val="20"/>
                <w:szCs w:val="20"/>
              </w:rPr>
              <w:t>,</w:t>
            </w:r>
            <w:r>
              <w:rPr>
                <w:b/>
                <w:color w:val="auto"/>
                <w:sz w:val="20"/>
                <w:szCs w:val="20"/>
              </w:rPr>
              <w:t>3</w:t>
            </w:r>
          </w:p>
        </w:tc>
        <w:tc>
          <w:tcPr>
            <w:tcW w:w="517" w:type="pct"/>
            <w:tcBorders>
              <w:top w:val="single" w:sz="8" w:space="0" w:color="0070C0"/>
            </w:tcBorders>
          </w:tcPr>
          <w:p w:rsidR="00E87B05" w:rsidRPr="00470EB7" w:rsidRDefault="00E87B05" w:rsidP="00470EB7">
            <w:pPr>
              <w:tabs>
                <w:tab w:val="decimal" w:pos="374"/>
              </w:tabs>
              <w:spacing w:before="40" w:after="40"/>
              <w:cnfStyle w:val="000000100000"/>
              <w:rPr>
                <w:b/>
                <w:color w:val="auto"/>
                <w:sz w:val="20"/>
                <w:szCs w:val="20"/>
              </w:rPr>
            </w:pPr>
            <w:r>
              <w:rPr>
                <w:b/>
                <w:color w:val="auto"/>
                <w:sz w:val="20"/>
                <w:szCs w:val="20"/>
              </w:rPr>
              <w:t>3,5</w:t>
            </w:r>
          </w:p>
        </w:tc>
        <w:tc>
          <w:tcPr>
            <w:tcW w:w="516" w:type="pct"/>
            <w:tcBorders>
              <w:top w:val="single" w:sz="8" w:space="0" w:color="0070C0"/>
            </w:tcBorders>
          </w:tcPr>
          <w:p w:rsidR="00E87B05" w:rsidRDefault="00395E0C" w:rsidP="00470EB7">
            <w:pPr>
              <w:tabs>
                <w:tab w:val="decimal" w:pos="374"/>
              </w:tabs>
              <w:spacing w:before="40" w:after="40"/>
              <w:cnfStyle w:val="000000100000"/>
              <w:rPr>
                <w:b/>
                <w:sz w:val="20"/>
                <w:szCs w:val="20"/>
              </w:rPr>
            </w:pPr>
            <w:r>
              <w:rPr>
                <w:b/>
                <w:sz w:val="20"/>
                <w:szCs w:val="20"/>
              </w:rPr>
              <w:t>4,0</w:t>
            </w:r>
          </w:p>
        </w:tc>
      </w:tr>
      <w:tr w:rsidR="004C4ABD" w:rsidRPr="00470EB7" w:rsidTr="009B4B86">
        <w:trPr>
          <w:jc w:val="center"/>
        </w:trPr>
        <w:tc>
          <w:tcPr>
            <w:cnfStyle w:val="001000000000"/>
            <w:tcW w:w="2412" w:type="pct"/>
          </w:tcPr>
          <w:p w:rsidR="004C4ABD" w:rsidRPr="00470EB7" w:rsidRDefault="004C4ABD" w:rsidP="002E73E8">
            <w:pPr>
              <w:spacing w:before="40" w:after="40"/>
              <w:ind w:right="33"/>
              <w:rPr>
                <w:b w:val="0"/>
                <w:color w:val="auto"/>
                <w:sz w:val="20"/>
                <w:szCs w:val="20"/>
              </w:rPr>
            </w:pPr>
            <w:r w:rsidRPr="00470EB7">
              <w:rPr>
                <w:b w:val="0"/>
                <w:color w:val="auto"/>
                <w:sz w:val="20"/>
                <w:szCs w:val="20"/>
              </w:rPr>
              <w:t>Privātais patēriņš</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-5,2</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-24,1</w:t>
            </w:r>
          </w:p>
        </w:tc>
        <w:tc>
          <w:tcPr>
            <w:tcW w:w="518" w:type="pct"/>
            <w:noWrap/>
            <w:vAlign w:val="bottom"/>
            <w:hideMark/>
          </w:tcPr>
          <w:p w:rsidR="004C4ABD" w:rsidRPr="00D30CBC" w:rsidRDefault="004C4ABD" w:rsidP="00325F51">
            <w:pPr>
              <w:tabs>
                <w:tab w:val="decimal" w:pos="374"/>
              </w:tabs>
              <w:spacing w:before="40" w:after="40"/>
              <w:cnfStyle w:val="000000000000"/>
              <w:rPr>
                <w:color w:val="auto"/>
                <w:sz w:val="20"/>
                <w:szCs w:val="20"/>
              </w:rPr>
            </w:pPr>
            <w:r>
              <w:rPr>
                <w:color w:val="auto"/>
                <w:sz w:val="20"/>
                <w:szCs w:val="20"/>
              </w:rPr>
              <w:t>-</w:t>
            </w:r>
            <w:r w:rsidRPr="00D30CBC">
              <w:rPr>
                <w:color w:val="auto"/>
                <w:sz w:val="20"/>
                <w:szCs w:val="20"/>
              </w:rPr>
              <w:t>0,</w:t>
            </w:r>
            <w:r>
              <w:rPr>
                <w:color w:val="auto"/>
                <w:sz w:val="20"/>
                <w:szCs w:val="20"/>
              </w:rPr>
              <w:t>1</w:t>
            </w:r>
          </w:p>
        </w:tc>
        <w:tc>
          <w:tcPr>
            <w:tcW w:w="517"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3,7</w:t>
            </w:r>
          </w:p>
        </w:tc>
        <w:tc>
          <w:tcPr>
            <w:tcW w:w="516"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4,3</w:t>
            </w:r>
          </w:p>
        </w:tc>
      </w:tr>
      <w:tr w:rsidR="004C4ABD" w:rsidRPr="00470EB7" w:rsidTr="009B4B86">
        <w:trPr>
          <w:cnfStyle w:val="000000100000"/>
          <w:jc w:val="center"/>
        </w:trPr>
        <w:tc>
          <w:tcPr>
            <w:cnfStyle w:val="001000000000"/>
            <w:tcW w:w="2412" w:type="pct"/>
          </w:tcPr>
          <w:p w:rsidR="004C4ABD" w:rsidRPr="00470EB7" w:rsidRDefault="004C4ABD" w:rsidP="002E73E8">
            <w:pPr>
              <w:spacing w:before="40" w:after="40"/>
              <w:ind w:right="33"/>
              <w:rPr>
                <w:b w:val="0"/>
                <w:color w:val="auto"/>
                <w:sz w:val="20"/>
                <w:szCs w:val="20"/>
              </w:rPr>
            </w:pPr>
            <w:r w:rsidRPr="00470EB7">
              <w:rPr>
                <w:b w:val="0"/>
                <w:color w:val="auto"/>
                <w:sz w:val="20"/>
                <w:szCs w:val="20"/>
              </w:rPr>
              <w:t>Valsts patēriņš</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1,5</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-9,2</w:t>
            </w:r>
          </w:p>
        </w:tc>
        <w:tc>
          <w:tcPr>
            <w:tcW w:w="518" w:type="pct"/>
            <w:noWrap/>
            <w:vAlign w:val="bottom"/>
            <w:hideMark/>
          </w:tcPr>
          <w:p w:rsidR="004C4ABD" w:rsidRPr="00D30CBC" w:rsidRDefault="004C4ABD" w:rsidP="00325F51">
            <w:pPr>
              <w:tabs>
                <w:tab w:val="decimal" w:pos="374"/>
              </w:tabs>
              <w:spacing w:before="40" w:after="40"/>
              <w:cnfStyle w:val="000000100000"/>
              <w:rPr>
                <w:color w:val="auto"/>
                <w:sz w:val="20"/>
                <w:szCs w:val="20"/>
              </w:rPr>
            </w:pPr>
            <w:r w:rsidRPr="00D30CBC">
              <w:rPr>
                <w:color w:val="auto"/>
                <w:sz w:val="20"/>
                <w:szCs w:val="20"/>
              </w:rPr>
              <w:t>-</w:t>
            </w:r>
            <w:r>
              <w:rPr>
                <w:color w:val="auto"/>
                <w:sz w:val="20"/>
                <w:szCs w:val="20"/>
              </w:rPr>
              <w:t>11,0</w:t>
            </w:r>
          </w:p>
        </w:tc>
        <w:tc>
          <w:tcPr>
            <w:tcW w:w="517"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-6,4</w:t>
            </w:r>
          </w:p>
        </w:tc>
        <w:tc>
          <w:tcPr>
            <w:tcW w:w="516"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-1,7</w:t>
            </w:r>
          </w:p>
        </w:tc>
      </w:tr>
      <w:tr w:rsidR="004C4ABD" w:rsidRPr="00470EB7" w:rsidTr="009B4B86">
        <w:trPr>
          <w:jc w:val="center"/>
        </w:trPr>
        <w:tc>
          <w:tcPr>
            <w:cnfStyle w:val="001000000000"/>
            <w:tcW w:w="2412" w:type="pct"/>
          </w:tcPr>
          <w:p w:rsidR="004C4ABD" w:rsidRPr="00470EB7" w:rsidRDefault="004C4ABD" w:rsidP="002E73E8">
            <w:pPr>
              <w:spacing w:before="40" w:after="40"/>
              <w:ind w:right="33"/>
              <w:rPr>
                <w:b w:val="0"/>
                <w:color w:val="auto"/>
                <w:spacing w:val="-10"/>
                <w:sz w:val="20"/>
                <w:szCs w:val="20"/>
              </w:rPr>
            </w:pPr>
            <w:r w:rsidRPr="00470EB7">
              <w:rPr>
                <w:b w:val="0"/>
                <w:color w:val="auto"/>
                <w:sz w:val="20"/>
                <w:szCs w:val="20"/>
              </w:rPr>
              <w:t>Kopējā pamatkapitāla veidošana</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-13,6</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-37,3</w:t>
            </w:r>
          </w:p>
        </w:tc>
        <w:tc>
          <w:tcPr>
            <w:tcW w:w="518" w:type="pct"/>
            <w:noWrap/>
            <w:vAlign w:val="bottom"/>
            <w:hideMark/>
          </w:tcPr>
          <w:p w:rsidR="004C4ABD" w:rsidRPr="00D30CBC" w:rsidRDefault="004C4ABD" w:rsidP="00D30CBC">
            <w:pPr>
              <w:tabs>
                <w:tab w:val="decimal" w:pos="374"/>
              </w:tabs>
              <w:spacing w:before="40" w:after="40"/>
              <w:cnfStyle w:val="000000000000"/>
              <w:rPr>
                <w:color w:val="auto"/>
                <w:sz w:val="20"/>
                <w:szCs w:val="20"/>
              </w:rPr>
            </w:pPr>
            <w:r w:rsidRPr="00D30CBC">
              <w:rPr>
                <w:color w:val="auto"/>
                <w:sz w:val="20"/>
                <w:szCs w:val="20"/>
              </w:rPr>
              <w:t>-19,</w:t>
            </w:r>
            <w:r>
              <w:rPr>
                <w:color w:val="auto"/>
                <w:sz w:val="20"/>
                <w:szCs w:val="20"/>
              </w:rPr>
              <w:t>5</w:t>
            </w:r>
          </w:p>
        </w:tc>
        <w:tc>
          <w:tcPr>
            <w:tcW w:w="517"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7,9</w:t>
            </w:r>
          </w:p>
        </w:tc>
        <w:tc>
          <w:tcPr>
            <w:tcW w:w="516"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10,3</w:t>
            </w:r>
          </w:p>
        </w:tc>
      </w:tr>
      <w:tr w:rsidR="004C4ABD" w:rsidRPr="00470EB7" w:rsidTr="009B4B86">
        <w:trPr>
          <w:cnfStyle w:val="000000100000"/>
          <w:jc w:val="center"/>
        </w:trPr>
        <w:tc>
          <w:tcPr>
            <w:cnfStyle w:val="001000000000"/>
            <w:tcW w:w="2412" w:type="pct"/>
          </w:tcPr>
          <w:p w:rsidR="004C4ABD" w:rsidRPr="00470EB7" w:rsidRDefault="004C4ABD" w:rsidP="002E73E8">
            <w:pPr>
              <w:spacing w:before="40" w:after="40"/>
              <w:ind w:right="33"/>
              <w:rPr>
                <w:b w:val="0"/>
                <w:color w:val="auto"/>
                <w:sz w:val="20"/>
                <w:szCs w:val="20"/>
              </w:rPr>
            </w:pPr>
            <w:r w:rsidRPr="00470EB7">
              <w:rPr>
                <w:b w:val="0"/>
                <w:color w:val="auto"/>
                <w:sz w:val="20"/>
                <w:szCs w:val="20"/>
              </w:rPr>
              <w:t>Eksports</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2,0</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-14,1</w:t>
            </w:r>
          </w:p>
        </w:tc>
        <w:tc>
          <w:tcPr>
            <w:tcW w:w="518" w:type="pct"/>
            <w:noWrap/>
            <w:vAlign w:val="bottom"/>
            <w:hideMark/>
          </w:tcPr>
          <w:p w:rsidR="004C4ABD" w:rsidRPr="00D30CBC" w:rsidRDefault="004C4ABD" w:rsidP="00D30CBC">
            <w:pPr>
              <w:tabs>
                <w:tab w:val="decimal" w:pos="374"/>
              </w:tabs>
              <w:spacing w:before="40" w:after="40"/>
              <w:cnfStyle w:val="000000100000"/>
              <w:rPr>
                <w:color w:val="auto"/>
                <w:sz w:val="20"/>
                <w:szCs w:val="20"/>
              </w:rPr>
            </w:pPr>
            <w:r>
              <w:rPr>
                <w:color w:val="auto"/>
                <w:sz w:val="20"/>
                <w:szCs w:val="20"/>
              </w:rPr>
              <w:t>10</w:t>
            </w:r>
            <w:r w:rsidRPr="00D30CBC">
              <w:rPr>
                <w:color w:val="auto"/>
                <w:sz w:val="20"/>
                <w:szCs w:val="20"/>
              </w:rPr>
              <w:t>,3</w:t>
            </w:r>
          </w:p>
        </w:tc>
        <w:tc>
          <w:tcPr>
            <w:tcW w:w="517"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9,4</w:t>
            </w:r>
          </w:p>
        </w:tc>
        <w:tc>
          <w:tcPr>
            <w:tcW w:w="516"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5,6</w:t>
            </w:r>
          </w:p>
        </w:tc>
      </w:tr>
      <w:tr w:rsidR="004C4ABD" w:rsidRPr="00470EB7" w:rsidTr="009B4B86">
        <w:trPr>
          <w:jc w:val="center"/>
        </w:trPr>
        <w:tc>
          <w:tcPr>
            <w:cnfStyle w:val="001000000000"/>
            <w:tcW w:w="2412" w:type="pct"/>
          </w:tcPr>
          <w:p w:rsidR="004C4ABD" w:rsidRPr="00470EB7" w:rsidRDefault="004C4ABD" w:rsidP="002E73E8">
            <w:pPr>
              <w:spacing w:before="40" w:after="40"/>
              <w:ind w:right="33"/>
              <w:rPr>
                <w:b w:val="0"/>
                <w:color w:val="auto"/>
                <w:sz w:val="20"/>
                <w:szCs w:val="20"/>
              </w:rPr>
            </w:pPr>
            <w:r w:rsidRPr="00470EB7">
              <w:rPr>
                <w:b w:val="0"/>
                <w:color w:val="auto"/>
                <w:sz w:val="20"/>
                <w:szCs w:val="20"/>
              </w:rPr>
              <w:t>Imports</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-11,2</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-33,5</w:t>
            </w:r>
          </w:p>
        </w:tc>
        <w:tc>
          <w:tcPr>
            <w:tcW w:w="518" w:type="pct"/>
            <w:noWrap/>
            <w:vAlign w:val="bottom"/>
            <w:hideMark/>
          </w:tcPr>
          <w:p w:rsidR="004C4ABD" w:rsidRPr="00D30CBC" w:rsidRDefault="004C4ABD" w:rsidP="00D30CBC">
            <w:pPr>
              <w:tabs>
                <w:tab w:val="decimal" w:pos="374"/>
              </w:tabs>
              <w:spacing w:before="40" w:after="40"/>
              <w:cnfStyle w:val="000000000000"/>
              <w:rPr>
                <w:color w:val="auto"/>
                <w:sz w:val="20"/>
                <w:szCs w:val="20"/>
              </w:rPr>
            </w:pPr>
            <w:r>
              <w:rPr>
                <w:color w:val="auto"/>
                <w:sz w:val="20"/>
                <w:szCs w:val="20"/>
              </w:rPr>
              <w:t>8,6</w:t>
            </w:r>
          </w:p>
        </w:tc>
        <w:tc>
          <w:tcPr>
            <w:tcW w:w="517"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7,7</w:t>
            </w:r>
          </w:p>
        </w:tc>
        <w:tc>
          <w:tcPr>
            <w:tcW w:w="516"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6,2</w:t>
            </w:r>
          </w:p>
        </w:tc>
      </w:tr>
      <w:tr w:rsidR="00E87B05" w:rsidRPr="00470EB7" w:rsidTr="00395E0C">
        <w:trPr>
          <w:cnfStyle w:val="000000100000"/>
          <w:jc w:val="center"/>
        </w:trPr>
        <w:tc>
          <w:tcPr>
            <w:cnfStyle w:val="001000000000"/>
            <w:tcW w:w="2412" w:type="pct"/>
          </w:tcPr>
          <w:p w:rsidR="00E87B05" w:rsidRPr="00470EB7" w:rsidRDefault="00E87B05" w:rsidP="00044667">
            <w:pPr>
              <w:spacing w:before="360" w:after="40"/>
              <w:ind w:right="33"/>
              <w:rPr>
                <w:color w:val="auto"/>
                <w:sz w:val="20"/>
                <w:szCs w:val="20"/>
              </w:rPr>
            </w:pPr>
            <w:r w:rsidRPr="00470EB7">
              <w:rPr>
                <w:color w:val="auto"/>
                <w:sz w:val="20"/>
                <w:szCs w:val="20"/>
              </w:rPr>
              <w:t>IKP pa nozarēm</w:t>
            </w:r>
          </w:p>
        </w:tc>
        <w:tc>
          <w:tcPr>
            <w:tcW w:w="518" w:type="pct"/>
            <w:vAlign w:val="bottom"/>
          </w:tcPr>
          <w:p w:rsidR="00E87B05" w:rsidRPr="00470EB7" w:rsidRDefault="00E87B05" w:rsidP="00A64BC9">
            <w:pPr>
              <w:tabs>
                <w:tab w:val="decimal" w:pos="374"/>
              </w:tabs>
              <w:spacing w:before="40" w:after="40"/>
              <w:ind w:right="34"/>
              <w:cnfStyle w:val="000000100000"/>
              <w:rPr>
                <w:b/>
                <w:color w:val="auto"/>
                <w:sz w:val="20"/>
                <w:szCs w:val="20"/>
              </w:rPr>
            </w:pPr>
            <w:r w:rsidRPr="00470EB7">
              <w:rPr>
                <w:b/>
                <w:color w:val="auto"/>
                <w:sz w:val="20"/>
                <w:szCs w:val="20"/>
              </w:rPr>
              <w:t>-4,2</w:t>
            </w:r>
          </w:p>
        </w:tc>
        <w:tc>
          <w:tcPr>
            <w:tcW w:w="518" w:type="pct"/>
            <w:vAlign w:val="bottom"/>
          </w:tcPr>
          <w:p w:rsidR="00E87B05" w:rsidRPr="00470EB7" w:rsidRDefault="00E87B05" w:rsidP="00A64BC9">
            <w:pPr>
              <w:tabs>
                <w:tab w:val="decimal" w:pos="374"/>
              </w:tabs>
              <w:spacing w:before="40" w:after="40"/>
              <w:ind w:right="34"/>
              <w:cnfStyle w:val="000000100000"/>
              <w:rPr>
                <w:b/>
                <w:color w:val="auto"/>
                <w:sz w:val="20"/>
                <w:szCs w:val="20"/>
              </w:rPr>
            </w:pPr>
            <w:r w:rsidRPr="00470EB7">
              <w:rPr>
                <w:b/>
                <w:color w:val="auto"/>
                <w:sz w:val="20"/>
                <w:szCs w:val="20"/>
              </w:rPr>
              <w:t>-18,0</w:t>
            </w:r>
          </w:p>
        </w:tc>
        <w:tc>
          <w:tcPr>
            <w:tcW w:w="518" w:type="pct"/>
            <w:noWrap/>
            <w:vAlign w:val="bottom"/>
            <w:hideMark/>
          </w:tcPr>
          <w:p w:rsidR="00E87B05" w:rsidRPr="00470EB7" w:rsidRDefault="00E87B05" w:rsidP="00325F51">
            <w:pPr>
              <w:tabs>
                <w:tab w:val="decimal" w:pos="374"/>
              </w:tabs>
              <w:spacing w:before="40" w:after="40"/>
              <w:ind w:right="34"/>
              <w:cnfStyle w:val="000000100000"/>
              <w:rPr>
                <w:b/>
                <w:color w:val="auto"/>
                <w:sz w:val="20"/>
                <w:szCs w:val="20"/>
              </w:rPr>
            </w:pPr>
            <w:r>
              <w:rPr>
                <w:b/>
                <w:color w:val="auto"/>
                <w:sz w:val="20"/>
                <w:szCs w:val="20"/>
              </w:rPr>
              <w:t>-0</w:t>
            </w:r>
            <w:r w:rsidRPr="00470EB7">
              <w:rPr>
                <w:b/>
                <w:color w:val="auto"/>
                <w:sz w:val="20"/>
                <w:szCs w:val="20"/>
              </w:rPr>
              <w:t>,</w:t>
            </w:r>
            <w:r>
              <w:rPr>
                <w:b/>
                <w:color w:val="auto"/>
                <w:sz w:val="20"/>
                <w:szCs w:val="20"/>
              </w:rPr>
              <w:t>3</w:t>
            </w:r>
          </w:p>
        </w:tc>
        <w:tc>
          <w:tcPr>
            <w:tcW w:w="517" w:type="pct"/>
            <w:vAlign w:val="bottom"/>
          </w:tcPr>
          <w:p w:rsidR="00E87B05" w:rsidRPr="00470EB7" w:rsidRDefault="00E87B05" w:rsidP="00A64BC9">
            <w:pPr>
              <w:tabs>
                <w:tab w:val="decimal" w:pos="374"/>
              </w:tabs>
              <w:spacing w:before="40" w:after="40"/>
              <w:ind w:right="34"/>
              <w:cnfStyle w:val="000000100000"/>
              <w:rPr>
                <w:b/>
                <w:color w:val="auto"/>
                <w:sz w:val="20"/>
                <w:szCs w:val="20"/>
              </w:rPr>
            </w:pPr>
            <w:r w:rsidRPr="00470EB7">
              <w:rPr>
                <w:b/>
                <w:color w:val="auto"/>
                <w:sz w:val="20"/>
                <w:szCs w:val="20"/>
              </w:rPr>
              <w:t>3,</w:t>
            </w:r>
            <w:r>
              <w:rPr>
                <w:b/>
                <w:color w:val="auto"/>
                <w:sz w:val="20"/>
                <w:szCs w:val="20"/>
              </w:rPr>
              <w:t>5</w:t>
            </w:r>
          </w:p>
        </w:tc>
        <w:tc>
          <w:tcPr>
            <w:tcW w:w="516" w:type="pct"/>
            <w:vAlign w:val="bottom"/>
          </w:tcPr>
          <w:p w:rsidR="00E87B05" w:rsidRPr="00470EB7" w:rsidRDefault="00395E0C" w:rsidP="00395E0C">
            <w:pPr>
              <w:tabs>
                <w:tab w:val="decimal" w:pos="374"/>
              </w:tabs>
              <w:spacing w:before="40" w:after="40"/>
              <w:ind w:right="34"/>
              <w:cnfStyle w:val="000000100000"/>
              <w:rPr>
                <w:b/>
                <w:sz w:val="20"/>
                <w:szCs w:val="20"/>
              </w:rPr>
            </w:pPr>
            <w:r w:rsidRPr="00395E0C">
              <w:rPr>
                <w:b/>
                <w:color w:val="auto"/>
                <w:sz w:val="20"/>
                <w:szCs w:val="20"/>
              </w:rPr>
              <w:t>4,0</w:t>
            </w:r>
          </w:p>
        </w:tc>
      </w:tr>
      <w:tr w:rsidR="004C4ABD" w:rsidRPr="00470EB7" w:rsidTr="00395E0C">
        <w:trPr>
          <w:jc w:val="center"/>
        </w:trPr>
        <w:tc>
          <w:tcPr>
            <w:cnfStyle w:val="001000000000"/>
            <w:tcW w:w="2412" w:type="pct"/>
          </w:tcPr>
          <w:p w:rsidR="004C4ABD" w:rsidRPr="00470EB7" w:rsidRDefault="004C4ABD" w:rsidP="002E73E8">
            <w:pPr>
              <w:spacing w:before="40" w:after="40"/>
              <w:ind w:right="33"/>
              <w:rPr>
                <w:b w:val="0"/>
                <w:color w:val="auto"/>
                <w:sz w:val="20"/>
                <w:szCs w:val="20"/>
              </w:rPr>
            </w:pPr>
            <w:r w:rsidRPr="00470EB7">
              <w:rPr>
                <w:b w:val="0"/>
                <w:color w:val="auto"/>
                <w:sz w:val="20"/>
                <w:szCs w:val="20"/>
              </w:rPr>
              <w:t>Primārās nozares</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0,5</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3,0</w:t>
            </w:r>
          </w:p>
        </w:tc>
        <w:tc>
          <w:tcPr>
            <w:tcW w:w="518" w:type="pct"/>
            <w:noWrap/>
            <w:vAlign w:val="bottom"/>
            <w:hideMark/>
          </w:tcPr>
          <w:p w:rsidR="004C4ABD" w:rsidRPr="00D30CBC" w:rsidRDefault="004C4ABD" w:rsidP="00D30CBC">
            <w:pPr>
              <w:tabs>
                <w:tab w:val="decimal" w:pos="374"/>
              </w:tabs>
              <w:spacing w:before="40" w:after="40"/>
              <w:cnfStyle w:val="000000000000"/>
              <w:rPr>
                <w:color w:val="auto"/>
                <w:sz w:val="20"/>
                <w:szCs w:val="20"/>
              </w:rPr>
            </w:pPr>
            <w:r>
              <w:rPr>
                <w:color w:val="auto"/>
                <w:sz w:val="20"/>
                <w:szCs w:val="20"/>
              </w:rPr>
              <w:t>3,8</w:t>
            </w:r>
          </w:p>
        </w:tc>
        <w:tc>
          <w:tcPr>
            <w:tcW w:w="517"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4,8</w:t>
            </w:r>
          </w:p>
        </w:tc>
        <w:tc>
          <w:tcPr>
            <w:tcW w:w="516"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4,0</w:t>
            </w:r>
          </w:p>
        </w:tc>
      </w:tr>
      <w:tr w:rsidR="004C4ABD" w:rsidRPr="00470EB7" w:rsidTr="00395E0C">
        <w:trPr>
          <w:cnfStyle w:val="000000100000"/>
          <w:jc w:val="center"/>
        </w:trPr>
        <w:tc>
          <w:tcPr>
            <w:cnfStyle w:val="001000000000"/>
            <w:tcW w:w="2412" w:type="pct"/>
          </w:tcPr>
          <w:p w:rsidR="004C4ABD" w:rsidRPr="00470EB7" w:rsidRDefault="004C4ABD" w:rsidP="002E73E8">
            <w:pPr>
              <w:spacing w:before="40" w:after="40"/>
              <w:ind w:right="33"/>
              <w:rPr>
                <w:b w:val="0"/>
                <w:color w:val="auto"/>
                <w:sz w:val="20"/>
                <w:szCs w:val="20"/>
              </w:rPr>
            </w:pPr>
            <w:r w:rsidRPr="00470EB7">
              <w:rPr>
                <w:b w:val="0"/>
                <w:color w:val="auto"/>
                <w:sz w:val="20"/>
                <w:szCs w:val="20"/>
              </w:rPr>
              <w:t>Apstrādes rūpniecība</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-6,5</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-19,2</w:t>
            </w:r>
          </w:p>
        </w:tc>
        <w:tc>
          <w:tcPr>
            <w:tcW w:w="518" w:type="pct"/>
            <w:noWrap/>
            <w:vAlign w:val="bottom"/>
            <w:hideMark/>
          </w:tcPr>
          <w:p w:rsidR="004C4ABD" w:rsidRPr="00D30CBC" w:rsidRDefault="004C4ABD" w:rsidP="00325F51">
            <w:pPr>
              <w:tabs>
                <w:tab w:val="decimal" w:pos="374"/>
              </w:tabs>
              <w:spacing w:before="40" w:after="40"/>
              <w:cnfStyle w:val="000000100000"/>
              <w:rPr>
                <w:color w:val="auto"/>
                <w:sz w:val="20"/>
                <w:szCs w:val="20"/>
              </w:rPr>
            </w:pPr>
            <w:r w:rsidRPr="00D30CBC">
              <w:rPr>
                <w:color w:val="auto"/>
                <w:sz w:val="20"/>
                <w:szCs w:val="20"/>
              </w:rPr>
              <w:t>1</w:t>
            </w:r>
            <w:r>
              <w:rPr>
                <w:color w:val="auto"/>
                <w:sz w:val="20"/>
                <w:szCs w:val="20"/>
              </w:rPr>
              <w:t>5,4</w:t>
            </w:r>
          </w:p>
        </w:tc>
        <w:tc>
          <w:tcPr>
            <w:tcW w:w="517"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11,0</w:t>
            </w:r>
          </w:p>
        </w:tc>
        <w:tc>
          <w:tcPr>
            <w:tcW w:w="516"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7,0</w:t>
            </w:r>
          </w:p>
        </w:tc>
      </w:tr>
      <w:tr w:rsidR="004C4ABD" w:rsidRPr="00470EB7" w:rsidTr="00395E0C">
        <w:trPr>
          <w:jc w:val="center"/>
        </w:trPr>
        <w:tc>
          <w:tcPr>
            <w:cnfStyle w:val="001000000000"/>
            <w:tcW w:w="2412" w:type="pct"/>
          </w:tcPr>
          <w:p w:rsidR="004C4ABD" w:rsidRPr="00470EB7" w:rsidRDefault="004C4ABD" w:rsidP="002E73E8">
            <w:pPr>
              <w:spacing w:before="40" w:after="40"/>
              <w:ind w:right="33"/>
              <w:rPr>
                <w:b w:val="0"/>
                <w:color w:val="auto"/>
                <w:spacing w:val="-4"/>
                <w:sz w:val="20"/>
                <w:szCs w:val="20"/>
              </w:rPr>
            </w:pPr>
            <w:r w:rsidRPr="00470EB7">
              <w:rPr>
                <w:b w:val="0"/>
                <w:color w:val="auto"/>
                <w:spacing w:val="-4"/>
                <w:sz w:val="20"/>
                <w:szCs w:val="20"/>
              </w:rPr>
              <w:t>Elektroenerģija, gāzes un ūdens apgāde</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-2,4</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-7,2</w:t>
            </w:r>
          </w:p>
        </w:tc>
        <w:tc>
          <w:tcPr>
            <w:tcW w:w="518" w:type="pct"/>
            <w:noWrap/>
            <w:vAlign w:val="bottom"/>
            <w:hideMark/>
          </w:tcPr>
          <w:p w:rsidR="004C4ABD" w:rsidRPr="00D30CBC" w:rsidRDefault="004C4ABD" w:rsidP="00325F51">
            <w:pPr>
              <w:tabs>
                <w:tab w:val="decimal" w:pos="374"/>
              </w:tabs>
              <w:spacing w:before="40" w:after="40"/>
              <w:cnfStyle w:val="000000000000"/>
              <w:rPr>
                <w:color w:val="auto"/>
                <w:sz w:val="20"/>
                <w:szCs w:val="20"/>
              </w:rPr>
            </w:pPr>
            <w:r w:rsidRPr="00D30CBC">
              <w:rPr>
                <w:color w:val="auto"/>
                <w:sz w:val="20"/>
                <w:szCs w:val="20"/>
              </w:rPr>
              <w:t>1</w:t>
            </w:r>
            <w:r>
              <w:rPr>
                <w:color w:val="auto"/>
                <w:sz w:val="20"/>
                <w:szCs w:val="20"/>
              </w:rPr>
              <w:t>2,7</w:t>
            </w:r>
          </w:p>
        </w:tc>
        <w:tc>
          <w:tcPr>
            <w:tcW w:w="517"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1,5</w:t>
            </w:r>
          </w:p>
        </w:tc>
        <w:tc>
          <w:tcPr>
            <w:tcW w:w="516"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1,1</w:t>
            </w:r>
          </w:p>
        </w:tc>
      </w:tr>
      <w:tr w:rsidR="004C4ABD" w:rsidRPr="00470EB7" w:rsidTr="00395E0C">
        <w:trPr>
          <w:cnfStyle w:val="000000100000"/>
          <w:jc w:val="center"/>
        </w:trPr>
        <w:tc>
          <w:tcPr>
            <w:cnfStyle w:val="001000000000"/>
            <w:tcW w:w="2412" w:type="pct"/>
          </w:tcPr>
          <w:p w:rsidR="004C4ABD" w:rsidRPr="00470EB7" w:rsidRDefault="004C4ABD" w:rsidP="002E73E8">
            <w:pPr>
              <w:spacing w:before="40" w:after="40"/>
              <w:ind w:right="33"/>
              <w:rPr>
                <w:b w:val="0"/>
                <w:color w:val="auto"/>
                <w:sz w:val="20"/>
                <w:szCs w:val="20"/>
              </w:rPr>
            </w:pPr>
            <w:r w:rsidRPr="00470EB7">
              <w:rPr>
                <w:b w:val="0"/>
                <w:color w:val="auto"/>
                <w:sz w:val="20"/>
                <w:szCs w:val="20"/>
              </w:rPr>
              <w:t>Būvniecība</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-2,6</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-33,6</w:t>
            </w:r>
          </w:p>
        </w:tc>
        <w:tc>
          <w:tcPr>
            <w:tcW w:w="518" w:type="pct"/>
            <w:noWrap/>
            <w:vAlign w:val="bottom"/>
            <w:hideMark/>
          </w:tcPr>
          <w:p w:rsidR="004C4ABD" w:rsidRPr="00D30CBC" w:rsidRDefault="004C4ABD" w:rsidP="00325F51">
            <w:pPr>
              <w:tabs>
                <w:tab w:val="decimal" w:pos="374"/>
              </w:tabs>
              <w:spacing w:before="40" w:after="40"/>
              <w:cnfStyle w:val="000000100000"/>
              <w:rPr>
                <w:color w:val="auto"/>
                <w:sz w:val="20"/>
                <w:szCs w:val="20"/>
              </w:rPr>
            </w:pPr>
            <w:r w:rsidRPr="00D30CBC">
              <w:rPr>
                <w:color w:val="auto"/>
                <w:sz w:val="20"/>
                <w:szCs w:val="20"/>
              </w:rPr>
              <w:t>-2</w:t>
            </w:r>
            <w:r>
              <w:rPr>
                <w:color w:val="auto"/>
                <w:sz w:val="20"/>
                <w:szCs w:val="20"/>
              </w:rPr>
              <w:t>4,2</w:t>
            </w:r>
          </w:p>
        </w:tc>
        <w:tc>
          <w:tcPr>
            <w:tcW w:w="517"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4,3</w:t>
            </w:r>
          </w:p>
        </w:tc>
        <w:tc>
          <w:tcPr>
            <w:tcW w:w="516"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5,2</w:t>
            </w:r>
          </w:p>
        </w:tc>
      </w:tr>
      <w:tr w:rsidR="004C4ABD" w:rsidRPr="00470EB7" w:rsidTr="00395E0C">
        <w:trPr>
          <w:jc w:val="center"/>
        </w:trPr>
        <w:tc>
          <w:tcPr>
            <w:cnfStyle w:val="001000000000"/>
            <w:tcW w:w="2412" w:type="pct"/>
          </w:tcPr>
          <w:p w:rsidR="004C4ABD" w:rsidRPr="00470EB7" w:rsidRDefault="004C4ABD" w:rsidP="002E73E8">
            <w:pPr>
              <w:spacing w:before="40" w:after="40"/>
              <w:ind w:right="33"/>
              <w:rPr>
                <w:b w:val="0"/>
                <w:color w:val="auto"/>
                <w:sz w:val="20"/>
                <w:szCs w:val="20"/>
              </w:rPr>
            </w:pPr>
            <w:r w:rsidRPr="00470EB7">
              <w:rPr>
                <w:b w:val="0"/>
                <w:color w:val="auto"/>
                <w:sz w:val="20"/>
                <w:szCs w:val="20"/>
              </w:rPr>
              <w:t>Tirdzniecība</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-8,4</w:t>
            </w:r>
          </w:p>
        </w:tc>
        <w:tc>
          <w:tcPr>
            <w:tcW w:w="518" w:type="pct"/>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-29,0</w:t>
            </w:r>
          </w:p>
        </w:tc>
        <w:tc>
          <w:tcPr>
            <w:tcW w:w="518" w:type="pct"/>
            <w:noWrap/>
            <w:vAlign w:val="bottom"/>
            <w:hideMark/>
          </w:tcPr>
          <w:p w:rsidR="004C4ABD" w:rsidRPr="00D30CBC" w:rsidRDefault="004C4ABD" w:rsidP="00D30CBC">
            <w:pPr>
              <w:tabs>
                <w:tab w:val="decimal" w:pos="374"/>
              </w:tabs>
              <w:spacing w:before="40" w:after="40"/>
              <w:cnfStyle w:val="000000000000"/>
              <w:rPr>
                <w:color w:val="auto"/>
                <w:sz w:val="20"/>
                <w:szCs w:val="20"/>
              </w:rPr>
            </w:pPr>
            <w:r>
              <w:rPr>
                <w:color w:val="auto"/>
                <w:sz w:val="20"/>
                <w:szCs w:val="20"/>
              </w:rPr>
              <w:t>3,2</w:t>
            </w:r>
          </w:p>
        </w:tc>
        <w:tc>
          <w:tcPr>
            <w:tcW w:w="517"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2,4</w:t>
            </w:r>
          </w:p>
        </w:tc>
        <w:tc>
          <w:tcPr>
            <w:tcW w:w="516" w:type="pct"/>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4,1</w:t>
            </w:r>
          </w:p>
        </w:tc>
      </w:tr>
      <w:tr w:rsidR="004C4ABD" w:rsidRPr="00470EB7" w:rsidTr="00395E0C">
        <w:trPr>
          <w:cnfStyle w:val="000000100000"/>
          <w:jc w:val="center"/>
        </w:trPr>
        <w:tc>
          <w:tcPr>
            <w:cnfStyle w:val="001000000000"/>
            <w:tcW w:w="2412" w:type="pct"/>
          </w:tcPr>
          <w:p w:rsidR="004C4ABD" w:rsidRPr="00470EB7" w:rsidRDefault="004C4ABD" w:rsidP="002E73E8">
            <w:pPr>
              <w:spacing w:before="40" w:after="40"/>
              <w:ind w:right="33"/>
              <w:rPr>
                <w:b w:val="0"/>
                <w:color w:val="auto"/>
                <w:sz w:val="20"/>
                <w:szCs w:val="20"/>
              </w:rPr>
            </w:pPr>
            <w:r w:rsidRPr="00470EB7">
              <w:rPr>
                <w:b w:val="0"/>
                <w:color w:val="auto"/>
                <w:sz w:val="20"/>
                <w:szCs w:val="20"/>
              </w:rPr>
              <w:t>Transports un sakari</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0,5</w:t>
            </w:r>
          </w:p>
        </w:tc>
        <w:tc>
          <w:tcPr>
            <w:tcW w:w="518" w:type="pct"/>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-14,8</w:t>
            </w:r>
          </w:p>
        </w:tc>
        <w:tc>
          <w:tcPr>
            <w:tcW w:w="518" w:type="pct"/>
            <w:noWrap/>
            <w:vAlign w:val="bottom"/>
            <w:hideMark/>
          </w:tcPr>
          <w:p w:rsidR="004C4ABD" w:rsidRPr="00D30CBC" w:rsidRDefault="004C4ABD" w:rsidP="00D30CBC">
            <w:pPr>
              <w:tabs>
                <w:tab w:val="decimal" w:pos="374"/>
              </w:tabs>
              <w:spacing w:before="40" w:after="40"/>
              <w:cnfStyle w:val="000000100000"/>
              <w:rPr>
                <w:color w:val="auto"/>
                <w:sz w:val="20"/>
                <w:szCs w:val="20"/>
              </w:rPr>
            </w:pPr>
            <w:r>
              <w:rPr>
                <w:color w:val="auto"/>
                <w:sz w:val="20"/>
                <w:szCs w:val="20"/>
              </w:rPr>
              <w:t>3,0</w:t>
            </w:r>
          </w:p>
        </w:tc>
        <w:tc>
          <w:tcPr>
            <w:tcW w:w="517"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3,1</w:t>
            </w:r>
          </w:p>
        </w:tc>
        <w:tc>
          <w:tcPr>
            <w:tcW w:w="516" w:type="pct"/>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5,2</w:t>
            </w:r>
          </w:p>
        </w:tc>
      </w:tr>
      <w:tr w:rsidR="004C4ABD" w:rsidRPr="00470EB7" w:rsidTr="00395E0C">
        <w:trPr>
          <w:jc w:val="center"/>
        </w:trPr>
        <w:tc>
          <w:tcPr>
            <w:cnfStyle w:val="001000000000"/>
            <w:tcW w:w="2412" w:type="pct"/>
            <w:tcBorders>
              <w:bottom w:val="nil"/>
            </w:tcBorders>
          </w:tcPr>
          <w:p w:rsidR="004C4ABD" w:rsidRPr="00470EB7" w:rsidRDefault="004C4ABD" w:rsidP="002E73E8">
            <w:pPr>
              <w:spacing w:before="40" w:after="40"/>
              <w:ind w:right="33"/>
              <w:rPr>
                <w:b w:val="0"/>
                <w:color w:val="auto"/>
                <w:sz w:val="20"/>
                <w:szCs w:val="20"/>
              </w:rPr>
            </w:pPr>
            <w:r w:rsidRPr="00470EB7">
              <w:rPr>
                <w:b w:val="0"/>
                <w:color w:val="auto"/>
                <w:sz w:val="20"/>
                <w:szCs w:val="20"/>
              </w:rPr>
              <w:t>Sabiedriskie pakalpojumi</w:t>
            </w:r>
          </w:p>
        </w:tc>
        <w:tc>
          <w:tcPr>
            <w:tcW w:w="518" w:type="pct"/>
            <w:tcBorders>
              <w:bottom w:val="nil"/>
            </w:tcBorders>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1,3</w:t>
            </w:r>
          </w:p>
        </w:tc>
        <w:tc>
          <w:tcPr>
            <w:tcW w:w="518" w:type="pct"/>
            <w:tcBorders>
              <w:bottom w:val="nil"/>
            </w:tcBorders>
            <w:vAlign w:val="bottom"/>
          </w:tcPr>
          <w:p w:rsidR="004C4ABD" w:rsidRPr="004557BF" w:rsidRDefault="004C4ABD" w:rsidP="004557BF">
            <w:pPr>
              <w:tabs>
                <w:tab w:val="decimal" w:pos="374"/>
              </w:tabs>
              <w:spacing w:before="40" w:after="40"/>
              <w:cnfStyle w:val="000000000000"/>
              <w:rPr>
                <w:color w:val="auto"/>
                <w:sz w:val="20"/>
                <w:szCs w:val="20"/>
              </w:rPr>
            </w:pPr>
            <w:r w:rsidRPr="004557BF">
              <w:rPr>
                <w:color w:val="auto"/>
                <w:sz w:val="20"/>
                <w:szCs w:val="20"/>
              </w:rPr>
              <w:t>-6,3</w:t>
            </w:r>
          </w:p>
        </w:tc>
        <w:tc>
          <w:tcPr>
            <w:tcW w:w="518" w:type="pct"/>
            <w:tcBorders>
              <w:bottom w:val="nil"/>
            </w:tcBorders>
            <w:noWrap/>
            <w:vAlign w:val="bottom"/>
            <w:hideMark/>
          </w:tcPr>
          <w:p w:rsidR="004C4ABD" w:rsidRPr="00D30CBC" w:rsidRDefault="004C4ABD" w:rsidP="00325F51">
            <w:pPr>
              <w:tabs>
                <w:tab w:val="decimal" w:pos="374"/>
              </w:tabs>
              <w:spacing w:before="40" w:after="40"/>
              <w:cnfStyle w:val="000000000000"/>
              <w:rPr>
                <w:color w:val="auto"/>
                <w:sz w:val="20"/>
                <w:szCs w:val="20"/>
              </w:rPr>
            </w:pPr>
            <w:r w:rsidRPr="00D30CBC">
              <w:rPr>
                <w:color w:val="auto"/>
                <w:sz w:val="20"/>
                <w:szCs w:val="20"/>
              </w:rPr>
              <w:t>-7</w:t>
            </w:r>
            <w:r>
              <w:rPr>
                <w:color w:val="auto"/>
                <w:sz w:val="20"/>
                <w:szCs w:val="20"/>
              </w:rPr>
              <w:t>,8</w:t>
            </w:r>
          </w:p>
        </w:tc>
        <w:tc>
          <w:tcPr>
            <w:tcW w:w="517" w:type="pct"/>
            <w:tcBorders>
              <w:bottom w:val="nil"/>
            </w:tcBorders>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-2,1</w:t>
            </w:r>
          </w:p>
        </w:tc>
        <w:tc>
          <w:tcPr>
            <w:tcW w:w="516" w:type="pct"/>
            <w:tcBorders>
              <w:bottom w:val="nil"/>
            </w:tcBorders>
            <w:vAlign w:val="bottom"/>
          </w:tcPr>
          <w:p w:rsidR="004C4ABD" w:rsidRPr="004C4ABD" w:rsidRDefault="004C4ABD" w:rsidP="004C4ABD">
            <w:pPr>
              <w:tabs>
                <w:tab w:val="decimal" w:pos="374"/>
              </w:tabs>
              <w:spacing w:before="40" w:after="40"/>
              <w:cnfStyle w:val="000000000000"/>
              <w:rPr>
                <w:color w:val="auto"/>
                <w:sz w:val="20"/>
                <w:szCs w:val="20"/>
              </w:rPr>
            </w:pPr>
            <w:r w:rsidRPr="004C4ABD">
              <w:rPr>
                <w:color w:val="auto"/>
                <w:sz w:val="20"/>
                <w:szCs w:val="20"/>
              </w:rPr>
              <w:t>-0,5</w:t>
            </w:r>
          </w:p>
        </w:tc>
      </w:tr>
      <w:tr w:rsidR="004C4ABD" w:rsidRPr="00470EB7" w:rsidTr="00395E0C">
        <w:trPr>
          <w:cnfStyle w:val="000000100000"/>
          <w:jc w:val="center"/>
        </w:trPr>
        <w:tc>
          <w:tcPr>
            <w:cnfStyle w:val="001000000000"/>
            <w:tcW w:w="2412" w:type="pct"/>
            <w:tcBorders>
              <w:top w:val="nil"/>
              <w:bottom w:val="single" w:sz="8" w:space="0" w:color="0070C0"/>
            </w:tcBorders>
          </w:tcPr>
          <w:p w:rsidR="004C4ABD" w:rsidRPr="00470EB7" w:rsidRDefault="004C4ABD" w:rsidP="002E73E8">
            <w:pPr>
              <w:spacing w:before="40" w:after="40"/>
              <w:ind w:right="33"/>
              <w:rPr>
                <w:b w:val="0"/>
                <w:color w:val="auto"/>
                <w:sz w:val="20"/>
                <w:szCs w:val="20"/>
              </w:rPr>
            </w:pPr>
            <w:r w:rsidRPr="00470EB7">
              <w:rPr>
                <w:b w:val="0"/>
                <w:color w:val="auto"/>
                <w:sz w:val="20"/>
                <w:szCs w:val="20"/>
              </w:rPr>
              <w:t>Citi komercpakalpojumi</w:t>
            </w:r>
          </w:p>
        </w:tc>
        <w:tc>
          <w:tcPr>
            <w:tcW w:w="518" w:type="pct"/>
            <w:tcBorders>
              <w:top w:val="nil"/>
              <w:bottom w:val="single" w:sz="8" w:space="0" w:color="0070C0"/>
            </w:tcBorders>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0,0</w:t>
            </w:r>
          </w:p>
        </w:tc>
        <w:tc>
          <w:tcPr>
            <w:tcW w:w="518" w:type="pct"/>
            <w:tcBorders>
              <w:top w:val="nil"/>
              <w:bottom w:val="single" w:sz="8" w:space="0" w:color="0070C0"/>
            </w:tcBorders>
            <w:vAlign w:val="bottom"/>
          </w:tcPr>
          <w:p w:rsidR="004C4ABD" w:rsidRPr="004557BF" w:rsidRDefault="004C4ABD" w:rsidP="004557BF">
            <w:pPr>
              <w:tabs>
                <w:tab w:val="decimal" w:pos="374"/>
              </w:tabs>
              <w:spacing w:before="40" w:after="40"/>
              <w:cnfStyle w:val="000000100000"/>
              <w:rPr>
                <w:color w:val="auto"/>
                <w:sz w:val="20"/>
                <w:szCs w:val="20"/>
              </w:rPr>
            </w:pPr>
            <w:r w:rsidRPr="004557BF">
              <w:rPr>
                <w:color w:val="auto"/>
                <w:sz w:val="20"/>
                <w:szCs w:val="20"/>
              </w:rPr>
              <w:t>-5,5</w:t>
            </w:r>
          </w:p>
        </w:tc>
        <w:tc>
          <w:tcPr>
            <w:tcW w:w="518" w:type="pct"/>
            <w:tcBorders>
              <w:top w:val="nil"/>
              <w:bottom w:val="single" w:sz="8" w:space="0" w:color="0070C0"/>
            </w:tcBorders>
            <w:noWrap/>
            <w:vAlign w:val="bottom"/>
            <w:hideMark/>
          </w:tcPr>
          <w:p w:rsidR="004C4ABD" w:rsidRPr="00D30CBC" w:rsidRDefault="004C4ABD" w:rsidP="00325F51">
            <w:pPr>
              <w:tabs>
                <w:tab w:val="decimal" w:pos="374"/>
              </w:tabs>
              <w:spacing w:before="40" w:after="40"/>
              <w:cnfStyle w:val="000000100000"/>
              <w:rPr>
                <w:color w:val="auto"/>
                <w:sz w:val="20"/>
                <w:szCs w:val="20"/>
              </w:rPr>
            </w:pPr>
            <w:r w:rsidRPr="00D30CBC">
              <w:rPr>
                <w:color w:val="auto"/>
                <w:sz w:val="20"/>
                <w:szCs w:val="20"/>
              </w:rPr>
              <w:t>-</w:t>
            </w:r>
            <w:r>
              <w:rPr>
                <w:color w:val="auto"/>
                <w:sz w:val="20"/>
                <w:szCs w:val="20"/>
              </w:rPr>
              <w:t>3,6</w:t>
            </w:r>
          </w:p>
        </w:tc>
        <w:tc>
          <w:tcPr>
            <w:tcW w:w="517" w:type="pct"/>
            <w:tcBorders>
              <w:top w:val="nil"/>
              <w:bottom w:val="single" w:sz="8" w:space="0" w:color="0070C0"/>
            </w:tcBorders>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3,4</w:t>
            </w:r>
          </w:p>
        </w:tc>
        <w:tc>
          <w:tcPr>
            <w:tcW w:w="516" w:type="pct"/>
            <w:tcBorders>
              <w:top w:val="nil"/>
              <w:bottom w:val="single" w:sz="8" w:space="0" w:color="0070C0"/>
            </w:tcBorders>
            <w:vAlign w:val="bottom"/>
          </w:tcPr>
          <w:p w:rsidR="004C4ABD" w:rsidRPr="004C4ABD" w:rsidRDefault="004C4ABD" w:rsidP="004C4ABD">
            <w:pPr>
              <w:tabs>
                <w:tab w:val="decimal" w:pos="374"/>
              </w:tabs>
              <w:spacing w:before="40" w:after="40"/>
              <w:cnfStyle w:val="000000100000"/>
              <w:rPr>
                <w:color w:val="auto"/>
                <w:sz w:val="20"/>
                <w:szCs w:val="20"/>
              </w:rPr>
            </w:pPr>
            <w:r w:rsidRPr="004C4ABD">
              <w:rPr>
                <w:color w:val="auto"/>
                <w:sz w:val="20"/>
                <w:szCs w:val="20"/>
              </w:rPr>
              <w:t>3,8</w:t>
            </w:r>
          </w:p>
        </w:tc>
      </w:tr>
    </w:tbl>
    <w:p w:rsidR="006C532B" w:rsidRPr="00CD5BB2" w:rsidRDefault="006C532B" w:rsidP="00CD5BB2">
      <w:pPr>
        <w:spacing w:after="20"/>
        <w:ind w:firstLine="426"/>
        <w:jc w:val="both"/>
        <w:rPr>
          <w:rFonts w:eastAsia="Times New Roman"/>
          <w:sz w:val="28"/>
        </w:rPr>
      </w:pPr>
    </w:p>
    <w:bookmarkEnd w:id="433"/>
    <w:bookmarkEnd w:id="434"/>
    <w:bookmarkEnd w:id="435"/>
    <w:bookmarkEnd w:id="436"/>
    <w:bookmarkEnd w:id="437"/>
    <w:bookmarkEnd w:id="438"/>
    <w:bookmarkEnd w:id="439"/>
    <w:p w:rsidR="0002566A" w:rsidRDefault="0002566A" w:rsidP="00E470DF">
      <w:pPr>
        <w:spacing w:after="20"/>
        <w:ind w:firstLine="426"/>
        <w:jc w:val="both"/>
        <w:rPr>
          <w:rFonts w:eastAsia="Times New Roman"/>
          <w:sz w:val="28"/>
        </w:rPr>
      </w:pPr>
    </w:p>
    <w:p w:rsidR="00E470DF" w:rsidRPr="00E470DF" w:rsidRDefault="00E470DF" w:rsidP="00E470DF">
      <w:pPr>
        <w:spacing w:after="20"/>
        <w:ind w:firstLine="426"/>
        <w:jc w:val="both"/>
        <w:rPr>
          <w:rFonts w:eastAsia="Times New Roman"/>
          <w:sz w:val="28"/>
        </w:rPr>
      </w:pPr>
      <w:r w:rsidRPr="00E470DF">
        <w:rPr>
          <w:rFonts w:eastAsia="Times New Roman"/>
          <w:sz w:val="28"/>
        </w:rPr>
        <w:t xml:space="preserve">Lai sagatavotu </w:t>
      </w:r>
      <w:r w:rsidR="001D224E">
        <w:rPr>
          <w:rFonts w:eastAsia="Times New Roman"/>
          <w:sz w:val="28"/>
        </w:rPr>
        <w:t>pamatotākas</w:t>
      </w:r>
      <w:r w:rsidRPr="00E470DF">
        <w:rPr>
          <w:rFonts w:eastAsia="Times New Roman"/>
          <w:sz w:val="28"/>
        </w:rPr>
        <w:t xml:space="preserve"> ekonomikas attīstības prognozes, </w:t>
      </w:r>
      <w:r w:rsidR="001D224E">
        <w:rPr>
          <w:rFonts w:eastAsia="Times New Roman"/>
          <w:sz w:val="28"/>
        </w:rPr>
        <w:t>Ekonomikas ministrija</w:t>
      </w:r>
      <w:r w:rsidRPr="00E470DF">
        <w:rPr>
          <w:rFonts w:eastAsia="Times New Roman"/>
          <w:sz w:val="28"/>
        </w:rPr>
        <w:t xml:space="preserve"> aptaujā</w:t>
      </w:r>
      <w:r w:rsidR="001D224E">
        <w:rPr>
          <w:rFonts w:eastAsia="Times New Roman"/>
          <w:sz w:val="28"/>
        </w:rPr>
        <w:t xml:space="preserve">ja </w:t>
      </w:r>
      <w:r w:rsidRPr="00E470DF">
        <w:rPr>
          <w:rFonts w:eastAsia="Times New Roman"/>
          <w:sz w:val="28"/>
        </w:rPr>
        <w:t>nozaru asociācijas un lielāk</w:t>
      </w:r>
      <w:r w:rsidR="001421DD">
        <w:rPr>
          <w:rFonts w:eastAsia="Times New Roman"/>
          <w:sz w:val="28"/>
        </w:rPr>
        <w:t>os</w:t>
      </w:r>
      <w:r w:rsidRPr="00E470DF">
        <w:rPr>
          <w:rFonts w:eastAsia="Times New Roman"/>
          <w:sz w:val="28"/>
        </w:rPr>
        <w:t xml:space="preserve"> </w:t>
      </w:r>
      <w:r w:rsidR="001421DD">
        <w:rPr>
          <w:rFonts w:eastAsia="Times New Roman"/>
          <w:sz w:val="28"/>
        </w:rPr>
        <w:t>uzņēmumus</w:t>
      </w:r>
      <w:r w:rsidRPr="00E470DF">
        <w:rPr>
          <w:rFonts w:eastAsia="Times New Roman"/>
          <w:sz w:val="28"/>
        </w:rPr>
        <w:t>. Aptaujas ietvaros nozaru asociācijas un uzņēmēji sniedza savas darbības novērtējumu par saražotās produkcijas vai sniegto pakalpojumu apjomiem, cenām, nodarbināto skaitu uzņēmumā un konkurētspēju iekšzemes un ārējos tirgos, kā arī prognozes par 2011.gadu. Nozaru asociācijas un uzņēmumi norādīja arī galvenos ražošanu vai pakalpojumu sniegšanu ierobežojošos faktorus.</w:t>
      </w:r>
    </w:p>
    <w:p w:rsidR="00E470DF" w:rsidRPr="00E470DF" w:rsidRDefault="00E470DF" w:rsidP="00E470DF">
      <w:pPr>
        <w:spacing w:after="20"/>
        <w:ind w:firstLine="426"/>
        <w:jc w:val="both"/>
        <w:rPr>
          <w:rFonts w:eastAsia="Times New Roman"/>
          <w:sz w:val="28"/>
        </w:rPr>
      </w:pPr>
      <w:r w:rsidRPr="00E470DF">
        <w:rPr>
          <w:rFonts w:eastAsia="Times New Roman"/>
          <w:sz w:val="28"/>
        </w:rPr>
        <w:t>Ar katru ceturksni nozaru asociāciju un uzņēmēju redzējums par nākotnes perspektīvām kļūst optimistiskāks un aizvien vairāk respondentu norāda, ka saražotās produkcijas vai sniegto pakalpojumu apjoms pieaugs. Kā būtisks faktors nozares un uzņēmumu attīstībai</w:t>
      </w:r>
      <w:r w:rsidR="001421DD">
        <w:rPr>
          <w:rFonts w:eastAsia="Times New Roman"/>
          <w:sz w:val="28"/>
        </w:rPr>
        <w:t>,</w:t>
      </w:r>
      <w:r w:rsidRPr="00E470DF">
        <w:rPr>
          <w:rFonts w:eastAsia="Times New Roman"/>
          <w:sz w:val="28"/>
        </w:rPr>
        <w:t xml:space="preserve"> pamatā tiek minēts eksporta pasūtījumu pieaugums gan ES, gan NVS valstīm.</w:t>
      </w:r>
    </w:p>
    <w:p w:rsidR="00E470DF" w:rsidRPr="00E470DF" w:rsidRDefault="00E470DF" w:rsidP="00E470DF">
      <w:pPr>
        <w:spacing w:after="20"/>
        <w:ind w:firstLine="426"/>
        <w:jc w:val="both"/>
        <w:rPr>
          <w:rFonts w:eastAsia="Times New Roman"/>
          <w:sz w:val="28"/>
        </w:rPr>
      </w:pPr>
      <w:r w:rsidRPr="00E470DF">
        <w:rPr>
          <w:rFonts w:eastAsia="Times New Roman"/>
          <w:sz w:val="28"/>
        </w:rPr>
        <w:t>Liela daļa aptaujāto uzskata, ka 2011.gadā kopumā cenas uzņēmuma saražotajai produkcijai vai sniegtajiem pakalpojumiem pieaugs. Gandrīz puse aptaujāto norādīja, ka uzņēmumā vai nozarē pieaugs nodarbināto skaits. Gandrīz 4/5 aptaujāto plāno 2011.gadā veikt investīcijas uzņēmumu attīstībā</w:t>
      </w:r>
      <w:r w:rsidR="001D224E">
        <w:rPr>
          <w:rFonts w:eastAsia="Times New Roman"/>
          <w:sz w:val="28"/>
        </w:rPr>
        <w:t>.</w:t>
      </w:r>
    </w:p>
    <w:p w:rsidR="00E470DF" w:rsidRPr="00E470DF" w:rsidRDefault="00E470DF" w:rsidP="00E470DF">
      <w:pPr>
        <w:spacing w:after="20"/>
        <w:ind w:firstLine="426"/>
        <w:jc w:val="both"/>
        <w:rPr>
          <w:rFonts w:eastAsia="Times New Roman"/>
          <w:sz w:val="28"/>
        </w:rPr>
      </w:pPr>
      <w:r w:rsidRPr="00E470DF">
        <w:rPr>
          <w:rFonts w:eastAsia="Times New Roman"/>
          <w:sz w:val="28"/>
        </w:rPr>
        <w:t xml:space="preserve">Aptaujātās asociācijas un uzņēmumi uzskata, ka galvenie ražošanu vai pakalpojumu sniegšanu ierobežojošie faktori veiksmīgai nozares un uzņēmumu attīstībai ir joprojām ierobežotā iedzīvotāju pirktspēja (nepietiekams pieprasījums iekšējā tirgū), </w:t>
      </w:r>
      <w:r w:rsidRPr="005D5DF1">
        <w:rPr>
          <w:sz w:val="28"/>
          <w:szCs w:val="24"/>
        </w:rPr>
        <w:t>izejvielu iepirkuma cenu pieaugum</w:t>
      </w:r>
      <w:r>
        <w:rPr>
          <w:sz w:val="28"/>
          <w:szCs w:val="24"/>
        </w:rPr>
        <w:t>s,</w:t>
      </w:r>
      <w:r w:rsidRPr="00E470DF">
        <w:rPr>
          <w:rFonts w:eastAsia="Times New Roman"/>
          <w:sz w:val="28"/>
        </w:rPr>
        <w:t xml:space="preserve"> ierobežoti finanšu līdzekļi investīcijām un apgrozāmajiem līdzekļiem, neprognozējama nodokļu politika</w:t>
      </w:r>
      <w:r>
        <w:rPr>
          <w:rFonts w:eastAsia="Times New Roman"/>
          <w:sz w:val="28"/>
        </w:rPr>
        <w:t>,</w:t>
      </w:r>
      <w:r w:rsidRPr="00E470DF">
        <w:rPr>
          <w:rFonts w:eastAsia="Times New Roman"/>
          <w:sz w:val="28"/>
        </w:rPr>
        <w:t xml:space="preserve"> kā arī</w:t>
      </w:r>
      <w:r>
        <w:rPr>
          <w:rFonts w:eastAsia="Times New Roman"/>
          <w:sz w:val="28"/>
        </w:rPr>
        <w:t xml:space="preserve"> </w:t>
      </w:r>
      <w:r w:rsidRPr="005D5DF1">
        <w:rPr>
          <w:sz w:val="28"/>
          <w:szCs w:val="24"/>
        </w:rPr>
        <w:t>kvalificēta darbaspēka trūkum</w:t>
      </w:r>
      <w:r>
        <w:rPr>
          <w:sz w:val="28"/>
          <w:szCs w:val="24"/>
        </w:rPr>
        <w:t>s.</w:t>
      </w:r>
    </w:p>
    <w:p w:rsidR="00E470DF" w:rsidRDefault="00E470DF">
      <w:pPr>
        <w:rPr>
          <w:rFonts w:eastAsia="Times New Roman"/>
          <w:sz w:val="28"/>
          <w:u w:val="single"/>
        </w:rPr>
      </w:pPr>
      <w:r>
        <w:rPr>
          <w:rFonts w:eastAsia="Times New Roman"/>
          <w:sz w:val="28"/>
          <w:u w:val="single"/>
        </w:rPr>
        <w:br w:type="page"/>
      </w:r>
    </w:p>
    <w:p w:rsidR="00946980" w:rsidRPr="006C532B" w:rsidRDefault="00946980" w:rsidP="00946980">
      <w:pPr>
        <w:spacing w:after="40"/>
        <w:ind w:firstLine="425"/>
        <w:jc w:val="both"/>
        <w:rPr>
          <w:rFonts w:eastAsia="Times New Roman"/>
          <w:sz w:val="28"/>
          <w:u w:val="single"/>
        </w:rPr>
      </w:pPr>
      <w:r w:rsidRPr="006C532B">
        <w:rPr>
          <w:rFonts w:eastAsia="Times New Roman"/>
          <w:sz w:val="28"/>
          <w:u w:val="single"/>
        </w:rPr>
        <w:lastRenderedPageBreak/>
        <w:t>Darba tirgus</w:t>
      </w:r>
    </w:p>
    <w:p w:rsidR="00946980" w:rsidRPr="00636953" w:rsidRDefault="00946980" w:rsidP="00946980">
      <w:pPr>
        <w:pStyle w:val="BodyTextIndent3"/>
        <w:spacing w:after="40"/>
        <w:ind w:left="0" w:firstLine="425"/>
        <w:jc w:val="both"/>
        <w:rPr>
          <w:sz w:val="28"/>
        </w:rPr>
      </w:pPr>
      <w:r w:rsidRPr="00636953">
        <w:rPr>
          <w:sz w:val="28"/>
        </w:rPr>
        <w:t xml:space="preserve">Līdz ar situācijas stabilizāciju tautsaimniecībā arī darba tirgū 2010.gadā bija vērojami pirmie uzlabojumi. 2011.gadā situācija </w:t>
      </w:r>
      <w:r w:rsidR="001D224E">
        <w:rPr>
          <w:sz w:val="28"/>
        </w:rPr>
        <w:t>darba tirgū turpinās uzlaboties.</w:t>
      </w:r>
      <w:r w:rsidRPr="00636953">
        <w:rPr>
          <w:sz w:val="28"/>
        </w:rPr>
        <w:t xml:space="preserve"> </w:t>
      </w:r>
      <w:r w:rsidR="001D224E">
        <w:rPr>
          <w:sz w:val="28"/>
        </w:rPr>
        <w:t xml:space="preserve">Pirmajā </w:t>
      </w:r>
      <w:r w:rsidRPr="00636953">
        <w:rPr>
          <w:sz w:val="28"/>
        </w:rPr>
        <w:t>ceturksnī</w:t>
      </w:r>
      <w:r w:rsidR="00E470DF">
        <w:rPr>
          <w:sz w:val="28"/>
        </w:rPr>
        <w:t xml:space="preserve"> sezonālo faktoru ietekmē</w:t>
      </w:r>
      <w:r w:rsidRPr="00636953">
        <w:rPr>
          <w:sz w:val="28"/>
        </w:rPr>
        <w:t xml:space="preserve"> sagaidāms neliels nodarbinātības samazinājums, tomēr sākot ar 2.ceturksni, līdz ar jaunu sezonas darbu parādīšanos, nodarbinātība atsāks palielināties. Kopumā 2011.gadā nodarbināto skaits būs par </w:t>
      </w:r>
      <w:r w:rsidR="00E470DF">
        <w:rPr>
          <w:sz w:val="28"/>
        </w:rPr>
        <w:t>3</w:t>
      </w:r>
      <w:r w:rsidRPr="00636953">
        <w:rPr>
          <w:sz w:val="28"/>
        </w:rPr>
        <w:t xml:space="preserve">% lielāks nekā vidēji 2010.gadā, bet </w:t>
      </w:r>
      <w:r w:rsidR="00E470DF">
        <w:rPr>
          <w:sz w:val="28"/>
        </w:rPr>
        <w:t xml:space="preserve">tas </w:t>
      </w:r>
      <w:r w:rsidRPr="00636953">
        <w:rPr>
          <w:sz w:val="28"/>
        </w:rPr>
        <w:t xml:space="preserve">joprojām nepārsniegs 2009.gada līmeni, </w:t>
      </w:r>
      <w:r w:rsidR="00E470DF">
        <w:rPr>
          <w:sz w:val="28"/>
        </w:rPr>
        <w:t xml:space="preserve">jo jāņem vērā, ka </w:t>
      </w:r>
      <w:r w:rsidRPr="00636953">
        <w:rPr>
          <w:sz w:val="28"/>
        </w:rPr>
        <w:t>pieaugums ats</w:t>
      </w:r>
      <w:r w:rsidR="00E470DF">
        <w:rPr>
          <w:sz w:val="28"/>
        </w:rPr>
        <w:t>āka</w:t>
      </w:r>
      <w:r w:rsidRPr="00636953">
        <w:rPr>
          <w:sz w:val="28"/>
        </w:rPr>
        <w:t>s no</w:t>
      </w:r>
      <w:r w:rsidR="00E470DF">
        <w:rPr>
          <w:sz w:val="28"/>
        </w:rPr>
        <w:t xml:space="preserve"> ļoti</w:t>
      </w:r>
      <w:r w:rsidRPr="00636953">
        <w:rPr>
          <w:sz w:val="28"/>
        </w:rPr>
        <w:t xml:space="preserve"> zema punkta.</w:t>
      </w:r>
    </w:p>
    <w:p w:rsidR="00946980" w:rsidRDefault="00946980" w:rsidP="00946980">
      <w:pPr>
        <w:pStyle w:val="BodyTextIndent3"/>
        <w:ind w:left="0" w:firstLine="426"/>
        <w:jc w:val="both"/>
        <w:rPr>
          <w:sz w:val="28"/>
        </w:rPr>
      </w:pPr>
      <w:r w:rsidRPr="00636953">
        <w:rPr>
          <w:rFonts w:eastAsia="Times New Roman"/>
          <w:sz w:val="28"/>
          <w:szCs w:val="28"/>
        </w:rPr>
        <w:t>2011.gadā</w:t>
      </w:r>
      <w:r w:rsidRPr="00636953">
        <w:rPr>
          <w:sz w:val="28"/>
        </w:rPr>
        <w:t xml:space="preserve"> nodarbinātības līmenis </w:t>
      </w:r>
      <w:r w:rsidRPr="00636953">
        <w:rPr>
          <w:rFonts w:eastAsia="Times New Roman"/>
          <w:sz w:val="28"/>
          <w:szCs w:val="28"/>
        </w:rPr>
        <w:t xml:space="preserve">vecuma grupā no 15-64 gadiem </w:t>
      </w:r>
      <w:r w:rsidR="00E470DF">
        <w:rPr>
          <w:rFonts w:eastAsia="Times New Roman"/>
          <w:sz w:val="28"/>
          <w:szCs w:val="28"/>
        </w:rPr>
        <w:t xml:space="preserve">var sasniegt </w:t>
      </w:r>
      <w:r w:rsidRPr="00636953">
        <w:rPr>
          <w:rFonts w:eastAsia="Times New Roman"/>
          <w:sz w:val="28"/>
          <w:szCs w:val="28"/>
        </w:rPr>
        <w:t>62%, kas būs par 2,7 procentpunktiem vairāk nekā 2010.gadā. Kopumā nodarbinātības pieaugums turpmākos gados būs mēren</w:t>
      </w:r>
      <w:r w:rsidR="00E470DF">
        <w:rPr>
          <w:rFonts w:eastAsia="Times New Roman"/>
          <w:sz w:val="28"/>
          <w:szCs w:val="28"/>
        </w:rPr>
        <w:t xml:space="preserve">ākā </w:t>
      </w:r>
      <w:r w:rsidRPr="00636953">
        <w:rPr>
          <w:rFonts w:eastAsia="Times New Roman"/>
          <w:sz w:val="28"/>
          <w:szCs w:val="28"/>
        </w:rPr>
        <w:t>temp</w:t>
      </w:r>
      <w:r w:rsidR="00E470DF">
        <w:rPr>
          <w:rFonts w:eastAsia="Times New Roman"/>
          <w:sz w:val="28"/>
          <w:szCs w:val="28"/>
        </w:rPr>
        <w:t>ā</w:t>
      </w:r>
      <w:r w:rsidRPr="00636953">
        <w:rPr>
          <w:rFonts w:eastAsia="Times New Roman"/>
          <w:sz w:val="28"/>
          <w:szCs w:val="28"/>
        </w:rPr>
        <w:t xml:space="preserve"> nekā izaugsme, </w:t>
      </w:r>
      <w:r w:rsidRPr="00636953">
        <w:rPr>
          <w:sz w:val="28"/>
        </w:rPr>
        <w:t>jo izlaides pieaugums balstīsies ne tikai uz nodarbināto skaita pieaugumu, bet arī uz</w:t>
      </w:r>
      <w:r w:rsidR="009B4B86">
        <w:rPr>
          <w:sz w:val="28"/>
        </w:rPr>
        <w:t xml:space="preserve"> </w:t>
      </w:r>
      <w:r w:rsidRPr="00636953">
        <w:rPr>
          <w:sz w:val="28"/>
        </w:rPr>
        <w:t>produktivitātes kāpumu.</w:t>
      </w:r>
    </w:p>
    <w:p w:rsidR="00E470DF" w:rsidRPr="00636953" w:rsidRDefault="00E470DF" w:rsidP="00946980">
      <w:pPr>
        <w:pStyle w:val="BodyTextIndent3"/>
        <w:ind w:left="0" w:firstLine="426"/>
        <w:jc w:val="both"/>
        <w:rPr>
          <w:sz w:val="28"/>
        </w:rPr>
      </w:pPr>
    </w:p>
    <w:p w:rsidR="00946980" w:rsidRDefault="00946980" w:rsidP="00946980">
      <w:pPr>
        <w:spacing w:after="60"/>
        <w:ind w:right="284"/>
        <w:rPr>
          <w:rStyle w:val="Heading2Char"/>
        </w:rPr>
      </w:pPr>
      <w:bookmarkStart w:id="440" w:name="_Toc282413221"/>
      <w:r w:rsidRPr="00CD3CE6">
        <w:rPr>
          <w:rStyle w:val="Heading2Char"/>
        </w:rPr>
        <w:t>8.</w:t>
      </w:r>
      <w:r>
        <w:rPr>
          <w:rStyle w:val="Heading2Char"/>
        </w:rPr>
        <w:t>3</w:t>
      </w:r>
      <w:r w:rsidRPr="00CD3CE6">
        <w:rPr>
          <w:rStyle w:val="Heading2Char"/>
        </w:rPr>
        <w:t>.attēls.</w:t>
      </w:r>
      <w:r w:rsidRPr="00850001">
        <w:rPr>
          <w:rStyle w:val="Heading2Char"/>
        </w:rPr>
        <w:t xml:space="preserve"> </w:t>
      </w:r>
      <w:r>
        <w:rPr>
          <w:rStyle w:val="Heading2Char"/>
        </w:rPr>
        <w:t>Darba tirgus attīstības tendences</w:t>
      </w:r>
      <w:bookmarkEnd w:id="440"/>
    </w:p>
    <w:p w:rsidR="00946980" w:rsidRDefault="00946980" w:rsidP="00946980">
      <w:pPr>
        <w:spacing w:after="60"/>
        <w:jc w:val="center"/>
        <w:rPr>
          <w:rStyle w:val="Heading2Char"/>
        </w:rPr>
      </w:pPr>
      <w:r w:rsidRPr="00B20558">
        <w:rPr>
          <w:rStyle w:val="Heading2Char"/>
          <w:noProof/>
          <w:lang w:eastAsia="lv-LV"/>
        </w:rPr>
        <w:drawing>
          <wp:inline distT="0" distB="0" distL="0" distR="0">
            <wp:extent cx="5600700" cy="2247900"/>
            <wp:effectExtent l="19050" t="0" r="0" b="0"/>
            <wp:docPr id="35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946980" w:rsidRPr="00811252" w:rsidRDefault="00946980" w:rsidP="00946980">
      <w:pPr>
        <w:pStyle w:val="BodyTextIndent3"/>
        <w:suppressAutoHyphens/>
        <w:spacing w:before="60"/>
        <w:ind w:firstLine="284"/>
        <w:rPr>
          <w:rFonts w:eastAsia="Times New Roman"/>
          <w:sz w:val="20"/>
          <w:szCs w:val="28"/>
        </w:rPr>
      </w:pPr>
      <w:r w:rsidRPr="00811252">
        <w:rPr>
          <w:rFonts w:eastAsia="Times New Roman"/>
          <w:sz w:val="20"/>
          <w:szCs w:val="28"/>
        </w:rPr>
        <w:t>*līdz 2010</w:t>
      </w:r>
      <w:r>
        <w:rPr>
          <w:rFonts w:eastAsia="Times New Roman"/>
          <w:sz w:val="20"/>
          <w:szCs w:val="28"/>
        </w:rPr>
        <w:t>.gad</w:t>
      </w:r>
      <w:r w:rsidRPr="00811252">
        <w:rPr>
          <w:rFonts w:eastAsia="Times New Roman"/>
          <w:sz w:val="20"/>
          <w:szCs w:val="28"/>
        </w:rPr>
        <w:t>a 1.cet. atspoguļoti faktiskie dati</w:t>
      </w:r>
    </w:p>
    <w:p w:rsidR="00946980" w:rsidRPr="00636953" w:rsidRDefault="00946980" w:rsidP="00946980">
      <w:pPr>
        <w:pStyle w:val="BodyTextIndent3"/>
        <w:spacing w:after="40"/>
        <w:ind w:left="0" w:firstLine="425"/>
        <w:jc w:val="both"/>
        <w:rPr>
          <w:rFonts w:eastAsia="Times New Roman"/>
          <w:sz w:val="28"/>
          <w:szCs w:val="28"/>
        </w:rPr>
      </w:pPr>
      <w:r w:rsidRPr="00636953">
        <w:rPr>
          <w:rFonts w:eastAsia="Times New Roman"/>
          <w:sz w:val="28"/>
          <w:szCs w:val="28"/>
        </w:rPr>
        <w:t>Sagaidāms, ka līdz ar darbaspēka pieprasījuma palielināšanos, arī bezdarbs turpinās samazināties</w:t>
      </w:r>
      <w:r w:rsidR="00E470DF">
        <w:rPr>
          <w:rFonts w:eastAsia="Times New Roman"/>
          <w:sz w:val="28"/>
          <w:szCs w:val="28"/>
        </w:rPr>
        <w:t>.</w:t>
      </w:r>
      <w:r w:rsidRPr="00636953">
        <w:rPr>
          <w:rFonts w:eastAsia="Times New Roman"/>
          <w:sz w:val="28"/>
          <w:szCs w:val="28"/>
        </w:rPr>
        <w:t xml:space="preserve"> 2011.gadā</w:t>
      </w:r>
      <w:r w:rsidR="00E470DF">
        <w:rPr>
          <w:rFonts w:eastAsia="Times New Roman"/>
          <w:sz w:val="28"/>
          <w:szCs w:val="28"/>
        </w:rPr>
        <w:t>,</w:t>
      </w:r>
      <w:r w:rsidRPr="00636953">
        <w:rPr>
          <w:rFonts w:eastAsia="Times New Roman"/>
          <w:sz w:val="28"/>
          <w:szCs w:val="28"/>
        </w:rPr>
        <w:t xml:space="preserve"> </w:t>
      </w:r>
      <w:r w:rsidR="00E470DF">
        <w:rPr>
          <w:rFonts w:eastAsia="Times New Roman"/>
          <w:sz w:val="28"/>
          <w:szCs w:val="28"/>
        </w:rPr>
        <w:t>s</w:t>
      </w:r>
      <w:r w:rsidRPr="00636953">
        <w:rPr>
          <w:rFonts w:eastAsia="Times New Roman"/>
          <w:sz w:val="28"/>
          <w:szCs w:val="28"/>
        </w:rPr>
        <w:t xml:space="preserve">alīdzinot ar 2010.gadu, bezdarba līmenis </w:t>
      </w:r>
      <w:r w:rsidR="00E470DF">
        <w:rPr>
          <w:rFonts w:eastAsia="Times New Roman"/>
          <w:sz w:val="28"/>
          <w:szCs w:val="28"/>
        </w:rPr>
        <w:t xml:space="preserve">varētu </w:t>
      </w:r>
      <w:r w:rsidRPr="00636953">
        <w:rPr>
          <w:rFonts w:eastAsia="Times New Roman"/>
          <w:sz w:val="28"/>
          <w:szCs w:val="28"/>
        </w:rPr>
        <w:t>samazinā</w:t>
      </w:r>
      <w:r w:rsidR="00E470DF">
        <w:rPr>
          <w:rFonts w:eastAsia="Times New Roman"/>
          <w:sz w:val="28"/>
          <w:szCs w:val="28"/>
        </w:rPr>
        <w:t xml:space="preserve">ties </w:t>
      </w:r>
      <w:r w:rsidRPr="00636953">
        <w:rPr>
          <w:rFonts w:eastAsia="Times New Roman"/>
          <w:sz w:val="28"/>
          <w:szCs w:val="28"/>
        </w:rPr>
        <w:t>par 3 proce</w:t>
      </w:r>
      <w:r w:rsidR="00E470DF">
        <w:rPr>
          <w:rFonts w:eastAsia="Times New Roman"/>
          <w:sz w:val="28"/>
          <w:szCs w:val="28"/>
        </w:rPr>
        <w:t>ntpunktiem un vidēji gadā veidot</w:t>
      </w:r>
      <w:r w:rsidRPr="00636953">
        <w:rPr>
          <w:rFonts w:eastAsia="Times New Roman"/>
          <w:sz w:val="28"/>
          <w:szCs w:val="28"/>
        </w:rPr>
        <w:t xml:space="preserve"> aptuveni 15</w:t>
      </w:r>
      <w:r w:rsidR="00717EF0">
        <w:rPr>
          <w:rFonts w:eastAsia="Times New Roman"/>
          <w:sz w:val="28"/>
          <w:szCs w:val="28"/>
        </w:rPr>
        <w:t xml:space="preserve"> </w:t>
      </w:r>
      <w:r w:rsidR="001D224E">
        <w:rPr>
          <w:rFonts w:eastAsia="Times New Roman"/>
          <w:sz w:val="28"/>
          <w:szCs w:val="28"/>
        </w:rPr>
        <w:t>-</w:t>
      </w:r>
      <w:r w:rsidR="00717EF0">
        <w:rPr>
          <w:rFonts w:eastAsia="Times New Roman"/>
          <w:sz w:val="28"/>
          <w:szCs w:val="28"/>
        </w:rPr>
        <w:t xml:space="preserve"> 16</w:t>
      </w:r>
      <w:r w:rsidR="00E470DF">
        <w:rPr>
          <w:rFonts w:eastAsia="Times New Roman"/>
          <w:sz w:val="28"/>
          <w:szCs w:val="28"/>
        </w:rPr>
        <w:t xml:space="preserve"> procentus</w:t>
      </w:r>
      <w:r w:rsidRPr="00636953">
        <w:rPr>
          <w:rFonts w:eastAsia="Times New Roman"/>
          <w:sz w:val="28"/>
          <w:szCs w:val="28"/>
        </w:rPr>
        <w:t xml:space="preserve">. </w:t>
      </w:r>
    </w:p>
    <w:p w:rsidR="00946980" w:rsidRPr="00636953" w:rsidRDefault="00E470DF" w:rsidP="00946980">
      <w:pPr>
        <w:pStyle w:val="BodyTextIndent3"/>
        <w:spacing w:after="40"/>
        <w:ind w:left="0" w:firstLine="425"/>
        <w:jc w:val="both"/>
        <w:rPr>
          <w:rFonts w:eastAsia="Times New Roman"/>
          <w:sz w:val="28"/>
          <w:szCs w:val="28"/>
        </w:rPr>
      </w:pPr>
      <w:r>
        <w:rPr>
          <w:rFonts w:eastAsia="Times New Roman"/>
          <w:sz w:val="28"/>
          <w:szCs w:val="28"/>
        </w:rPr>
        <w:t>2011.gadā s</w:t>
      </w:r>
      <w:r w:rsidR="00946980" w:rsidRPr="00636953">
        <w:rPr>
          <w:rFonts w:eastAsia="Times New Roman"/>
          <w:sz w:val="28"/>
          <w:szCs w:val="28"/>
        </w:rPr>
        <w:t xml:space="preserve">traujāk </w:t>
      </w:r>
      <w:r>
        <w:rPr>
          <w:rFonts w:eastAsia="Times New Roman"/>
          <w:sz w:val="28"/>
          <w:szCs w:val="28"/>
        </w:rPr>
        <w:t xml:space="preserve">no krīzes radītajām sekām </w:t>
      </w:r>
      <w:r w:rsidR="001D224E">
        <w:rPr>
          <w:rFonts w:eastAsia="Times New Roman"/>
          <w:sz w:val="28"/>
          <w:szCs w:val="28"/>
        </w:rPr>
        <w:t>turpinās atkopti</w:t>
      </w:r>
      <w:r w:rsidR="00946980" w:rsidRPr="00636953">
        <w:rPr>
          <w:rFonts w:eastAsia="Times New Roman"/>
          <w:sz w:val="28"/>
          <w:szCs w:val="28"/>
        </w:rPr>
        <w:t>es tirgojamās nozares – apstrādes rūpniecība un primārās nozares. Tomēr</w:t>
      </w:r>
      <w:r>
        <w:rPr>
          <w:rFonts w:eastAsia="Times New Roman"/>
          <w:sz w:val="28"/>
          <w:szCs w:val="28"/>
        </w:rPr>
        <w:t>, lai saglabātu savu konkurētspēju,</w:t>
      </w:r>
      <w:r w:rsidR="00946980" w:rsidRPr="00636953">
        <w:rPr>
          <w:rFonts w:eastAsia="Times New Roman"/>
          <w:sz w:val="28"/>
          <w:szCs w:val="28"/>
        </w:rPr>
        <w:t xml:space="preserve"> nozaru izaugsme</w:t>
      </w:r>
      <w:r>
        <w:rPr>
          <w:rFonts w:eastAsia="Times New Roman"/>
          <w:sz w:val="28"/>
          <w:szCs w:val="28"/>
        </w:rPr>
        <w:t>i</w:t>
      </w:r>
      <w:r w:rsidR="00946980" w:rsidRPr="00636953">
        <w:rPr>
          <w:rFonts w:eastAsia="Times New Roman"/>
          <w:sz w:val="28"/>
          <w:szCs w:val="28"/>
        </w:rPr>
        <w:t xml:space="preserve"> vairāk </w:t>
      </w:r>
      <w:r>
        <w:rPr>
          <w:rFonts w:eastAsia="Times New Roman"/>
          <w:sz w:val="28"/>
          <w:szCs w:val="28"/>
        </w:rPr>
        <w:t>ir jā</w:t>
      </w:r>
      <w:r w:rsidR="00946980" w:rsidRPr="00636953">
        <w:rPr>
          <w:rFonts w:eastAsia="Times New Roman"/>
          <w:sz w:val="28"/>
          <w:szCs w:val="28"/>
        </w:rPr>
        <w:t>balst</w:t>
      </w:r>
      <w:r>
        <w:rPr>
          <w:rFonts w:eastAsia="Times New Roman"/>
          <w:sz w:val="28"/>
          <w:szCs w:val="28"/>
        </w:rPr>
        <w:t>ās</w:t>
      </w:r>
      <w:r w:rsidR="00946980" w:rsidRPr="00636953">
        <w:rPr>
          <w:rFonts w:eastAsia="Times New Roman"/>
          <w:sz w:val="28"/>
          <w:szCs w:val="28"/>
        </w:rPr>
        <w:t xml:space="preserve"> uz produktivitātes pieaugumu, tāpēc </w:t>
      </w:r>
      <w:r>
        <w:rPr>
          <w:rFonts w:eastAsia="Times New Roman"/>
          <w:sz w:val="28"/>
          <w:szCs w:val="28"/>
        </w:rPr>
        <w:t>ļoti ievērojams</w:t>
      </w:r>
      <w:r w:rsidR="00946980" w:rsidRPr="00636953">
        <w:rPr>
          <w:rFonts w:eastAsia="Times New Roman"/>
          <w:sz w:val="28"/>
          <w:szCs w:val="28"/>
        </w:rPr>
        <w:t xml:space="preserve"> darbaspēka pieprasījuma palielinājums </w:t>
      </w:r>
      <w:r>
        <w:rPr>
          <w:rFonts w:eastAsia="Times New Roman"/>
          <w:sz w:val="28"/>
          <w:szCs w:val="28"/>
        </w:rPr>
        <w:t xml:space="preserve">šajās nozarēs </w:t>
      </w:r>
      <w:r w:rsidR="00946980" w:rsidRPr="00636953">
        <w:rPr>
          <w:rFonts w:eastAsia="Times New Roman"/>
          <w:sz w:val="28"/>
          <w:szCs w:val="28"/>
        </w:rPr>
        <w:t>nav sagaidāms (apstrādes rūpniecībā – 3,8%, primārās nozarēs – 4%).</w:t>
      </w:r>
      <w:r w:rsidR="009B4B86">
        <w:rPr>
          <w:rFonts w:eastAsia="Times New Roman"/>
          <w:sz w:val="28"/>
          <w:szCs w:val="28"/>
        </w:rPr>
        <w:t xml:space="preserve"> </w:t>
      </w:r>
    </w:p>
    <w:p w:rsidR="00946980" w:rsidRPr="00636953" w:rsidRDefault="00E470DF" w:rsidP="00946980">
      <w:pPr>
        <w:pStyle w:val="BodyTextIndent3"/>
        <w:spacing w:after="40"/>
        <w:ind w:left="0" w:firstLine="425"/>
        <w:jc w:val="both"/>
      </w:pPr>
      <w:r>
        <w:rPr>
          <w:rFonts w:eastAsia="Times New Roman"/>
          <w:sz w:val="28"/>
          <w:szCs w:val="28"/>
        </w:rPr>
        <w:t>Arī citās nozarēs 2011.gadā ir sagaid</w:t>
      </w:r>
      <w:r w:rsidR="001D224E">
        <w:rPr>
          <w:rFonts w:eastAsia="Times New Roman"/>
          <w:sz w:val="28"/>
          <w:szCs w:val="28"/>
        </w:rPr>
        <w:t>āms darbaspēka pieprasījuma kāp</w:t>
      </w:r>
      <w:r>
        <w:rPr>
          <w:rFonts w:eastAsia="Times New Roman"/>
          <w:sz w:val="28"/>
          <w:szCs w:val="28"/>
        </w:rPr>
        <w:t>ums.</w:t>
      </w:r>
      <w:r w:rsidR="00946980" w:rsidRPr="00636953">
        <w:rPr>
          <w:rFonts w:eastAsia="Times New Roman"/>
          <w:sz w:val="28"/>
          <w:szCs w:val="28"/>
        </w:rPr>
        <w:t xml:space="preserve"> Būvniecībā, kur iepriekšējos trīs gados bija vērojams straujākais nodarbinātības samazinājums, 2011.gadā, salīdzinot ar 2010.gadu, paredzams nodarbināto skaita pieaugums par aptuveni 9%, ko </w:t>
      </w:r>
      <w:r>
        <w:rPr>
          <w:rFonts w:eastAsia="Times New Roman"/>
          <w:sz w:val="28"/>
          <w:szCs w:val="28"/>
        </w:rPr>
        <w:t>ietekmēs</w:t>
      </w:r>
      <w:r w:rsidR="00946980" w:rsidRPr="00636953">
        <w:rPr>
          <w:rFonts w:eastAsia="Times New Roman"/>
          <w:sz w:val="28"/>
          <w:szCs w:val="28"/>
        </w:rPr>
        <w:t xml:space="preserve"> gan ārējā, gan iekšējā pieprasījuma </w:t>
      </w:r>
      <w:r>
        <w:rPr>
          <w:rFonts w:eastAsia="Times New Roman"/>
          <w:sz w:val="28"/>
          <w:szCs w:val="28"/>
        </w:rPr>
        <w:t>izmaiņas</w:t>
      </w:r>
      <w:r w:rsidR="00946980" w:rsidRPr="00636953">
        <w:rPr>
          <w:rFonts w:eastAsia="Times New Roman"/>
          <w:sz w:val="28"/>
          <w:szCs w:val="28"/>
        </w:rPr>
        <w:t>. Ta</w:t>
      </w:r>
      <w:r>
        <w:rPr>
          <w:rFonts w:eastAsia="Times New Roman"/>
          <w:sz w:val="28"/>
          <w:szCs w:val="28"/>
        </w:rPr>
        <w:t xml:space="preserve">jā </w:t>
      </w:r>
      <w:r w:rsidR="00946980" w:rsidRPr="00636953">
        <w:rPr>
          <w:rFonts w:eastAsia="Times New Roman"/>
          <w:sz w:val="28"/>
          <w:szCs w:val="28"/>
        </w:rPr>
        <w:t>pa</w:t>
      </w:r>
      <w:r>
        <w:rPr>
          <w:rFonts w:eastAsia="Times New Roman"/>
          <w:sz w:val="28"/>
          <w:szCs w:val="28"/>
        </w:rPr>
        <w:t>šā l</w:t>
      </w:r>
      <w:r w:rsidR="00946980" w:rsidRPr="00636953">
        <w:rPr>
          <w:rFonts w:eastAsia="Times New Roman"/>
          <w:sz w:val="28"/>
          <w:szCs w:val="28"/>
        </w:rPr>
        <w:t>aikā sabiedriskā sektorā nodarbināto skaits turpinās samazināties arī 2011.gadā, ko noteiks budžeta konsolidācijas pasākumi un sabiedrisk</w:t>
      </w:r>
      <w:r>
        <w:rPr>
          <w:rFonts w:eastAsia="Times New Roman"/>
          <w:sz w:val="28"/>
          <w:szCs w:val="28"/>
        </w:rPr>
        <w:t xml:space="preserve">ajā sektorā veicamās </w:t>
      </w:r>
      <w:r w:rsidR="00946980" w:rsidRPr="00636953">
        <w:rPr>
          <w:rFonts w:eastAsia="Times New Roman"/>
          <w:sz w:val="28"/>
          <w:szCs w:val="28"/>
        </w:rPr>
        <w:t xml:space="preserve">reformas. </w:t>
      </w:r>
      <w:r>
        <w:rPr>
          <w:rFonts w:eastAsia="Times New Roman"/>
          <w:sz w:val="28"/>
          <w:szCs w:val="28"/>
        </w:rPr>
        <w:t>B</w:t>
      </w:r>
      <w:r w:rsidR="00946980" w:rsidRPr="00636953">
        <w:rPr>
          <w:rFonts w:eastAsia="Times New Roman"/>
          <w:sz w:val="28"/>
          <w:szCs w:val="28"/>
        </w:rPr>
        <w:t xml:space="preserve">udžeta izdevumu ierobežojumi neļaus būtiski palielināt nodarbināto skaitu </w:t>
      </w:r>
      <w:r>
        <w:rPr>
          <w:rFonts w:eastAsia="Times New Roman"/>
          <w:sz w:val="28"/>
          <w:szCs w:val="28"/>
        </w:rPr>
        <w:t xml:space="preserve">nozarē </w:t>
      </w:r>
      <w:r w:rsidR="00946980" w:rsidRPr="00636953">
        <w:rPr>
          <w:rFonts w:eastAsia="Times New Roman"/>
          <w:sz w:val="28"/>
          <w:szCs w:val="28"/>
        </w:rPr>
        <w:t>vismaz līdz 2014.gadam.</w:t>
      </w:r>
    </w:p>
    <w:bookmarkEnd w:id="429"/>
    <w:p w:rsidR="006C532B" w:rsidRPr="005D5DF1" w:rsidRDefault="006C532B" w:rsidP="00337034">
      <w:pPr>
        <w:spacing w:after="40"/>
        <w:ind w:firstLine="425"/>
        <w:jc w:val="both"/>
        <w:rPr>
          <w:rFonts w:eastAsia="Times New Roman"/>
          <w:sz w:val="28"/>
          <w:u w:val="single"/>
        </w:rPr>
      </w:pPr>
      <w:r w:rsidRPr="005D5DF1">
        <w:rPr>
          <w:rFonts w:eastAsia="Times New Roman"/>
          <w:sz w:val="28"/>
          <w:u w:val="single"/>
        </w:rPr>
        <w:lastRenderedPageBreak/>
        <w:t>Cenas</w:t>
      </w:r>
    </w:p>
    <w:p w:rsidR="00240A87" w:rsidRPr="005D5DF1" w:rsidRDefault="00493C61" w:rsidP="00240A87">
      <w:pPr>
        <w:spacing w:after="80"/>
        <w:ind w:firstLine="284"/>
        <w:jc w:val="both"/>
        <w:rPr>
          <w:sz w:val="28"/>
        </w:rPr>
      </w:pPr>
      <w:r w:rsidRPr="005D5DF1">
        <w:rPr>
          <w:sz w:val="28"/>
        </w:rPr>
        <w:t>2011.gadā saglabāsies gan iekšējo, gan ārējo faktoru ietekme uz patēriņa cenām.</w:t>
      </w:r>
      <w:r w:rsidR="00240A87" w:rsidRPr="005D5DF1">
        <w:rPr>
          <w:sz w:val="28"/>
        </w:rPr>
        <w:t xml:space="preserve"> Tā plānoto budžeta konsolidācijas pasākumu ietekme būs divējāda. Cenas palielinās paceltais pievienotās vērtības un akcīzes nodoklis. Šī iemesla dēļ cenu palielinājums var būt par 1-1,2%. Savukārt budžeta izmaksu samazinājums nedaudz piebremzēs privāto patēriņu, kas mazinās iespējas </w:t>
      </w:r>
      <w:r w:rsidR="00990A28">
        <w:rPr>
          <w:sz w:val="28"/>
        </w:rPr>
        <w:t xml:space="preserve">būtiski </w:t>
      </w:r>
      <w:r w:rsidR="00240A87" w:rsidRPr="005D5DF1">
        <w:rPr>
          <w:sz w:val="28"/>
        </w:rPr>
        <w:t xml:space="preserve">palielināt preču un pakalpojumu cenas. </w:t>
      </w:r>
    </w:p>
    <w:p w:rsidR="00D81859" w:rsidRPr="005D5DF1" w:rsidRDefault="00D81859" w:rsidP="00337034">
      <w:pPr>
        <w:spacing w:after="40"/>
        <w:ind w:firstLine="425"/>
        <w:jc w:val="both"/>
        <w:rPr>
          <w:b/>
          <w:sz w:val="6"/>
          <w:szCs w:val="6"/>
        </w:rPr>
      </w:pPr>
    </w:p>
    <w:p w:rsidR="00445834" w:rsidRPr="005D5DF1" w:rsidRDefault="003F5625" w:rsidP="00337034">
      <w:pPr>
        <w:spacing w:after="40"/>
        <w:ind w:firstLine="425"/>
        <w:jc w:val="both"/>
        <w:rPr>
          <w:rStyle w:val="Heading2Char"/>
          <w:rFonts w:cs="Times New Roman"/>
        </w:rPr>
      </w:pPr>
      <w:bookmarkStart w:id="441" w:name="_Toc282413222"/>
      <w:r w:rsidRPr="005D5DF1">
        <w:rPr>
          <w:rStyle w:val="Heading2Char"/>
          <w:rFonts w:cs="Times New Roman"/>
          <w:b w:val="0"/>
        </w:rPr>
        <w:t>8</w:t>
      </w:r>
      <w:r w:rsidR="00445834" w:rsidRPr="005D5DF1">
        <w:rPr>
          <w:rStyle w:val="Heading2Char"/>
          <w:rFonts w:cs="Times New Roman"/>
          <w:b w:val="0"/>
        </w:rPr>
        <w:t>.</w:t>
      </w:r>
      <w:r w:rsidR="00B77AB5" w:rsidRPr="005D5DF1">
        <w:rPr>
          <w:rStyle w:val="Heading2Char"/>
          <w:rFonts w:cs="Times New Roman"/>
          <w:b w:val="0"/>
        </w:rPr>
        <w:t>4</w:t>
      </w:r>
      <w:r w:rsidR="00445834" w:rsidRPr="005D5DF1">
        <w:rPr>
          <w:rStyle w:val="Heading2Char"/>
          <w:rFonts w:cs="Times New Roman"/>
          <w:b w:val="0"/>
        </w:rPr>
        <w:t>.attēls.</w:t>
      </w:r>
      <w:r w:rsidR="00445834" w:rsidRPr="005D5DF1">
        <w:rPr>
          <w:rStyle w:val="Heading2Char"/>
          <w:rFonts w:cs="Times New Roman"/>
        </w:rPr>
        <w:t xml:space="preserve"> 12 mēnešu inflācija</w:t>
      </w:r>
      <w:bookmarkEnd w:id="441"/>
    </w:p>
    <w:p w:rsidR="00CE2F80" w:rsidRPr="005D5DF1" w:rsidRDefault="00CE2F80" w:rsidP="00337034">
      <w:pPr>
        <w:spacing w:after="40"/>
        <w:ind w:firstLine="425"/>
        <w:jc w:val="both"/>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5"/>
      </w:tblGrid>
      <w:tr w:rsidR="00CE2F80" w:rsidRPr="005D5DF1" w:rsidTr="002E73E8">
        <w:tc>
          <w:tcPr>
            <w:tcW w:w="0" w:type="auto"/>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9"/>
              <w:gridCol w:w="4610"/>
            </w:tblGrid>
            <w:tr w:rsidR="00CE2F80" w:rsidRPr="005D5DF1" w:rsidTr="00CE2F80">
              <w:trPr>
                <w:jc w:val="center"/>
              </w:trPr>
              <w:tc>
                <w:tcPr>
                  <w:tcW w:w="2671" w:type="pct"/>
                </w:tcPr>
                <w:p w:rsidR="00CE2F80" w:rsidRPr="005D5DF1" w:rsidRDefault="00CE2F80" w:rsidP="00337034">
                  <w:pPr>
                    <w:tabs>
                      <w:tab w:val="left" w:pos="4881"/>
                    </w:tabs>
                    <w:spacing w:after="40"/>
                    <w:ind w:firstLine="425"/>
                    <w:jc w:val="both"/>
                    <w:rPr>
                      <w:sz w:val="22"/>
                    </w:rPr>
                  </w:pPr>
                  <w:r w:rsidRPr="005D5DF1">
                    <w:rPr>
                      <w:sz w:val="22"/>
                    </w:rPr>
                    <w:t>iepriekšējā gada decembris = 100</w:t>
                  </w:r>
                </w:p>
              </w:tc>
              <w:tc>
                <w:tcPr>
                  <w:tcW w:w="2329" w:type="pct"/>
                </w:tcPr>
                <w:p w:rsidR="00CE2F80" w:rsidRPr="005D5DF1" w:rsidRDefault="00CE2F80" w:rsidP="00337034">
                  <w:pPr>
                    <w:spacing w:after="40"/>
                    <w:ind w:firstLine="425"/>
                    <w:jc w:val="both"/>
                    <w:rPr>
                      <w:sz w:val="22"/>
                    </w:rPr>
                  </w:pPr>
                  <w:r w:rsidRPr="005D5DF1">
                    <w:rPr>
                      <w:bCs/>
                      <w:sz w:val="22"/>
                    </w:rPr>
                    <w:t>% pret iepriekšējā gada attiecīgo mēnesi</w:t>
                  </w:r>
                </w:p>
              </w:tc>
            </w:tr>
            <w:tr w:rsidR="00CE2F80" w:rsidRPr="005D5DF1" w:rsidTr="00CE2F80">
              <w:trPr>
                <w:trHeight w:val="2786"/>
                <w:jc w:val="center"/>
              </w:trPr>
              <w:tc>
                <w:tcPr>
                  <w:tcW w:w="2671" w:type="pct"/>
                </w:tcPr>
                <w:p w:rsidR="00CE2F80" w:rsidRPr="005D5DF1" w:rsidRDefault="00CE2F80" w:rsidP="00922384">
                  <w:pPr>
                    <w:tabs>
                      <w:tab w:val="left" w:pos="4881"/>
                    </w:tabs>
                    <w:spacing w:after="40"/>
                    <w:ind w:firstLine="34"/>
                    <w:jc w:val="both"/>
                    <w:rPr>
                      <w:sz w:val="22"/>
                    </w:rPr>
                  </w:pPr>
                  <w:r w:rsidRPr="005D5DF1">
                    <w:rPr>
                      <w:noProof/>
                      <w:sz w:val="22"/>
                    </w:rPr>
                    <w:drawing>
                      <wp:inline distT="0" distB="0" distL="0" distR="0">
                        <wp:extent cx="3125972" cy="2232838"/>
                        <wp:effectExtent l="19050" t="0" r="0" b="0"/>
                        <wp:docPr id="38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c>
                <w:tcPr>
                  <w:tcW w:w="2329" w:type="pct"/>
                </w:tcPr>
                <w:p w:rsidR="00CE2F80" w:rsidRPr="005D5DF1" w:rsidRDefault="00CE2F80" w:rsidP="00922384">
                  <w:pPr>
                    <w:tabs>
                      <w:tab w:val="left" w:pos="4881"/>
                    </w:tabs>
                    <w:spacing w:after="40"/>
                    <w:jc w:val="both"/>
                    <w:rPr>
                      <w:sz w:val="22"/>
                    </w:rPr>
                  </w:pPr>
                  <w:r w:rsidRPr="005D5DF1">
                    <w:rPr>
                      <w:noProof/>
                      <w:sz w:val="22"/>
                    </w:rPr>
                    <w:drawing>
                      <wp:inline distT="0" distB="0" distL="0" distR="0">
                        <wp:extent cx="2870791" cy="2466754"/>
                        <wp:effectExtent l="0" t="0" r="0" b="0"/>
                        <wp:docPr id="3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r>
          </w:tbl>
          <w:p w:rsidR="00CE2F80" w:rsidRPr="005D5DF1" w:rsidRDefault="00CE2F80" w:rsidP="00337034">
            <w:pPr>
              <w:spacing w:after="40"/>
              <w:ind w:firstLine="425"/>
              <w:jc w:val="both"/>
            </w:pPr>
          </w:p>
        </w:tc>
      </w:tr>
    </w:tbl>
    <w:p w:rsidR="003F5B41" w:rsidRPr="003F5B41" w:rsidRDefault="003F5B41" w:rsidP="00E470DF">
      <w:pPr>
        <w:ind w:firstLine="284"/>
        <w:jc w:val="both"/>
        <w:rPr>
          <w:sz w:val="28"/>
        </w:rPr>
      </w:pPr>
      <w:r w:rsidRPr="003F5B41">
        <w:rPr>
          <w:sz w:val="28"/>
        </w:rPr>
        <w:t xml:space="preserve">Sagaidāms, ka turpmākās cenu izmaiņas būs tuvas sezonālo svārstību līmenim, to nedaudz pārsniedzot. </w:t>
      </w:r>
      <w:r w:rsidR="00E470DF">
        <w:rPr>
          <w:sz w:val="28"/>
        </w:rPr>
        <w:t>A</w:t>
      </w:r>
      <w:r w:rsidRPr="003F5B41">
        <w:rPr>
          <w:sz w:val="28"/>
        </w:rPr>
        <w:t xml:space="preserve">prīlī cenu palielinājums var būt straujāks, jo ietekmi atstās apstiprinātais elektroenerģijas tarifu palielinājums. </w:t>
      </w:r>
      <w:r w:rsidR="00990A28" w:rsidRPr="005D5DF1">
        <w:rPr>
          <w:sz w:val="28"/>
        </w:rPr>
        <w:t>Ekonomikas ministrija prognozē,</w:t>
      </w:r>
      <w:r w:rsidR="00990A28">
        <w:rPr>
          <w:sz w:val="28"/>
        </w:rPr>
        <w:t xml:space="preserve"> ka </w:t>
      </w:r>
      <w:r w:rsidR="00E470DF">
        <w:rPr>
          <w:sz w:val="28"/>
        </w:rPr>
        <w:t>2011.g</w:t>
      </w:r>
      <w:r w:rsidRPr="003F5B41">
        <w:rPr>
          <w:sz w:val="28"/>
        </w:rPr>
        <w:t>ada otrajā pusē, palielinoties iekšējam pieprasījumam, var atsākt nedaudz pali</w:t>
      </w:r>
      <w:r w:rsidR="00990A28">
        <w:rPr>
          <w:sz w:val="28"/>
        </w:rPr>
        <w:t>elināties arī pakalpojumu cenas</w:t>
      </w:r>
      <w:r w:rsidRPr="003F5B41">
        <w:rPr>
          <w:sz w:val="28"/>
        </w:rPr>
        <w:t>.</w:t>
      </w:r>
      <w:r w:rsidR="00990A28">
        <w:rPr>
          <w:sz w:val="28"/>
        </w:rPr>
        <w:t xml:space="preserve"> Š</w:t>
      </w:r>
      <w:r w:rsidRPr="003F5B41">
        <w:rPr>
          <w:sz w:val="28"/>
        </w:rPr>
        <w:t>āda cenu dinamika kopējo cenu līmeni 2011.gadā var palielināt par 3,5% salīdzinājumā ar iepriekšējo gadu pie 12</w:t>
      </w:r>
      <w:r w:rsidR="00990A28">
        <w:rPr>
          <w:sz w:val="28"/>
        </w:rPr>
        <w:t>-</w:t>
      </w:r>
      <w:r w:rsidRPr="003F5B41">
        <w:rPr>
          <w:sz w:val="28"/>
        </w:rPr>
        <w:t>mēnešu cenu palielinājuma par 2,6% (decembris pret decembri).</w:t>
      </w:r>
    </w:p>
    <w:p w:rsidR="003F5B41" w:rsidRPr="004C4ABD" w:rsidRDefault="003F5B41" w:rsidP="003F5B41">
      <w:pPr>
        <w:spacing w:after="80"/>
        <w:ind w:firstLine="284"/>
        <w:jc w:val="both"/>
        <w:rPr>
          <w:sz w:val="20"/>
        </w:rPr>
      </w:pPr>
    </w:p>
    <w:p w:rsidR="00230967" w:rsidRDefault="00230967" w:rsidP="00F50A6E">
      <w:pPr>
        <w:tabs>
          <w:tab w:val="right" w:pos="9639"/>
        </w:tabs>
        <w:rPr>
          <w:sz w:val="28"/>
        </w:rPr>
      </w:pPr>
    </w:p>
    <w:p w:rsidR="00240A87" w:rsidRDefault="00240A87" w:rsidP="00F50A6E">
      <w:pPr>
        <w:tabs>
          <w:tab w:val="right" w:pos="9639"/>
        </w:tabs>
        <w:rPr>
          <w:sz w:val="28"/>
        </w:rPr>
      </w:pPr>
    </w:p>
    <w:p w:rsidR="004C4ABD" w:rsidRDefault="004C4ABD" w:rsidP="00F50A6E">
      <w:pPr>
        <w:tabs>
          <w:tab w:val="right" w:pos="9639"/>
        </w:tabs>
        <w:rPr>
          <w:sz w:val="28"/>
        </w:rPr>
      </w:pPr>
    </w:p>
    <w:p w:rsidR="00BE41C7" w:rsidRDefault="00BE41C7" w:rsidP="00F50A6E">
      <w:pPr>
        <w:tabs>
          <w:tab w:val="right" w:pos="9639"/>
        </w:tabs>
        <w:rPr>
          <w:sz w:val="28"/>
        </w:rPr>
      </w:pPr>
      <w:r>
        <w:rPr>
          <w:sz w:val="28"/>
        </w:rPr>
        <w:t>Ekonomikas ministrs</w:t>
      </w:r>
      <w:r>
        <w:rPr>
          <w:sz w:val="28"/>
        </w:rPr>
        <w:tab/>
        <w:t>A.Kampars</w:t>
      </w:r>
    </w:p>
    <w:p w:rsidR="007C538C" w:rsidRDefault="007C538C" w:rsidP="006A496C">
      <w:pPr>
        <w:tabs>
          <w:tab w:val="right" w:pos="9639"/>
        </w:tabs>
        <w:jc w:val="both"/>
        <w:rPr>
          <w:sz w:val="28"/>
        </w:rPr>
      </w:pPr>
    </w:p>
    <w:p w:rsidR="007F588A" w:rsidRDefault="007F588A" w:rsidP="006A496C">
      <w:pPr>
        <w:tabs>
          <w:tab w:val="right" w:pos="9639"/>
        </w:tabs>
        <w:jc w:val="both"/>
        <w:rPr>
          <w:sz w:val="28"/>
        </w:rPr>
      </w:pPr>
    </w:p>
    <w:p w:rsidR="00990A28" w:rsidRDefault="00990A28" w:rsidP="006A496C">
      <w:pPr>
        <w:tabs>
          <w:tab w:val="right" w:pos="9639"/>
        </w:tabs>
        <w:jc w:val="both"/>
        <w:rPr>
          <w:sz w:val="28"/>
        </w:rPr>
      </w:pPr>
    </w:p>
    <w:p w:rsidR="006A496C" w:rsidRDefault="00BE41C7" w:rsidP="006A496C">
      <w:pPr>
        <w:tabs>
          <w:tab w:val="right" w:pos="9639"/>
        </w:tabs>
        <w:jc w:val="both"/>
        <w:rPr>
          <w:sz w:val="28"/>
        </w:rPr>
      </w:pPr>
      <w:r>
        <w:rPr>
          <w:sz w:val="28"/>
        </w:rPr>
        <w:t xml:space="preserve">Vīza: Valsts </w:t>
      </w:r>
      <w:r w:rsidR="00D25CD3">
        <w:rPr>
          <w:sz w:val="28"/>
        </w:rPr>
        <w:t>sekretār</w:t>
      </w:r>
      <w:r w:rsidR="006970E1">
        <w:rPr>
          <w:sz w:val="28"/>
        </w:rPr>
        <w:t xml:space="preserve">s </w:t>
      </w:r>
      <w:r w:rsidR="00AC6EAB">
        <w:rPr>
          <w:sz w:val="28"/>
        </w:rPr>
        <w:t>–</w:t>
      </w:r>
      <w:r w:rsidR="006970E1">
        <w:rPr>
          <w:sz w:val="28"/>
        </w:rPr>
        <w:tab/>
        <w:t>J</w:t>
      </w:r>
      <w:r w:rsidR="003F5625">
        <w:rPr>
          <w:sz w:val="28"/>
        </w:rPr>
        <w:t>.</w:t>
      </w:r>
      <w:r w:rsidR="006970E1">
        <w:rPr>
          <w:sz w:val="28"/>
        </w:rPr>
        <w:t>Pūce</w:t>
      </w:r>
    </w:p>
    <w:p w:rsidR="0054537B" w:rsidRDefault="0054537B" w:rsidP="00BE41C7">
      <w:pPr>
        <w:pStyle w:val="Subtitle"/>
        <w:widowControl/>
        <w:spacing w:before="0" w:after="0"/>
        <w:rPr>
          <w:b w:val="0"/>
          <w:sz w:val="18"/>
          <w:szCs w:val="18"/>
          <w:lang w:val="lv-LV"/>
        </w:rPr>
      </w:pPr>
    </w:p>
    <w:p w:rsidR="00E16C2F" w:rsidRDefault="00E16C2F" w:rsidP="00E16C2F"/>
    <w:p w:rsidR="0054537B" w:rsidRDefault="0054537B" w:rsidP="00BE41C7">
      <w:pPr>
        <w:pStyle w:val="Subtitle"/>
        <w:widowControl/>
        <w:spacing w:before="0" w:after="0"/>
        <w:rPr>
          <w:b w:val="0"/>
          <w:sz w:val="18"/>
          <w:szCs w:val="18"/>
          <w:lang w:val="lv-LV"/>
        </w:rPr>
      </w:pPr>
    </w:p>
    <w:p w:rsidR="00240A87" w:rsidRPr="00240A87" w:rsidRDefault="00240A87" w:rsidP="00240A87"/>
    <w:p w:rsidR="0054537B" w:rsidRDefault="0054537B" w:rsidP="00BE41C7">
      <w:pPr>
        <w:pStyle w:val="Subtitle"/>
        <w:widowControl/>
        <w:spacing w:before="0" w:after="0"/>
        <w:rPr>
          <w:b w:val="0"/>
          <w:sz w:val="18"/>
          <w:szCs w:val="18"/>
          <w:lang w:val="lv-LV"/>
        </w:rPr>
      </w:pPr>
    </w:p>
    <w:p w:rsidR="00990A28" w:rsidRDefault="00990A28" w:rsidP="00BE41C7">
      <w:pPr>
        <w:pStyle w:val="Subtitle"/>
        <w:widowControl/>
        <w:spacing w:before="0" w:after="0"/>
        <w:rPr>
          <w:b w:val="0"/>
          <w:sz w:val="18"/>
          <w:szCs w:val="18"/>
          <w:lang w:val="lv-LV"/>
        </w:rPr>
      </w:pPr>
    </w:p>
    <w:p w:rsidR="00990A28" w:rsidRDefault="00990A28" w:rsidP="00990A28"/>
    <w:p w:rsidR="00BE41C7" w:rsidRPr="00CB55A1" w:rsidRDefault="00AC23B4" w:rsidP="00BE41C7">
      <w:pPr>
        <w:pStyle w:val="Subtitle"/>
        <w:widowControl/>
        <w:spacing w:before="0" w:after="0"/>
        <w:rPr>
          <w:b w:val="0"/>
          <w:sz w:val="18"/>
          <w:szCs w:val="18"/>
          <w:lang w:val="lv-LV"/>
        </w:rPr>
      </w:pPr>
      <w:r>
        <w:rPr>
          <w:b w:val="0"/>
          <w:sz w:val="18"/>
          <w:szCs w:val="18"/>
          <w:lang w:val="lv-LV"/>
        </w:rPr>
        <w:t>1</w:t>
      </w:r>
      <w:r w:rsidR="003754D8">
        <w:rPr>
          <w:b w:val="0"/>
          <w:sz w:val="18"/>
          <w:szCs w:val="18"/>
          <w:lang w:val="lv-LV"/>
        </w:rPr>
        <w:t>8</w:t>
      </w:r>
      <w:r w:rsidR="006F6EFE" w:rsidRPr="00CB55A1">
        <w:rPr>
          <w:b w:val="0"/>
          <w:sz w:val="18"/>
          <w:szCs w:val="18"/>
          <w:lang w:val="lv-LV"/>
        </w:rPr>
        <w:t>.</w:t>
      </w:r>
      <w:r w:rsidR="002925EF">
        <w:rPr>
          <w:b w:val="0"/>
          <w:sz w:val="18"/>
          <w:szCs w:val="18"/>
          <w:lang w:val="lv-LV"/>
        </w:rPr>
        <w:t>0</w:t>
      </w:r>
      <w:r w:rsidR="005D5DF1">
        <w:rPr>
          <w:b w:val="0"/>
          <w:sz w:val="18"/>
          <w:szCs w:val="18"/>
          <w:lang w:val="lv-LV"/>
        </w:rPr>
        <w:t>4</w:t>
      </w:r>
      <w:r w:rsidR="006F6EFE" w:rsidRPr="00CB55A1">
        <w:rPr>
          <w:b w:val="0"/>
          <w:sz w:val="18"/>
          <w:szCs w:val="18"/>
          <w:lang w:val="lv-LV"/>
        </w:rPr>
        <w:t>.2</w:t>
      </w:r>
      <w:r w:rsidR="006970E1" w:rsidRPr="00CB55A1">
        <w:rPr>
          <w:b w:val="0"/>
          <w:sz w:val="18"/>
          <w:szCs w:val="18"/>
          <w:lang w:val="lv-LV"/>
        </w:rPr>
        <w:t>01</w:t>
      </w:r>
      <w:r w:rsidR="002925EF">
        <w:rPr>
          <w:b w:val="0"/>
          <w:sz w:val="18"/>
          <w:szCs w:val="18"/>
          <w:lang w:val="lv-LV"/>
        </w:rPr>
        <w:t>1</w:t>
      </w:r>
      <w:r w:rsidR="006F6EFE" w:rsidRPr="00CB55A1">
        <w:rPr>
          <w:b w:val="0"/>
          <w:sz w:val="18"/>
          <w:szCs w:val="18"/>
          <w:lang w:val="lv-LV"/>
        </w:rPr>
        <w:t xml:space="preserve">. </w:t>
      </w:r>
      <w:r w:rsidR="0062140F">
        <w:rPr>
          <w:b w:val="0"/>
          <w:sz w:val="18"/>
          <w:szCs w:val="18"/>
          <w:lang w:val="lv-LV"/>
        </w:rPr>
        <w:t>0</w:t>
      </w:r>
      <w:r w:rsidR="00B9297B">
        <w:rPr>
          <w:b w:val="0"/>
          <w:sz w:val="18"/>
          <w:szCs w:val="18"/>
          <w:lang w:val="lv-LV"/>
        </w:rPr>
        <w:t>9</w:t>
      </w:r>
      <w:r w:rsidR="006F6EFE" w:rsidRPr="00CB55A1">
        <w:rPr>
          <w:b w:val="0"/>
          <w:sz w:val="18"/>
          <w:szCs w:val="18"/>
          <w:lang w:val="lv-LV"/>
        </w:rPr>
        <w:t>:</w:t>
      </w:r>
      <w:r w:rsidR="0062140F">
        <w:rPr>
          <w:b w:val="0"/>
          <w:sz w:val="18"/>
          <w:szCs w:val="18"/>
          <w:lang w:val="lv-LV"/>
        </w:rPr>
        <w:t>3</w:t>
      </w:r>
      <w:r w:rsidR="00B9297B">
        <w:rPr>
          <w:b w:val="0"/>
          <w:sz w:val="18"/>
          <w:szCs w:val="18"/>
          <w:lang w:val="lv-LV"/>
        </w:rPr>
        <w:t>0</w:t>
      </w:r>
    </w:p>
    <w:p w:rsidR="00BE41C7" w:rsidRPr="00CB55A1" w:rsidRDefault="00EE29C9" w:rsidP="00BE41C7">
      <w:pPr>
        <w:pStyle w:val="Subtitle"/>
        <w:widowControl/>
        <w:spacing w:before="0" w:after="0"/>
        <w:rPr>
          <w:b w:val="0"/>
          <w:sz w:val="18"/>
          <w:szCs w:val="18"/>
          <w:lang w:val="lv-LV"/>
        </w:rPr>
      </w:pPr>
      <w:fldSimple w:instr=" NUMWORDS   \* MERGEFORMAT ">
        <w:r w:rsidR="00A05057" w:rsidRPr="00A05057">
          <w:rPr>
            <w:b w:val="0"/>
            <w:noProof/>
            <w:sz w:val="18"/>
            <w:szCs w:val="18"/>
            <w:lang w:val="lv-LV"/>
          </w:rPr>
          <w:t>11048</w:t>
        </w:r>
      </w:fldSimple>
      <w:r w:rsidR="00BE41C7" w:rsidRPr="00CB55A1">
        <w:rPr>
          <w:b w:val="0"/>
          <w:sz w:val="18"/>
          <w:szCs w:val="18"/>
          <w:lang w:val="lv-LV"/>
        </w:rPr>
        <w:br/>
        <w:t>Jānis Salmiņš</w:t>
      </w:r>
    </w:p>
    <w:p w:rsidR="00BE41C7" w:rsidRPr="00CB55A1" w:rsidRDefault="00EE29C9" w:rsidP="00BE41C7">
      <w:pPr>
        <w:pStyle w:val="Subtitle"/>
        <w:widowControl/>
        <w:spacing w:before="0" w:after="0"/>
        <w:rPr>
          <w:b w:val="0"/>
          <w:sz w:val="18"/>
          <w:szCs w:val="18"/>
          <w:lang w:val="lv-LV"/>
        </w:rPr>
      </w:pPr>
      <w:hyperlink r:id="rId159" w:history="1">
        <w:r w:rsidR="00BE41C7" w:rsidRPr="00CB55A1">
          <w:rPr>
            <w:rStyle w:val="Hyperlink"/>
            <w:b w:val="0"/>
            <w:color w:val="auto"/>
            <w:sz w:val="18"/>
            <w:szCs w:val="18"/>
            <w:lang w:val="lv-LV"/>
          </w:rPr>
          <w:t>janis.salmins@em.gov.lv</w:t>
        </w:r>
      </w:hyperlink>
      <w:r w:rsidR="00BE41C7" w:rsidRPr="00CB55A1">
        <w:rPr>
          <w:b w:val="0"/>
          <w:sz w:val="18"/>
          <w:szCs w:val="18"/>
          <w:lang w:val="lv-LV"/>
        </w:rPr>
        <w:t>, 67013112</w:t>
      </w:r>
    </w:p>
    <w:sectPr w:rsidR="00BE41C7" w:rsidRPr="00CB55A1" w:rsidSect="00A04744">
      <w:footerReference w:type="default" r:id="rId160"/>
      <w:footerReference w:type="first" r:id="rId161"/>
      <w:type w:val="continuous"/>
      <w:pgSz w:w="11906" w:h="16838"/>
      <w:pgMar w:top="1134" w:right="849" w:bottom="1134" w:left="1418" w:header="709" w:footer="45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8E2" w:rsidRDefault="00FD48E2" w:rsidP="00E10ACB">
      <w:r>
        <w:separator/>
      </w:r>
    </w:p>
  </w:endnote>
  <w:endnote w:type="continuationSeparator" w:id="0">
    <w:p w:rsidR="00FD48E2" w:rsidRDefault="00FD48E2" w:rsidP="00E10A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NewsGoth Cn TL">
    <w:panose1 w:val="020B0506020202030204"/>
    <w:charset w:val="00"/>
    <w:family w:val="swiss"/>
    <w:pitch w:val="variable"/>
    <w:sig w:usb0="00000287" w:usb1="00000000" w:usb2="00000000" w:usb3="00000000" w:csb0="0000009F" w:csb1="00000000"/>
  </w:font>
  <w:font w:name="Arial">
    <w:panose1 w:val="020B0604020202020204"/>
    <w:charset w:val="BA"/>
    <w:family w:val="swiss"/>
    <w:pitch w:val="variable"/>
    <w:sig w:usb0="20002A87" w:usb1="80000000" w:usb2="00000008"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2376"/>
      <w:docPartObj>
        <w:docPartGallery w:val="Page Numbers (Bottom of Page)"/>
        <w:docPartUnique/>
      </w:docPartObj>
    </w:sdtPr>
    <w:sdtContent>
      <w:p w:rsidR="004C4ABD" w:rsidRDefault="004C4ABD">
        <w:pPr>
          <w:pStyle w:val="Footer"/>
          <w:jc w:val="right"/>
        </w:pPr>
        <w:fldSimple w:instr=" PAGE   \* MERGEFORMAT ">
          <w:r w:rsidR="00290A33">
            <w:rPr>
              <w:noProof/>
            </w:rPr>
            <w:t>54</w:t>
          </w:r>
        </w:fldSimple>
      </w:p>
    </w:sdtContent>
  </w:sdt>
  <w:p w:rsidR="004C4ABD" w:rsidRPr="00565C35" w:rsidRDefault="004C4ABD" w:rsidP="009A7B5F">
    <w:pPr>
      <w:pStyle w:val="Footer"/>
      <w:rPr>
        <w:sz w:val="20"/>
        <w:szCs w:val="20"/>
      </w:rPr>
    </w:pPr>
    <w:r>
      <w:rPr>
        <w:sz w:val="20"/>
        <w:szCs w:val="20"/>
      </w:rPr>
      <w:t xml:space="preserve">EMZino_180411; </w:t>
    </w:r>
    <w:r w:rsidRPr="00565C35">
      <w:rPr>
        <w:sz w:val="20"/>
        <w:szCs w:val="20"/>
      </w:rPr>
      <w:t>Informatīvais ziņojums par makroekonomisko situāciju valstī</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ABD" w:rsidRPr="005F734C" w:rsidRDefault="004C4ABD" w:rsidP="005F734C">
    <w:pPr>
      <w:pStyle w:val="Footer"/>
      <w:rPr>
        <w:sz w:val="20"/>
        <w:szCs w:val="20"/>
      </w:rPr>
    </w:pPr>
    <w:r>
      <w:rPr>
        <w:sz w:val="20"/>
        <w:szCs w:val="20"/>
      </w:rPr>
      <w:t xml:space="preserve">EMZino_180411; </w:t>
    </w:r>
    <w:r w:rsidRPr="00565C35">
      <w:rPr>
        <w:sz w:val="20"/>
        <w:szCs w:val="20"/>
      </w:rPr>
      <w:t>Informatīvais ziņojums par makroekonomisko situāciju valstī</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8E2" w:rsidRDefault="00FD48E2" w:rsidP="00E10ACB">
      <w:r>
        <w:separator/>
      </w:r>
    </w:p>
  </w:footnote>
  <w:footnote w:type="continuationSeparator" w:id="0">
    <w:p w:rsidR="00FD48E2" w:rsidRDefault="00FD48E2" w:rsidP="00E10ACB">
      <w:r>
        <w:continuationSeparator/>
      </w:r>
    </w:p>
  </w:footnote>
  <w:footnote w:id="1">
    <w:p w:rsidR="004C4ABD" w:rsidRDefault="004C4ABD" w:rsidP="0049318A">
      <w:pPr>
        <w:pStyle w:val="FootnoteText"/>
      </w:pPr>
      <w:r>
        <w:rPr>
          <w:rStyle w:val="FootnoteReference"/>
        </w:rPr>
        <w:footnoteRef/>
      </w:r>
      <w:r>
        <w:t xml:space="preserve"> Starptautiskā valūtas fonda prognozes. </w:t>
      </w:r>
      <w:r w:rsidRPr="008F179B">
        <w:rPr>
          <w:i/>
          <w:lang w:val="en-US"/>
        </w:rPr>
        <w:t>World Economic Outlook</w:t>
      </w:r>
      <w:r>
        <w:rPr>
          <w:i/>
          <w:lang w:val="en-US"/>
        </w:rPr>
        <w:t>. April</w:t>
      </w:r>
      <w:r>
        <w:t xml:space="preserve"> 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B3FC5"/>
    <w:multiLevelType w:val="multilevel"/>
    <w:tmpl w:val="4BA0CBE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E9A3CE7"/>
    <w:multiLevelType w:val="hybridMultilevel"/>
    <w:tmpl w:val="D2F0BFB4"/>
    <w:lvl w:ilvl="0" w:tplc="01AA2084">
      <w:start w:val="8"/>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
    <w:nsid w:val="22E264C8"/>
    <w:multiLevelType w:val="hybridMultilevel"/>
    <w:tmpl w:val="F9ACC620"/>
    <w:lvl w:ilvl="0" w:tplc="6D724832">
      <w:start w:val="200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C381779"/>
    <w:multiLevelType w:val="hybridMultilevel"/>
    <w:tmpl w:val="74BCD228"/>
    <w:lvl w:ilvl="0" w:tplc="0426000F">
      <w:start w:val="1"/>
      <w:numFmt w:val="decimal"/>
      <w:lvlText w:val="%1."/>
      <w:lvlJc w:val="left"/>
      <w:pPr>
        <w:ind w:left="9167" w:hanging="360"/>
      </w:pPr>
    </w:lvl>
    <w:lvl w:ilvl="1" w:tplc="04260019" w:tentative="1">
      <w:start w:val="1"/>
      <w:numFmt w:val="lowerLetter"/>
      <w:lvlText w:val="%2."/>
      <w:lvlJc w:val="left"/>
      <w:pPr>
        <w:ind w:left="9887" w:hanging="360"/>
      </w:pPr>
    </w:lvl>
    <w:lvl w:ilvl="2" w:tplc="0426001B" w:tentative="1">
      <w:start w:val="1"/>
      <w:numFmt w:val="lowerRoman"/>
      <w:lvlText w:val="%3."/>
      <w:lvlJc w:val="right"/>
      <w:pPr>
        <w:ind w:left="10607" w:hanging="180"/>
      </w:pPr>
    </w:lvl>
    <w:lvl w:ilvl="3" w:tplc="0426000F" w:tentative="1">
      <w:start w:val="1"/>
      <w:numFmt w:val="decimal"/>
      <w:lvlText w:val="%4."/>
      <w:lvlJc w:val="left"/>
      <w:pPr>
        <w:ind w:left="11327" w:hanging="360"/>
      </w:pPr>
    </w:lvl>
    <w:lvl w:ilvl="4" w:tplc="04260019" w:tentative="1">
      <w:start w:val="1"/>
      <w:numFmt w:val="lowerLetter"/>
      <w:lvlText w:val="%5."/>
      <w:lvlJc w:val="left"/>
      <w:pPr>
        <w:ind w:left="12047" w:hanging="360"/>
      </w:pPr>
    </w:lvl>
    <w:lvl w:ilvl="5" w:tplc="0426001B" w:tentative="1">
      <w:start w:val="1"/>
      <w:numFmt w:val="lowerRoman"/>
      <w:lvlText w:val="%6."/>
      <w:lvlJc w:val="right"/>
      <w:pPr>
        <w:ind w:left="12767" w:hanging="180"/>
      </w:pPr>
    </w:lvl>
    <w:lvl w:ilvl="6" w:tplc="0426000F" w:tentative="1">
      <w:start w:val="1"/>
      <w:numFmt w:val="decimal"/>
      <w:lvlText w:val="%7."/>
      <w:lvlJc w:val="left"/>
      <w:pPr>
        <w:ind w:left="13487" w:hanging="360"/>
      </w:pPr>
    </w:lvl>
    <w:lvl w:ilvl="7" w:tplc="04260019" w:tentative="1">
      <w:start w:val="1"/>
      <w:numFmt w:val="lowerLetter"/>
      <w:lvlText w:val="%8."/>
      <w:lvlJc w:val="left"/>
      <w:pPr>
        <w:ind w:left="14207" w:hanging="360"/>
      </w:pPr>
    </w:lvl>
    <w:lvl w:ilvl="8" w:tplc="0426001B" w:tentative="1">
      <w:start w:val="1"/>
      <w:numFmt w:val="lowerRoman"/>
      <w:lvlText w:val="%9."/>
      <w:lvlJc w:val="right"/>
      <w:pPr>
        <w:ind w:left="14927" w:hanging="180"/>
      </w:pPr>
    </w:lvl>
  </w:abstractNum>
  <w:abstractNum w:abstractNumId="4">
    <w:nsid w:val="2F1E5CB1"/>
    <w:multiLevelType w:val="hybridMultilevel"/>
    <w:tmpl w:val="85823998"/>
    <w:lvl w:ilvl="0" w:tplc="BFFCCDC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3471041D"/>
    <w:multiLevelType w:val="hybridMultilevel"/>
    <w:tmpl w:val="4928076E"/>
    <w:lvl w:ilvl="0" w:tplc="0426000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34BD6B00"/>
    <w:multiLevelType w:val="hybridMultilevel"/>
    <w:tmpl w:val="621C5BFC"/>
    <w:lvl w:ilvl="0" w:tplc="9FBA5228">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378519D2"/>
    <w:multiLevelType w:val="hybridMultilevel"/>
    <w:tmpl w:val="8CDAFB10"/>
    <w:lvl w:ilvl="0" w:tplc="D6F287DC">
      <w:start w:val="200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3A405EFD"/>
    <w:multiLevelType w:val="multilevel"/>
    <w:tmpl w:val="C5DC395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465857F7"/>
    <w:multiLevelType w:val="multilevel"/>
    <w:tmpl w:val="F11A1814"/>
    <w:lvl w:ilvl="0">
      <w:start w:val="1"/>
      <w:numFmt w:val="decimal"/>
      <w:lvlText w:val="%1."/>
      <w:lvlJc w:val="left"/>
      <w:pPr>
        <w:ind w:left="405" w:hanging="405"/>
      </w:pPr>
      <w:rPr>
        <w:rFonts w:eastAsiaTheme="majorEastAsia" w:cstheme="majorBidi" w:hint="default"/>
      </w:rPr>
    </w:lvl>
    <w:lvl w:ilvl="1">
      <w:start w:val="1"/>
      <w:numFmt w:val="decimal"/>
      <w:lvlText w:val="%1.%2."/>
      <w:lvlJc w:val="left"/>
      <w:pPr>
        <w:ind w:left="405" w:hanging="405"/>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10">
    <w:nsid w:val="4F7211DC"/>
    <w:multiLevelType w:val="multilevel"/>
    <w:tmpl w:val="B484BA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9AC76A0"/>
    <w:multiLevelType w:val="hybridMultilevel"/>
    <w:tmpl w:val="616E10BE"/>
    <w:lvl w:ilvl="0" w:tplc="7B4EFA9A">
      <w:start w:val="1"/>
      <w:numFmt w:val="decimal"/>
      <w:lvlText w:val="%1.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2">
    <w:nsid w:val="5D817A3D"/>
    <w:multiLevelType w:val="hybridMultilevel"/>
    <w:tmpl w:val="B360EF2A"/>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61927016"/>
    <w:multiLevelType w:val="hybridMultilevel"/>
    <w:tmpl w:val="7CC07590"/>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62D71B86"/>
    <w:multiLevelType w:val="hybridMultilevel"/>
    <w:tmpl w:val="59D0DACA"/>
    <w:lvl w:ilvl="0" w:tplc="6CB6F698">
      <w:start w:val="1"/>
      <w:numFmt w:val="bullet"/>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nsid w:val="6572233A"/>
    <w:multiLevelType w:val="hybridMultilevel"/>
    <w:tmpl w:val="330EFC10"/>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6A5808C0"/>
    <w:multiLevelType w:val="hybridMultilevel"/>
    <w:tmpl w:val="CF3AA2E2"/>
    <w:lvl w:ilvl="0" w:tplc="9EEE8D7C">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70EC571F"/>
    <w:multiLevelType w:val="hybridMultilevel"/>
    <w:tmpl w:val="FC02A1AE"/>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71701A13"/>
    <w:multiLevelType w:val="hybridMultilevel"/>
    <w:tmpl w:val="F028E644"/>
    <w:lvl w:ilvl="0" w:tplc="6D724832">
      <w:start w:val="2008"/>
      <w:numFmt w:val="bullet"/>
      <w:lvlText w:val="-"/>
      <w:lvlJc w:val="left"/>
      <w:pPr>
        <w:ind w:left="793" w:hanging="360"/>
      </w:pPr>
      <w:rPr>
        <w:rFonts w:ascii="Times New Roman" w:eastAsia="Times New Roman" w:hAnsi="Times New Roman" w:cs="Times New Roman" w:hint="default"/>
      </w:rPr>
    </w:lvl>
    <w:lvl w:ilvl="1" w:tplc="04260003" w:tentative="1">
      <w:start w:val="1"/>
      <w:numFmt w:val="bullet"/>
      <w:lvlText w:val="o"/>
      <w:lvlJc w:val="left"/>
      <w:pPr>
        <w:ind w:left="1513" w:hanging="360"/>
      </w:pPr>
      <w:rPr>
        <w:rFonts w:ascii="Courier New" w:hAnsi="Courier New" w:cs="Courier New" w:hint="default"/>
      </w:rPr>
    </w:lvl>
    <w:lvl w:ilvl="2" w:tplc="04260005" w:tentative="1">
      <w:start w:val="1"/>
      <w:numFmt w:val="bullet"/>
      <w:lvlText w:val=""/>
      <w:lvlJc w:val="left"/>
      <w:pPr>
        <w:ind w:left="2233" w:hanging="360"/>
      </w:pPr>
      <w:rPr>
        <w:rFonts w:ascii="Wingdings" w:hAnsi="Wingdings" w:hint="default"/>
      </w:rPr>
    </w:lvl>
    <w:lvl w:ilvl="3" w:tplc="04260001" w:tentative="1">
      <w:start w:val="1"/>
      <w:numFmt w:val="bullet"/>
      <w:lvlText w:val=""/>
      <w:lvlJc w:val="left"/>
      <w:pPr>
        <w:ind w:left="2953" w:hanging="360"/>
      </w:pPr>
      <w:rPr>
        <w:rFonts w:ascii="Symbol" w:hAnsi="Symbol" w:hint="default"/>
      </w:rPr>
    </w:lvl>
    <w:lvl w:ilvl="4" w:tplc="04260003" w:tentative="1">
      <w:start w:val="1"/>
      <w:numFmt w:val="bullet"/>
      <w:lvlText w:val="o"/>
      <w:lvlJc w:val="left"/>
      <w:pPr>
        <w:ind w:left="3673" w:hanging="360"/>
      </w:pPr>
      <w:rPr>
        <w:rFonts w:ascii="Courier New" w:hAnsi="Courier New" w:cs="Courier New" w:hint="default"/>
      </w:rPr>
    </w:lvl>
    <w:lvl w:ilvl="5" w:tplc="04260005" w:tentative="1">
      <w:start w:val="1"/>
      <w:numFmt w:val="bullet"/>
      <w:lvlText w:val=""/>
      <w:lvlJc w:val="left"/>
      <w:pPr>
        <w:ind w:left="4393" w:hanging="360"/>
      </w:pPr>
      <w:rPr>
        <w:rFonts w:ascii="Wingdings" w:hAnsi="Wingdings" w:hint="default"/>
      </w:rPr>
    </w:lvl>
    <w:lvl w:ilvl="6" w:tplc="04260001" w:tentative="1">
      <w:start w:val="1"/>
      <w:numFmt w:val="bullet"/>
      <w:lvlText w:val=""/>
      <w:lvlJc w:val="left"/>
      <w:pPr>
        <w:ind w:left="5113" w:hanging="360"/>
      </w:pPr>
      <w:rPr>
        <w:rFonts w:ascii="Symbol" w:hAnsi="Symbol" w:hint="default"/>
      </w:rPr>
    </w:lvl>
    <w:lvl w:ilvl="7" w:tplc="04260003" w:tentative="1">
      <w:start w:val="1"/>
      <w:numFmt w:val="bullet"/>
      <w:lvlText w:val="o"/>
      <w:lvlJc w:val="left"/>
      <w:pPr>
        <w:ind w:left="5833" w:hanging="360"/>
      </w:pPr>
      <w:rPr>
        <w:rFonts w:ascii="Courier New" w:hAnsi="Courier New" w:cs="Courier New" w:hint="default"/>
      </w:rPr>
    </w:lvl>
    <w:lvl w:ilvl="8" w:tplc="04260005" w:tentative="1">
      <w:start w:val="1"/>
      <w:numFmt w:val="bullet"/>
      <w:lvlText w:val=""/>
      <w:lvlJc w:val="left"/>
      <w:pPr>
        <w:ind w:left="6553" w:hanging="360"/>
      </w:pPr>
      <w:rPr>
        <w:rFonts w:ascii="Wingdings" w:hAnsi="Wingdings" w:hint="default"/>
      </w:rPr>
    </w:lvl>
  </w:abstractNum>
  <w:abstractNum w:abstractNumId="19">
    <w:nsid w:val="7628359B"/>
    <w:multiLevelType w:val="hybridMultilevel"/>
    <w:tmpl w:val="577CA974"/>
    <w:lvl w:ilvl="0" w:tplc="F76A2080">
      <w:start w:val="2008"/>
      <w:numFmt w:val="bullet"/>
      <w:lvlText w:val=""/>
      <w:lvlJc w:val="left"/>
      <w:pPr>
        <w:ind w:left="-1908" w:hanging="360"/>
      </w:pPr>
      <w:rPr>
        <w:rFonts w:ascii="Symbol" w:eastAsia="Calibri" w:hAnsi="Symbol" w:cs="Times New Roman" w:hint="default"/>
      </w:rPr>
    </w:lvl>
    <w:lvl w:ilvl="1" w:tplc="04260003" w:tentative="1">
      <w:start w:val="1"/>
      <w:numFmt w:val="bullet"/>
      <w:lvlText w:val="o"/>
      <w:lvlJc w:val="left"/>
      <w:pPr>
        <w:ind w:left="-1188" w:hanging="360"/>
      </w:pPr>
      <w:rPr>
        <w:rFonts w:ascii="Courier New" w:hAnsi="Courier New" w:cs="Courier New" w:hint="default"/>
      </w:rPr>
    </w:lvl>
    <w:lvl w:ilvl="2" w:tplc="04260005" w:tentative="1">
      <w:start w:val="1"/>
      <w:numFmt w:val="bullet"/>
      <w:lvlText w:val=""/>
      <w:lvlJc w:val="left"/>
      <w:pPr>
        <w:ind w:left="-468" w:hanging="360"/>
      </w:pPr>
      <w:rPr>
        <w:rFonts w:ascii="Wingdings" w:hAnsi="Wingdings" w:hint="default"/>
      </w:rPr>
    </w:lvl>
    <w:lvl w:ilvl="3" w:tplc="04260001" w:tentative="1">
      <w:start w:val="1"/>
      <w:numFmt w:val="bullet"/>
      <w:lvlText w:val=""/>
      <w:lvlJc w:val="left"/>
      <w:pPr>
        <w:ind w:left="252" w:hanging="360"/>
      </w:pPr>
      <w:rPr>
        <w:rFonts w:ascii="Symbol" w:hAnsi="Symbol" w:hint="default"/>
      </w:rPr>
    </w:lvl>
    <w:lvl w:ilvl="4" w:tplc="04260003" w:tentative="1">
      <w:start w:val="1"/>
      <w:numFmt w:val="bullet"/>
      <w:lvlText w:val="o"/>
      <w:lvlJc w:val="left"/>
      <w:pPr>
        <w:ind w:left="972" w:hanging="360"/>
      </w:pPr>
      <w:rPr>
        <w:rFonts w:ascii="Courier New" w:hAnsi="Courier New" w:cs="Courier New" w:hint="default"/>
      </w:rPr>
    </w:lvl>
    <w:lvl w:ilvl="5" w:tplc="04260005" w:tentative="1">
      <w:start w:val="1"/>
      <w:numFmt w:val="bullet"/>
      <w:lvlText w:val=""/>
      <w:lvlJc w:val="left"/>
      <w:pPr>
        <w:ind w:left="1692" w:hanging="360"/>
      </w:pPr>
      <w:rPr>
        <w:rFonts w:ascii="Wingdings" w:hAnsi="Wingdings" w:hint="default"/>
      </w:rPr>
    </w:lvl>
    <w:lvl w:ilvl="6" w:tplc="04260001" w:tentative="1">
      <w:start w:val="1"/>
      <w:numFmt w:val="bullet"/>
      <w:lvlText w:val=""/>
      <w:lvlJc w:val="left"/>
      <w:pPr>
        <w:ind w:left="2412" w:hanging="360"/>
      </w:pPr>
      <w:rPr>
        <w:rFonts w:ascii="Symbol" w:hAnsi="Symbol" w:hint="default"/>
      </w:rPr>
    </w:lvl>
    <w:lvl w:ilvl="7" w:tplc="04260003" w:tentative="1">
      <w:start w:val="1"/>
      <w:numFmt w:val="bullet"/>
      <w:lvlText w:val="o"/>
      <w:lvlJc w:val="left"/>
      <w:pPr>
        <w:ind w:left="3132" w:hanging="360"/>
      </w:pPr>
      <w:rPr>
        <w:rFonts w:ascii="Courier New" w:hAnsi="Courier New" w:cs="Courier New" w:hint="default"/>
      </w:rPr>
    </w:lvl>
    <w:lvl w:ilvl="8" w:tplc="04260005" w:tentative="1">
      <w:start w:val="1"/>
      <w:numFmt w:val="bullet"/>
      <w:lvlText w:val=""/>
      <w:lvlJc w:val="left"/>
      <w:pPr>
        <w:ind w:left="3852" w:hanging="360"/>
      </w:pPr>
      <w:rPr>
        <w:rFonts w:ascii="Wingdings" w:hAnsi="Wingdings" w:hint="default"/>
      </w:rPr>
    </w:lvl>
  </w:abstractNum>
  <w:num w:numId="1">
    <w:abstractNumId w:val="8"/>
  </w:num>
  <w:num w:numId="2">
    <w:abstractNumId w:val="6"/>
  </w:num>
  <w:num w:numId="3">
    <w:abstractNumId w:val="14"/>
  </w:num>
  <w:num w:numId="4">
    <w:abstractNumId w:val="17"/>
  </w:num>
  <w:num w:numId="5">
    <w:abstractNumId w:val="0"/>
  </w:num>
  <w:num w:numId="6">
    <w:abstractNumId w:val="3"/>
  </w:num>
  <w:num w:numId="7">
    <w:abstractNumId w:val="2"/>
  </w:num>
  <w:num w:numId="8">
    <w:abstractNumId w:val="18"/>
  </w:num>
  <w:num w:numId="9">
    <w:abstractNumId w:val="11"/>
  </w:num>
  <w:num w:numId="10">
    <w:abstractNumId w:val="10"/>
  </w:num>
  <w:num w:numId="11">
    <w:abstractNumId w:val="19"/>
  </w:num>
  <w:num w:numId="12">
    <w:abstractNumId w:val="1"/>
  </w:num>
  <w:num w:numId="13">
    <w:abstractNumId w:val="4"/>
  </w:num>
  <w:num w:numId="14">
    <w:abstractNumId w:val="9"/>
  </w:num>
  <w:num w:numId="15">
    <w:abstractNumId w:val="16"/>
  </w:num>
  <w:num w:numId="16">
    <w:abstractNumId w:val="15"/>
  </w:num>
  <w:num w:numId="17">
    <w:abstractNumId w:val="5"/>
  </w:num>
  <w:num w:numId="18">
    <w:abstractNumId w:val="7"/>
  </w:num>
  <w:num w:numId="19">
    <w:abstractNumId w:val="13"/>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gutterAtTop/>
  <w:hideGrammaticalError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E41C7"/>
    <w:rsid w:val="00000A41"/>
    <w:rsid w:val="00000EEB"/>
    <w:rsid w:val="00003BD0"/>
    <w:rsid w:val="00003C1D"/>
    <w:rsid w:val="00004B64"/>
    <w:rsid w:val="000052C6"/>
    <w:rsid w:val="00006C65"/>
    <w:rsid w:val="00006E30"/>
    <w:rsid w:val="00007248"/>
    <w:rsid w:val="000109F6"/>
    <w:rsid w:val="00013156"/>
    <w:rsid w:val="00013616"/>
    <w:rsid w:val="00013EBB"/>
    <w:rsid w:val="00015133"/>
    <w:rsid w:val="00017605"/>
    <w:rsid w:val="000214C4"/>
    <w:rsid w:val="00022EDC"/>
    <w:rsid w:val="00023207"/>
    <w:rsid w:val="00023748"/>
    <w:rsid w:val="000242FA"/>
    <w:rsid w:val="0002511F"/>
    <w:rsid w:val="0002566A"/>
    <w:rsid w:val="000311AF"/>
    <w:rsid w:val="00031DE2"/>
    <w:rsid w:val="00032593"/>
    <w:rsid w:val="000337FD"/>
    <w:rsid w:val="00033C79"/>
    <w:rsid w:val="00034E07"/>
    <w:rsid w:val="00034FE0"/>
    <w:rsid w:val="0003598E"/>
    <w:rsid w:val="00037E4A"/>
    <w:rsid w:val="00040566"/>
    <w:rsid w:val="00041E98"/>
    <w:rsid w:val="00042AB6"/>
    <w:rsid w:val="00044667"/>
    <w:rsid w:val="0004476E"/>
    <w:rsid w:val="00046F0D"/>
    <w:rsid w:val="000563D4"/>
    <w:rsid w:val="0005698B"/>
    <w:rsid w:val="00056EA9"/>
    <w:rsid w:val="00060D2F"/>
    <w:rsid w:val="0006393A"/>
    <w:rsid w:val="00063B63"/>
    <w:rsid w:val="0006552F"/>
    <w:rsid w:val="00065ADC"/>
    <w:rsid w:val="0006605E"/>
    <w:rsid w:val="000670EE"/>
    <w:rsid w:val="0007098A"/>
    <w:rsid w:val="00070D22"/>
    <w:rsid w:val="000731A5"/>
    <w:rsid w:val="0007362E"/>
    <w:rsid w:val="00076B42"/>
    <w:rsid w:val="0008327F"/>
    <w:rsid w:val="00083B51"/>
    <w:rsid w:val="00084E89"/>
    <w:rsid w:val="00087021"/>
    <w:rsid w:val="00093CD6"/>
    <w:rsid w:val="00095E2E"/>
    <w:rsid w:val="00096E8F"/>
    <w:rsid w:val="00097C8E"/>
    <w:rsid w:val="000A019A"/>
    <w:rsid w:val="000A4B67"/>
    <w:rsid w:val="000A5CE4"/>
    <w:rsid w:val="000A6395"/>
    <w:rsid w:val="000A7E73"/>
    <w:rsid w:val="000B081F"/>
    <w:rsid w:val="000B0C07"/>
    <w:rsid w:val="000B24CB"/>
    <w:rsid w:val="000B5AB0"/>
    <w:rsid w:val="000B6090"/>
    <w:rsid w:val="000B6104"/>
    <w:rsid w:val="000C0EBC"/>
    <w:rsid w:val="000C1307"/>
    <w:rsid w:val="000C1B2B"/>
    <w:rsid w:val="000C646C"/>
    <w:rsid w:val="000D0F4F"/>
    <w:rsid w:val="000D16D7"/>
    <w:rsid w:val="000D2FB1"/>
    <w:rsid w:val="000E191B"/>
    <w:rsid w:val="000E2697"/>
    <w:rsid w:val="000E4941"/>
    <w:rsid w:val="000E5AA8"/>
    <w:rsid w:val="000F0A2B"/>
    <w:rsid w:val="000F0BA2"/>
    <w:rsid w:val="000F10EC"/>
    <w:rsid w:val="000F1A86"/>
    <w:rsid w:val="000F2F13"/>
    <w:rsid w:val="000F4FCD"/>
    <w:rsid w:val="00102013"/>
    <w:rsid w:val="0010206C"/>
    <w:rsid w:val="001028F9"/>
    <w:rsid w:val="001069E4"/>
    <w:rsid w:val="00110403"/>
    <w:rsid w:val="001116DB"/>
    <w:rsid w:val="00114483"/>
    <w:rsid w:val="00115BF4"/>
    <w:rsid w:val="00115C02"/>
    <w:rsid w:val="00115D67"/>
    <w:rsid w:val="0011686D"/>
    <w:rsid w:val="00116933"/>
    <w:rsid w:val="00117663"/>
    <w:rsid w:val="00122536"/>
    <w:rsid w:val="001266E1"/>
    <w:rsid w:val="00126C0A"/>
    <w:rsid w:val="00132ED8"/>
    <w:rsid w:val="001335D3"/>
    <w:rsid w:val="001353BD"/>
    <w:rsid w:val="001359B4"/>
    <w:rsid w:val="001421DD"/>
    <w:rsid w:val="00144BD4"/>
    <w:rsid w:val="00145F04"/>
    <w:rsid w:val="0014640B"/>
    <w:rsid w:val="00147020"/>
    <w:rsid w:val="0014707C"/>
    <w:rsid w:val="00151AD6"/>
    <w:rsid w:val="001579E7"/>
    <w:rsid w:val="0016168A"/>
    <w:rsid w:val="0016375E"/>
    <w:rsid w:val="00163AA6"/>
    <w:rsid w:val="00163D2C"/>
    <w:rsid w:val="001640EA"/>
    <w:rsid w:val="00164F49"/>
    <w:rsid w:val="00166E50"/>
    <w:rsid w:val="001700B2"/>
    <w:rsid w:val="001709D8"/>
    <w:rsid w:val="00173425"/>
    <w:rsid w:val="001737BE"/>
    <w:rsid w:val="00176A02"/>
    <w:rsid w:val="00177963"/>
    <w:rsid w:val="00177C67"/>
    <w:rsid w:val="00180315"/>
    <w:rsid w:val="00180902"/>
    <w:rsid w:val="00183473"/>
    <w:rsid w:val="00185BDE"/>
    <w:rsid w:val="00195AC9"/>
    <w:rsid w:val="0019744E"/>
    <w:rsid w:val="001977BC"/>
    <w:rsid w:val="001A0D6E"/>
    <w:rsid w:val="001A0F0E"/>
    <w:rsid w:val="001A377B"/>
    <w:rsid w:val="001A4137"/>
    <w:rsid w:val="001A646C"/>
    <w:rsid w:val="001A72DD"/>
    <w:rsid w:val="001B0E22"/>
    <w:rsid w:val="001B2DD8"/>
    <w:rsid w:val="001B2E78"/>
    <w:rsid w:val="001B347C"/>
    <w:rsid w:val="001B36C8"/>
    <w:rsid w:val="001B384E"/>
    <w:rsid w:val="001B5327"/>
    <w:rsid w:val="001B6E11"/>
    <w:rsid w:val="001C199C"/>
    <w:rsid w:val="001C220C"/>
    <w:rsid w:val="001C517F"/>
    <w:rsid w:val="001C6A30"/>
    <w:rsid w:val="001C74F0"/>
    <w:rsid w:val="001D1B3A"/>
    <w:rsid w:val="001D1F70"/>
    <w:rsid w:val="001D224E"/>
    <w:rsid w:val="001D2700"/>
    <w:rsid w:val="001D51EC"/>
    <w:rsid w:val="001D78DD"/>
    <w:rsid w:val="001E0E1D"/>
    <w:rsid w:val="001E1776"/>
    <w:rsid w:val="001E23E6"/>
    <w:rsid w:val="001E26A8"/>
    <w:rsid w:val="001E3352"/>
    <w:rsid w:val="001E3D1B"/>
    <w:rsid w:val="001E6B55"/>
    <w:rsid w:val="001F318C"/>
    <w:rsid w:val="001F3BF7"/>
    <w:rsid w:val="001F5378"/>
    <w:rsid w:val="001F629B"/>
    <w:rsid w:val="001F6D95"/>
    <w:rsid w:val="001F732B"/>
    <w:rsid w:val="001F737A"/>
    <w:rsid w:val="001F76BE"/>
    <w:rsid w:val="00200473"/>
    <w:rsid w:val="00201B9F"/>
    <w:rsid w:val="00205A2F"/>
    <w:rsid w:val="00206EF4"/>
    <w:rsid w:val="00207B62"/>
    <w:rsid w:val="002109E8"/>
    <w:rsid w:val="00212351"/>
    <w:rsid w:val="00213463"/>
    <w:rsid w:val="002135B7"/>
    <w:rsid w:val="0021392B"/>
    <w:rsid w:val="00213D66"/>
    <w:rsid w:val="00214E21"/>
    <w:rsid w:val="00216274"/>
    <w:rsid w:val="00216780"/>
    <w:rsid w:val="00220780"/>
    <w:rsid w:val="002215D0"/>
    <w:rsid w:val="00222B76"/>
    <w:rsid w:val="002271A3"/>
    <w:rsid w:val="00230967"/>
    <w:rsid w:val="0023474F"/>
    <w:rsid w:val="00234E0E"/>
    <w:rsid w:val="00235749"/>
    <w:rsid w:val="002402F6"/>
    <w:rsid w:val="00240A87"/>
    <w:rsid w:val="00241C08"/>
    <w:rsid w:val="00243C80"/>
    <w:rsid w:val="00244577"/>
    <w:rsid w:val="002464B3"/>
    <w:rsid w:val="00247651"/>
    <w:rsid w:val="00247C15"/>
    <w:rsid w:val="00251F94"/>
    <w:rsid w:val="00253E01"/>
    <w:rsid w:val="002546CE"/>
    <w:rsid w:val="00256A37"/>
    <w:rsid w:val="00256C57"/>
    <w:rsid w:val="00260A46"/>
    <w:rsid w:val="00261680"/>
    <w:rsid w:val="00262DBB"/>
    <w:rsid w:val="0026565D"/>
    <w:rsid w:val="0027042D"/>
    <w:rsid w:val="002717BC"/>
    <w:rsid w:val="00272601"/>
    <w:rsid w:val="00273215"/>
    <w:rsid w:val="00276008"/>
    <w:rsid w:val="00276781"/>
    <w:rsid w:val="002772D9"/>
    <w:rsid w:val="00277EAF"/>
    <w:rsid w:val="0028053D"/>
    <w:rsid w:val="00281EF8"/>
    <w:rsid w:val="00282346"/>
    <w:rsid w:val="0028419B"/>
    <w:rsid w:val="00284F46"/>
    <w:rsid w:val="00290A33"/>
    <w:rsid w:val="00290F2B"/>
    <w:rsid w:val="002914DC"/>
    <w:rsid w:val="002925EF"/>
    <w:rsid w:val="00292D7F"/>
    <w:rsid w:val="0029324A"/>
    <w:rsid w:val="0029391A"/>
    <w:rsid w:val="00297023"/>
    <w:rsid w:val="00297CBE"/>
    <w:rsid w:val="002A078A"/>
    <w:rsid w:val="002A1065"/>
    <w:rsid w:val="002A1B3B"/>
    <w:rsid w:val="002A388C"/>
    <w:rsid w:val="002A432C"/>
    <w:rsid w:val="002A5CA6"/>
    <w:rsid w:val="002A7B5F"/>
    <w:rsid w:val="002B2DC1"/>
    <w:rsid w:val="002B3727"/>
    <w:rsid w:val="002B3DE5"/>
    <w:rsid w:val="002C3BFA"/>
    <w:rsid w:val="002C49D0"/>
    <w:rsid w:val="002C5950"/>
    <w:rsid w:val="002C706C"/>
    <w:rsid w:val="002C7C66"/>
    <w:rsid w:val="002D17F7"/>
    <w:rsid w:val="002D2C83"/>
    <w:rsid w:val="002D378B"/>
    <w:rsid w:val="002D3819"/>
    <w:rsid w:val="002D4A9A"/>
    <w:rsid w:val="002E0DDA"/>
    <w:rsid w:val="002E12A7"/>
    <w:rsid w:val="002E387C"/>
    <w:rsid w:val="002E394E"/>
    <w:rsid w:val="002E4CDA"/>
    <w:rsid w:val="002E4EDC"/>
    <w:rsid w:val="002E5313"/>
    <w:rsid w:val="002E73E8"/>
    <w:rsid w:val="002E7C05"/>
    <w:rsid w:val="002F174B"/>
    <w:rsid w:val="002F1A35"/>
    <w:rsid w:val="002F4DE4"/>
    <w:rsid w:val="002F5CEE"/>
    <w:rsid w:val="002F6434"/>
    <w:rsid w:val="002F7962"/>
    <w:rsid w:val="002F7C5F"/>
    <w:rsid w:val="003006D4"/>
    <w:rsid w:val="00301644"/>
    <w:rsid w:val="003034A2"/>
    <w:rsid w:val="003047BF"/>
    <w:rsid w:val="00305597"/>
    <w:rsid w:val="00305DDB"/>
    <w:rsid w:val="003063FB"/>
    <w:rsid w:val="003074F1"/>
    <w:rsid w:val="00307D49"/>
    <w:rsid w:val="0031017F"/>
    <w:rsid w:val="00312B24"/>
    <w:rsid w:val="00312CB8"/>
    <w:rsid w:val="003149B9"/>
    <w:rsid w:val="00316376"/>
    <w:rsid w:val="003164F2"/>
    <w:rsid w:val="00317669"/>
    <w:rsid w:val="00322186"/>
    <w:rsid w:val="003257BA"/>
    <w:rsid w:val="00325F51"/>
    <w:rsid w:val="003265DC"/>
    <w:rsid w:val="00330204"/>
    <w:rsid w:val="003308AA"/>
    <w:rsid w:val="00331C52"/>
    <w:rsid w:val="00333F02"/>
    <w:rsid w:val="00334FC9"/>
    <w:rsid w:val="003351ED"/>
    <w:rsid w:val="00335D5C"/>
    <w:rsid w:val="00337034"/>
    <w:rsid w:val="00337380"/>
    <w:rsid w:val="003378B1"/>
    <w:rsid w:val="00341ADE"/>
    <w:rsid w:val="003427C9"/>
    <w:rsid w:val="00343CB5"/>
    <w:rsid w:val="00343F0A"/>
    <w:rsid w:val="00344DC1"/>
    <w:rsid w:val="003456B5"/>
    <w:rsid w:val="0034724F"/>
    <w:rsid w:val="00350DE4"/>
    <w:rsid w:val="00352098"/>
    <w:rsid w:val="00352185"/>
    <w:rsid w:val="00352C2E"/>
    <w:rsid w:val="00355DF4"/>
    <w:rsid w:val="00355EAE"/>
    <w:rsid w:val="003560AD"/>
    <w:rsid w:val="003577A8"/>
    <w:rsid w:val="00364603"/>
    <w:rsid w:val="003657C2"/>
    <w:rsid w:val="003674BA"/>
    <w:rsid w:val="00372C02"/>
    <w:rsid w:val="003754D8"/>
    <w:rsid w:val="00375A94"/>
    <w:rsid w:val="00375DC2"/>
    <w:rsid w:val="00380E09"/>
    <w:rsid w:val="00381667"/>
    <w:rsid w:val="003834AE"/>
    <w:rsid w:val="003836FC"/>
    <w:rsid w:val="00384B24"/>
    <w:rsid w:val="00384C57"/>
    <w:rsid w:val="003870A1"/>
    <w:rsid w:val="0039128E"/>
    <w:rsid w:val="00392C1C"/>
    <w:rsid w:val="0039588E"/>
    <w:rsid w:val="00395E0C"/>
    <w:rsid w:val="003A1F05"/>
    <w:rsid w:val="003A4DAA"/>
    <w:rsid w:val="003A7B50"/>
    <w:rsid w:val="003A7C39"/>
    <w:rsid w:val="003B03DF"/>
    <w:rsid w:val="003B164A"/>
    <w:rsid w:val="003B23D5"/>
    <w:rsid w:val="003B2CB5"/>
    <w:rsid w:val="003B3CA1"/>
    <w:rsid w:val="003B3CD0"/>
    <w:rsid w:val="003B5BE6"/>
    <w:rsid w:val="003B7C13"/>
    <w:rsid w:val="003C4216"/>
    <w:rsid w:val="003C5476"/>
    <w:rsid w:val="003C62EF"/>
    <w:rsid w:val="003C6522"/>
    <w:rsid w:val="003C6FCA"/>
    <w:rsid w:val="003D08FE"/>
    <w:rsid w:val="003D0B7F"/>
    <w:rsid w:val="003D0F81"/>
    <w:rsid w:val="003D3B2B"/>
    <w:rsid w:val="003D3B37"/>
    <w:rsid w:val="003D718F"/>
    <w:rsid w:val="003E2CFC"/>
    <w:rsid w:val="003E40AD"/>
    <w:rsid w:val="003E54D6"/>
    <w:rsid w:val="003E6193"/>
    <w:rsid w:val="003F0A27"/>
    <w:rsid w:val="003F1440"/>
    <w:rsid w:val="003F1965"/>
    <w:rsid w:val="003F1A31"/>
    <w:rsid w:val="003F28FA"/>
    <w:rsid w:val="003F5625"/>
    <w:rsid w:val="003F5B41"/>
    <w:rsid w:val="003F5D8F"/>
    <w:rsid w:val="003F6563"/>
    <w:rsid w:val="003F6C47"/>
    <w:rsid w:val="00400C21"/>
    <w:rsid w:val="004023AD"/>
    <w:rsid w:val="004023B6"/>
    <w:rsid w:val="004026DC"/>
    <w:rsid w:val="00403FF2"/>
    <w:rsid w:val="00404644"/>
    <w:rsid w:val="00406993"/>
    <w:rsid w:val="00411090"/>
    <w:rsid w:val="00411B7C"/>
    <w:rsid w:val="0041336B"/>
    <w:rsid w:val="00413629"/>
    <w:rsid w:val="00417303"/>
    <w:rsid w:val="00421996"/>
    <w:rsid w:val="004247DF"/>
    <w:rsid w:val="00424977"/>
    <w:rsid w:val="00424E7B"/>
    <w:rsid w:val="0042792F"/>
    <w:rsid w:val="0043108A"/>
    <w:rsid w:val="004323ED"/>
    <w:rsid w:val="00432D5E"/>
    <w:rsid w:val="004344CE"/>
    <w:rsid w:val="0043472D"/>
    <w:rsid w:val="004378BC"/>
    <w:rsid w:val="0044046C"/>
    <w:rsid w:val="00441FA8"/>
    <w:rsid w:val="0044316B"/>
    <w:rsid w:val="00444151"/>
    <w:rsid w:val="0044495B"/>
    <w:rsid w:val="00445834"/>
    <w:rsid w:val="00445AD0"/>
    <w:rsid w:val="00450CE1"/>
    <w:rsid w:val="0045161B"/>
    <w:rsid w:val="0045252B"/>
    <w:rsid w:val="00454B24"/>
    <w:rsid w:val="004553AF"/>
    <w:rsid w:val="004557BF"/>
    <w:rsid w:val="0046329B"/>
    <w:rsid w:val="00465603"/>
    <w:rsid w:val="00466F1A"/>
    <w:rsid w:val="004677BA"/>
    <w:rsid w:val="00467A8A"/>
    <w:rsid w:val="004703D3"/>
    <w:rsid w:val="00470EB7"/>
    <w:rsid w:val="0047327C"/>
    <w:rsid w:val="00473F77"/>
    <w:rsid w:val="004809E0"/>
    <w:rsid w:val="00480ABC"/>
    <w:rsid w:val="00481C3C"/>
    <w:rsid w:val="00482742"/>
    <w:rsid w:val="00485A68"/>
    <w:rsid w:val="00486489"/>
    <w:rsid w:val="00486D4A"/>
    <w:rsid w:val="0048743B"/>
    <w:rsid w:val="004903E8"/>
    <w:rsid w:val="0049153A"/>
    <w:rsid w:val="0049222F"/>
    <w:rsid w:val="0049318A"/>
    <w:rsid w:val="00493C61"/>
    <w:rsid w:val="00494E8B"/>
    <w:rsid w:val="004A062D"/>
    <w:rsid w:val="004A17E9"/>
    <w:rsid w:val="004A2CD3"/>
    <w:rsid w:val="004A2F37"/>
    <w:rsid w:val="004A614F"/>
    <w:rsid w:val="004A7B59"/>
    <w:rsid w:val="004B05EF"/>
    <w:rsid w:val="004B0C74"/>
    <w:rsid w:val="004B1410"/>
    <w:rsid w:val="004B15CE"/>
    <w:rsid w:val="004B3131"/>
    <w:rsid w:val="004B610E"/>
    <w:rsid w:val="004B63EB"/>
    <w:rsid w:val="004B700D"/>
    <w:rsid w:val="004C47FC"/>
    <w:rsid w:val="004C4ABD"/>
    <w:rsid w:val="004C5CD9"/>
    <w:rsid w:val="004C7772"/>
    <w:rsid w:val="004D15AC"/>
    <w:rsid w:val="004D5D61"/>
    <w:rsid w:val="004D6B8D"/>
    <w:rsid w:val="004E0E0A"/>
    <w:rsid w:val="004E2CB7"/>
    <w:rsid w:val="004E5210"/>
    <w:rsid w:val="004F0186"/>
    <w:rsid w:val="004F28DB"/>
    <w:rsid w:val="004F2DEC"/>
    <w:rsid w:val="004F423F"/>
    <w:rsid w:val="004F6255"/>
    <w:rsid w:val="004F74D6"/>
    <w:rsid w:val="004F7C1F"/>
    <w:rsid w:val="005001D4"/>
    <w:rsid w:val="00500536"/>
    <w:rsid w:val="0050085A"/>
    <w:rsid w:val="00501945"/>
    <w:rsid w:val="0050196B"/>
    <w:rsid w:val="00501F5E"/>
    <w:rsid w:val="005060E8"/>
    <w:rsid w:val="005064A7"/>
    <w:rsid w:val="005077FF"/>
    <w:rsid w:val="00510458"/>
    <w:rsid w:val="00513E90"/>
    <w:rsid w:val="005147A0"/>
    <w:rsid w:val="00514E29"/>
    <w:rsid w:val="005219D0"/>
    <w:rsid w:val="00521C4C"/>
    <w:rsid w:val="00522BE0"/>
    <w:rsid w:val="00524497"/>
    <w:rsid w:val="00525A80"/>
    <w:rsid w:val="0052624B"/>
    <w:rsid w:val="00532051"/>
    <w:rsid w:val="00533A13"/>
    <w:rsid w:val="00535627"/>
    <w:rsid w:val="00535AF2"/>
    <w:rsid w:val="00536A5A"/>
    <w:rsid w:val="00536BCA"/>
    <w:rsid w:val="00537410"/>
    <w:rsid w:val="00537BB6"/>
    <w:rsid w:val="005404AE"/>
    <w:rsid w:val="00541868"/>
    <w:rsid w:val="00541DEB"/>
    <w:rsid w:val="005420C2"/>
    <w:rsid w:val="00542103"/>
    <w:rsid w:val="00542912"/>
    <w:rsid w:val="00543F96"/>
    <w:rsid w:val="00544DDA"/>
    <w:rsid w:val="0054537B"/>
    <w:rsid w:val="00545DEE"/>
    <w:rsid w:val="005465DD"/>
    <w:rsid w:val="00547EEF"/>
    <w:rsid w:val="0055015A"/>
    <w:rsid w:val="005530FF"/>
    <w:rsid w:val="00555E49"/>
    <w:rsid w:val="00560B46"/>
    <w:rsid w:val="00562485"/>
    <w:rsid w:val="0056258D"/>
    <w:rsid w:val="00563650"/>
    <w:rsid w:val="00563A61"/>
    <w:rsid w:val="00564978"/>
    <w:rsid w:val="00564AE4"/>
    <w:rsid w:val="005665FC"/>
    <w:rsid w:val="005668B4"/>
    <w:rsid w:val="00567056"/>
    <w:rsid w:val="0057074D"/>
    <w:rsid w:val="00571CC3"/>
    <w:rsid w:val="00571D0E"/>
    <w:rsid w:val="00573254"/>
    <w:rsid w:val="00573798"/>
    <w:rsid w:val="00576BE5"/>
    <w:rsid w:val="00576E5D"/>
    <w:rsid w:val="00577004"/>
    <w:rsid w:val="00577A2E"/>
    <w:rsid w:val="0058474C"/>
    <w:rsid w:val="00585BAB"/>
    <w:rsid w:val="005873DB"/>
    <w:rsid w:val="005909D4"/>
    <w:rsid w:val="00591F09"/>
    <w:rsid w:val="00592371"/>
    <w:rsid w:val="00596630"/>
    <w:rsid w:val="0059673F"/>
    <w:rsid w:val="005968D0"/>
    <w:rsid w:val="00597BE4"/>
    <w:rsid w:val="005A2A22"/>
    <w:rsid w:val="005A4100"/>
    <w:rsid w:val="005A63CD"/>
    <w:rsid w:val="005B00A4"/>
    <w:rsid w:val="005B1E06"/>
    <w:rsid w:val="005B20EE"/>
    <w:rsid w:val="005B4F7E"/>
    <w:rsid w:val="005B6441"/>
    <w:rsid w:val="005C3165"/>
    <w:rsid w:val="005C4125"/>
    <w:rsid w:val="005C5663"/>
    <w:rsid w:val="005D36A3"/>
    <w:rsid w:val="005D4E6F"/>
    <w:rsid w:val="005D5DF1"/>
    <w:rsid w:val="005E29B6"/>
    <w:rsid w:val="005E33D6"/>
    <w:rsid w:val="005E3FCC"/>
    <w:rsid w:val="005E4128"/>
    <w:rsid w:val="005E41C6"/>
    <w:rsid w:val="005E55D0"/>
    <w:rsid w:val="005E56CA"/>
    <w:rsid w:val="005E6DAC"/>
    <w:rsid w:val="005F140A"/>
    <w:rsid w:val="005F179A"/>
    <w:rsid w:val="005F5CBE"/>
    <w:rsid w:val="005F734C"/>
    <w:rsid w:val="005F76C3"/>
    <w:rsid w:val="00604F72"/>
    <w:rsid w:val="006060E3"/>
    <w:rsid w:val="00611480"/>
    <w:rsid w:val="00611C3B"/>
    <w:rsid w:val="00613EA1"/>
    <w:rsid w:val="00615420"/>
    <w:rsid w:val="006161FA"/>
    <w:rsid w:val="0061677C"/>
    <w:rsid w:val="0062140F"/>
    <w:rsid w:val="00622FD0"/>
    <w:rsid w:val="00623ACC"/>
    <w:rsid w:val="0062648D"/>
    <w:rsid w:val="00630FA9"/>
    <w:rsid w:val="00630FDE"/>
    <w:rsid w:val="006338DA"/>
    <w:rsid w:val="00633C06"/>
    <w:rsid w:val="0063510A"/>
    <w:rsid w:val="0063749E"/>
    <w:rsid w:val="00640156"/>
    <w:rsid w:val="00641F69"/>
    <w:rsid w:val="00644087"/>
    <w:rsid w:val="00645F25"/>
    <w:rsid w:val="0064658F"/>
    <w:rsid w:val="00646C04"/>
    <w:rsid w:val="006470AB"/>
    <w:rsid w:val="00651228"/>
    <w:rsid w:val="0065201E"/>
    <w:rsid w:val="00653631"/>
    <w:rsid w:val="00653F65"/>
    <w:rsid w:val="00654749"/>
    <w:rsid w:val="00660D66"/>
    <w:rsid w:val="0066299A"/>
    <w:rsid w:val="00662EF3"/>
    <w:rsid w:val="00667093"/>
    <w:rsid w:val="00667BCD"/>
    <w:rsid w:val="00670E49"/>
    <w:rsid w:val="00677E72"/>
    <w:rsid w:val="00681B3F"/>
    <w:rsid w:val="006841E9"/>
    <w:rsid w:val="0068653A"/>
    <w:rsid w:val="00686BC0"/>
    <w:rsid w:val="00690541"/>
    <w:rsid w:val="00691613"/>
    <w:rsid w:val="00691941"/>
    <w:rsid w:val="00692C53"/>
    <w:rsid w:val="006942F4"/>
    <w:rsid w:val="006970E1"/>
    <w:rsid w:val="006973AA"/>
    <w:rsid w:val="006975FF"/>
    <w:rsid w:val="00697749"/>
    <w:rsid w:val="006A0317"/>
    <w:rsid w:val="006A0CC9"/>
    <w:rsid w:val="006A3E5B"/>
    <w:rsid w:val="006A496C"/>
    <w:rsid w:val="006A4ADE"/>
    <w:rsid w:val="006A4F4C"/>
    <w:rsid w:val="006A763F"/>
    <w:rsid w:val="006B06B6"/>
    <w:rsid w:val="006B06DF"/>
    <w:rsid w:val="006B1998"/>
    <w:rsid w:val="006B242F"/>
    <w:rsid w:val="006B305B"/>
    <w:rsid w:val="006C2081"/>
    <w:rsid w:val="006C2D2B"/>
    <w:rsid w:val="006C2F77"/>
    <w:rsid w:val="006C3DE3"/>
    <w:rsid w:val="006C4BBF"/>
    <w:rsid w:val="006C532B"/>
    <w:rsid w:val="006D3275"/>
    <w:rsid w:val="006D3705"/>
    <w:rsid w:val="006D55FB"/>
    <w:rsid w:val="006E1658"/>
    <w:rsid w:val="006E3870"/>
    <w:rsid w:val="006E3914"/>
    <w:rsid w:val="006E5FD0"/>
    <w:rsid w:val="006E6146"/>
    <w:rsid w:val="006E74F5"/>
    <w:rsid w:val="006E75EB"/>
    <w:rsid w:val="006E784D"/>
    <w:rsid w:val="006E7C32"/>
    <w:rsid w:val="006F06B8"/>
    <w:rsid w:val="006F0BEA"/>
    <w:rsid w:val="006F26F8"/>
    <w:rsid w:val="006F35E5"/>
    <w:rsid w:val="006F3CF3"/>
    <w:rsid w:val="006F4700"/>
    <w:rsid w:val="006F5BEA"/>
    <w:rsid w:val="006F6EFE"/>
    <w:rsid w:val="007059B4"/>
    <w:rsid w:val="00705B1C"/>
    <w:rsid w:val="007110C3"/>
    <w:rsid w:val="007129CC"/>
    <w:rsid w:val="0071410A"/>
    <w:rsid w:val="00714A45"/>
    <w:rsid w:val="007169DE"/>
    <w:rsid w:val="00717EF0"/>
    <w:rsid w:val="0072106C"/>
    <w:rsid w:val="00721E6B"/>
    <w:rsid w:val="007226AA"/>
    <w:rsid w:val="00722FA1"/>
    <w:rsid w:val="00726024"/>
    <w:rsid w:val="00727473"/>
    <w:rsid w:val="00733536"/>
    <w:rsid w:val="0073563D"/>
    <w:rsid w:val="00735703"/>
    <w:rsid w:val="00736CAE"/>
    <w:rsid w:val="00736FB6"/>
    <w:rsid w:val="007377A4"/>
    <w:rsid w:val="0073799F"/>
    <w:rsid w:val="00737A87"/>
    <w:rsid w:val="00740451"/>
    <w:rsid w:val="00741120"/>
    <w:rsid w:val="0074181C"/>
    <w:rsid w:val="0074187D"/>
    <w:rsid w:val="00743262"/>
    <w:rsid w:val="007436A6"/>
    <w:rsid w:val="007439AE"/>
    <w:rsid w:val="00747220"/>
    <w:rsid w:val="00747AD6"/>
    <w:rsid w:val="00751F54"/>
    <w:rsid w:val="00754BD3"/>
    <w:rsid w:val="00755AF1"/>
    <w:rsid w:val="00760844"/>
    <w:rsid w:val="00760D7C"/>
    <w:rsid w:val="00762DA1"/>
    <w:rsid w:val="00763E0D"/>
    <w:rsid w:val="00766382"/>
    <w:rsid w:val="00767056"/>
    <w:rsid w:val="007710A2"/>
    <w:rsid w:val="007733BA"/>
    <w:rsid w:val="0077376E"/>
    <w:rsid w:val="00774000"/>
    <w:rsid w:val="007747AC"/>
    <w:rsid w:val="00780694"/>
    <w:rsid w:val="00780878"/>
    <w:rsid w:val="0078568A"/>
    <w:rsid w:val="007856B9"/>
    <w:rsid w:val="007879F2"/>
    <w:rsid w:val="00787AA7"/>
    <w:rsid w:val="00791A8B"/>
    <w:rsid w:val="00792E95"/>
    <w:rsid w:val="00794E10"/>
    <w:rsid w:val="00796755"/>
    <w:rsid w:val="00796D66"/>
    <w:rsid w:val="007A4A20"/>
    <w:rsid w:val="007A5280"/>
    <w:rsid w:val="007A5582"/>
    <w:rsid w:val="007A6B02"/>
    <w:rsid w:val="007B0B56"/>
    <w:rsid w:val="007B1591"/>
    <w:rsid w:val="007B18AD"/>
    <w:rsid w:val="007B36BD"/>
    <w:rsid w:val="007B4CF0"/>
    <w:rsid w:val="007B5BDC"/>
    <w:rsid w:val="007C0AE6"/>
    <w:rsid w:val="007C312C"/>
    <w:rsid w:val="007C3B7E"/>
    <w:rsid w:val="007C538C"/>
    <w:rsid w:val="007C75B7"/>
    <w:rsid w:val="007C7A6E"/>
    <w:rsid w:val="007D21C5"/>
    <w:rsid w:val="007D2230"/>
    <w:rsid w:val="007D3436"/>
    <w:rsid w:val="007E172B"/>
    <w:rsid w:val="007E3617"/>
    <w:rsid w:val="007E39C4"/>
    <w:rsid w:val="007F588A"/>
    <w:rsid w:val="007F66FA"/>
    <w:rsid w:val="008102C0"/>
    <w:rsid w:val="00811252"/>
    <w:rsid w:val="0081207A"/>
    <w:rsid w:val="00812AD0"/>
    <w:rsid w:val="00813753"/>
    <w:rsid w:val="00822D00"/>
    <w:rsid w:val="00823E94"/>
    <w:rsid w:val="008250FB"/>
    <w:rsid w:val="00827E30"/>
    <w:rsid w:val="00832DE5"/>
    <w:rsid w:val="00835D50"/>
    <w:rsid w:val="00836FC9"/>
    <w:rsid w:val="00837BDF"/>
    <w:rsid w:val="0084105B"/>
    <w:rsid w:val="008443E6"/>
    <w:rsid w:val="00844D61"/>
    <w:rsid w:val="008455C6"/>
    <w:rsid w:val="00846997"/>
    <w:rsid w:val="00847DE6"/>
    <w:rsid w:val="00850686"/>
    <w:rsid w:val="00851B3C"/>
    <w:rsid w:val="00856DB1"/>
    <w:rsid w:val="00860BDD"/>
    <w:rsid w:val="0086370B"/>
    <w:rsid w:val="0086424C"/>
    <w:rsid w:val="00877F79"/>
    <w:rsid w:val="008839B1"/>
    <w:rsid w:val="00884027"/>
    <w:rsid w:val="0088625D"/>
    <w:rsid w:val="008921F1"/>
    <w:rsid w:val="00892396"/>
    <w:rsid w:val="008938DA"/>
    <w:rsid w:val="008968DA"/>
    <w:rsid w:val="008A074E"/>
    <w:rsid w:val="008A1FFA"/>
    <w:rsid w:val="008A47E0"/>
    <w:rsid w:val="008A4AF1"/>
    <w:rsid w:val="008A6B2E"/>
    <w:rsid w:val="008A7E3B"/>
    <w:rsid w:val="008B10A9"/>
    <w:rsid w:val="008B1F0E"/>
    <w:rsid w:val="008B49AB"/>
    <w:rsid w:val="008B4BF0"/>
    <w:rsid w:val="008B622B"/>
    <w:rsid w:val="008B6DC0"/>
    <w:rsid w:val="008C1988"/>
    <w:rsid w:val="008C24E1"/>
    <w:rsid w:val="008C4DBC"/>
    <w:rsid w:val="008D0998"/>
    <w:rsid w:val="008D1AFA"/>
    <w:rsid w:val="008D3884"/>
    <w:rsid w:val="008D510B"/>
    <w:rsid w:val="008D54C4"/>
    <w:rsid w:val="008D57ED"/>
    <w:rsid w:val="008E0761"/>
    <w:rsid w:val="008E174E"/>
    <w:rsid w:val="008E6036"/>
    <w:rsid w:val="008F179B"/>
    <w:rsid w:val="008F2C5A"/>
    <w:rsid w:val="008F3EA7"/>
    <w:rsid w:val="008F51AB"/>
    <w:rsid w:val="008F5EEB"/>
    <w:rsid w:val="008F687E"/>
    <w:rsid w:val="0090110C"/>
    <w:rsid w:val="00905AEC"/>
    <w:rsid w:val="00905E79"/>
    <w:rsid w:val="009063B8"/>
    <w:rsid w:val="00907299"/>
    <w:rsid w:val="00920412"/>
    <w:rsid w:val="00922384"/>
    <w:rsid w:val="0092349B"/>
    <w:rsid w:val="00923828"/>
    <w:rsid w:val="00923F1D"/>
    <w:rsid w:val="0092437D"/>
    <w:rsid w:val="0092517B"/>
    <w:rsid w:val="009308BD"/>
    <w:rsid w:val="00932A60"/>
    <w:rsid w:val="009334A8"/>
    <w:rsid w:val="009335E4"/>
    <w:rsid w:val="00935F1F"/>
    <w:rsid w:val="00936C0E"/>
    <w:rsid w:val="009373AE"/>
    <w:rsid w:val="00937810"/>
    <w:rsid w:val="00937EE0"/>
    <w:rsid w:val="00941582"/>
    <w:rsid w:val="00943740"/>
    <w:rsid w:val="009445A7"/>
    <w:rsid w:val="00944D77"/>
    <w:rsid w:val="0094663F"/>
    <w:rsid w:val="00946704"/>
    <w:rsid w:val="00946980"/>
    <w:rsid w:val="00946F86"/>
    <w:rsid w:val="0095200E"/>
    <w:rsid w:val="00953911"/>
    <w:rsid w:val="009539AD"/>
    <w:rsid w:val="0095507D"/>
    <w:rsid w:val="00955B5B"/>
    <w:rsid w:val="0096108C"/>
    <w:rsid w:val="009648F7"/>
    <w:rsid w:val="009662EA"/>
    <w:rsid w:val="00970D36"/>
    <w:rsid w:val="00970F07"/>
    <w:rsid w:val="00970F87"/>
    <w:rsid w:val="00971525"/>
    <w:rsid w:val="0098438D"/>
    <w:rsid w:val="00985393"/>
    <w:rsid w:val="009900C5"/>
    <w:rsid w:val="0099079B"/>
    <w:rsid w:val="00990A28"/>
    <w:rsid w:val="00991671"/>
    <w:rsid w:val="009930E6"/>
    <w:rsid w:val="00993579"/>
    <w:rsid w:val="009936A0"/>
    <w:rsid w:val="00995DF4"/>
    <w:rsid w:val="00996AA7"/>
    <w:rsid w:val="009A0451"/>
    <w:rsid w:val="009A0DDA"/>
    <w:rsid w:val="009A1173"/>
    <w:rsid w:val="009A2453"/>
    <w:rsid w:val="009A2748"/>
    <w:rsid w:val="009A7B5F"/>
    <w:rsid w:val="009B1ACD"/>
    <w:rsid w:val="009B1DAD"/>
    <w:rsid w:val="009B2243"/>
    <w:rsid w:val="009B2D9F"/>
    <w:rsid w:val="009B34AF"/>
    <w:rsid w:val="009B413A"/>
    <w:rsid w:val="009B4AC8"/>
    <w:rsid w:val="009B4B86"/>
    <w:rsid w:val="009B7591"/>
    <w:rsid w:val="009B7D7F"/>
    <w:rsid w:val="009C1B4E"/>
    <w:rsid w:val="009C1D27"/>
    <w:rsid w:val="009C3271"/>
    <w:rsid w:val="009C32AA"/>
    <w:rsid w:val="009C449A"/>
    <w:rsid w:val="009D13DD"/>
    <w:rsid w:val="009D1420"/>
    <w:rsid w:val="009D2264"/>
    <w:rsid w:val="009D3D19"/>
    <w:rsid w:val="009D7209"/>
    <w:rsid w:val="009E199D"/>
    <w:rsid w:val="009E1C52"/>
    <w:rsid w:val="009E3A25"/>
    <w:rsid w:val="009E43F2"/>
    <w:rsid w:val="009F0315"/>
    <w:rsid w:val="009F042B"/>
    <w:rsid w:val="009F2C8B"/>
    <w:rsid w:val="009F79E0"/>
    <w:rsid w:val="00A02A58"/>
    <w:rsid w:val="00A02B69"/>
    <w:rsid w:val="00A03306"/>
    <w:rsid w:val="00A038A8"/>
    <w:rsid w:val="00A038F9"/>
    <w:rsid w:val="00A04744"/>
    <w:rsid w:val="00A05057"/>
    <w:rsid w:val="00A05F05"/>
    <w:rsid w:val="00A0650A"/>
    <w:rsid w:val="00A07774"/>
    <w:rsid w:val="00A1172E"/>
    <w:rsid w:val="00A11EDB"/>
    <w:rsid w:val="00A12331"/>
    <w:rsid w:val="00A146DF"/>
    <w:rsid w:val="00A179FF"/>
    <w:rsid w:val="00A22198"/>
    <w:rsid w:val="00A247BA"/>
    <w:rsid w:val="00A24A15"/>
    <w:rsid w:val="00A271AC"/>
    <w:rsid w:val="00A27EC9"/>
    <w:rsid w:val="00A305D2"/>
    <w:rsid w:val="00A32BA2"/>
    <w:rsid w:val="00A3615D"/>
    <w:rsid w:val="00A40CE2"/>
    <w:rsid w:val="00A423E3"/>
    <w:rsid w:val="00A45474"/>
    <w:rsid w:val="00A50873"/>
    <w:rsid w:val="00A53577"/>
    <w:rsid w:val="00A5525B"/>
    <w:rsid w:val="00A56414"/>
    <w:rsid w:val="00A61EDA"/>
    <w:rsid w:val="00A637A0"/>
    <w:rsid w:val="00A63A38"/>
    <w:rsid w:val="00A64BC9"/>
    <w:rsid w:val="00A651F0"/>
    <w:rsid w:val="00A704F8"/>
    <w:rsid w:val="00A7248D"/>
    <w:rsid w:val="00A76739"/>
    <w:rsid w:val="00A76815"/>
    <w:rsid w:val="00A81E86"/>
    <w:rsid w:val="00A833E0"/>
    <w:rsid w:val="00A90573"/>
    <w:rsid w:val="00A92CC4"/>
    <w:rsid w:val="00A932BA"/>
    <w:rsid w:val="00A936F6"/>
    <w:rsid w:val="00A944BF"/>
    <w:rsid w:val="00A96075"/>
    <w:rsid w:val="00A96D3F"/>
    <w:rsid w:val="00A97DF8"/>
    <w:rsid w:val="00AA00AB"/>
    <w:rsid w:val="00AA094C"/>
    <w:rsid w:val="00AA1C74"/>
    <w:rsid w:val="00AA3678"/>
    <w:rsid w:val="00AA656D"/>
    <w:rsid w:val="00AA7A92"/>
    <w:rsid w:val="00AB079D"/>
    <w:rsid w:val="00AB3CDB"/>
    <w:rsid w:val="00AB5360"/>
    <w:rsid w:val="00AC01FA"/>
    <w:rsid w:val="00AC03A7"/>
    <w:rsid w:val="00AC23B4"/>
    <w:rsid w:val="00AC6485"/>
    <w:rsid w:val="00AC6EAB"/>
    <w:rsid w:val="00AD310F"/>
    <w:rsid w:val="00AD3BAC"/>
    <w:rsid w:val="00AD648F"/>
    <w:rsid w:val="00AD6AA7"/>
    <w:rsid w:val="00AD744C"/>
    <w:rsid w:val="00AE0083"/>
    <w:rsid w:val="00AE092F"/>
    <w:rsid w:val="00AE0D30"/>
    <w:rsid w:val="00AE10C4"/>
    <w:rsid w:val="00AE2794"/>
    <w:rsid w:val="00AE473B"/>
    <w:rsid w:val="00AE4A63"/>
    <w:rsid w:val="00AF0173"/>
    <w:rsid w:val="00AF0B1A"/>
    <w:rsid w:val="00AF0D9D"/>
    <w:rsid w:val="00AF586B"/>
    <w:rsid w:val="00B0308A"/>
    <w:rsid w:val="00B0395A"/>
    <w:rsid w:val="00B06716"/>
    <w:rsid w:val="00B06CD8"/>
    <w:rsid w:val="00B07098"/>
    <w:rsid w:val="00B102D8"/>
    <w:rsid w:val="00B10C02"/>
    <w:rsid w:val="00B10DFF"/>
    <w:rsid w:val="00B1180F"/>
    <w:rsid w:val="00B1183D"/>
    <w:rsid w:val="00B12C8D"/>
    <w:rsid w:val="00B1513A"/>
    <w:rsid w:val="00B1790A"/>
    <w:rsid w:val="00B20558"/>
    <w:rsid w:val="00B21D0B"/>
    <w:rsid w:val="00B223AF"/>
    <w:rsid w:val="00B23A64"/>
    <w:rsid w:val="00B24813"/>
    <w:rsid w:val="00B26BD1"/>
    <w:rsid w:val="00B270FD"/>
    <w:rsid w:val="00B27A81"/>
    <w:rsid w:val="00B309A4"/>
    <w:rsid w:val="00B30DAB"/>
    <w:rsid w:val="00B3646B"/>
    <w:rsid w:val="00B41964"/>
    <w:rsid w:val="00B45080"/>
    <w:rsid w:val="00B469C3"/>
    <w:rsid w:val="00B5145F"/>
    <w:rsid w:val="00B54703"/>
    <w:rsid w:val="00B54812"/>
    <w:rsid w:val="00B567BC"/>
    <w:rsid w:val="00B6196F"/>
    <w:rsid w:val="00B637B9"/>
    <w:rsid w:val="00B64123"/>
    <w:rsid w:val="00B673DC"/>
    <w:rsid w:val="00B728F9"/>
    <w:rsid w:val="00B7460F"/>
    <w:rsid w:val="00B75B1B"/>
    <w:rsid w:val="00B77AB5"/>
    <w:rsid w:val="00B83365"/>
    <w:rsid w:val="00B839A8"/>
    <w:rsid w:val="00B8518F"/>
    <w:rsid w:val="00B9297B"/>
    <w:rsid w:val="00B94AC8"/>
    <w:rsid w:val="00B9563D"/>
    <w:rsid w:val="00B9612D"/>
    <w:rsid w:val="00B9698C"/>
    <w:rsid w:val="00BA0831"/>
    <w:rsid w:val="00BA0DE0"/>
    <w:rsid w:val="00BA38A3"/>
    <w:rsid w:val="00BA487A"/>
    <w:rsid w:val="00BA65E7"/>
    <w:rsid w:val="00BA7ED4"/>
    <w:rsid w:val="00BB04DA"/>
    <w:rsid w:val="00BB188E"/>
    <w:rsid w:val="00BB3A4B"/>
    <w:rsid w:val="00BB4212"/>
    <w:rsid w:val="00BB57DD"/>
    <w:rsid w:val="00BC13BE"/>
    <w:rsid w:val="00BC1A9A"/>
    <w:rsid w:val="00BC235E"/>
    <w:rsid w:val="00BD09B5"/>
    <w:rsid w:val="00BD42EA"/>
    <w:rsid w:val="00BD716A"/>
    <w:rsid w:val="00BD71F5"/>
    <w:rsid w:val="00BD72A8"/>
    <w:rsid w:val="00BE2B54"/>
    <w:rsid w:val="00BE311A"/>
    <w:rsid w:val="00BE41C7"/>
    <w:rsid w:val="00BE4E0C"/>
    <w:rsid w:val="00BE7E1D"/>
    <w:rsid w:val="00BF326D"/>
    <w:rsid w:val="00BF35EA"/>
    <w:rsid w:val="00BF5FA0"/>
    <w:rsid w:val="00BF67C8"/>
    <w:rsid w:val="00BF68F3"/>
    <w:rsid w:val="00BF69EB"/>
    <w:rsid w:val="00BF6C41"/>
    <w:rsid w:val="00C06422"/>
    <w:rsid w:val="00C11925"/>
    <w:rsid w:val="00C124A8"/>
    <w:rsid w:val="00C1266C"/>
    <w:rsid w:val="00C14D38"/>
    <w:rsid w:val="00C17931"/>
    <w:rsid w:val="00C20CFA"/>
    <w:rsid w:val="00C21334"/>
    <w:rsid w:val="00C22BF4"/>
    <w:rsid w:val="00C2579B"/>
    <w:rsid w:val="00C27981"/>
    <w:rsid w:val="00C3381A"/>
    <w:rsid w:val="00C345E2"/>
    <w:rsid w:val="00C354DD"/>
    <w:rsid w:val="00C37BE8"/>
    <w:rsid w:val="00C40C40"/>
    <w:rsid w:val="00C45270"/>
    <w:rsid w:val="00C47AB6"/>
    <w:rsid w:val="00C5003B"/>
    <w:rsid w:val="00C50BC9"/>
    <w:rsid w:val="00C50EFA"/>
    <w:rsid w:val="00C53842"/>
    <w:rsid w:val="00C53E74"/>
    <w:rsid w:val="00C54A72"/>
    <w:rsid w:val="00C5571B"/>
    <w:rsid w:val="00C566D5"/>
    <w:rsid w:val="00C57F1D"/>
    <w:rsid w:val="00C60340"/>
    <w:rsid w:val="00C60803"/>
    <w:rsid w:val="00C61F6B"/>
    <w:rsid w:val="00C627D7"/>
    <w:rsid w:val="00C6408C"/>
    <w:rsid w:val="00C6451C"/>
    <w:rsid w:val="00C64C2C"/>
    <w:rsid w:val="00C667AD"/>
    <w:rsid w:val="00C66D9F"/>
    <w:rsid w:val="00C676D8"/>
    <w:rsid w:val="00C67F10"/>
    <w:rsid w:val="00C7190A"/>
    <w:rsid w:val="00C720E5"/>
    <w:rsid w:val="00C73565"/>
    <w:rsid w:val="00C7663F"/>
    <w:rsid w:val="00C825D4"/>
    <w:rsid w:val="00C835E7"/>
    <w:rsid w:val="00C838F0"/>
    <w:rsid w:val="00C87DF6"/>
    <w:rsid w:val="00C91F7F"/>
    <w:rsid w:val="00C92BEF"/>
    <w:rsid w:val="00C95DC4"/>
    <w:rsid w:val="00C95EFF"/>
    <w:rsid w:val="00C96454"/>
    <w:rsid w:val="00CA2F23"/>
    <w:rsid w:val="00CA32C5"/>
    <w:rsid w:val="00CA34D8"/>
    <w:rsid w:val="00CA3D68"/>
    <w:rsid w:val="00CA521E"/>
    <w:rsid w:val="00CA5A1E"/>
    <w:rsid w:val="00CB04B8"/>
    <w:rsid w:val="00CB076A"/>
    <w:rsid w:val="00CB1793"/>
    <w:rsid w:val="00CB20A7"/>
    <w:rsid w:val="00CB4FAB"/>
    <w:rsid w:val="00CB55A1"/>
    <w:rsid w:val="00CB5DC2"/>
    <w:rsid w:val="00CB63C9"/>
    <w:rsid w:val="00CB6FDB"/>
    <w:rsid w:val="00CC1340"/>
    <w:rsid w:val="00CC17B0"/>
    <w:rsid w:val="00CC262F"/>
    <w:rsid w:val="00CC48B6"/>
    <w:rsid w:val="00CC4EC7"/>
    <w:rsid w:val="00CC641E"/>
    <w:rsid w:val="00CC74DA"/>
    <w:rsid w:val="00CD152D"/>
    <w:rsid w:val="00CD1598"/>
    <w:rsid w:val="00CD3CE6"/>
    <w:rsid w:val="00CD5BB2"/>
    <w:rsid w:val="00CD711F"/>
    <w:rsid w:val="00CE0538"/>
    <w:rsid w:val="00CE0C14"/>
    <w:rsid w:val="00CE1FAF"/>
    <w:rsid w:val="00CE2F80"/>
    <w:rsid w:val="00CE3A8B"/>
    <w:rsid w:val="00CE5FF6"/>
    <w:rsid w:val="00CE7359"/>
    <w:rsid w:val="00CF2A63"/>
    <w:rsid w:val="00CF303A"/>
    <w:rsid w:val="00CF4038"/>
    <w:rsid w:val="00CF4F80"/>
    <w:rsid w:val="00CF57E1"/>
    <w:rsid w:val="00CF615A"/>
    <w:rsid w:val="00CF7211"/>
    <w:rsid w:val="00CF7249"/>
    <w:rsid w:val="00D009DD"/>
    <w:rsid w:val="00D0124C"/>
    <w:rsid w:val="00D02729"/>
    <w:rsid w:val="00D03926"/>
    <w:rsid w:val="00D04D35"/>
    <w:rsid w:val="00D06D05"/>
    <w:rsid w:val="00D11046"/>
    <w:rsid w:val="00D12B7A"/>
    <w:rsid w:val="00D14053"/>
    <w:rsid w:val="00D179C1"/>
    <w:rsid w:val="00D17F13"/>
    <w:rsid w:val="00D24AFF"/>
    <w:rsid w:val="00D25490"/>
    <w:rsid w:val="00D25AEE"/>
    <w:rsid w:val="00D25CD3"/>
    <w:rsid w:val="00D26375"/>
    <w:rsid w:val="00D27F86"/>
    <w:rsid w:val="00D30CBC"/>
    <w:rsid w:val="00D323B0"/>
    <w:rsid w:val="00D3322B"/>
    <w:rsid w:val="00D34DE0"/>
    <w:rsid w:val="00D36DB2"/>
    <w:rsid w:val="00D41358"/>
    <w:rsid w:val="00D46A75"/>
    <w:rsid w:val="00D50A77"/>
    <w:rsid w:val="00D570AC"/>
    <w:rsid w:val="00D63B79"/>
    <w:rsid w:val="00D64631"/>
    <w:rsid w:val="00D646ED"/>
    <w:rsid w:val="00D64827"/>
    <w:rsid w:val="00D64BB9"/>
    <w:rsid w:val="00D6637D"/>
    <w:rsid w:val="00D666D8"/>
    <w:rsid w:val="00D67738"/>
    <w:rsid w:val="00D719F2"/>
    <w:rsid w:val="00D7638B"/>
    <w:rsid w:val="00D763AC"/>
    <w:rsid w:val="00D76ACA"/>
    <w:rsid w:val="00D802DD"/>
    <w:rsid w:val="00D81149"/>
    <w:rsid w:val="00D81859"/>
    <w:rsid w:val="00D85BCE"/>
    <w:rsid w:val="00D864E1"/>
    <w:rsid w:val="00D9044D"/>
    <w:rsid w:val="00D9050D"/>
    <w:rsid w:val="00D91227"/>
    <w:rsid w:val="00D947B8"/>
    <w:rsid w:val="00D9742B"/>
    <w:rsid w:val="00DA0FC5"/>
    <w:rsid w:val="00DA4395"/>
    <w:rsid w:val="00DA43A5"/>
    <w:rsid w:val="00DA451F"/>
    <w:rsid w:val="00DA4536"/>
    <w:rsid w:val="00DB0453"/>
    <w:rsid w:val="00DB071F"/>
    <w:rsid w:val="00DB0912"/>
    <w:rsid w:val="00DB0E30"/>
    <w:rsid w:val="00DB13D0"/>
    <w:rsid w:val="00DB1DFF"/>
    <w:rsid w:val="00DB1E7B"/>
    <w:rsid w:val="00DB214D"/>
    <w:rsid w:val="00DB2189"/>
    <w:rsid w:val="00DB32E8"/>
    <w:rsid w:val="00DB4A99"/>
    <w:rsid w:val="00DB4E2B"/>
    <w:rsid w:val="00DB6E30"/>
    <w:rsid w:val="00DC29EF"/>
    <w:rsid w:val="00DC3F81"/>
    <w:rsid w:val="00DC6B02"/>
    <w:rsid w:val="00DD039A"/>
    <w:rsid w:val="00DD10F8"/>
    <w:rsid w:val="00DD23E5"/>
    <w:rsid w:val="00DD25B6"/>
    <w:rsid w:val="00DD2795"/>
    <w:rsid w:val="00DD58AB"/>
    <w:rsid w:val="00DD6590"/>
    <w:rsid w:val="00DE174C"/>
    <w:rsid w:val="00DE2979"/>
    <w:rsid w:val="00DE3339"/>
    <w:rsid w:val="00DE45F7"/>
    <w:rsid w:val="00DE62EA"/>
    <w:rsid w:val="00DE6DD0"/>
    <w:rsid w:val="00DF1202"/>
    <w:rsid w:val="00DF242E"/>
    <w:rsid w:val="00DF3A37"/>
    <w:rsid w:val="00E02F79"/>
    <w:rsid w:val="00E0521A"/>
    <w:rsid w:val="00E05318"/>
    <w:rsid w:val="00E10ACB"/>
    <w:rsid w:val="00E144E0"/>
    <w:rsid w:val="00E168DB"/>
    <w:rsid w:val="00E16C2F"/>
    <w:rsid w:val="00E17FD0"/>
    <w:rsid w:val="00E20F4C"/>
    <w:rsid w:val="00E21189"/>
    <w:rsid w:val="00E21CD1"/>
    <w:rsid w:val="00E23D14"/>
    <w:rsid w:val="00E25196"/>
    <w:rsid w:val="00E256C8"/>
    <w:rsid w:val="00E25A4A"/>
    <w:rsid w:val="00E260CB"/>
    <w:rsid w:val="00E300D1"/>
    <w:rsid w:val="00E33EC4"/>
    <w:rsid w:val="00E34941"/>
    <w:rsid w:val="00E3550D"/>
    <w:rsid w:val="00E35E48"/>
    <w:rsid w:val="00E35EAF"/>
    <w:rsid w:val="00E36D71"/>
    <w:rsid w:val="00E4059D"/>
    <w:rsid w:val="00E42684"/>
    <w:rsid w:val="00E4302A"/>
    <w:rsid w:val="00E470DF"/>
    <w:rsid w:val="00E50FCA"/>
    <w:rsid w:val="00E51632"/>
    <w:rsid w:val="00E530BF"/>
    <w:rsid w:val="00E57B07"/>
    <w:rsid w:val="00E57BB0"/>
    <w:rsid w:val="00E63125"/>
    <w:rsid w:val="00E632F1"/>
    <w:rsid w:val="00E655C8"/>
    <w:rsid w:val="00E67194"/>
    <w:rsid w:val="00E7056F"/>
    <w:rsid w:val="00E706FD"/>
    <w:rsid w:val="00E725CC"/>
    <w:rsid w:val="00E7344A"/>
    <w:rsid w:val="00E75F96"/>
    <w:rsid w:val="00E76950"/>
    <w:rsid w:val="00E77A70"/>
    <w:rsid w:val="00E80B40"/>
    <w:rsid w:val="00E825AB"/>
    <w:rsid w:val="00E82606"/>
    <w:rsid w:val="00E82974"/>
    <w:rsid w:val="00E82BA4"/>
    <w:rsid w:val="00E83811"/>
    <w:rsid w:val="00E83B83"/>
    <w:rsid w:val="00E84CDD"/>
    <w:rsid w:val="00E84D01"/>
    <w:rsid w:val="00E85FCF"/>
    <w:rsid w:val="00E869B6"/>
    <w:rsid w:val="00E87B05"/>
    <w:rsid w:val="00E9253F"/>
    <w:rsid w:val="00E92C4C"/>
    <w:rsid w:val="00E93885"/>
    <w:rsid w:val="00E94524"/>
    <w:rsid w:val="00E94551"/>
    <w:rsid w:val="00E95102"/>
    <w:rsid w:val="00E97211"/>
    <w:rsid w:val="00EA07E2"/>
    <w:rsid w:val="00EA2823"/>
    <w:rsid w:val="00EA5F24"/>
    <w:rsid w:val="00EA66D6"/>
    <w:rsid w:val="00EA7E80"/>
    <w:rsid w:val="00EB0CE2"/>
    <w:rsid w:val="00EB1A53"/>
    <w:rsid w:val="00EB679F"/>
    <w:rsid w:val="00EC0A59"/>
    <w:rsid w:val="00EC307E"/>
    <w:rsid w:val="00EC623F"/>
    <w:rsid w:val="00EC6C1A"/>
    <w:rsid w:val="00EC6DAA"/>
    <w:rsid w:val="00EC789E"/>
    <w:rsid w:val="00ED1B5F"/>
    <w:rsid w:val="00ED32CF"/>
    <w:rsid w:val="00ED372E"/>
    <w:rsid w:val="00ED4323"/>
    <w:rsid w:val="00ED5018"/>
    <w:rsid w:val="00ED5235"/>
    <w:rsid w:val="00ED5358"/>
    <w:rsid w:val="00ED582C"/>
    <w:rsid w:val="00ED60DF"/>
    <w:rsid w:val="00ED651C"/>
    <w:rsid w:val="00EE031B"/>
    <w:rsid w:val="00EE1111"/>
    <w:rsid w:val="00EE2180"/>
    <w:rsid w:val="00EE240A"/>
    <w:rsid w:val="00EE29C9"/>
    <w:rsid w:val="00EE2DB2"/>
    <w:rsid w:val="00EE3A63"/>
    <w:rsid w:val="00EE4EA2"/>
    <w:rsid w:val="00EE5144"/>
    <w:rsid w:val="00EE5392"/>
    <w:rsid w:val="00EF0C77"/>
    <w:rsid w:val="00EF402B"/>
    <w:rsid w:val="00EF48D9"/>
    <w:rsid w:val="00F021A7"/>
    <w:rsid w:val="00F027CA"/>
    <w:rsid w:val="00F02B3A"/>
    <w:rsid w:val="00F03A60"/>
    <w:rsid w:val="00F0516B"/>
    <w:rsid w:val="00F0583C"/>
    <w:rsid w:val="00F0630E"/>
    <w:rsid w:val="00F1018C"/>
    <w:rsid w:val="00F10322"/>
    <w:rsid w:val="00F11587"/>
    <w:rsid w:val="00F11EB2"/>
    <w:rsid w:val="00F13B37"/>
    <w:rsid w:val="00F146AF"/>
    <w:rsid w:val="00F158C6"/>
    <w:rsid w:val="00F15FDA"/>
    <w:rsid w:val="00F17623"/>
    <w:rsid w:val="00F17EB7"/>
    <w:rsid w:val="00F22592"/>
    <w:rsid w:val="00F22822"/>
    <w:rsid w:val="00F24F3C"/>
    <w:rsid w:val="00F26498"/>
    <w:rsid w:val="00F264DD"/>
    <w:rsid w:val="00F27DAB"/>
    <w:rsid w:val="00F30136"/>
    <w:rsid w:val="00F3112B"/>
    <w:rsid w:val="00F31F9C"/>
    <w:rsid w:val="00F32283"/>
    <w:rsid w:val="00F329E3"/>
    <w:rsid w:val="00F333F6"/>
    <w:rsid w:val="00F340C4"/>
    <w:rsid w:val="00F36933"/>
    <w:rsid w:val="00F37123"/>
    <w:rsid w:val="00F37D39"/>
    <w:rsid w:val="00F4040E"/>
    <w:rsid w:val="00F43046"/>
    <w:rsid w:val="00F44AB3"/>
    <w:rsid w:val="00F4769C"/>
    <w:rsid w:val="00F47CB7"/>
    <w:rsid w:val="00F50A6E"/>
    <w:rsid w:val="00F51B83"/>
    <w:rsid w:val="00F52009"/>
    <w:rsid w:val="00F52C96"/>
    <w:rsid w:val="00F53018"/>
    <w:rsid w:val="00F54DA5"/>
    <w:rsid w:val="00F5589E"/>
    <w:rsid w:val="00F55B76"/>
    <w:rsid w:val="00F56EB4"/>
    <w:rsid w:val="00F6316C"/>
    <w:rsid w:val="00F63D23"/>
    <w:rsid w:val="00F64329"/>
    <w:rsid w:val="00F65688"/>
    <w:rsid w:val="00F6597F"/>
    <w:rsid w:val="00F67743"/>
    <w:rsid w:val="00F70428"/>
    <w:rsid w:val="00F715D3"/>
    <w:rsid w:val="00F72CFB"/>
    <w:rsid w:val="00F75A5E"/>
    <w:rsid w:val="00F76057"/>
    <w:rsid w:val="00F76524"/>
    <w:rsid w:val="00F768BB"/>
    <w:rsid w:val="00F77E00"/>
    <w:rsid w:val="00F80B9F"/>
    <w:rsid w:val="00F8139F"/>
    <w:rsid w:val="00F81C7A"/>
    <w:rsid w:val="00F82743"/>
    <w:rsid w:val="00F82A0A"/>
    <w:rsid w:val="00F86F05"/>
    <w:rsid w:val="00F94A18"/>
    <w:rsid w:val="00F94E76"/>
    <w:rsid w:val="00F9534D"/>
    <w:rsid w:val="00F9536B"/>
    <w:rsid w:val="00F964C3"/>
    <w:rsid w:val="00FA05D3"/>
    <w:rsid w:val="00FA7DF4"/>
    <w:rsid w:val="00FB535D"/>
    <w:rsid w:val="00FB53FD"/>
    <w:rsid w:val="00FB5D86"/>
    <w:rsid w:val="00FB6AAE"/>
    <w:rsid w:val="00FB6B10"/>
    <w:rsid w:val="00FC3CB4"/>
    <w:rsid w:val="00FC431E"/>
    <w:rsid w:val="00FC4E9B"/>
    <w:rsid w:val="00FC722B"/>
    <w:rsid w:val="00FC7F74"/>
    <w:rsid w:val="00FD1BC4"/>
    <w:rsid w:val="00FD3CE8"/>
    <w:rsid w:val="00FD48E2"/>
    <w:rsid w:val="00FD5A25"/>
    <w:rsid w:val="00FE084D"/>
    <w:rsid w:val="00FE08E2"/>
    <w:rsid w:val="00FE579B"/>
    <w:rsid w:val="00FE6DD9"/>
    <w:rsid w:val="00FE7EF1"/>
    <w:rsid w:val="00FF12E4"/>
    <w:rsid w:val="00FF318C"/>
    <w:rsid w:val="00FF5585"/>
    <w:rsid w:val="00FF645A"/>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32"/>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able of figures"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1C7"/>
    <w:rPr>
      <w:rFonts w:ascii="Times New Roman" w:eastAsia="Calibri" w:hAnsi="Times New Roman" w:cs="Times New Roman"/>
      <w:sz w:val="24"/>
      <w:szCs w:val="28"/>
    </w:rPr>
  </w:style>
  <w:style w:type="paragraph" w:styleId="Heading1">
    <w:name w:val="heading 1"/>
    <w:basedOn w:val="Normal"/>
    <w:next w:val="Normal"/>
    <w:link w:val="Heading1Char"/>
    <w:uiPriority w:val="9"/>
    <w:qFormat/>
    <w:rsid w:val="006C2D2B"/>
    <w:pPr>
      <w:keepNext/>
      <w:keepLines/>
      <w:outlineLvl w:val="0"/>
    </w:pPr>
    <w:rPr>
      <w:rFonts w:eastAsiaTheme="majorEastAsia" w:cstheme="majorBidi"/>
      <w:b/>
      <w:bCs/>
      <w:sz w:val="32"/>
    </w:rPr>
  </w:style>
  <w:style w:type="paragraph" w:styleId="Heading2">
    <w:name w:val="heading 2"/>
    <w:basedOn w:val="Normal"/>
    <w:next w:val="Normal"/>
    <w:link w:val="Heading2Char"/>
    <w:uiPriority w:val="9"/>
    <w:unhideWhenUsed/>
    <w:qFormat/>
    <w:rsid w:val="006C2D2B"/>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D85BCE"/>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6C2D2B"/>
    <w:pPr>
      <w:keepNext/>
      <w:keepLines/>
      <w:outlineLvl w:val="3"/>
    </w:pPr>
    <w:rPr>
      <w:rFonts w:eastAsiaTheme="majorEastAsia" w:cstheme="majorBidi"/>
      <w:b/>
      <w:bCs/>
      <w:i/>
      <w:iCs/>
    </w:rPr>
  </w:style>
  <w:style w:type="paragraph" w:styleId="Heading6">
    <w:name w:val="heading 6"/>
    <w:basedOn w:val="Normal"/>
    <w:next w:val="Normal"/>
    <w:link w:val="Heading6Char"/>
    <w:qFormat/>
    <w:rsid w:val="00BE41C7"/>
    <w:pPr>
      <w:spacing w:before="240" w:after="60"/>
      <w:outlineLvl w:val="5"/>
    </w:pPr>
    <w:rPr>
      <w:rFonts w:eastAsia="Times New Roman"/>
      <w:b/>
      <w:bCs/>
      <w:sz w:val="22"/>
      <w:szCs w:val="22"/>
      <w:lang w:eastAsia="lv-LV"/>
    </w:rPr>
  </w:style>
  <w:style w:type="paragraph" w:styleId="Heading9">
    <w:name w:val="heading 9"/>
    <w:basedOn w:val="Normal"/>
    <w:next w:val="Normal"/>
    <w:link w:val="Heading9Char"/>
    <w:uiPriority w:val="9"/>
    <w:semiHidden/>
    <w:unhideWhenUsed/>
    <w:qFormat/>
    <w:rsid w:val="00BE41C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D2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C2D2B"/>
    <w:rPr>
      <w:rFonts w:ascii="Times New Roman" w:eastAsiaTheme="majorEastAsia" w:hAnsi="Times New Roman" w:cstheme="majorBidi"/>
      <w:b/>
      <w:bCs/>
      <w:sz w:val="28"/>
      <w:szCs w:val="26"/>
    </w:rPr>
  </w:style>
  <w:style w:type="character" w:customStyle="1" w:styleId="Heading4Char">
    <w:name w:val="Heading 4 Char"/>
    <w:basedOn w:val="DefaultParagraphFont"/>
    <w:link w:val="Heading4"/>
    <w:uiPriority w:val="9"/>
    <w:rsid w:val="006C2D2B"/>
    <w:rPr>
      <w:rFonts w:ascii="Times New Roman" w:eastAsiaTheme="majorEastAsia" w:hAnsi="Times New Roman" w:cstheme="majorBidi"/>
      <w:b/>
      <w:bCs/>
      <w:i/>
      <w:iCs/>
      <w:sz w:val="24"/>
    </w:rPr>
  </w:style>
  <w:style w:type="character" w:customStyle="1" w:styleId="Heading3Char">
    <w:name w:val="Heading 3 Char"/>
    <w:basedOn w:val="DefaultParagraphFont"/>
    <w:link w:val="Heading3"/>
    <w:uiPriority w:val="9"/>
    <w:rsid w:val="00D85BCE"/>
    <w:rPr>
      <w:rFonts w:ascii="Times New Roman" w:eastAsiaTheme="majorEastAsia" w:hAnsi="Times New Roman" w:cstheme="majorBidi"/>
      <w:b/>
      <w:bCs/>
      <w:sz w:val="24"/>
    </w:rPr>
  </w:style>
  <w:style w:type="character" w:customStyle="1" w:styleId="Heading6Char">
    <w:name w:val="Heading 6 Char"/>
    <w:basedOn w:val="DefaultParagraphFont"/>
    <w:link w:val="Heading6"/>
    <w:rsid w:val="00BE41C7"/>
    <w:rPr>
      <w:rFonts w:ascii="Times New Roman" w:eastAsia="Times New Roman" w:hAnsi="Times New Roman" w:cs="Times New Roman"/>
      <w:b/>
      <w:bCs/>
      <w:sz w:val="22"/>
      <w:lang w:eastAsia="lv-LV"/>
    </w:rPr>
  </w:style>
  <w:style w:type="character" w:customStyle="1" w:styleId="Heading9Char">
    <w:name w:val="Heading 9 Char"/>
    <w:basedOn w:val="DefaultParagraphFont"/>
    <w:link w:val="Heading9"/>
    <w:uiPriority w:val="9"/>
    <w:semiHidden/>
    <w:rsid w:val="00BE41C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E41C7"/>
    <w:pPr>
      <w:ind w:left="720"/>
      <w:contextualSpacing/>
    </w:pPr>
  </w:style>
  <w:style w:type="paragraph" w:styleId="BodyText">
    <w:name w:val="Body Text"/>
    <w:aliases w:val="Body Text Char Char,Body Text Char Char Char"/>
    <w:basedOn w:val="Normal"/>
    <w:link w:val="BodyTextChar"/>
    <w:uiPriority w:val="99"/>
    <w:rsid w:val="00BE41C7"/>
    <w:pPr>
      <w:spacing w:after="120"/>
    </w:pPr>
    <w:rPr>
      <w:rFonts w:eastAsia="Times New Roman"/>
      <w:szCs w:val="24"/>
      <w:lang w:eastAsia="lv-LV"/>
    </w:rPr>
  </w:style>
  <w:style w:type="character" w:customStyle="1" w:styleId="BodyTextChar">
    <w:name w:val="Body Text Char"/>
    <w:aliases w:val="Body Text Char Char Char1,Body Text Char Char Char Char"/>
    <w:basedOn w:val="DefaultParagraphFont"/>
    <w:link w:val="BodyText"/>
    <w:uiPriority w:val="99"/>
    <w:rsid w:val="00BE41C7"/>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BE41C7"/>
    <w:rPr>
      <w:rFonts w:ascii="Tahoma" w:hAnsi="Tahoma" w:cs="Tahoma"/>
      <w:sz w:val="16"/>
      <w:szCs w:val="16"/>
    </w:rPr>
  </w:style>
  <w:style w:type="character" w:customStyle="1" w:styleId="BalloonTextChar">
    <w:name w:val="Balloon Text Char"/>
    <w:basedOn w:val="DefaultParagraphFont"/>
    <w:link w:val="BalloonText"/>
    <w:uiPriority w:val="99"/>
    <w:semiHidden/>
    <w:rsid w:val="00BE41C7"/>
    <w:rPr>
      <w:rFonts w:ascii="Tahoma" w:eastAsia="Calibri" w:hAnsi="Tahoma" w:cs="Tahoma"/>
      <w:sz w:val="16"/>
      <w:szCs w:val="16"/>
    </w:rPr>
  </w:style>
  <w:style w:type="paragraph" w:styleId="Header">
    <w:name w:val="header"/>
    <w:basedOn w:val="Normal"/>
    <w:link w:val="HeaderChar"/>
    <w:uiPriority w:val="99"/>
    <w:semiHidden/>
    <w:unhideWhenUsed/>
    <w:rsid w:val="00BE41C7"/>
    <w:pPr>
      <w:tabs>
        <w:tab w:val="center" w:pos="4153"/>
        <w:tab w:val="right" w:pos="8306"/>
      </w:tabs>
    </w:pPr>
  </w:style>
  <w:style w:type="character" w:customStyle="1" w:styleId="HeaderChar">
    <w:name w:val="Header Char"/>
    <w:basedOn w:val="DefaultParagraphFont"/>
    <w:link w:val="Header"/>
    <w:uiPriority w:val="99"/>
    <w:semiHidden/>
    <w:rsid w:val="00BE41C7"/>
    <w:rPr>
      <w:rFonts w:ascii="Times New Roman" w:eastAsia="Calibri" w:hAnsi="Times New Roman" w:cs="Times New Roman"/>
      <w:sz w:val="24"/>
      <w:szCs w:val="28"/>
    </w:rPr>
  </w:style>
  <w:style w:type="paragraph" w:styleId="Footer">
    <w:name w:val="footer"/>
    <w:basedOn w:val="Normal"/>
    <w:link w:val="FooterChar"/>
    <w:uiPriority w:val="99"/>
    <w:unhideWhenUsed/>
    <w:rsid w:val="00BE41C7"/>
    <w:pPr>
      <w:tabs>
        <w:tab w:val="center" w:pos="4153"/>
        <w:tab w:val="right" w:pos="8306"/>
      </w:tabs>
    </w:pPr>
  </w:style>
  <w:style w:type="character" w:customStyle="1" w:styleId="FooterChar">
    <w:name w:val="Footer Char"/>
    <w:basedOn w:val="DefaultParagraphFont"/>
    <w:link w:val="Footer"/>
    <w:uiPriority w:val="99"/>
    <w:rsid w:val="00BE41C7"/>
    <w:rPr>
      <w:rFonts w:ascii="Times New Roman" w:eastAsia="Calibri" w:hAnsi="Times New Roman" w:cs="Times New Roman"/>
      <w:sz w:val="24"/>
      <w:szCs w:val="28"/>
    </w:rPr>
  </w:style>
  <w:style w:type="paragraph" w:styleId="BodyText2">
    <w:name w:val="Body Text 2"/>
    <w:basedOn w:val="Normal"/>
    <w:link w:val="BodyText2Char"/>
    <w:uiPriority w:val="99"/>
    <w:unhideWhenUsed/>
    <w:rsid w:val="00BE41C7"/>
    <w:pPr>
      <w:spacing w:after="120" w:line="480" w:lineRule="auto"/>
    </w:pPr>
  </w:style>
  <w:style w:type="character" w:customStyle="1" w:styleId="BodyText2Char">
    <w:name w:val="Body Text 2 Char"/>
    <w:basedOn w:val="DefaultParagraphFont"/>
    <w:link w:val="BodyText2"/>
    <w:uiPriority w:val="99"/>
    <w:rsid w:val="00BE41C7"/>
    <w:rPr>
      <w:rFonts w:ascii="Times New Roman" w:eastAsia="Calibri" w:hAnsi="Times New Roman" w:cs="Times New Roman"/>
      <w:sz w:val="24"/>
      <w:szCs w:val="28"/>
    </w:rPr>
  </w:style>
  <w:style w:type="paragraph" w:customStyle="1" w:styleId="9pirmstab3">
    <w:name w:val="9_pirms_tab_3"/>
    <w:basedOn w:val="Normal"/>
    <w:uiPriority w:val="99"/>
    <w:rsid w:val="00BE41C7"/>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jc w:val="center"/>
    </w:pPr>
    <w:rPr>
      <w:rFonts w:eastAsia="Times New Roman"/>
      <w:color w:val="000000"/>
      <w:sz w:val="18"/>
      <w:szCs w:val="20"/>
    </w:rPr>
  </w:style>
  <w:style w:type="paragraph" w:styleId="BodyTextIndent2">
    <w:name w:val="Body Text Indent 2"/>
    <w:basedOn w:val="Normal"/>
    <w:link w:val="BodyTextIndent2Char"/>
    <w:uiPriority w:val="99"/>
    <w:unhideWhenUsed/>
    <w:rsid w:val="00BE41C7"/>
    <w:pPr>
      <w:spacing w:after="120" w:line="480" w:lineRule="auto"/>
      <w:ind w:left="283"/>
    </w:pPr>
  </w:style>
  <w:style w:type="character" w:customStyle="1" w:styleId="BodyTextIndent2Char">
    <w:name w:val="Body Text Indent 2 Char"/>
    <w:basedOn w:val="DefaultParagraphFont"/>
    <w:link w:val="BodyTextIndent2"/>
    <w:uiPriority w:val="99"/>
    <w:rsid w:val="00BE41C7"/>
    <w:rPr>
      <w:rFonts w:ascii="Times New Roman" w:eastAsia="Calibri" w:hAnsi="Times New Roman" w:cs="Times New Roman"/>
      <w:sz w:val="24"/>
      <w:szCs w:val="28"/>
    </w:rPr>
  </w:style>
  <w:style w:type="paragraph" w:styleId="BodyTextIndent">
    <w:name w:val="Body Text Indent"/>
    <w:basedOn w:val="Normal"/>
    <w:link w:val="BodyTextIndentChar"/>
    <w:uiPriority w:val="99"/>
    <w:rsid w:val="00BE41C7"/>
    <w:pPr>
      <w:spacing w:after="120"/>
      <w:ind w:left="283"/>
    </w:pPr>
    <w:rPr>
      <w:rFonts w:eastAsia="Times New Roman"/>
      <w:szCs w:val="24"/>
      <w:lang w:eastAsia="lv-LV"/>
    </w:rPr>
  </w:style>
  <w:style w:type="character" w:customStyle="1" w:styleId="BodyTextIndentChar">
    <w:name w:val="Body Text Indent Char"/>
    <w:basedOn w:val="DefaultParagraphFont"/>
    <w:link w:val="BodyTextIndent"/>
    <w:uiPriority w:val="99"/>
    <w:rsid w:val="00BE41C7"/>
    <w:rPr>
      <w:rFonts w:ascii="Times New Roman" w:eastAsia="Times New Roman" w:hAnsi="Times New Roman" w:cs="Times New Roman"/>
      <w:sz w:val="24"/>
      <w:szCs w:val="24"/>
      <w:lang w:eastAsia="lv-LV"/>
    </w:rPr>
  </w:style>
  <w:style w:type="paragraph" w:styleId="FootnoteText">
    <w:name w:val="footnote text"/>
    <w:basedOn w:val="Normal"/>
    <w:link w:val="FootnoteTextChar"/>
    <w:rsid w:val="00BE41C7"/>
    <w:rPr>
      <w:rFonts w:eastAsia="Times New Roman"/>
      <w:sz w:val="20"/>
      <w:szCs w:val="20"/>
      <w:lang w:eastAsia="lv-LV"/>
    </w:rPr>
  </w:style>
  <w:style w:type="character" w:customStyle="1" w:styleId="FootnoteTextChar">
    <w:name w:val="Footnote Text Char"/>
    <w:basedOn w:val="DefaultParagraphFont"/>
    <w:link w:val="FootnoteText"/>
    <w:rsid w:val="00BE41C7"/>
    <w:rPr>
      <w:rFonts w:ascii="Times New Roman" w:eastAsia="Times New Roman" w:hAnsi="Times New Roman" w:cs="Times New Roman"/>
      <w:sz w:val="20"/>
      <w:szCs w:val="20"/>
      <w:lang w:eastAsia="lv-LV"/>
    </w:rPr>
  </w:style>
  <w:style w:type="character" w:styleId="FootnoteReference">
    <w:name w:val="footnote reference"/>
    <w:basedOn w:val="DefaultParagraphFont"/>
    <w:rsid w:val="00BE41C7"/>
    <w:rPr>
      <w:vertAlign w:val="superscript"/>
    </w:rPr>
  </w:style>
  <w:style w:type="table" w:styleId="LightShading-Accent3">
    <w:name w:val="Light Shading Accent 3"/>
    <w:basedOn w:val="TableNormal"/>
    <w:uiPriority w:val="60"/>
    <w:rsid w:val="00BE41C7"/>
    <w:rPr>
      <w:rFonts w:ascii="Times New Roman" w:eastAsia="Times New Roman" w:hAnsi="Times New Roman" w:cs="Times New Roman"/>
      <w:color w:val="76923C" w:themeColor="accent3" w:themeShade="BF"/>
      <w:sz w:val="22"/>
      <w:lang w:eastAsia="lv-LV"/>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BE41C7"/>
    <w:rPr>
      <w:rFonts w:ascii="Times New Roman" w:eastAsia="Calibri" w:hAnsi="Times New Roman" w:cs="Times New Roman"/>
      <w:sz w:val="20"/>
      <w:szCs w:val="20"/>
      <w:lang w:eastAsia="lv-L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semiHidden/>
    <w:rsid w:val="00BE41C7"/>
    <w:rPr>
      <w:sz w:val="16"/>
      <w:szCs w:val="16"/>
    </w:rPr>
  </w:style>
  <w:style w:type="paragraph" w:styleId="CommentText">
    <w:name w:val="annotation text"/>
    <w:basedOn w:val="Normal"/>
    <w:link w:val="CommentTextChar"/>
    <w:uiPriority w:val="99"/>
    <w:semiHidden/>
    <w:rsid w:val="00BE41C7"/>
    <w:rPr>
      <w:rFonts w:eastAsia="Times New Roman"/>
      <w:sz w:val="20"/>
      <w:szCs w:val="20"/>
      <w:lang w:val="en-GB"/>
    </w:rPr>
  </w:style>
  <w:style w:type="character" w:customStyle="1" w:styleId="CommentTextChar">
    <w:name w:val="Comment Text Char"/>
    <w:basedOn w:val="DefaultParagraphFont"/>
    <w:link w:val="CommentText"/>
    <w:uiPriority w:val="99"/>
    <w:semiHidden/>
    <w:rsid w:val="00BE41C7"/>
    <w:rPr>
      <w:rFonts w:ascii="Times New Roman" w:eastAsia="Times New Roman" w:hAnsi="Times New Roman" w:cs="Times New Roman"/>
      <w:sz w:val="20"/>
      <w:szCs w:val="20"/>
      <w:lang w:val="en-GB"/>
    </w:rPr>
  </w:style>
  <w:style w:type="paragraph" w:styleId="TOCHeading">
    <w:name w:val="TOC Heading"/>
    <w:basedOn w:val="Heading1"/>
    <w:next w:val="Normal"/>
    <w:uiPriority w:val="39"/>
    <w:semiHidden/>
    <w:unhideWhenUsed/>
    <w:qFormat/>
    <w:rsid w:val="00BE41C7"/>
    <w:pPr>
      <w:spacing w:line="276" w:lineRule="auto"/>
      <w:jc w:val="center"/>
      <w:outlineLvl w:val="9"/>
    </w:pPr>
    <w:rPr>
      <w:lang w:val="en-US"/>
    </w:rPr>
  </w:style>
  <w:style w:type="paragraph" w:styleId="TOC2">
    <w:name w:val="toc 2"/>
    <w:basedOn w:val="Normal"/>
    <w:next w:val="Normal"/>
    <w:autoRedefine/>
    <w:uiPriority w:val="39"/>
    <w:unhideWhenUsed/>
    <w:qFormat/>
    <w:rsid w:val="00BE41C7"/>
    <w:pPr>
      <w:tabs>
        <w:tab w:val="right" w:leader="dot" w:pos="9627"/>
      </w:tabs>
      <w:spacing w:after="40" w:line="276" w:lineRule="auto"/>
      <w:ind w:left="221"/>
    </w:pPr>
    <w:rPr>
      <w:rFonts w:eastAsiaTheme="minorEastAsia"/>
      <w:noProof/>
      <w:szCs w:val="24"/>
      <w:lang w:val="en-US"/>
    </w:rPr>
  </w:style>
  <w:style w:type="paragraph" w:styleId="TOC1">
    <w:name w:val="toc 1"/>
    <w:basedOn w:val="Normal"/>
    <w:next w:val="Normal"/>
    <w:autoRedefine/>
    <w:uiPriority w:val="39"/>
    <w:unhideWhenUsed/>
    <w:qFormat/>
    <w:rsid w:val="00CD3CE6"/>
    <w:pPr>
      <w:tabs>
        <w:tab w:val="right" w:leader="dot" w:pos="9639"/>
      </w:tabs>
      <w:spacing w:before="120" w:after="40"/>
    </w:pPr>
    <w:rPr>
      <w:b/>
      <w:noProof/>
      <w:sz w:val="22"/>
    </w:rPr>
  </w:style>
  <w:style w:type="paragraph" w:styleId="TOC3">
    <w:name w:val="toc 3"/>
    <w:basedOn w:val="Normal"/>
    <w:next w:val="Normal"/>
    <w:autoRedefine/>
    <w:uiPriority w:val="39"/>
    <w:unhideWhenUsed/>
    <w:qFormat/>
    <w:rsid w:val="00BE41C7"/>
    <w:pPr>
      <w:tabs>
        <w:tab w:val="right" w:leader="dot" w:pos="9628"/>
      </w:tabs>
      <w:spacing w:after="40" w:line="276" w:lineRule="auto"/>
      <w:ind w:left="442"/>
      <w:jc w:val="both"/>
    </w:pPr>
    <w:rPr>
      <w:rFonts w:eastAsiaTheme="minorEastAsia"/>
      <w:i/>
      <w:noProof/>
      <w:szCs w:val="22"/>
      <w:lang w:val="en-US"/>
    </w:rPr>
  </w:style>
  <w:style w:type="character" w:styleId="Hyperlink">
    <w:name w:val="Hyperlink"/>
    <w:basedOn w:val="DefaultParagraphFont"/>
    <w:uiPriority w:val="99"/>
    <w:unhideWhenUsed/>
    <w:rsid w:val="00BE41C7"/>
    <w:rPr>
      <w:color w:val="0000FF" w:themeColor="hyperlink"/>
      <w:u w:val="single"/>
    </w:rPr>
  </w:style>
  <w:style w:type="paragraph" w:styleId="Subtitle">
    <w:name w:val="Subtitle"/>
    <w:basedOn w:val="Normal"/>
    <w:next w:val="Normal"/>
    <w:link w:val="SubtitleChar"/>
    <w:qFormat/>
    <w:rsid w:val="00BE41C7"/>
    <w:pPr>
      <w:keepNext/>
      <w:keepLines/>
      <w:widowControl w:val="0"/>
      <w:suppressAutoHyphens/>
      <w:spacing w:before="600" w:after="600"/>
      <w:ind w:right="4820"/>
    </w:pPr>
    <w:rPr>
      <w:rFonts w:eastAsia="Times New Roman"/>
      <w:b/>
      <w:sz w:val="26"/>
      <w:szCs w:val="20"/>
      <w:lang w:val="en-AU"/>
    </w:rPr>
  </w:style>
  <w:style w:type="character" w:customStyle="1" w:styleId="SubtitleChar">
    <w:name w:val="Subtitle Char"/>
    <w:basedOn w:val="DefaultParagraphFont"/>
    <w:link w:val="Subtitle"/>
    <w:rsid w:val="00BE41C7"/>
    <w:rPr>
      <w:rFonts w:ascii="Times New Roman" w:eastAsia="Times New Roman" w:hAnsi="Times New Roman" w:cs="Times New Roman"/>
      <w:b/>
      <w:sz w:val="26"/>
      <w:szCs w:val="20"/>
      <w:lang w:val="en-AU"/>
    </w:rPr>
  </w:style>
  <w:style w:type="paragraph" w:styleId="BodyTextIndent3">
    <w:name w:val="Body Text Indent 3"/>
    <w:basedOn w:val="Normal"/>
    <w:link w:val="BodyTextIndent3Char"/>
    <w:uiPriority w:val="99"/>
    <w:unhideWhenUsed/>
    <w:rsid w:val="00BE41C7"/>
    <w:pPr>
      <w:spacing w:after="120"/>
      <w:ind w:left="283"/>
    </w:pPr>
    <w:rPr>
      <w:sz w:val="16"/>
      <w:szCs w:val="16"/>
    </w:rPr>
  </w:style>
  <w:style w:type="character" w:customStyle="1" w:styleId="BodyTextIndent3Char">
    <w:name w:val="Body Text Indent 3 Char"/>
    <w:basedOn w:val="DefaultParagraphFont"/>
    <w:link w:val="BodyTextIndent3"/>
    <w:uiPriority w:val="99"/>
    <w:rsid w:val="00BE41C7"/>
    <w:rPr>
      <w:rFonts w:ascii="Times New Roman" w:eastAsia="Calibri" w:hAnsi="Times New Roman" w:cs="Times New Roman"/>
      <w:sz w:val="16"/>
      <w:szCs w:val="16"/>
    </w:rPr>
  </w:style>
  <w:style w:type="character" w:customStyle="1" w:styleId="city2">
    <w:name w:val="city2"/>
    <w:basedOn w:val="DefaultParagraphFont"/>
    <w:rsid w:val="00BE41C7"/>
    <w:rPr>
      <w:caps w:val="0"/>
      <w:color w:val="777F8D"/>
      <w:sz w:val="14"/>
      <w:szCs w:val="14"/>
    </w:rPr>
  </w:style>
  <w:style w:type="table" w:customStyle="1" w:styleId="Tabula">
    <w:name w:val="Tabula"/>
    <w:basedOn w:val="TableNormal"/>
    <w:uiPriority w:val="99"/>
    <w:rsid w:val="00BE41C7"/>
    <w:rPr>
      <w:rFonts w:ascii="Times New Roman" w:eastAsia="Calibri" w:hAnsi="Times New Roman" w:cs="Times New Roman"/>
      <w:sz w:val="20"/>
      <w:szCs w:val="20"/>
      <w:lang w:eastAsia="lv-LV"/>
    </w:rPr>
    <w:tblPr>
      <w:tblInd w:w="0" w:type="dxa"/>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BE41C7"/>
    <w:pPr>
      <w:spacing w:after="200"/>
    </w:pPr>
    <w:rPr>
      <w:bCs/>
      <w:szCs w:val="24"/>
    </w:rPr>
  </w:style>
  <w:style w:type="character" w:customStyle="1" w:styleId="CaptionChar">
    <w:name w:val="Caption Char"/>
    <w:basedOn w:val="DefaultParagraphFont"/>
    <w:link w:val="Caption"/>
    <w:uiPriority w:val="35"/>
    <w:rsid w:val="00BE41C7"/>
    <w:rPr>
      <w:rFonts w:ascii="Times New Roman" w:eastAsia="Calibri" w:hAnsi="Times New Roman" w:cs="Times New Roman"/>
      <w:bCs/>
      <w:sz w:val="24"/>
      <w:szCs w:val="24"/>
    </w:rPr>
  </w:style>
  <w:style w:type="paragraph" w:styleId="TableofFigures">
    <w:name w:val="table of figures"/>
    <w:basedOn w:val="Normal"/>
    <w:next w:val="Normal"/>
    <w:autoRedefine/>
    <w:uiPriority w:val="99"/>
    <w:semiHidden/>
    <w:unhideWhenUsed/>
    <w:qFormat/>
    <w:rsid w:val="00BE41C7"/>
    <w:pPr>
      <w:spacing w:before="40" w:after="40"/>
    </w:pPr>
  </w:style>
  <w:style w:type="table" w:styleId="LightShading-Accent4">
    <w:name w:val="Light Shading Accent 4"/>
    <w:basedOn w:val="TableNormal"/>
    <w:uiPriority w:val="60"/>
    <w:rsid w:val="00BE41C7"/>
    <w:rPr>
      <w:rFonts w:ascii="Times New Roman" w:eastAsia="Calibri" w:hAnsi="Times New Roman" w:cs="Times New Roman"/>
      <w:color w:val="5F497A" w:themeColor="accent4" w:themeShade="BF"/>
      <w:sz w:val="20"/>
      <w:szCs w:val="20"/>
      <w:lang w:eastAsia="lv-LV"/>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nhideWhenUsed/>
    <w:rsid w:val="00BE41C7"/>
    <w:rPr>
      <w:rFonts w:ascii="Tahoma" w:eastAsia="Times New Roman" w:hAnsi="Tahoma" w:cs="Tahoma"/>
      <w:color w:val="333333"/>
      <w:sz w:val="16"/>
      <w:szCs w:val="16"/>
      <w:lang w:eastAsia="lv-LV"/>
    </w:rPr>
  </w:style>
  <w:style w:type="paragraph" w:customStyle="1" w:styleId="teksts">
    <w:name w:val="teksts"/>
    <w:rsid w:val="00BE41C7"/>
    <w:pPr>
      <w:spacing w:after="120"/>
      <w:jc w:val="both"/>
    </w:pPr>
    <w:rPr>
      <w:rFonts w:ascii="NewsGoth Cn TL" w:eastAsia="Times New Roman" w:hAnsi="NewsGoth Cn TL" w:cs="Times New Roman"/>
      <w:kern w:val="18"/>
      <w:sz w:val="18"/>
      <w:szCs w:val="20"/>
    </w:rPr>
  </w:style>
  <w:style w:type="character" w:styleId="Strong">
    <w:name w:val="Strong"/>
    <w:basedOn w:val="DefaultParagraphFont"/>
    <w:uiPriority w:val="22"/>
    <w:qFormat/>
    <w:rsid w:val="00BE41C7"/>
    <w:rPr>
      <w:b/>
      <w:bCs/>
    </w:rPr>
  </w:style>
  <w:style w:type="table" w:customStyle="1" w:styleId="LightShading2">
    <w:name w:val="Light Shading2"/>
    <w:basedOn w:val="TableNormal"/>
    <w:uiPriority w:val="60"/>
    <w:rsid w:val="00BE41C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E41C7"/>
    <w:rPr>
      <w:rFonts w:ascii="Times New Roman" w:eastAsia="Calibri" w:hAnsi="Times New Roman" w:cs="Times New Roman"/>
      <w:color w:val="365F91" w:themeColor="accent1" w:themeShade="BF"/>
      <w:sz w:val="20"/>
      <w:szCs w:val="20"/>
      <w:lang w:eastAsia="lv-L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66F1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DE297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6">
    <w:name w:val="Medium List 1 Accent 6"/>
    <w:basedOn w:val="TableNormal"/>
    <w:uiPriority w:val="65"/>
    <w:rsid w:val="00571CC3"/>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3">
    <w:name w:val="Medium List 1 Accent 3"/>
    <w:basedOn w:val="TableNormal"/>
    <w:uiPriority w:val="65"/>
    <w:rsid w:val="006970E1"/>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PageNumber">
    <w:name w:val="page number"/>
    <w:basedOn w:val="DefaultParagraphFont"/>
    <w:uiPriority w:val="99"/>
    <w:rsid w:val="00F22592"/>
    <w:rPr>
      <w:rFonts w:cs="Times New Roman"/>
    </w:rPr>
  </w:style>
  <w:style w:type="table" w:styleId="MediumList2-Accent1">
    <w:name w:val="Medium List 2 Accent 1"/>
    <w:basedOn w:val="TableNormal"/>
    <w:uiPriority w:val="66"/>
    <w:rsid w:val="00792E95"/>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2">
    <w:name w:val="Light Shading - Accent 12"/>
    <w:basedOn w:val="TableNormal"/>
    <w:uiPriority w:val="60"/>
    <w:rsid w:val="007A6B0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virsrakstsB11">
    <w:name w:val="Tab_virsraksts_B_11"/>
    <w:basedOn w:val="Normal"/>
    <w:rsid w:val="00B77AB5"/>
    <w:pPr>
      <w:tabs>
        <w:tab w:val="left" w:pos="4469"/>
        <w:tab w:val="left" w:pos="5544"/>
        <w:tab w:val="left" w:pos="6619"/>
        <w:tab w:val="left" w:pos="7543"/>
        <w:tab w:val="left" w:pos="8467"/>
        <w:tab w:val="left" w:pos="9391"/>
        <w:tab w:val="left" w:pos="10332"/>
        <w:tab w:val="left" w:pos="11374"/>
        <w:tab w:val="left" w:pos="12533"/>
      </w:tabs>
      <w:jc w:val="center"/>
    </w:pPr>
    <w:rPr>
      <w:rFonts w:eastAsia="Times New Roman"/>
      <w:b/>
      <w:color w:val="000000"/>
      <w:szCs w:val="20"/>
    </w:rPr>
  </w:style>
  <w:style w:type="table" w:styleId="MediumList1-Accent4">
    <w:name w:val="Medium List 1 Accent 4"/>
    <w:basedOn w:val="TableNormal"/>
    <w:uiPriority w:val="65"/>
    <w:rsid w:val="00B77AB5"/>
    <w:rPr>
      <w:color w:val="000000" w:themeColor="text1"/>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Taksts11">
    <w:name w:val="Taksts_11"/>
    <w:basedOn w:val="Normal"/>
    <w:rsid w:val="000C1B2B"/>
    <w:pPr>
      <w:ind w:firstLine="567"/>
      <w:jc w:val="both"/>
    </w:pPr>
    <w:rPr>
      <w:rFonts w:eastAsia="Times New Roman"/>
      <w:szCs w:val="20"/>
      <w:lang w:val="en-US"/>
    </w:rPr>
  </w:style>
  <w:style w:type="character" w:customStyle="1" w:styleId="longtext1">
    <w:name w:val="long_text1"/>
    <w:basedOn w:val="DefaultParagraphFont"/>
    <w:rsid w:val="00F31F9C"/>
    <w:rPr>
      <w:sz w:val="12"/>
      <w:szCs w:val="12"/>
    </w:rPr>
  </w:style>
  <w:style w:type="table" w:customStyle="1" w:styleId="LightShading1">
    <w:name w:val="Light Shading1"/>
    <w:basedOn w:val="TableNormal"/>
    <w:uiPriority w:val="60"/>
    <w:rsid w:val="00A64BC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465603"/>
  </w:style>
  <w:style w:type="character" w:customStyle="1" w:styleId="hps">
    <w:name w:val="hps"/>
    <w:basedOn w:val="DefaultParagraphFont"/>
    <w:rsid w:val="005D5DF1"/>
  </w:style>
  <w:style w:type="character" w:customStyle="1" w:styleId="apple-converted-space">
    <w:name w:val="apple-converted-space"/>
    <w:basedOn w:val="DefaultParagraphFont"/>
    <w:rsid w:val="005D5DF1"/>
  </w:style>
  <w:style w:type="character" w:styleId="Emphasis">
    <w:name w:val="Emphasis"/>
    <w:basedOn w:val="DefaultParagraphFont"/>
    <w:uiPriority w:val="20"/>
    <w:qFormat/>
    <w:rsid w:val="002215D0"/>
    <w:rPr>
      <w:i/>
      <w:iCs/>
    </w:rPr>
  </w:style>
  <w:style w:type="paragraph" w:styleId="BodyText3">
    <w:name w:val="Body Text 3"/>
    <w:basedOn w:val="Normal"/>
    <w:link w:val="BodyText3Char"/>
    <w:uiPriority w:val="99"/>
    <w:semiHidden/>
    <w:unhideWhenUsed/>
    <w:rsid w:val="00BB57DD"/>
    <w:pPr>
      <w:spacing w:after="120"/>
    </w:pPr>
    <w:rPr>
      <w:sz w:val="16"/>
      <w:szCs w:val="16"/>
    </w:rPr>
  </w:style>
  <w:style w:type="character" w:customStyle="1" w:styleId="BodyText3Char">
    <w:name w:val="Body Text 3 Char"/>
    <w:basedOn w:val="DefaultParagraphFont"/>
    <w:link w:val="BodyText3"/>
    <w:uiPriority w:val="99"/>
    <w:semiHidden/>
    <w:rsid w:val="00BB57DD"/>
    <w:rPr>
      <w:rFonts w:ascii="Times New Roman" w:eastAsia="Calibri"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468547923">
      <w:bodyDiv w:val="1"/>
      <w:marLeft w:val="0"/>
      <w:marRight w:val="0"/>
      <w:marTop w:val="0"/>
      <w:marBottom w:val="0"/>
      <w:divBdr>
        <w:top w:val="none" w:sz="0" w:space="0" w:color="auto"/>
        <w:left w:val="none" w:sz="0" w:space="0" w:color="auto"/>
        <w:bottom w:val="none" w:sz="0" w:space="0" w:color="auto"/>
        <w:right w:val="none" w:sz="0" w:space="0" w:color="auto"/>
      </w:divBdr>
    </w:div>
    <w:div w:id="480388156">
      <w:bodyDiv w:val="1"/>
      <w:marLeft w:val="0"/>
      <w:marRight w:val="0"/>
      <w:marTop w:val="0"/>
      <w:marBottom w:val="0"/>
      <w:divBdr>
        <w:top w:val="none" w:sz="0" w:space="0" w:color="auto"/>
        <w:left w:val="none" w:sz="0" w:space="0" w:color="auto"/>
        <w:bottom w:val="none" w:sz="0" w:space="0" w:color="auto"/>
        <w:right w:val="none" w:sz="0" w:space="0" w:color="auto"/>
      </w:divBdr>
    </w:div>
    <w:div w:id="502744240">
      <w:bodyDiv w:val="1"/>
      <w:marLeft w:val="0"/>
      <w:marRight w:val="0"/>
      <w:marTop w:val="0"/>
      <w:marBottom w:val="0"/>
      <w:divBdr>
        <w:top w:val="none" w:sz="0" w:space="0" w:color="auto"/>
        <w:left w:val="none" w:sz="0" w:space="0" w:color="auto"/>
        <w:bottom w:val="none" w:sz="0" w:space="0" w:color="auto"/>
        <w:right w:val="none" w:sz="0" w:space="0" w:color="auto"/>
      </w:divBdr>
    </w:div>
    <w:div w:id="607738792">
      <w:bodyDiv w:val="1"/>
      <w:marLeft w:val="0"/>
      <w:marRight w:val="0"/>
      <w:marTop w:val="0"/>
      <w:marBottom w:val="0"/>
      <w:divBdr>
        <w:top w:val="none" w:sz="0" w:space="0" w:color="auto"/>
        <w:left w:val="none" w:sz="0" w:space="0" w:color="auto"/>
        <w:bottom w:val="none" w:sz="0" w:space="0" w:color="auto"/>
        <w:right w:val="none" w:sz="0" w:space="0" w:color="auto"/>
      </w:divBdr>
    </w:div>
    <w:div w:id="1009912610">
      <w:bodyDiv w:val="1"/>
      <w:marLeft w:val="0"/>
      <w:marRight w:val="0"/>
      <w:marTop w:val="0"/>
      <w:marBottom w:val="0"/>
      <w:divBdr>
        <w:top w:val="none" w:sz="0" w:space="0" w:color="auto"/>
        <w:left w:val="none" w:sz="0" w:space="0" w:color="auto"/>
        <w:bottom w:val="none" w:sz="0" w:space="0" w:color="auto"/>
        <w:right w:val="none" w:sz="0" w:space="0" w:color="auto"/>
      </w:divBdr>
      <w:divsChild>
        <w:div w:id="1132404713">
          <w:marLeft w:val="0"/>
          <w:marRight w:val="0"/>
          <w:marTop w:val="0"/>
          <w:marBottom w:val="0"/>
          <w:divBdr>
            <w:top w:val="none" w:sz="0" w:space="0" w:color="auto"/>
            <w:left w:val="none" w:sz="0" w:space="0" w:color="auto"/>
            <w:bottom w:val="none" w:sz="0" w:space="0" w:color="auto"/>
            <w:right w:val="none" w:sz="0" w:space="0" w:color="auto"/>
          </w:divBdr>
        </w:div>
      </w:divsChild>
    </w:div>
    <w:div w:id="1454179320">
      <w:bodyDiv w:val="1"/>
      <w:marLeft w:val="0"/>
      <w:marRight w:val="0"/>
      <w:marTop w:val="0"/>
      <w:marBottom w:val="0"/>
      <w:divBdr>
        <w:top w:val="none" w:sz="0" w:space="0" w:color="auto"/>
        <w:left w:val="none" w:sz="0" w:space="0" w:color="auto"/>
        <w:bottom w:val="none" w:sz="0" w:space="0" w:color="auto"/>
        <w:right w:val="none" w:sz="0" w:space="0" w:color="auto"/>
      </w:divBdr>
    </w:div>
    <w:div w:id="1481311510">
      <w:bodyDiv w:val="1"/>
      <w:marLeft w:val="0"/>
      <w:marRight w:val="0"/>
      <w:marTop w:val="0"/>
      <w:marBottom w:val="0"/>
      <w:divBdr>
        <w:top w:val="none" w:sz="0" w:space="0" w:color="auto"/>
        <w:left w:val="none" w:sz="0" w:space="0" w:color="auto"/>
        <w:bottom w:val="none" w:sz="0" w:space="0" w:color="auto"/>
        <w:right w:val="none" w:sz="0" w:space="0" w:color="auto"/>
      </w:divBdr>
    </w:div>
    <w:div w:id="198188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chart" Target="charts/chart110.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6.xml"/><Relationship Id="rId68" Type="http://schemas.openxmlformats.org/officeDocument/2006/relationships/chart" Target="charts/chart61.xml"/><Relationship Id="rId84" Type="http://schemas.openxmlformats.org/officeDocument/2006/relationships/chart" Target="charts/chart77.xml"/><Relationship Id="rId89" Type="http://schemas.openxmlformats.org/officeDocument/2006/relationships/chart" Target="charts/chart82.xml"/><Relationship Id="rId112" Type="http://schemas.openxmlformats.org/officeDocument/2006/relationships/chart" Target="charts/chart105.xml"/><Relationship Id="rId133" Type="http://schemas.openxmlformats.org/officeDocument/2006/relationships/chart" Target="charts/chart126.xml"/><Relationship Id="rId138" Type="http://schemas.openxmlformats.org/officeDocument/2006/relationships/chart" Target="charts/chart131.xml"/><Relationship Id="rId154" Type="http://schemas.openxmlformats.org/officeDocument/2006/relationships/chart" Target="charts/chart147.xml"/><Relationship Id="rId159" Type="http://schemas.openxmlformats.org/officeDocument/2006/relationships/hyperlink" Target="mailto:janis.salmins@em.gov.lv" TargetMode="External"/><Relationship Id="rId16" Type="http://schemas.openxmlformats.org/officeDocument/2006/relationships/chart" Target="charts/chart9.xml"/><Relationship Id="rId107" Type="http://schemas.openxmlformats.org/officeDocument/2006/relationships/chart" Target="charts/chart100.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7.xml"/><Relationship Id="rId79" Type="http://schemas.openxmlformats.org/officeDocument/2006/relationships/chart" Target="charts/chart72.xml"/><Relationship Id="rId102" Type="http://schemas.openxmlformats.org/officeDocument/2006/relationships/chart" Target="charts/chart95.xml"/><Relationship Id="rId123" Type="http://schemas.openxmlformats.org/officeDocument/2006/relationships/chart" Target="charts/chart116.xml"/><Relationship Id="rId128" Type="http://schemas.openxmlformats.org/officeDocument/2006/relationships/chart" Target="charts/chart121.xml"/><Relationship Id="rId144" Type="http://schemas.openxmlformats.org/officeDocument/2006/relationships/chart" Target="charts/chart137.xml"/><Relationship Id="rId149" Type="http://schemas.openxmlformats.org/officeDocument/2006/relationships/chart" Target="charts/chart142.xml"/><Relationship Id="rId5" Type="http://schemas.openxmlformats.org/officeDocument/2006/relationships/webSettings" Target="webSettings.xml"/><Relationship Id="rId90" Type="http://schemas.openxmlformats.org/officeDocument/2006/relationships/chart" Target="charts/chart83.xml"/><Relationship Id="rId95" Type="http://schemas.openxmlformats.org/officeDocument/2006/relationships/chart" Target="charts/chart88.xml"/><Relationship Id="rId160" Type="http://schemas.openxmlformats.org/officeDocument/2006/relationships/footer" Target="footer1.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7.xml"/><Relationship Id="rId69" Type="http://schemas.openxmlformats.org/officeDocument/2006/relationships/chart" Target="charts/chart62.xml"/><Relationship Id="rId113" Type="http://schemas.openxmlformats.org/officeDocument/2006/relationships/chart" Target="charts/chart106.xml"/><Relationship Id="rId118" Type="http://schemas.openxmlformats.org/officeDocument/2006/relationships/chart" Target="charts/chart111.xml"/><Relationship Id="rId134" Type="http://schemas.openxmlformats.org/officeDocument/2006/relationships/chart" Target="charts/chart127.xml"/><Relationship Id="rId139" Type="http://schemas.openxmlformats.org/officeDocument/2006/relationships/chart" Target="charts/chart132.xml"/><Relationship Id="rId80" Type="http://schemas.openxmlformats.org/officeDocument/2006/relationships/chart" Target="charts/chart73.xml"/><Relationship Id="rId85" Type="http://schemas.openxmlformats.org/officeDocument/2006/relationships/chart" Target="charts/chart78.xml"/><Relationship Id="rId150" Type="http://schemas.openxmlformats.org/officeDocument/2006/relationships/chart" Target="charts/chart143.xml"/><Relationship Id="rId155" Type="http://schemas.openxmlformats.org/officeDocument/2006/relationships/chart" Target="charts/chart148.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96.xml"/><Relationship Id="rId108" Type="http://schemas.openxmlformats.org/officeDocument/2006/relationships/chart" Target="charts/chart101.xml"/><Relationship Id="rId124" Type="http://schemas.openxmlformats.org/officeDocument/2006/relationships/chart" Target="charts/chart117.xml"/><Relationship Id="rId129" Type="http://schemas.openxmlformats.org/officeDocument/2006/relationships/chart" Target="charts/chart122.xml"/><Relationship Id="rId54" Type="http://schemas.openxmlformats.org/officeDocument/2006/relationships/chart" Target="charts/chart47.xml"/><Relationship Id="rId70" Type="http://schemas.openxmlformats.org/officeDocument/2006/relationships/chart" Target="charts/chart63.xml"/><Relationship Id="rId75" Type="http://schemas.openxmlformats.org/officeDocument/2006/relationships/chart" Target="charts/chart68.xml"/><Relationship Id="rId91" Type="http://schemas.openxmlformats.org/officeDocument/2006/relationships/chart" Target="charts/chart84.xml"/><Relationship Id="rId96" Type="http://schemas.openxmlformats.org/officeDocument/2006/relationships/chart" Target="charts/chart89.xml"/><Relationship Id="rId140" Type="http://schemas.openxmlformats.org/officeDocument/2006/relationships/chart" Target="charts/chart133.xml"/><Relationship Id="rId145" Type="http://schemas.openxmlformats.org/officeDocument/2006/relationships/chart" Target="charts/chart138.xml"/><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6" Type="http://schemas.openxmlformats.org/officeDocument/2006/relationships/chart" Target="charts/chart99.xml"/><Relationship Id="rId114" Type="http://schemas.openxmlformats.org/officeDocument/2006/relationships/chart" Target="charts/chart107.xml"/><Relationship Id="rId119" Type="http://schemas.openxmlformats.org/officeDocument/2006/relationships/chart" Target="charts/chart112.xml"/><Relationship Id="rId127" Type="http://schemas.openxmlformats.org/officeDocument/2006/relationships/chart" Target="charts/chart12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chart" Target="charts/chart74.xml"/><Relationship Id="rId86" Type="http://schemas.openxmlformats.org/officeDocument/2006/relationships/chart" Target="charts/chart79.xml"/><Relationship Id="rId94" Type="http://schemas.openxmlformats.org/officeDocument/2006/relationships/chart" Target="charts/chart87.xml"/><Relationship Id="rId99" Type="http://schemas.openxmlformats.org/officeDocument/2006/relationships/chart" Target="charts/chart92.xml"/><Relationship Id="rId101" Type="http://schemas.openxmlformats.org/officeDocument/2006/relationships/chart" Target="charts/chart94.xml"/><Relationship Id="rId122" Type="http://schemas.openxmlformats.org/officeDocument/2006/relationships/chart" Target="charts/chart115.xml"/><Relationship Id="rId130" Type="http://schemas.openxmlformats.org/officeDocument/2006/relationships/chart" Target="charts/chart123.xml"/><Relationship Id="rId135" Type="http://schemas.openxmlformats.org/officeDocument/2006/relationships/chart" Target="charts/chart128.xml"/><Relationship Id="rId143" Type="http://schemas.openxmlformats.org/officeDocument/2006/relationships/chart" Target="charts/chart136.xml"/><Relationship Id="rId148" Type="http://schemas.openxmlformats.org/officeDocument/2006/relationships/chart" Target="charts/chart141.xml"/><Relationship Id="rId151" Type="http://schemas.openxmlformats.org/officeDocument/2006/relationships/chart" Target="charts/chart144.xml"/><Relationship Id="rId156" Type="http://schemas.openxmlformats.org/officeDocument/2006/relationships/chart" Target="charts/chart149.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10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9.xml"/><Relationship Id="rId97" Type="http://schemas.openxmlformats.org/officeDocument/2006/relationships/chart" Target="charts/chart90.xml"/><Relationship Id="rId104" Type="http://schemas.openxmlformats.org/officeDocument/2006/relationships/chart" Target="charts/chart97.xml"/><Relationship Id="rId120" Type="http://schemas.openxmlformats.org/officeDocument/2006/relationships/chart" Target="charts/chart113.xml"/><Relationship Id="rId125" Type="http://schemas.openxmlformats.org/officeDocument/2006/relationships/chart" Target="charts/chart118.xml"/><Relationship Id="rId141" Type="http://schemas.openxmlformats.org/officeDocument/2006/relationships/chart" Target="charts/chart134.xml"/><Relationship Id="rId146" Type="http://schemas.openxmlformats.org/officeDocument/2006/relationships/chart" Target="charts/chart139.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chart" Target="charts/chart85.xm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80.xml"/><Relationship Id="rId110" Type="http://schemas.openxmlformats.org/officeDocument/2006/relationships/chart" Target="charts/chart103.xml"/><Relationship Id="rId115" Type="http://schemas.openxmlformats.org/officeDocument/2006/relationships/chart" Target="charts/chart108.xml"/><Relationship Id="rId131" Type="http://schemas.openxmlformats.org/officeDocument/2006/relationships/chart" Target="charts/chart124.xml"/><Relationship Id="rId136" Type="http://schemas.openxmlformats.org/officeDocument/2006/relationships/chart" Target="charts/chart129.xml"/><Relationship Id="rId157" Type="http://schemas.openxmlformats.org/officeDocument/2006/relationships/chart" Target="charts/chart150.xml"/><Relationship Id="rId61" Type="http://schemas.openxmlformats.org/officeDocument/2006/relationships/chart" Target="charts/chart54.xml"/><Relationship Id="rId82" Type="http://schemas.openxmlformats.org/officeDocument/2006/relationships/chart" Target="charts/chart75.xml"/><Relationship Id="rId152" Type="http://schemas.openxmlformats.org/officeDocument/2006/relationships/chart" Target="charts/chart145.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70.xml"/><Relationship Id="rId100" Type="http://schemas.openxmlformats.org/officeDocument/2006/relationships/chart" Target="charts/chart93.xml"/><Relationship Id="rId105" Type="http://schemas.openxmlformats.org/officeDocument/2006/relationships/chart" Target="charts/chart98.xml"/><Relationship Id="rId126" Type="http://schemas.openxmlformats.org/officeDocument/2006/relationships/chart" Target="charts/chart119.xml"/><Relationship Id="rId147" Type="http://schemas.openxmlformats.org/officeDocument/2006/relationships/chart" Target="charts/chart140.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93" Type="http://schemas.openxmlformats.org/officeDocument/2006/relationships/chart" Target="charts/chart86.xml"/><Relationship Id="rId98" Type="http://schemas.openxmlformats.org/officeDocument/2006/relationships/chart" Target="charts/chart91.xml"/><Relationship Id="rId121" Type="http://schemas.openxmlformats.org/officeDocument/2006/relationships/chart" Target="charts/chart114.xml"/><Relationship Id="rId142" Type="http://schemas.openxmlformats.org/officeDocument/2006/relationships/chart" Target="charts/chart135.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chart" Target="charts/chart60.xml"/><Relationship Id="rId116" Type="http://schemas.openxmlformats.org/officeDocument/2006/relationships/chart" Target="charts/chart109.xml"/><Relationship Id="rId137" Type="http://schemas.openxmlformats.org/officeDocument/2006/relationships/chart" Target="charts/chart130.xml"/><Relationship Id="rId158" Type="http://schemas.openxmlformats.org/officeDocument/2006/relationships/chart" Target="charts/chart151.xm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chart" Target="charts/chart55.xml"/><Relationship Id="rId83" Type="http://schemas.openxmlformats.org/officeDocument/2006/relationships/chart" Target="charts/chart76.xml"/><Relationship Id="rId88" Type="http://schemas.openxmlformats.org/officeDocument/2006/relationships/chart" Target="charts/chart81.xml"/><Relationship Id="rId111" Type="http://schemas.openxmlformats.org/officeDocument/2006/relationships/chart" Target="charts/chart104.xml"/><Relationship Id="rId132" Type="http://schemas.openxmlformats.org/officeDocument/2006/relationships/chart" Target="charts/chart125.xml"/><Relationship Id="rId153" Type="http://schemas.openxmlformats.org/officeDocument/2006/relationships/chart" Target="charts/chart14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Office_Excel_Worksheet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Office_Excel_Worksheet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Office_Excel_Worksheet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Office_Excel_Worksheet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Office_Excel_Worksheet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Office_Excel_Worksheet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Office_Excel_Worksheet106.xlsx"/></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Office_Excel_Worksheet107.xlsx"/><Relationship Id="rId1" Type="http://schemas.openxmlformats.org/officeDocument/2006/relationships/themeOverride" Target="../theme/themeOverride89.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Office_Excel_Worksheet108.xlsx"/><Relationship Id="rId1" Type="http://schemas.openxmlformats.org/officeDocument/2006/relationships/themeOverride" Target="../theme/themeOverride90.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Office_Excel_Worksheet109.xlsx"/><Relationship Id="rId1" Type="http://schemas.openxmlformats.org/officeDocument/2006/relationships/themeOverride" Target="../theme/themeOverride9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92.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93.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Office_Excel_Worksheet112.xlsx"/><Relationship Id="rId1" Type="http://schemas.openxmlformats.org/officeDocument/2006/relationships/themeOverride" Target="../theme/themeOverride94.xml"/></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Office_Excel_Worksheet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Office_Excel_Worksheet114.xlsx"/></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Office_Excel_Worksheet115.xlsx"/><Relationship Id="rId1" Type="http://schemas.openxmlformats.org/officeDocument/2006/relationships/themeOverride" Target="../theme/themeOverride9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Office_Excel_Worksheet116.xlsx"/><Relationship Id="rId1" Type="http://schemas.openxmlformats.org/officeDocument/2006/relationships/themeOverride" Target="../theme/themeOverride9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Office_Excel_Worksheet117.xlsx"/><Relationship Id="rId1" Type="http://schemas.openxmlformats.org/officeDocument/2006/relationships/themeOverride" Target="../theme/themeOverride9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Office_Excel_Worksheet118.xlsx"/><Relationship Id="rId1" Type="http://schemas.openxmlformats.org/officeDocument/2006/relationships/themeOverride" Target="../theme/themeOverride98.xml"/></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Office_Excel_Worksheet11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0.xml"/></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Office_Excel_Worksheet12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Office_Excel_Worksheet121.xlsx"/></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Office_Excel_Worksheet122.xlsx"/><Relationship Id="rId1" Type="http://schemas.openxmlformats.org/officeDocument/2006/relationships/themeOverride" Target="../theme/themeOverride99.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Office_Excel_Worksheet123.xlsx"/><Relationship Id="rId1" Type="http://schemas.openxmlformats.org/officeDocument/2006/relationships/themeOverride" Target="../theme/themeOverride100.xml"/></Relationships>
</file>

<file path=word/charts/_rels/chart12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24.xlsx"/></Relationships>
</file>

<file path=word/charts/_rels/chart12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125.xlsx"/></Relationships>
</file>

<file path=word/charts/_rels/chart12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26.xlsx"/></Relationships>
</file>

<file path=word/charts/_rels/chart12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27.xlsx"/></Relationships>
</file>

<file path=word/charts/_rels/chart12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128.xlsx"/></Relationships>
</file>

<file path=word/charts/_rels/chart12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129.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1.xml"/></Relationships>
</file>

<file path=word/charts/_rels/chart13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130.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Microsoft_Office_Excel_Worksheet131.xlsx"/></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Office_Excel_Worksheet132.xlsx"/><Relationship Id="rId1" Type="http://schemas.openxmlformats.org/officeDocument/2006/relationships/themeOverride" Target="../theme/themeOverride101.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Office_Excel_Worksheet133.xlsx"/><Relationship Id="rId1" Type="http://schemas.openxmlformats.org/officeDocument/2006/relationships/themeOverride" Target="../theme/themeOverride102.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Office_Excel_Worksheet134.xlsx"/><Relationship Id="rId1" Type="http://schemas.openxmlformats.org/officeDocument/2006/relationships/themeOverride" Target="../theme/themeOverride103.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Office_Excel_Worksheet135.xlsx"/><Relationship Id="rId1" Type="http://schemas.openxmlformats.org/officeDocument/2006/relationships/themeOverride" Target="../theme/themeOverride104.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Office_Excel_Worksheet136.xlsx"/><Relationship Id="rId1" Type="http://schemas.openxmlformats.org/officeDocument/2006/relationships/themeOverride" Target="../theme/themeOverride105.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Office_Excel_Worksheet137.xlsx"/><Relationship Id="rId1" Type="http://schemas.openxmlformats.org/officeDocument/2006/relationships/themeOverride" Target="../theme/themeOverride106.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Office_Excel_Worksheet138.xlsx"/><Relationship Id="rId1" Type="http://schemas.openxmlformats.org/officeDocument/2006/relationships/themeOverride" Target="../theme/themeOverride107.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Office_Excel_Worksheet139.xlsx"/><Relationship Id="rId1" Type="http://schemas.openxmlformats.org/officeDocument/2006/relationships/themeOverride" Target="../theme/themeOverride10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2.xml"/></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Office_Excel_Worksheet140.xlsx"/><Relationship Id="rId1" Type="http://schemas.openxmlformats.org/officeDocument/2006/relationships/themeOverride" Target="../theme/themeOverride109.xml"/></Relationships>
</file>

<file path=word/charts/_rels/chart141.xml.rels><?xml version="1.0" encoding="UTF-8" standalone="yes"?>
<Relationships xmlns="http://schemas.openxmlformats.org/package/2006/relationships"><Relationship Id="rId1" Type="http://schemas.openxmlformats.org/officeDocument/2006/relationships/package" Target="../embeddings/Microsoft_Office_Excel_Worksheet141.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Microsoft_Office_Excel_Worksheet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Microsoft_Office_Excel_Worksheet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Microsoft_Office_Excel_Worksheet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Microsoft_Office_Excel_Worksheet145.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Microsoft_Office_Excel_Worksheet146.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Microsoft_Office_Excel_Worksheet147.xlsx"/></Relationships>
</file>

<file path=word/charts/_rels/chart148.xml.rels><?xml version="1.0" encoding="UTF-8" standalone="yes"?>
<Relationships xmlns="http://schemas.openxmlformats.org/package/2006/relationships"><Relationship Id="rId1" Type="http://schemas.openxmlformats.org/officeDocument/2006/relationships/package" Target="../embeddings/Microsoft_Office_Excel_Worksheet148.xlsx"/></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Office_Excel_Worksheet149.xlsx"/><Relationship Id="rId1" Type="http://schemas.openxmlformats.org/officeDocument/2006/relationships/themeOverride" Target="../theme/themeOverride1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3.xml"/></Relationships>
</file>

<file path=word/charts/_rels/chart150.xml.rels><?xml version="1.0" encoding="UTF-8" standalone="yes"?>
<Relationships xmlns="http://schemas.openxmlformats.org/package/2006/relationships"><Relationship Id="rId1" Type="http://schemas.openxmlformats.org/officeDocument/2006/relationships/package" Target="../embeddings/Microsoft_Office_Excel_Worksheet150.xlsx"/></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Office_Excel_Worksheet151.xlsx"/><Relationship Id="rId1" Type="http://schemas.openxmlformats.org/officeDocument/2006/relationships/themeOverride" Target="../theme/themeOverride11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40.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Office_Excel_Worksheet42.xlsx"/><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Office_Excel_Worksheet43.xlsx"/><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Office_Excel_Worksheet44.xlsx"/><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Office_Excel_Worksheet45.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Office_Excel_Worksheet46.xlsx"/><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Office_Excel_Worksheet47.xlsx"/><Relationship Id="rId1" Type="http://schemas.openxmlformats.org/officeDocument/2006/relationships/themeOverride" Target="../theme/themeOverride38.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Office_Excel_Worksheet48.xlsx"/><Relationship Id="rId1" Type="http://schemas.openxmlformats.org/officeDocument/2006/relationships/themeOverride" Target="../theme/themeOverride39.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41.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42.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43.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44.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Office_Excel_Worksheet54.xlsx"/><Relationship Id="rId1" Type="http://schemas.openxmlformats.org/officeDocument/2006/relationships/themeOverride" Target="../theme/themeOverride45.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Office_Excel_Worksheet55.xlsx"/><Relationship Id="rId1" Type="http://schemas.openxmlformats.org/officeDocument/2006/relationships/themeOverride" Target="../theme/themeOverride46.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Office_Excel_Worksheet56.xlsx"/><Relationship Id="rId1" Type="http://schemas.openxmlformats.org/officeDocument/2006/relationships/themeOverride" Target="../theme/themeOverride47.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Office_Excel_Worksheet57.xlsx"/><Relationship Id="rId1" Type="http://schemas.openxmlformats.org/officeDocument/2006/relationships/themeOverride" Target="../theme/themeOverride48.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Office_Excel_Worksheet58.xlsx"/><Relationship Id="rId1" Type="http://schemas.openxmlformats.org/officeDocument/2006/relationships/themeOverride" Target="../theme/themeOverride49.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Office_Excel_Worksheet59.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Office_Excel_Worksheet60.xlsx"/><Relationship Id="rId1" Type="http://schemas.openxmlformats.org/officeDocument/2006/relationships/themeOverride" Target="../theme/themeOverride51.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Office_Excel_Worksheet61.xlsx"/><Relationship Id="rId1" Type="http://schemas.openxmlformats.org/officeDocument/2006/relationships/themeOverride" Target="../theme/themeOverride52.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Office_Excel_Worksheet62.xlsx"/><Relationship Id="rId1" Type="http://schemas.openxmlformats.org/officeDocument/2006/relationships/themeOverride" Target="../theme/themeOverride53.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Office_Excel_Worksheet63.xlsx"/><Relationship Id="rId1" Type="http://schemas.openxmlformats.org/officeDocument/2006/relationships/themeOverride" Target="../theme/themeOverride54.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55.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5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57.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Office_Excel_Worksheet67.xlsx"/><Relationship Id="rId1" Type="http://schemas.openxmlformats.org/officeDocument/2006/relationships/themeOverride" Target="../theme/themeOverride58.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59.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Office_Excel_Worksheet69.xlsx"/><Relationship Id="rId1" Type="http://schemas.openxmlformats.org/officeDocument/2006/relationships/themeOverride" Target="../theme/themeOverride60.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Office_Excel_Worksheet70.xlsx"/><Relationship Id="rId1" Type="http://schemas.openxmlformats.org/officeDocument/2006/relationships/themeOverride" Target="../theme/themeOverride61.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Office_Excel_Worksheet71.xlsx"/><Relationship Id="rId1" Type="http://schemas.openxmlformats.org/officeDocument/2006/relationships/themeOverride" Target="../theme/themeOverride62.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Office_Excel_Worksheet72.xlsx"/><Relationship Id="rId1" Type="http://schemas.openxmlformats.org/officeDocument/2006/relationships/themeOverride" Target="../theme/themeOverride63.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Office_Excel_Worksheet73.xlsx"/><Relationship Id="rId1" Type="http://schemas.openxmlformats.org/officeDocument/2006/relationships/themeOverride" Target="../theme/themeOverride64.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Office_Excel_Worksheet74.xlsx"/><Relationship Id="rId1" Type="http://schemas.openxmlformats.org/officeDocument/2006/relationships/themeOverride" Target="../theme/themeOverride65.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Office_Excel_Worksheet75.xlsx"/><Relationship Id="rId1" Type="http://schemas.openxmlformats.org/officeDocument/2006/relationships/themeOverride" Target="../theme/themeOverride66.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Office_Excel_Worksheet76.xlsx"/><Relationship Id="rId1" Type="http://schemas.openxmlformats.org/officeDocument/2006/relationships/themeOverride" Target="../theme/themeOverride67.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Office_Excel_Worksheet77.xlsx"/><Relationship Id="rId1" Type="http://schemas.openxmlformats.org/officeDocument/2006/relationships/themeOverride" Target="../theme/themeOverride68.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Office_Excel_Worksheet78.xlsx"/><Relationship Id="rId1" Type="http://schemas.openxmlformats.org/officeDocument/2006/relationships/themeOverride" Target="../theme/themeOverride69.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Office_Excel_Worksheet79.xlsx"/><Relationship Id="rId1" Type="http://schemas.openxmlformats.org/officeDocument/2006/relationships/themeOverride" Target="../theme/themeOverride70.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Office_Excel_Worksheet80.xlsx"/><Relationship Id="rId1" Type="http://schemas.openxmlformats.org/officeDocument/2006/relationships/themeOverride" Target="../theme/themeOverride71.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Office_Excel_Worksheet81.xlsx"/><Relationship Id="rId1" Type="http://schemas.openxmlformats.org/officeDocument/2006/relationships/themeOverride" Target="../theme/themeOverride72.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Office_Excel_Worksheet82.xlsx"/><Relationship Id="rId1" Type="http://schemas.openxmlformats.org/officeDocument/2006/relationships/themeOverride" Target="../theme/themeOverride73.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Office_Excel_Worksheet83.xlsx"/><Relationship Id="rId1" Type="http://schemas.openxmlformats.org/officeDocument/2006/relationships/themeOverride" Target="../theme/themeOverride74.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Office_Excel_Worksheet84.xlsx"/><Relationship Id="rId1" Type="http://schemas.openxmlformats.org/officeDocument/2006/relationships/themeOverride" Target="../theme/themeOverride75.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Office_Excel_Worksheet85.xlsx"/><Relationship Id="rId1" Type="http://schemas.openxmlformats.org/officeDocument/2006/relationships/themeOverride" Target="../theme/themeOverride76.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Office_Excel_Worksheet86.xlsx"/><Relationship Id="rId1" Type="http://schemas.openxmlformats.org/officeDocument/2006/relationships/themeOverride" Target="../theme/themeOverride77.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Office_Excel_Worksheet87.xlsx"/><Relationship Id="rId1" Type="http://schemas.openxmlformats.org/officeDocument/2006/relationships/themeOverride" Target="../theme/themeOverride78.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Office_Excel_Worksheet88.xlsx"/><Relationship Id="rId1" Type="http://schemas.openxmlformats.org/officeDocument/2006/relationships/themeOverride" Target="../theme/themeOverride79.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Office_Excel_Worksheet89.xlsx"/><Relationship Id="rId1" Type="http://schemas.openxmlformats.org/officeDocument/2006/relationships/themeOverride" Target="../theme/themeOverride80.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Office_Excel_Worksheet90.xlsx"/><Relationship Id="rId1" Type="http://schemas.openxmlformats.org/officeDocument/2006/relationships/themeOverride" Target="../theme/themeOverride81.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Office_Excel_Worksheet91.xlsx"/><Relationship Id="rId1" Type="http://schemas.openxmlformats.org/officeDocument/2006/relationships/themeOverride" Target="../theme/themeOverride82.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Office_Excel_Worksheet92.xlsx"/><Relationship Id="rId1" Type="http://schemas.openxmlformats.org/officeDocument/2006/relationships/themeOverride" Target="../theme/themeOverride83.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Office_Excel_Worksheet93.xlsx"/><Relationship Id="rId1" Type="http://schemas.openxmlformats.org/officeDocument/2006/relationships/themeOverride" Target="../theme/themeOverride84.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Office_Excel_Worksheet94.xlsx"/><Relationship Id="rId1" Type="http://schemas.openxmlformats.org/officeDocument/2006/relationships/themeOverride" Target="../theme/themeOverride85.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Office_Excel_Worksheet95.xlsx"/><Relationship Id="rId1" Type="http://schemas.openxmlformats.org/officeDocument/2006/relationships/themeOverride" Target="../theme/themeOverride86.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Office_Excel_Worksheet96.xlsx"/><Relationship Id="rId1" Type="http://schemas.openxmlformats.org/officeDocument/2006/relationships/themeOverride" Target="../theme/themeOverride87.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Office_Excel_Worksheet97.xlsx"/><Relationship Id="rId1" Type="http://schemas.openxmlformats.org/officeDocument/2006/relationships/themeOverride" Target="../theme/themeOverride88.xml"/></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Office_Excel_Worksheet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Office_Excel_Work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7330529123597"/>
          <c:y val="3.1819172113292507E-2"/>
          <c:w val="0.859797378747852"/>
          <c:h val="0.75380174291943691"/>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Sheet1!$B$3:$U$3</c:f>
              <c:numCache>
                <c:formatCode>0.0</c:formatCode>
                <c:ptCount val="20"/>
                <c:pt idx="0">
                  <c:v>101</c:v>
                </c:pt>
                <c:pt idx="1">
                  <c:v>102.01</c:v>
                </c:pt>
                <c:pt idx="2">
                  <c:v>102.62205999999998</c:v>
                </c:pt>
                <c:pt idx="3">
                  <c:v>103.54565853999998</c:v>
                </c:pt>
                <c:pt idx="4">
                  <c:v>104.47756946685999</c:v>
                </c:pt>
                <c:pt idx="5">
                  <c:v>104.89547974472741</c:v>
                </c:pt>
                <c:pt idx="6">
                  <c:v>105.52485262319577</c:v>
                </c:pt>
                <c:pt idx="7">
                  <c:v>106.05247688631134</c:v>
                </c:pt>
                <c:pt idx="8">
                  <c:v>106.68879174762888</c:v>
                </c:pt>
                <c:pt idx="9">
                  <c:v>106.36872537238617</c:v>
                </c:pt>
                <c:pt idx="10">
                  <c:v>105.73051302015273</c:v>
                </c:pt>
                <c:pt idx="11">
                  <c:v>103.72163327276951</c:v>
                </c:pt>
                <c:pt idx="12">
                  <c:v>101.23231407422304</c:v>
                </c:pt>
                <c:pt idx="13">
                  <c:v>100.92861713200004</c:v>
                </c:pt>
                <c:pt idx="14">
                  <c:v>101.23140298339636</c:v>
                </c:pt>
                <c:pt idx="15">
                  <c:v>101.53509719234621</c:v>
                </c:pt>
                <c:pt idx="16">
                  <c:v>101.94123758111657</c:v>
                </c:pt>
                <c:pt idx="17">
                  <c:v>102.96064995692741</c:v>
                </c:pt>
                <c:pt idx="18">
                  <c:v>103.47545320671171</c:v>
                </c:pt>
                <c:pt idx="19">
                  <c:v>103.68240411312438</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Sheet1!$B$4:$U$4</c:f>
              <c:numCache>
                <c:formatCode>0.0</c:formatCode>
                <c:ptCount val="20"/>
                <c:pt idx="0">
                  <c:v>103.4</c:v>
                </c:pt>
                <c:pt idx="1">
                  <c:v>105.26120000000033</c:v>
                </c:pt>
                <c:pt idx="2">
                  <c:v>108.31377479999998</c:v>
                </c:pt>
                <c:pt idx="3">
                  <c:v>110.04679519679944</c:v>
                </c:pt>
                <c:pt idx="4">
                  <c:v>113.56829264309759</c:v>
                </c:pt>
                <c:pt idx="5">
                  <c:v>114.02256581366933</c:v>
                </c:pt>
                <c:pt idx="6">
                  <c:v>114.36463351111099</c:v>
                </c:pt>
                <c:pt idx="7">
                  <c:v>114.82209204515515</c:v>
                </c:pt>
                <c:pt idx="8">
                  <c:v>112.29600602016212</c:v>
                </c:pt>
                <c:pt idx="9">
                  <c:v>111.17304595996038</c:v>
                </c:pt>
                <c:pt idx="10">
                  <c:v>108.28254676500141</c:v>
                </c:pt>
                <c:pt idx="11">
                  <c:v>101.89387650586625</c:v>
                </c:pt>
                <c:pt idx="12">
                  <c:v>96.187819421537824</c:v>
                </c:pt>
                <c:pt idx="13">
                  <c:v>92.725057922362453</c:v>
                </c:pt>
                <c:pt idx="14">
                  <c:v>91.705082285216463</c:v>
                </c:pt>
                <c:pt idx="15">
                  <c:v>92.622133108068155</c:v>
                </c:pt>
                <c:pt idx="16">
                  <c:v>93.640976572257358</c:v>
                </c:pt>
                <c:pt idx="17">
                  <c:v>95.60743708027475</c:v>
                </c:pt>
                <c:pt idx="18">
                  <c:v>96.659118888157778</c:v>
                </c:pt>
                <c:pt idx="19">
                  <c:v>98.882278622584749</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Sheet1!$B$5:$U$5</c:f>
              <c:numCache>
                <c:formatCode>0.0</c:formatCode>
                <c:ptCount val="20"/>
                <c:pt idx="0">
                  <c:v>104.1</c:v>
                </c:pt>
                <c:pt idx="1">
                  <c:v>106.8066</c:v>
                </c:pt>
                <c:pt idx="2">
                  <c:v>108.62231219999936</c:v>
                </c:pt>
                <c:pt idx="3">
                  <c:v>111.55511462939999</c:v>
                </c:pt>
                <c:pt idx="4">
                  <c:v>114.67865783902261</c:v>
                </c:pt>
                <c:pt idx="5">
                  <c:v>117.20158831148107</c:v>
                </c:pt>
                <c:pt idx="6">
                  <c:v>119.78002325433432</c:v>
                </c:pt>
                <c:pt idx="7">
                  <c:v>122.2954037426753</c:v>
                </c:pt>
                <c:pt idx="8">
                  <c:v>117.28129218922562</c:v>
                </c:pt>
                <c:pt idx="9">
                  <c:v>114.46654117668361</c:v>
                </c:pt>
                <c:pt idx="10">
                  <c:v>113.20740922374092</c:v>
                </c:pt>
                <c:pt idx="11">
                  <c:v>109.69797953780436</c:v>
                </c:pt>
                <c:pt idx="12">
                  <c:v>96.534221993268531</c:v>
                </c:pt>
                <c:pt idx="13">
                  <c:v>94.603537553402205</c:v>
                </c:pt>
                <c:pt idx="14">
                  <c:v>91.103206663926855</c:v>
                </c:pt>
                <c:pt idx="15">
                  <c:v>91.194309870590658</c:v>
                </c:pt>
                <c:pt idx="16">
                  <c:v>91.376698490331918</c:v>
                </c:pt>
                <c:pt idx="17">
                  <c:v>91.924958681274362</c:v>
                </c:pt>
                <c:pt idx="18">
                  <c:v>93.395758020173972</c:v>
                </c:pt>
                <c:pt idx="19">
                  <c:v>94.423111358396213</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Sheet1!$B$6:$U$6</c:f>
              <c:numCache>
                <c:formatCode>0.0</c:formatCode>
                <c:ptCount val="20"/>
                <c:pt idx="0">
                  <c:v>99.6</c:v>
                </c:pt>
                <c:pt idx="1">
                  <c:v>102.38879999999995</c:v>
                </c:pt>
                <c:pt idx="2">
                  <c:v>104.94852000000031</c:v>
                </c:pt>
                <c:pt idx="3">
                  <c:v>107.78213003999966</c:v>
                </c:pt>
                <c:pt idx="4">
                  <c:v>108.75216921035997</c:v>
                </c:pt>
                <c:pt idx="5">
                  <c:v>112.55849513272186</c:v>
                </c:pt>
                <c:pt idx="6">
                  <c:v>116.38548396723513</c:v>
                </c:pt>
                <c:pt idx="7">
                  <c:v>116.73464041913682</c:v>
                </c:pt>
                <c:pt idx="8">
                  <c:v>117.90198682332819</c:v>
                </c:pt>
                <c:pt idx="9">
                  <c:v>118.37359477062108</c:v>
                </c:pt>
                <c:pt idx="10">
                  <c:v>116.24287006475031</c:v>
                </c:pt>
                <c:pt idx="11">
                  <c:v>114.84795562397379</c:v>
                </c:pt>
                <c:pt idx="12">
                  <c:v>101.64044072721637</c:v>
                </c:pt>
                <c:pt idx="13">
                  <c:v>99.50599147194481</c:v>
                </c:pt>
                <c:pt idx="14">
                  <c:v>99.406485480472895</c:v>
                </c:pt>
                <c:pt idx="15">
                  <c:v>98.313014140187676</c:v>
                </c:pt>
                <c:pt idx="16">
                  <c:v>99.689396338149734</c:v>
                </c:pt>
                <c:pt idx="17">
                  <c:v>100.68629030153149</c:v>
                </c:pt>
                <c:pt idx="18">
                  <c:v>100.98834917243578</c:v>
                </c:pt>
                <c:pt idx="19">
                  <c:v>102.80613945754025</c:v>
                </c:pt>
              </c:numCache>
            </c:numRef>
          </c:val>
          <c:smooth val="1"/>
        </c:ser>
        <c:marker val="1"/>
        <c:axId val="138896128"/>
        <c:axId val="138898432"/>
      </c:lineChart>
      <c:catAx>
        <c:axId val="138896128"/>
        <c:scaling>
          <c:orientation val="minMax"/>
        </c:scaling>
        <c:axPos val="b"/>
        <c:majorGridlines>
          <c:spPr>
            <a:ln w="3175">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38898432"/>
        <c:crosses val="autoZero"/>
        <c:auto val="1"/>
        <c:lblAlgn val="ctr"/>
        <c:lblOffset val="0"/>
        <c:tickLblSkip val="1"/>
        <c:tickMarkSkip val="1"/>
        <c:noMultiLvlLbl val="1"/>
      </c:catAx>
      <c:valAx>
        <c:axId val="138898432"/>
        <c:scaling>
          <c:orientation val="minMax"/>
          <c:max val="125"/>
          <c:min val="85"/>
        </c:scaling>
        <c:axPos val="l"/>
        <c:majorGridlines>
          <c:spPr>
            <a:ln w="3175">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38896128"/>
        <c:crosses val="autoZero"/>
        <c:crossBetween val="between"/>
        <c:majorUnit val="5"/>
      </c:valAx>
      <c:spPr>
        <a:noFill/>
        <a:ln w="6350">
          <a:solidFill>
            <a:sysClr val="window" lastClr="FFFFFF">
              <a:lumMod val="75000"/>
            </a:sysClr>
          </a:solidFill>
        </a:ln>
      </c:spPr>
    </c:plotArea>
    <c:legend>
      <c:legendPos val="b"/>
      <c:layout>
        <c:manualLayout>
          <c:xMode val="edge"/>
          <c:yMode val="edge"/>
          <c:x val="0.27442714611813579"/>
          <c:y val="0.51387768309783199"/>
          <c:w val="0.26086068923259192"/>
          <c:h val="0.24822684835628644"/>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48527810408222"/>
          <c:y val="2.8994936365652597E-2"/>
          <c:w val="0.86914402657379985"/>
          <c:h val="0.79735763030761286"/>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c:formatCode>
                <c:ptCount val="12"/>
                <c:pt idx="0">
                  <c:v>5043</c:v>
                </c:pt>
                <c:pt idx="1">
                  <c:v>4610</c:v>
                </c:pt>
                <c:pt idx="2">
                  <c:v>4722</c:v>
                </c:pt>
                <c:pt idx="3">
                  <c:v>4271</c:v>
                </c:pt>
                <c:pt idx="4">
                  <c:v>4653</c:v>
                </c:pt>
                <c:pt idx="5">
                  <c:v>4536</c:v>
                </c:pt>
                <c:pt idx="6">
                  <c:v>4622</c:v>
                </c:pt>
                <c:pt idx="7">
                  <c:v>4245</c:v>
                </c:pt>
                <c:pt idx="8">
                  <c:v>4180</c:v>
                </c:pt>
                <c:pt idx="9">
                  <c:v>4644</c:v>
                </c:pt>
                <c:pt idx="10">
                  <c:v>5068</c:v>
                </c:pt>
                <c:pt idx="11">
                  <c:v>5468</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c:formatCode>
                <c:ptCount val="12"/>
                <c:pt idx="0">
                  <c:v>4890</c:v>
                </c:pt>
                <c:pt idx="1">
                  <c:v>4577</c:v>
                </c:pt>
                <c:pt idx="2">
                  <c:v>4747</c:v>
                </c:pt>
                <c:pt idx="3">
                  <c:v>4231</c:v>
                </c:pt>
                <c:pt idx="4">
                  <c:v>4936</c:v>
                </c:pt>
                <c:pt idx="5">
                  <c:v>4798</c:v>
                </c:pt>
                <c:pt idx="6">
                  <c:v>4388</c:v>
                </c:pt>
                <c:pt idx="7">
                  <c:v>4539</c:v>
                </c:pt>
                <c:pt idx="8">
                  <c:v>3786</c:v>
                </c:pt>
                <c:pt idx="9">
                  <c:v>3837</c:v>
                </c:pt>
                <c:pt idx="10">
                  <c:v>4202</c:v>
                </c:pt>
                <c:pt idx="11">
                  <c:v>4748</c:v>
                </c:pt>
              </c:numCache>
            </c:numRef>
          </c:val>
        </c:ser>
        <c:ser>
          <c:idx val="4"/>
          <c:order val="2"/>
          <c:tx>
            <c:strRef>
              <c:f>Sheet1!$A$4</c:f>
              <c:strCache>
                <c:ptCount val="1"/>
                <c:pt idx="0">
                  <c:v>2010</c:v>
                </c:pt>
              </c:strCache>
            </c:strRef>
          </c:tx>
          <c:spPr>
            <a:ln w="31750">
              <a:solidFill>
                <a:srgbClr val="0070C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c:formatCode>
                <c:ptCount val="12"/>
                <c:pt idx="0">
                  <c:v>4599</c:v>
                </c:pt>
                <c:pt idx="1">
                  <c:v>4321</c:v>
                </c:pt>
                <c:pt idx="2">
                  <c:v>4362</c:v>
                </c:pt>
                <c:pt idx="3">
                  <c:v>4320</c:v>
                </c:pt>
                <c:pt idx="4">
                  <c:v>3977</c:v>
                </c:pt>
                <c:pt idx="5">
                  <c:v>3711</c:v>
                </c:pt>
                <c:pt idx="6">
                  <c:v>3813</c:v>
                </c:pt>
                <c:pt idx="7">
                  <c:v>3815</c:v>
                </c:pt>
                <c:pt idx="8">
                  <c:v>4017</c:v>
                </c:pt>
                <c:pt idx="9">
                  <c:v>3916</c:v>
                </c:pt>
                <c:pt idx="10">
                  <c:v>4153</c:v>
                </c:pt>
                <c:pt idx="11">
                  <c:v>4160</c:v>
                </c:pt>
              </c:numCache>
            </c:numRef>
          </c:val>
        </c:ser>
        <c:marker val="1"/>
        <c:axId val="147332480"/>
        <c:axId val="147334272"/>
      </c:lineChart>
      <c:catAx>
        <c:axId val="147332480"/>
        <c:scaling>
          <c:orientation val="minMax"/>
        </c:scaling>
        <c:axPos val="b"/>
        <c:majorGridlines>
          <c:spPr>
            <a:ln>
              <a:solidFill>
                <a:schemeClr val="bg1">
                  <a:lumMod val="85000"/>
                </a:schemeClr>
              </a:solidFill>
            </a:ln>
          </c:spPr>
        </c:majorGridlines>
        <c:numFmt formatCode="General" sourceLinked="1"/>
        <c:majorTickMark val="none"/>
        <c:tickLblPos val="nextTo"/>
        <c:spPr>
          <a:ln w="6350">
            <a:solidFill>
              <a:schemeClr val="tx1"/>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7334272"/>
        <c:crosses val="autoZero"/>
        <c:auto val="1"/>
        <c:lblAlgn val="ctr"/>
        <c:lblOffset val="100"/>
        <c:tickLblSkip val="1"/>
        <c:tickMarkSkip val="1"/>
      </c:catAx>
      <c:valAx>
        <c:axId val="147334272"/>
        <c:scaling>
          <c:orientation val="minMax"/>
          <c:max val="5500"/>
          <c:min val="3500"/>
        </c:scaling>
        <c:axPos val="l"/>
        <c:majorGridlines>
          <c:spPr>
            <a:ln w="6350">
              <a:solidFill>
                <a:schemeClr val="bg1">
                  <a:lumMod val="75000"/>
                </a:schemeClr>
              </a:solidFill>
              <a:prstDash val="solid"/>
            </a:ln>
          </c:spPr>
        </c:majorGridlines>
        <c:numFmt formatCode="0"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7332480"/>
        <c:crosses val="autoZero"/>
        <c:crossBetween val="between"/>
        <c:majorUnit val="500"/>
      </c:valAx>
      <c:spPr>
        <a:noFill/>
        <a:ln w="6350">
          <a:solidFill>
            <a:schemeClr val="bg1">
              <a:lumMod val="75000"/>
            </a:schemeClr>
          </a:solidFill>
        </a:ln>
      </c:spPr>
    </c:plotArea>
    <c:legend>
      <c:legendPos val="r"/>
      <c:layout>
        <c:manualLayout>
          <c:xMode val="edge"/>
          <c:yMode val="edge"/>
          <c:x val="0.13191299744701682"/>
          <c:y val="6.7022218172825401E-2"/>
          <c:w val="0.75256337235404092"/>
          <c:h val="9.4060755053430367E-2"/>
        </c:manualLayout>
      </c:layout>
      <c:spPr>
        <a:solidFill>
          <a:schemeClr val="bg1"/>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6.3280423280423409E-2"/>
          <c:y val="6.5769805680119586E-2"/>
          <c:w val="0.92731334509105823"/>
          <c:h val="0.78750953701637494"/>
        </c:manualLayout>
      </c:layout>
      <c:barChart>
        <c:barDir val="col"/>
        <c:grouping val="clustered"/>
        <c:ser>
          <c:idx val="1"/>
          <c:order val="2"/>
          <c:tx>
            <c:strRef>
              <c:f>Sheet1!$A$6</c:f>
              <c:strCache>
                <c:ptCount val="1"/>
                <c:pt idx="0">
                  <c:v>Finansiālā bilance</c:v>
                </c:pt>
              </c:strCache>
            </c:strRef>
          </c:tx>
          <c:spPr>
            <a:solidFill>
              <a:schemeClr val="tx1">
                <a:lumMod val="65000"/>
                <a:lumOff val="35000"/>
              </a:schemeClr>
            </a:solidFill>
            <a:ln>
              <a:solidFill>
                <a:schemeClr val="tx1"/>
              </a:solidFill>
            </a:ln>
          </c:spPr>
          <c:dLbls>
            <c:dLbl>
              <c:idx val="2"/>
              <c:layout>
                <c:manualLayout>
                  <c:x val="-6.3291139240507031E-3"/>
                  <c:y val="1.3071895424836669E-2"/>
                </c:manualLayout>
              </c:layout>
              <c:showVal val="1"/>
            </c:dLbl>
            <c:dLbl>
              <c:idx val="9"/>
              <c:layout>
                <c:manualLayout>
                  <c:x val="-6.3291139240507031E-3"/>
                  <c:y val="6.5359477124185333E-3"/>
                </c:manualLayout>
              </c:layout>
              <c:showVal val="1"/>
            </c:dLbl>
            <c:dLbl>
              <c:idx val="17"/>
              <c:layout>
                <c:manualLayout>
                  <c:x val="-6.3291139240505591E-3"/>
                  <c:y val="6.5359477124185333E-3"/>
                </c:manualLayout>
              </c:layout>
              <c:showVal val="1"/>
            </c:dLbl>
            <c:dLbl>
              <c:idx val="18"/>
              <c:layout>
                <c:manualLayout>
                  <c:x val="0"/>
                  <c:y val="1.9607843137254902E-2"/>
                </c:manualLayout>
              </c:layout>
              <c:showVal val="1"/>
            </c:dLbl>
            <c:dLbl>
              <c:idx val="21"/>
              <c:layout>
                <c:manualLayout>
                  <c:x val="0"/>
                  <c:y val="-6.5359477124185333E-3"/>
                </c:manualLayout>
              </c:layout>
              <c:showVal val="1"/>
            </c:dLbl>
            <c:dLbl>
              <c:idx val="22"/>
              <c:layout>
                <c:manualLayout>
                  <c:x val="-7.7354943238616246E-17"/>
                  <c:y val="6.5359477124185333E-3"/>
                </c:manualLayout>
              </c:layout>
              <c:showVal val="1"/>
            </c:dLbl>
            <c:dLbl>
              <c:idx val="26"/>
              <c:layout>
                <c:manualLayout>
                  <c:x val="0"/>
                  <c:y val="1.9607843137254902E-2"/>
                </c:manualLayout>
              </c:layout>
              <c:showVal val="1"/>
            </c:dLbl>
            <c:numFmt formatCode="#,##0" sourceLinked="0"/>
            <c:txPr>
              <a:bodyPr/>
              <a:lstStyle/>
              <a:p>
                <a:pPr>
                  <a:defRPr lang="lv-LV" sz="700"/>
                </a:pPr>
                <a:endParaRPr lang="lv-LV"/>
              </a:p>
            </c:txPr>
            <c:showVal val="1"/>
          </c:dLbls>
          <c:cat>
            <c:multiLvlStrRef>
              <c:f>Sheet1!$B$1:$AY$3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Sheet1!$B$6:$AY$6</c:f>
              <c:numCache>
                <c:formatCode>0.0</c:formatCode>
                <c:ptCount val="38"/>
                <c:pt idx="0">
                  <c:v>92.072999999999979</c:v>
                </c:pt>
                <c:pt idx="1">
                  <c:v>13.556000000000052</c:v>
                </c:pt>
                <c:pt idx="2">
                  <c:v>8.6369999999999987</c:v>
                </c:pt>
                <c:pt idx="3">
                  <c:v>38.463000000000008</c:v>
                </c:pt>
                <c:pt idx="4">
                  <c:v>120.285</c:v>
                </c:pt>
                <c:pt idx="5">
                  <c:v>-107.18700000000001</c:v>
                </c:pt>
                <c:pt idx="6">
                  <c:v>-64.748000000000005</c:v>
                </c:pt>
                <c:pt idx="7">
                  <c:v>15.446000000000025</c:v>
                </c:pt>
                <c:pt idx="8">
                  <c:v>19.361999999999966</c:v>
                </c:pt>
                <c:pt idx="9">
                  <c:v>-228.49800000000027</c:v>
                </c:pt>
                <c:pt idx="10">
                  <c:v>-192.815</c:v>
                </c:pt>
                <c:pt idx="11">
                  <c:v>-245.67099999999999</c:v>
                </c:pt>
                <c:pt idx="12">
                  <c:v>58.603000000000009</c:v>
                </c:pt>
                <c:pt idx="13">
                  <c:v>-51.774000000000001</c:v>
                </c:pt>
                <c:pt idx="14">
                  <c:v>-148.876</c:v>
                </c:pt>
                <c:pt idx="15">
                  <c:v>-190.78999999999996</c:v>
                </c:pt>
                <c:pt idx="16" formatCode="General">
                  <c:v>-5.0120000000000005</c:v>
                </c:pt>
                <c:pt idx="17" formatCode="General">
                  <c:v>-87.305999999999983</c:v>
                </c:pt>
                <c:pt idx="18" formatCode="General">
                  <c:v>-3.7569999999999477</c:v>
                </c:pt>
                <c:pt idx="19" formatCode="General">
                  <c:v>12.202</c:v>
                </c:pt>
                <c:pt idx="20">
                  <c:v>-77.036999999999992</c:v>
                </c:pt>
                <c:pt idx="21">
                  <c:v>-20.740000000000009</c:v>
                </c:pt>
                <c:pt idx="22">
                  <c:v>-73.60799999999999</c:v>
                </c:pt>
                <c:pt idx="23">
                  <c:v>-304.01800000000003</c:v>
                </c:pt>
                <c:pt idx="24">
                  <c:v>70.669999999999973</c:v>
                </c:pt>
                <c:pt idx="25">
                  <c:v>-87.842000000000013</c:v>
                </c:pt>
                <c:pt idx="26">
                  <c:v>-115.49299999999999</c:v>
                </c:pt>
                <c:pt idx="27">
                  <c:v>-55.56</c:v>
                </c:pt>
                <c:pt idx="28">
                  <c:v>32.944999999999993</c:v>
                </c:pt>
                <c:pt idx="29">
                  <c:v>-18.372000000000014</c:v>
                </c:pt>
                <c:pt idx="30">
                  <c:v>-12.887</c:v>
                </c:pt>
                <c:pt idx="31">
                  <c:v>-9.3430000000000177</c:v>
                </c:pt>
                <c:pt idx="32" formatCode="General">
                  <c:v>-97.958000000000013</c:v>
                </c:pt>
                <c:pt idx="33" formatCode="General">
                  <c:v>-55.905999999999963</c:v>
                </c:pt>
                <c:pt idx="34" formatCode="General">
                  <c:v>-90.269000000000005</c:v>
                </c:pt>
                <c:pt idx="35" formatCode="General">
                  <c:v>-362.65700000000032</c:v>
                </c:pt>
                <c:pt idx="36" formatCode="General">
                  <c:v>-0.78800000000001091</c:v>
                </c:pt>
                <c:pt idx="37" formatCode="General">
                  <c:v>-92.87700000000001</c:v>
                </c:pt>
              </c:numCache>
            </c:numRef>
          </c:val>
        </c:ser>
        <c:gapWidth val="40"/>
        <c:axId val="265267072"/>
        <c:axId val="265268608"/>
      </c:barChart>
      <c:lineChart>
        <c:grouping val="standard"/>
        <c:ser>
          <c:idx val="0"/>
          <c:order val="0"/>
          <c:tx>
            <c:strRef>
              <c:f>Sheet1!$A$4</c:f>
              <c:strCache>
                <c:ptCount val="1"/>
                <c:pt idx="0">
                  <c:v>Ieņēmumi</c:v>
                </c:pt>
              </c:strCache>
            </c:strRef>
          </c:tx>
          <c:spPr>
            <a:ln w="31750">
              <a:solidFill>
                <a:srgbClr val="0070C0"/>
              </a:solidFill>
              <a:prstDash val="solid"/>
            </a:ln>
          </c:spPr>
          <c:marker>
            <c:symbol val="none"/>
          </c:marker>
          <c:cat>
            <c:multiLvlStrRef>
              <c:f>Sheet1!$B$1:$AY$3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Sheet1!$B$4:$AY$4</c:f>
              <c:numCache>
                <c:formatCode>0.0</c:formatCode>
                <c:ptCount val="38"/>
                <c:pt idx="0">
                  <c:v>440.28599999999869</c:v>
                </c:pt>
                <c:pt idx="1">
                  <c:v>448.55200000000002</c:v>
                </c:pt>
                <c:pt idx="2">
                  <c:v>460.58199999999869</c:v>
                </c:pt>
                <c:pt idx="3">
                  <c:v>579.23500000000001</c:v>
                </c:pt>
                <c:pt idx="4">
                  <c:v>534.50199999999938</c:v>
                </c:pt>
                <c:pt idx="5">
                  <c:v>473.29799999999869</c:v>
                </c:pt>
                <c:pt idx="6">
                  <c:v>463.69900000000001</c:v>
                </c:pt>
                <c:pt idx="7">
                  <c:v>488.375</c:v>
                </c:pt>
                <c:pt idx="8">
                  <c:v>508.73099999999869</c:v>
                </c:pt>
                <c:pt idx="9">
                  <c:v>448.08699999999823</c:v>
                </c:pt>
                <c:pt idx="10">
                  <c:v>414.065</c:v>
                </c:pt>
                <c:pt idx="11">
                  <c:v>463.55599999999993</c:v>
                </c:pt>
                <c:pt idx="12">
                  <c:v>412.9</c:v>
                </c:pt>
                <c:pt idx="13">
                  <c:v>432.87</c:v>
                </c:pt>
                <c:pt idx="14">
                  <c:v>351.14900000000216</c:v>
                </c:pt>
                <c:pt idx="15">
                  <c:v>436.1</c:v>
                </c:pt>
                <c:pt idx="16" formatCode="General">
                  <c:v>414.34899999999999</c:v>
                </c:pt>
                <c:pt idx="17" formatCode="General">
                  <c:v>440.54</c:v>
                </c:pt>
                <c:pt idx="18" formatCode="General">
                  <c:v>342.78500000000003</c:v>
                </c:pt>
                <c:pt idx="19" formatCode="General">
                  <c:v>402.42599999999823</c:v>
                </c:pt>
                <c:pt idx="20">
                  <c:v>308.06200000000001</c:v>
                </c:pt>
                <c:pt idx="21">
                  <c:v>425.62299999999999</c:v>
                </c:pt>
                <c:pt idx="22">
                  <c:v>397.97699999999753</c:v>
                </c:pt>
                <c:pt idx="23">
                  <c:v>357.35199999999969</c:v>
                </c:pt>
                <c:pt idx="24">
                  <c:v>411.87799999999999</c:v>
                </c:pt>
                <c:pt idx="25">
                  <c:v>350.3</c:v>
                </c:pt>
                <c:pt idx="26">
                  <c:v>377.99599999999776</c:v>
                </c:pt>
                <c:pt idx="27">
                  <c:v>407.88400000000001</c:v>
                </c:pt>
                <c:pt idx="28">
                  <c:v>391.56200000000001</c:v>
                </c:pt>
                <c:pt idx="29">
                  <c:v>394.30399999999969</c:v>
                </c:pt>
                <c:pt idx="30">
                  <c:v>380.64000000000038</c:v>
                </c:pt>
                <c:pt idx="31">
                  <c:v>376.23599999999863</c:v>
                </c:pt>
                <c:pt idx="32" formatCode="General">
                  <c:v>348.49400000000003</c:v>
                </c:pt>
                <c:pt idx="33" formatCode="General">
                  <c:v>363.35700000000008</c:v>
                </c:pt>
                <c:pt idx="34" formatCode="General">
                  <c:v>390.94099999999969</c:v>
                </c:pt>
                <c:pt idx="35" formatCode="General">
                  <c:v>413.452</c:v>
                </c:pt>
                <c:pt idx="36" formatCode="General">
                  <c:v>365.48899999999753</c:v>
                </c:pt>
                <c:pt idx="37" formatCode="General">
                  <c:v>344.44</c:v>
                </c:pt>
              </c:numCache>
            </c:numRef>
          </c:val>
          <c:smooth val="1"/>
        </c:ser>
        <c:ser>
          <c:idx val="2"/>
          <c:order val="1"/>
          <c:tx>
            <c:strRef>
              <c:f>Sheet1!$A$5</c:f>
              <c:strCache>
                <c:ptCount val="1"/>
                <c:pt idx="0">
                  <c:v>Izdevumi</c:v>
                </c:pt>
              </c:strCache>
            </c:strRef>
          </c:tx>
          <c:spPr>
            <a:ln w="12700">
              <a:solidFill>
                <a:srgbClr val="0070C0"/>
              </a:solidFill>
              <a:prstDash val="sysDash"/>
            </a:ln>
          </c:spPr>
          <c:marker>
            <c:symbol val="none"/>
          </c:marker>
          <c:cat>
            <c:multiLvlStrRef>
              <c:f>Sheet1!$B$1:$AY$3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Sheet1!$B$5:$AY$5</c:f>
              <c:numCache>
                <c:formatCode>0.0</c:formatCode>
                <c:ptCount val="38"/>
                <c:pt idx="0">
                  <c:v>348.21299999999923</c:v>
                </c:pt>
                <c:pt idx="1">
                  <c:v>434.99599999999776</c:v>
                </c:pt>
                <c:pt idx="2">
                  <c:v>451.94499999999999</c:v>
                </c:pt>
                <c:pt idx="3">
                  <c:v>540.77200000000005</c:v>
                </c:pt>
                <c:pt idx="4">
                  <c:v>414.21699999999788</c:v>
                </c:pt>
                <c:pt idx="5">
                  <c:v>580.48500000000001</c:v>
                </c:pt>
                <c:pt idx="6">
                  <c:v>528.44699999999796</c:v>
                </c:pt>
                <c:pt idx="7">
                  <c:v>472.92899999999747</c:v>
                </c:pt>
                <c:pt idx="8">
                  <c:v>489.36900000000031</c:v>
                </c:pt>
                <c:pt idx="9">
                  <c:v>676.58500000000004</c:v>
                </c:pt>
                <c:pt idx="10">
                  <c:v>606.88</c:v>
                </c:pt>
                <c:pt idx="11">
                  <c:v>709.22699999999998</c:v>
                </c:pt>
                <c:pt idx="12">
                  <c:v>354.29700000000003</c:v>
                </c:pt>
                <c:pt idx="13">
                  <c:v>484.64400000000228</c:v>
                </c:pt>
                <c:pt idx="14">
                  <c:v>500.02499999999969</c:v>
                </c:pt>
                <c:pt idx="15">
                  <c:v>626.89</c:v>
                </c:pt>
                <c:pt idx="16" formatCode="General">
                  <c:v>419.36099999999999</c:v>
                </c:pt>
                <c:pt idx="17" formatCode="General">
                  <c:v>527.84599999999796</c:v>
                </c:pt>
                <c:pt idx="18" formatCode="General">
                  <c:v>346.54199999999969</c:v>
                </c:pt>
                <c:pt idx="19" formatCode="General">
                  <c:v>390.22399999999863</c:v>
                </c:pt>
                <c:pt idx="20">
                  <c:v>385.09899999999863</c:v>
                </c:pt>
                <c:pt idx="21">
                  <c:v>446.363</c:v>
                </c:pt>
                <c:pt idx="22">
                  <c:v>471.58499999999964</c:v>
                </c:pt>
                <c:pt idx="23">
                  <c:v>661.37</c:v>
                </c:pt>
                <c:pt idx="24">
                  <c:v>341.20800000000003</c:v>
                </c:pt>
                <c:pt idx="25">
                  <c:v>438.14200000000204</c:v>
                </c:pt>
                <c:pt idx="26">
                  <c:v>493.48899999999753</c:v>
                </c:pt>
                <c:pt idx="27">
                  <c:v>463.44400000000002</c:v>
                </c:pt>
                <c:pt idx="28">
                  <c:v>358.61700000000002</c:v>
                </c:pt>
                <c:pt idx="29">
                  <c:v>412.67599999999999</c:v>
                </c:pt>
                <c:pt idx="30">
                  <c:v>393.52699999999794</c:v>
                </c:pt>
                <c:pt idx="31">
                  <c:v>385.57900000000001</c:v>
                </c:pt>
                <c:pt idx="32" formatCode="General">
                  <c:v>446.452</c:v>
                </c:pt>
                <c:pt idx="33" formatCode="General">
                  <c:v>419.26299999999969</c:v>
                </c:pt>
                <c:pt idx="34" formatCode="General">
                  <c:v>481.21</c:v>
                </c:pt>
                <c:pt idx="35" formatCode="General">
                  <c:v>776.10900000000004</c:v>
                </c:pt>
                <c:pt idx="36" formatCode="General">
                  <c:v>366.27699999999794</c:v>
                </c:pt>
                <c:pt idx="37" formatCode="General">
                  <c:v>437.31700000000001</c:v>
                </c:pt>
              </c:numCache>
            </c:numRef>
          </c:val>
          <c:smooth val="1"/>
        </c:ser>
        <c:marker val="1"/>
        <c:axId val="265267072"/>
        <c:axId val="265268608"/>
      </c:lineChart>
      <c:catAx>
        <c:axId val="265267072"/>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5268608"/>
        <c:crosses val="autoZero"/>
        <c:auto val="1"/>
        <c:lblAlgn val="ctr"/>
        <c:lblOffset val="0"/>
        <c:tickLblSkip val="1"/>
        <c:tickMarkSkip val="1"/>
        <c:noMultiLvlLbl val="1"/>
      </c:catAx>
      <c:valAx>
        <c:axId val="265268608"/>
        <c:scaling>
          <c:orientation val="minMax"/>
          <c:max val="1000"/>
          <c:min val="-500"/>
        </c:scaling>
        <c:axPos val="l"/>
        <c:majorGridlines>
          <c:spPr>
            <a:ln w="6350">
              <a:solidFill>
                <a:schemeClr val="bg1">
                  <a:lumMod val="85000"/>
                </a:schemeClr>
              </a:solidFill>
              <a:prstDash val="solid"/>
            </a:ln>
          </c:spPr>
        </c:majorGridlines>
        <c:numFmt formatCode="0" sourceLinked="0"/>
        <c:tickLblPos val="nextTo"/>
        <c:spPr>
          <a:ln w="6350">
            <a:solidFill>
              <a:schemeClr val="tx1"/>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5267072"/>
        <c:crosses val="autoZero"/>
        <c:crossBetween val="between"/>
        <c:majorUnit val="250"/>
      </c:valAx>
      <c:spPr>
        <a:noFill/>
        <a:ln w="6350">
          <a:solidFill>
            <a:schemeClr val="bg1">
              <a:lumMod val="75000"/>
            </a:schemeClr>
          </a:solidFill>
        </a:ln>
      </c:spPr>
    </c:plotArea>
    <c:legend>
      <c:legendPos val="b"/>
      <c:layout>
        <c:manualLayout>
          <c:xMode val="edge"/>
          <c:yMode val="edge"/>
          <c:x val="0.35915246353699481"/>
          <c:y val="0.11073748134424365"/>
          <c:w val="0.54467091929964462"/>
          <c:h val="9.6544181977253368E-2"/>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1994"/>
          <c:h val="0.81853820991254356"/>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389.2706</c:v>
                </c:pt>
                <c:pt idx="1">
                  <c:v>375.16359999999969</c:v>
                </c:pt>
                <c:pt idx="2">
                  <c:v>369.87170000000003</c:v>
                </c:pt>
                <c:pt idx="3">
                  <c:v>403.89429999999999</c:v>
                </c:pt>
                <c:pt idx="4">
                  <c:v>438.99159999999665</c:v>
                </c:pt>
                <c:pt idx="5">
                  <c:v>388.61149999999969</c:v>
                </c:pt>
                <c:pt idx="6">
                  <c:v>405.21469999999999</c:v>
                </c:pt>
                <c:pt idx="7">
                  <c:v>419.85782100000228</c:v>
                </c:pt>
                <c:pt idx="8">
                  <c:v>415.75109499999894</c:v>
                </c:pt>
                <c:pt idx="9">
                  <c:v>393.01625499999869</c:v>
                </c:pt>
                <c:pt idx="10">
                  <c:v>371.65135399999969</c:v>
                </c:pt>
                <c:pt idx="11">
                  <c:v>365.27275200000003</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340.34051099999999</c:v>
                </c:pt>
                <c:pt idx="1">
                  <c:v>295.83786799999996</c:v>
                </c:pt>
                <c:pt idx="2">
                  <c:v>294.36836900000003</c:v>
                </c:pt>
                <c:pt idx="3">
                  <c:v>289.22354799999869</c:v>
                </c:pt>
                <c:pt idx="4">
                  <c:v>320.72085580999999</c:v>
                </c:pt>
                <c:pt idx="5">
                  <c:v>285.20995019000031</c:v>
                </c:pt>
                <c:pt idx="6">
                  <c:v>302.72658199999893</c:v>
                </c:pt>
                <c:pt idx="7">
                  <c:v>291.69227899999993</c:v>
                </c:pt>
                <c:pt idx="8">
                  <c:v>276.42720299999894</c:v>
                </c:pt>
                <c:pt idx="9">
                  <c:v>270.46198899999899</c:v>
                </c:pt>
                <c:pt idx="10">
                  <c:v>267.71164600000003</c:v>
                </c:pt>
                <c:pt idx="11">
                  <c:v>280.28732199999899</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271.27915658999899</c:v>
                </c:pt>
                <c:pt idx="1">
                  <c:v>263.40353699999747</c:v>
                </c:pt>
                <c:pt idx="2">
                  <c:v>281.61976699999997</c:v>
                </c:pt>
                <c:pt idx="3">
                  <c:v>296.15869888999998</c:v>
                </c:pt>
                <c:pt idx="4">
                  <c:v>278.99215210999893</c:v>
                </c:pt>
                <c:pt idx="5">
                  <c:v>275.98158099999893</c:v>
                </c:pt>
                <c:pt idx="6">
                  <c:v>292.42952599999899</c:v>
                </c:pt>
                <c:pt idx="7">
                  <c:v>294.75468899999998</c:v>
                </c:pt>
                <c:pt idx="8">
                  <c:v>276.83283399999999</c:v>
                </c:pt>
                <c:pt idx="9">
                  <c:v>293.57339099999899</c:v>
                </c:pt>
                <c:pt idx="10">
                  <c:v>286.64354699999996</c:v>
                </c:pt>
                <c:pt idx="11">
                  <c:v>303.48697099999777</c:v>
                </c:pt>
              </c:numCache>
            </c:numRef>
          </c:val>
        </c:ser>
        <c:ser>
          <c:idx val="1"/>
          <c:order val="3"/>
          <c:tx>
            <c:strRef>
              <c:f>Sheet1!$A$5</c:f>
              <c:strCache>
                <c:ptCount val="1"/>
                <c:pt idx="0">
                  <c:v>2011</c:v>
                </c:pt>
              </c:strCache>
            </c:strRef>
          </c:tx>
          <c:spPr>
            <a:ln>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304.81420699999995</c:v>
                </c:pt>
                <c:pt idx="1">
                  <c:v>257.86978899999997</c:v>
                </c:pt>
              </c:numCache>
            </c:numRef>
          </c:val>
        </c:ser>
        <c:marker val="1"/>
        <c:axId val="264926336"/>
        <c:axId val="264927872"/>
      </c:lineChart>
      <c:catAx>
        <c:axId val="264926336"/>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4927872"/>
        <c:crosses val="autoZero"/>
        <c:auto val="1"/>
        <c:lblAlgn val="ctr"/>
        <c:lblOffset val="100"/>
        <c:tickLblSkip val="1"/>
        <c:tickMarkSkip val="1"/>
      </c:catAx>
      <c:valAx>
        <c:axId val="264927872"/>
        <c:scaling>
          <c:orientation val="minMax"/>
          <c:max val="450"/>
          <c:min val="25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4926336"/>
        <c:crosses val="autoZero"/>
        <c:crossBetween val="between"/>
        <c:majorUnit val="50"/>
      </c:valAx>
      <c:spPr>
        <a:noFill/>
        <a:ln w="6350">
          <a:solidFill>
            <a:schemeClr val="bg1">
              <a:lumMod val="75000"/>
            </a:schemeClr>
          </a:solidFill>
        </a:ln>
      </c:spPr>
    </c:plotArea>
    <c:legend>
      <c:legendPos val="r"/>
      <c:layout>
        <c:manualLayout>
          <c:xMode val="edge"/>
          <c:yMode val="edge"/>
          <c:x val="0.33437327267869954"/>
          <c:y val="0.33508747486231216"/>
          <c:w val="0.4919619521166993"/>
          <c:h val="0.21989240881690514"/>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016"/>
          <c:h val="0.84245708867579983"/>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123.532</c:v>
                </c:pt>
                <c:pt idx="1">
                  <c:v>93.338999999999999</c:v>
                </c:pt>
                <c:pt idx="2">
                  <c:v>86.388999999999982</c:v>
                </c:pt>
                <c:pt idx="3">
                  <c:v>88.881999999999991</c:v>
                </c:pt>
                <c:pt idx="4">
                  <c:v>99.55</c:v>
                </c:pt>
                <c:pt idx="5">
                  <c:v>86.877999999999986</c:v>
                </c:pt>
                <c:pt idx="6">
                  <c:v>96.346000000000004</c:v>
                </c:pt>
                <c:pt idx="7">
                  <c:v>96.863570999999979</c:v>
                </c:pt>
                <c:pt idx="8">
                  <c:v>104.20231099999998</c:v>
                </c:pt>
                <c:pt idx="9">
                  <c:v>94.396984000000003</c:v>
                </c:pt>
                <c:pt idx="10">
                  <c:v>79.472529999999992</c:v>
                </c:pt>
                <c:pt idx="11">
                  <c:v>67.298914999999994</c:v>
                </c:pt>
              </c:numCache>
            </c:numRef>
          </c:val>
        </c:ser>
        <c:ser>
          <c:idx val="1"/>
          <c:order val="1"/>
          <c:tx>
            <c:strRef>
              <c:f>Sheet1!$A$3</c:f>
              <c:strCache>
                <c:ptCount val="1"/>
                <c:pt idx="0">
                  <c:v>2009</c:v>
                </c:pt>
              </c:strCache>
            </c:strRef>
          </c:tx>
          <c:spPr>
            <a:ln w="12700">
              <a:solidFill>
                <a:schemeClr val="tx1"/>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92.008349999999979</c:v>
                </c:pt>
                <c:pt idx="1">
                  <c:v>60.214482999999994</c:v>
                </c:pt>
                <c:pt idx="2">
                  <c:v>64.408785000000009</c:v>
                </c:pt>
                <c:pt idx="3">
                  <c:v>64.996883999999994</c:v>
                </c:pt>
                <c:pt idx="4">
                  <c:v>72.674061999999978</c:v>
                </c:pt>
                <c:pt idx="5">
                  <c:v>59.954105999999996</c:v>
                </c:pt>
                <c:pt idx="6">
                  <c:v>74.294358000000003</c:v>
                </c:pt>
                <c:pt idx="7">
                  <c:v>67.328129000000004</c:v>
                </c:pt>
                <c:pt idx="8">
                  <c:v>67.463460000000026</c:v>
                </c:pt>
                <c:pt idx="9">
                  <c:v>58.818530000000003</c:v>
                </c:pt>
                <c:pt idx="10">
                  <c:v>61.452569000000004</c:v>
                </c:pt>
                <c:pt idx="11">
                  <c:v>54.823806000000005</c:v>
                </c:pt>
              </c:numCache>
            </c:numRef>
          </c:val>
        </c:ser>
        <c:ser>
          <c:idx val="2"/>
          <c:order val="2"/>
          <c:tx>
            <c:strRef>
              <c:f>Sheet1!$A$4</c:f>
              <c:strCache>
                <c:ptCount val="1"/>
                <c:pt idx="0">
                  <c:v>2010</c:v>
                </c:pt>
              </c:strCache>
            </c:strRef>
          </c:tx>
          <c:spPr>
            <a:ln w="15875">
              <a:solidFill>
                <a:schemeClr val="tx1"/>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76.097393999999994</c:v>
                </c:pt>
                <c:pt idx="1">
                  <c:v>59.759726000000001</c:v>
                </c:pt>
                <c:pt idx="2">
                  <c:v>60.240527</c:v>
                </c:pt>
                <c:pt idx="3">
                  <c:v>72.517896999999991</c:v>
                </c:pt>
                <c:pt idx="4">
                  <c:v>67.344003000000427</c:v>
                </c:pt>
                <c:pt idx="5">
                  <c:v>74.773268000000002</c:v>
                </c:pt>
                <c:pt idx="6">
                  <c:v>73.728714000000011</c:v>
                </c:pt>
                <c:pt idx="7">
                  <c:v>70.785780999999858</c:v>
                </c:pt>
                <c:pt idx="8">
                  <c:v>73.860647</c:v>
                </c:pt>
                <c:pt idx="9">
                  <c:v>80.912649000000485</c:v>
                </c:pt>
                <c:pt idx="10">
                  <c:v>59.501626000000002</c:v>
                </c:pt>
                <c:pt idx="11">
                  <c:v>55.7</c:v>
                </c:pt>
              </c:numCache>
            </c:numRef>
          </c:val>
        </c:ser>
        <c:ser>
          <c:idx val="3"/>
          <c:order val="3"/>
          <c:tx>
            <c:strRef>
              <c:f>Sheet1!$A$5</c:f>
              <c:strCache>
                <c:ptCount val="1"/>
                <c:pt idx="0">
                  <c:v>2011</c:v>
                </c:pt>
              </c:strCache>
            </c:strRef>
          </c:tx>
          <c:spPr>
            <a:ln>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100.09961199999999</c:v>
                </c:pt>
                <c:pt idx="1">
                  <c:v>36.735113000000375</c:v>
                </c:pt>
              </c:numCache>
            </c:numRef>
          </c:val>
        </c:ser>
        <c:marker val="1"/>
        <c:axId val="266183040"/>
        <c:axId val="266184576"/>
      </c:lineChart>
      <c:catAx>
        <c:axId val="266183040"/>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6184576"/>
        <c:crosses val="autoZero"/>
        <c:auto val="1"/>
        <c:lblAlgn val="ctr"/>
        <c:lblOffset val="100"/>
        <c:tickLblSkip val="1"/>
        <c:tickMarkSkip val="1"/>
      </c:catAx>
      <c:valAx>
        <c:axId val="266184576"/>
        <c:scaling>
          <c:orientation val="minMax"/>
          <c:max val="130"/>
          <c:min val="3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6183040"/>
        <c:crosses val="autoZero"/>
        <c:crossBetween val="between"/>
        <c:majorUnit val="20"/>
      </c:valAx>
      <c:spPr>
        <a:noFill/>
        <a:ln w="6350">
          <a:solidFill>
            <a:schemeClr val="bg1">
              <a:lumMod val="75000"/>
            </a:schemeClr>
          </a:solidFill>
        </a:ln>
      </c:spPr>
    </c:plotArea>
    <c:legend>
      <c:legendPos val="r"/>
      <c:layout>
        <c:manualLayout>
          <c:xMode val="edge"/>
          <c:yMode val="edge"/>
          <c:x val="0.42261756902250164"/>
          <c:y val="3.7565672420234668E-2"/>
          <c:w val="0.55814517437455424"/>
          <c:h val="0.20423336658311136"/>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016"/>
          <c:h val="0.81853820991254356"/>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104.925</c:v>
                </c:pt>
                <c:pt idx="1">
                  <c:v>122.483</c:v>
                </c:pt>
                <c:pt idx="2">
                  <c:v>117.20099999999999</c:v>
                </c:pt>
                <c:pt idx="3">
                  <c:v>112.492</c:v>
                </c:pt>
                <c:pt idx="4">
                  <c:v>110.27200000000001</c:v>
                </c:pt>
                <c:pt idx="5">
                  <c:v>119.85899999999998</c:v>
                </c:pt>
                <c:pt idx="6">
                  <c:v>117.44400000000046</c:v>
                </c:pt>
                <c:pt idx="7">
                  <c:v>123.288258</c:v>
                </c:pt>
                <c:pt idx="8">
                  <c:v>134.02353299999999</c:v>
                </c:pt>
                <c:pt idx="9">
                  <c:v>114.00924800000001</c:v>
                </c:pt>
                <c:pt idx="10">
                  <c:v>106.37773999999995</c:v>
                </c:pt>
                <c:pt idx="11">
                  <c:v>119.32036699999998</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92.535119999999992</c:v>
                </c:pt>
                <c:pt idx="1">
                  <c:v>86.951042000000001</c:v>
                </c:pt>
                <c:pt idx="2">
                  <c:v>89.170878999999204</c:v>
                </c:pt>
                <c:pt idx="3">
                  <c:v>104.73695300000044</c:v>
                </c:pt>
                <c:pt idx="4">
                  <c:v>103.08752400000044</c:v>
                </c:pt>
                <c:pt idx="5">
                  <c:v>110.73055599999999</c:v>
                </c:pt>
                <c:pt idx="6">
                  <c:v>109.20092299999999</c:v>
                </c:pt>
                <c:pt idx="7">
                  <c:v>95.959660999999997</c:v>
                </c:pt>
                <c:pt idx="8">
                  <c:v>94.319429000000127</c:v>
                </c:pt>
                <c:pt idx="9">
                  <c:v>92.070109000000002</c:v>
                </c:pt>
                <c:pt idx="10">
                  <c:v>84.378793999999758</c:v>
                </c:pt>
                <c:pt idx="11">
                  <c:v>103.538586</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82.244661590000547</c:v>
                </c:pt>
                <c:pt idx="1">
                  <c:v>85.572146999999958</c:v>
                </c:pt>
                <c:pt idx="2">
                  <c:v>87.103660000000005</c:v>
                </c:pt>
                <c:pt idx="3">
                  <c:v>89.279205889999986</c:v>
                </c:pt>
                <c:pt idx="4">
                  <c:v>89.972925109999949</c:v>
                </c:pt>
                <c:pt idx="5">
                  <c:v>92.413329000000559</c:v>
                </c:pt>
                <c:pt idx="6">
                  <c:v>95.573846999999958</c:v>
                </c:pt>
                <c:pt idx="7">
                  <c:v>90.915918000000005</c:v>
                </c:pt>
                <c:pt idx="8">
                  <c:v>85.218751999999981</c:v>
                </c:pt>
                <c:pt idx="9">
                  <c:v>90.413965000000545</c:v>
                </c:pt>
                <c:pt idx="10">
                  <c:v>92.585371999999253</c:v>
                </c:pt>
                <c:pt idx="11">
                  <c:v>111.9</c:v>
                </c:pt>
              </c:numCache>
            </c:numRef>
          </c:val>
        </c:ser>
        <c:ser>
          <c:idx val="1"/>
          <c:order val="3"/>
          <c:tx>
            <c:strRef>
              <c:f>Sheet1!$A$5</c:f>
              <c:strCache>
                <c:ptCount val="1"/>
                <c:pt idx="0">
                  <c:v>2011</c:v>
                </c:pt>
              </c:strCache>
            </c:strRef>
          </c:tx>
          <c:spPr>
            <a:ln>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83.777125000000026</c:v>
                </c:pt>
                <c:pt idx="1">
                  <c:v>95.512267999999992</c:v>
                </c:pt>
              </c:numCache>
            </c:numRef>
          </c:val>
        </c:ser>
        <c:marker val="1"/>
        <c:axId val="265158016"/>
        <c:axId val="266146944"/>
      </c:lineChart>
      <c:catAx>
        <c:axId val="265158016"/>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6146944"/>
        <c:crosses val="autoZero"/>
        <c:auto val="1"/>
        <c:lblAlgn val="ctr"/>
        <c:lblOffset val="100"/>
        <c:tickLblSkip val="1"/>
        <c:tickMarkSkip val="1"/>
      </c:catAx>
      <c:valAx>
        <c:axId val="266146944"/>
        <c:scaling>
          <c:orientation val="minMax"/>
          <c:max val="140"/>
          <c:min val="8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5158016"/>
        <c:crosses val="autoZero"/>
        <c:crossBetween val="between"/>
        <c:majorUnit val="15"/>
      </c:valAx>
      <c:spPr>
        <a:noFill/>
        <a:ln w="6350">
          <a:solidFill>
            <a:schemeClr val="bg1">
              <a:lumMod val="75000"/>
            </a:schemeClr>
          </a:solidFill>
        </a:ln>
      </c:spPr>
    </c:plotArea>
    <c:legend>
      <c:legendPos val="r"/>
      <c:layout>
        <c:manualLayout>
          <c:xMode val="edge"/>
          <c:yMode val="edge"/>
          <c:x val="0.1269991762707614"/>
          <c:y val="5.3224714654027692E-2"/>
          <c:w val="0.45666423357917835"/>
          <c:h val="0.21206288770000795"/>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016"/>
          <c:h val="0.82636773102944028"/>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77.712999999999994</c:v>
                </c:pt>
                <c:pt idx="1">
                  <c:v>80.09</c:v>
                </c:pt>
                <c:pt idx="2">
                  <c:v>79.456000000000003</c:v>
                </c:pt>
                <c:pt idx="3">
                  <c:v>90.668999999999983</c:v>
                </c:pt>
                <c:pt idx="4">
                  <c:v>81.662999999999982</c:v>
                </c:pt>
                <c:pt idx="5">
                  <c:v>88.86</c:v>
                </c:pt>
                <c:pt idx="6">
                  <c:v>92.462999999999994</c:v>
                </c:pt>
                <c:pt idx="7">
                  <c:v>83.621296999999998</c:v>
                </c:pt>
                <c:pt idx="8">
                  <c:v>82.692732999999237</c:v>
                </c:pt>
                <c:pt idx="9">
                  <c:v>84.697661999999994</c:v>
                </c:pt>
                <c:pt idx="10">
                  <c:v>93.351608999999982</c:v>
                </c:pt>
                <c:pt idx="11">
                  <c:v>93.83477400000001</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73.785687999999979</c:v>
                </c:pt>
                <c:pt idx="1">
                  <c:v>61.489974000000004</c:v>
                </c:pt>
                <c:pt idx="2">
                  <c:v>65.092420000000004</c:v>
                </c:pt>
                <c:pt idx="3">
                  <c:v>68.552959000000001</c:v>
                </c:pt>
                <c:pt idx="4">
                  <c:v>58.090815810000265</c:v>
                </c:pt>
                <c:pt idx="5">
                  <c:v>63.440286189999995</c:v>
                </c:pt>
                <c:pt idx="6">
                  <c:v>60.965956000000013</c:v>
                </c:pt>
                <c:pt idx="7">
                  <c:v>55.743189000000001</c:v>
                </c:pt>
                <c:pt idx="8">
                  <c:v>52.805364000000004</c:v>
                </c:pt>
                <c:pt idx="9">
                  <c:v>54.32850100000001</c:v>
                </c:pt>
                <c:pt idx="10">
                  <c:v>52.567306000000002</c:v>
                </c:pt>
                <c:pt idx="11">
                  <c:v>62.555724000000005</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55.123066000000001</c:v>
                </c:pt>
                <c:pt idx="1">
                  <c:v>68.399602999999999</c:v>
                </c:pt>
                <c:pt idx="2">
                  <c:v>66.271786999999989</c:v>
                </c:pt>
                <c:pt idx="3">
                  <c:v>73.721066999999991</c:v>
                </c:pt>
                <c:pt idx="4">
                  <c:v>65.337611999999993</c:v>
                </c:pt>
                <c:pt idx="5">
                  <c:v>61.974862999999999</c:v>
                </c:pt>
                <c:pt idx="6">
                  <c:v>68.552580999999989</c:v>
                </c:pt>
                <c:pt idx="7">
                  <c:v>62.418366000000006</c:v>
                </c:pt>
                <c:pt idx="8">
                  <c:v>60.184654000000002</c:v>
                </c:pt>
                <c:pt idx="9">
                  <c:v>64.301846999999981</c:v>
                </c:pt>
                <c:pt idx="10">
                  <c:v>65.062087999999989</c:v>
                </c:pt>
                <c:pt idx="11">
                  <c:v>79.8</c:v>
                </c:pt>
              </c:numCache>
            </c:numRef>
          </c:val>
        </c:ser>
        <c:ser>
          <c:idx val="1"/>
          <c:order val="3"/>
          <c:tx>
            <c:strRef>
              <c:f>Sheet1!$A$5</c:f>
              <c:strCache>
                <c:ptCount val="1"/>
                <c:pt idx="0">
                  <c:v>2011</c:v>
                </c:pt>
              </c:strCache>
            </c:strRef>
          </c:tx>
          <c:spPr>
            <a:ln>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60.824709000000006</c:v>
                </c:pt>
                <c:pt idx="1">
                  <c:v>59.639409000000001</c:v>
                </c:pt>
              </c:numCache>
            </c:numRef>
          </c:val>
        </c:ser>
        <c:marker val="1"/>
        <c:axId val="267147904"/>
        <c:axId val="267166080"/>
      </c:lineChart>
      <c:catAx>
        <c:axId val="267147904"/>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7166080"/>
        <c:crosses val="autoZero"/>
        <c:auto val="1"/>
        <c:lblAlgn val="ctr"/>
        <c:lblOffset val="100"/>
        <c:tickLblSkip val="1"/>
        <c:tickMarkSkip val="1"/>
      </c:catAx>
      <c:valAx>
        <c:axId val="267166080"/>
        <c:scaling>
          <c:orientation val="minMax"/>
          <c:max val="100"/>
          <c:min val="5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7147904"/>
        <c:crosses val="autoZero"/>
        <c:crossBetween val="between"/>
        <c:majorUnit val="10"/>
      </c:valAx>
      <c:spPr>
        <a:noFill/>
        <a:ln w="6350">
          <a:solidFill>
            <a:schemeClr val="bg1">
              <a:lumMod val="75000"/>
            </a:schemeClr>
          </a:solidFill>
        </a:ln>
      </c:spPr>
    </c:plotArea>
    <c:legend>
      <c:legendPos val="r"/>
      <c:layout>
        <c:manualLayout>
          <c:xMode val="edge"/>
          <c:yMode val="edge"/>
          <c:x val="0.40055649493654932"/>
          <c:y val="0.35074651709609844"/>
          <c:w val="0.48313752248231873"/>
          <c:h val="0.1729152821155257"/>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016"/>
          <c:h val="0.82636773102944028"/>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44.990600000000001</c:v>
                </c:pt>
                <c:pt idx="1">
                  <c:v>41.627600000000008</c:v>
                </c:pt>
                <c:pt idx="2">
                  <c:v>39.880699999999997</c:v>
                </c:pt>
                <c:pt idx="3">
                  <c:v>44.8063</c:v>
                </c:pt>
                <c:pt idx="4">
                  <c:v>46.217600000000004</c:v>
                </c:pt>
                <c:pt idx="5">
                  <c:v>44.795500000000317</c:v>
                </c:pt>
                <c:pt idx="6">
                  <c:v>49.618700000000011</c:v>
                </c:pt>
                <c:pt idx="7">
                  <c:v>48.310471999999997</c:v>
                </c:pt>
                <c:pt idx="8">
                  <c:v>46.088173000000012</c:v>
                </c:pt>
                <c:pt idx="9">
                  <c:v>50.970700000000001</c:v>
                </c:pt>
                <c:pt idx="10">
                  <c:v>40.836500000000001</c:v>
                </c:pt>
                <c:pt idx="11">
                  <c:v>42.779356000000163</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42.939900000000002</c:v>
                </c:pt>
                <c:pt idx="1">
                  <c:v>49.70920000000001</c:v>
                </c:pt>
                <c:pt idx="2">
                  <c:v>33.840599999999995</c:v>
                </c:pt>
                <c:pt idx="3">
                  <c:v>34.187799999999996</c:v>
                </c:pt>
                <c:pt idx="4">
                  <c:v>46.503100000000003</c:v>
                </c:pt>
                <c:pt idx="5">
                  <c:v>42.012809000000004</c:v>
                </c:pt>
                <c:pt idx="6">
                  <c:v>46.313699999999997</c:v>
                </c:pt>
                <c:pt idx="7">
                  <c:v>44.531200000000005</c:v>
                </c:pt>
                <c:pt idx="8">
                  <c:v>43.9863</c:v>
                </c:pt>
                <c:pt idx="9">
                  <c:v>44.359399999999994</c:v>
                </c:pt>
                <c:pt idx="10">
                  <c:v>39.480200000000004</c:v>
                </c:pt>
                <c:pt idx="11">
                  <c:v>36.222200000000228</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39.125700000000258</c:v>
                </c:pt>
                <c:pt idx="1">
                  <c:v>32.997300000000003</c:v>
                </c:pt>
                <c:pt idx="2">
                  <c:v>34.600300000000011</c:v>
                </c:pt>
                <c:pt idx="3">
                  <c:v>37.548900000000003</c:v>
                </c:pt>
                <c:pt idx="4">
                  <c:v>35.666800000000002</c:v>
                </c:pt>
                <c:pt idx="5">
                  <c:v>40.994300000000003</c:v>
                </c:pt>
                <c:pt idx="6">
                  <c:v>41.216100000000012</c:v>
                </c:pt>
                <c:pt idx="7">
                  <c:v>43.099700000000013</c:v>
                </c:pt>
                <c:pt idx="8">
                  <c:v>40.365200000000009</c:v>
                </c:pt>
                <c:pt idx="9">
                  <c:v>39.07</c:v>
                </c:pt>
                <c:pt idx="10">
                  <c:v>38.548600000000008</c:v>
                </c:pt>
                <c:pt idx="11">
                  <c:v>34.800000000000004</c:v>
                </c:pt>
              </c:numCache>
            </c:numRef>
          </c:val>
        </c:ser>
        <c:ser>
          <c:idx val="1"/>
          <c:order val="3"/>
          <c:tx>
            <c:strRef>
              <c:f>Sheet1!$A$5</c:f>
              <c:strCache>
                <c:ptCount val="1"/>
                <c:pt idx="0">
                  <c:v>2011</c:v>
                </c:pt>
              </c:strCache>
            </c:strRef>
          </c:tx>
          <c:spPr>
            <a:ln>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38.895900000000012</c:v>
                </c:pt>
                <c:pt idx="1">
                  <c:v>37.844300000000004</c:v>
                </c:pt>
              </c:numCache>
            </c:numRef>
          </c:val>
        </c:ser>
        <c:marker val="1"/>
        <c:axId val="267118464"/>
        <c:axId val="267120000"/>
      </c:lineChart>
      <c:catAx>
        <c:axId val="267118464"/>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7120000"/>
        <c:crosses val="autoZero"/>
        <c:auto val="1"/>
        <c:lblAlgn val="ctr"/>
        <c:lblOffset val="100"/>
        <c:tickLblSkip val="1"/>
        <c:tickMarkSkip val="1"/>
      </c:catAx>
      <c:valAx>
        <c:axId val="267120000"/>
        <c:scaling>
          <c:orientation val="minMax"/>
          <c:max val="60"/>
          <c:min val="3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7118464"/>
        <c:crosses val="autoZero"/>
        <c:crossBetween val="between"/>
        <c:majorUnit val="5"/>
      </c:valAx>
      <c:spPr>
        <a:noFill/>
        <a:ln w="6350">
          <a:solidFill>
            <a:schemeClr val="bg1">
              <a:lumMod val="75000"/>
            </a:schemeClr>
          </a:solidFill>
        </a:ln>
      </c:spPr>
    </c:plotArea>
    <c:legend>
      <c:legendPos val="r"/>
      <c:layout>
        <c:manualLayout>
          <c:xMode val="edge"/>
          <c:yMode val="edge"/>
          <c:x val="0.2505411911520849"/>
          <c:y val="7.6713278004717514E-2"/>
          <c:w val="0.53167188547141064"/>
          <c:h val="0.19514125812389879"/>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06"/>
          <c:h val="0.81070868879564706"/>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28.666</c:v>
                </c:pt>
                <c:pt idx="1">
                  <c:v>27.22</c:v>
                </c:pt>
                <c:pt idx="2">
                  <c:v>33.440999999999995</c:v>
                </c:pt>
                <c:pt idx="3">
                  <c:v>43.753</c:v>
                </c:pt>
                <c:pt idx="4">
                  <c:v>84.381999999999991</c:v>
                </c:pt>
                <c:pt idx="5">
                  <c:v>40.545000000000002</c:v>
                </c:pt>
                <c:pt idx="6">
                  <c:v>40.352999999999994</c:v>
                </c:pt>
                <c:pt idx="7">
                  <c:v>51.544774000000004</c:v>
                </c:pt>
                <c:pt idx="8">
                  <c:v>41.357319000000004</c:v>
                </c:pt>
                <c:pt idx="9">
                  <c:v>40.425432000000221</c:v>
                </c:pt>
                <c:pt idx="10">
                  <c:v>36.463929</c:v>
                </c:pt>
                <c:pt idx="11">
                  <c:v>34.965140000000012</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31.497375000000005</c:v>
                </c:pt>
                <c:pt idx="1">
                  <c:v>26.819556000000031</c:v>
                </c:pt>
                <c:pt idx="2">
                  <c:v>21.896872999999999</c:v>
                </c:pt>
                <c:pt idx="3">
                  <c:v>6.5982310000000002</c:v>
                </c:pt>
                <c:pt idx="4">
                  <c:v>24.561001000000001</c:v>
                </c:pt>
                <c:pt idx="5">
                  <c:v>4.1331109999999756</c:v>
                </c:pt>
                <c:pt idx="6">
                  <c:v>6.3197740000000007</c:v>
                </c:pt>
                <c:pt idx="7">
                  <c:v>13.902064000000006</c:v>
                </c:pt>
                <c:pt idx="8">
                  <c:v>13.390776000000002</c:v>
                </c:pt>
                <c:pt idx="9">
                  <c:v>14.507092</c:v>
                </c:pt>
                <c:pt idx="10">
                  <c:v>16.108774</c:v>
                </c:pt>
                <c:pt idx="11">
                  <c:v>17.442013999999823</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13.692493000000002</c:v>
                </c:pt>
                <c:pt idx="1">
                  <c:v>10.538459000000001</c:v>
                </c:pt>
                <c:pt idx="2">
                  <c:v>14.224592000000001</c:v>
                </c:pt>
                <c:pt idx="3">
                  <c:v>13.102457000000006</c:v>
                </c:pt>
                <c:pt idx="4">
                  <c:v>5.4492080000000431</c:v>
                </c:pt>
                <c:pt idx="5">
                  <c:v>-7.2654999999999997E-2</c:v>
                </c:pt>
                <c:pt idx="6">
                  <c:v>5.2132589999999999</c:v>
                </c:pt>
                <c:pt idx="7">
                  <c:v>10.917489000000026</c:v>
                </c:pt>
                <c:pt idx="8">
                  <c:v>8.2480139999999889</c:v>
                </c:pt>
                <c:pt idx="9">
                  <c:v>8.9027950000000047</c:v>
                </c:pt>
                <c:pt idx="10">
                  <c:v>9.514600999999999</c:v>
                </c:pt>
                <c:pt idx="11">
                  <c:v>12.4</c:v>
                </c:pt>
              </c:numCache>
            </c:numRef>
          </c:val>
        </c:ser>
        <c:ser>
          <c:idx val="1"/>
          <c:order val="3"/>
          <c:tx>
            <c:strRef>
              <c:f>Sheet1!$A$5</c:f>
              <c:strCache>
                <c:ptCount val="1"/>
                <c:pt idx="0">
                  <c:v>2011</c:v>
                </c:pt>
              </c:strCache>
            </c:strRef>
          </c:tx>
          <c:spPr>
            <a:ln>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10.149660999999998</c:v>
                </c:pt>
                <c:pt idx="1">
                  <c:v>12.105936000000026</c:v>
                </c:pt>
              </c:numCache>
            </c:numRef>
          </c:val>
        </c:ser>
        <c:marker val="1"/>
        <c:axId val="267416704"/>
        <c:axId val="267418240"/>
      </c:lineChart>
      <c:catAx>
        <c:axId val="267416704"/>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7418240"/>
        <c:crosses val="autoZero"/>
        <c:auto val="1"/>
        <c:lblAlgn val="ctr"/>
        <c:lblOffset val="100"/>
        <c:tickLblSkip val="1"/>
        <c:tickMarkSkip val="1"/>
      </c:catAx>
      <c:valAx>
        <c:axId val="267418240"/>
        <c:scaling>
          <c:orientation val="minMax"/>
          <c:max val="90"/>
          <c:min val="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67416704"/>
        <c:crosses val="autoZero"/>
        <c:crossBetween val="between"/>
        <c:majorUnit val="30"/>
      </c:valAx>
      <c:spPr>
        <a:noFill/>
        <a:ln w="6350">
          <a:solidFill>
            <a:schemeClr val="bg1">
              <a:lumMod val="75000"/>
            </a:schemeClr>
          </a:solidFill>
        </a:ln>
      </c:spPr>
    </c:plotArea>
    <c:legend>
      <c:legendPos val="r"/>
      <c:layout>
        <c:manualLayout>
          <c:xMode val="edge"/>
          <c:yMode val="edge"/>
          <c:x val="0.51527408018349263"/>
          <c:y val="6.1054235770924253E-2"/>
          <c:w val="0.46107644839636835"/>
          <c:h val="0.21989240881690514"/>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plotArea>
      <c:layout>
        <c:manualLayout>
          <c:layoutTarget val="inner"/>
          <c:xMode val="edge"/>
          <c:yMode val="edge"/>
          <c:x val="9.6726534700541697E-2"/>
          <c:y val="3.7828947368425903E-2"/>
          <c:w val="0.81247844420325122"/>
          <c:h val="0.80770196676960004"/>
        </c:manualLayout>
      </c:layout>
      <c:barChart>
        <c:barDir val="col"/>
        <c:grouping val="clustered"/>
        <c:ser>
          <c:idx val="0"/>
          <c:order val="0"/>
          <c:tx>
            <c:strRef>
              <c:f>Sheet1!$C$1</c:f>
              <c:strCache>
                <c:ptCount val="1"/>
                <c:pt idx="0">
                  <c:v>Pieaugums pret iepriekšējo ceturksni, atlikumu starpība, milj. latu (kreisā ass)</c:v>
                </c:pt>
              </c:strCache>
            </c:strRef>
          </c:tx>
          <c:spPr>
            <a:solidFill>
              <a:srgbClr val="0070C0"/>
            </a:solidFill>
            <a:ln w="3175">
              <a:solidFill>
                <a:srgbClr val="000000"/>
              </a:solidFill>
              <a:prstDash val="solid"/>
            </a:ln>
          </c:spPr>
          <c:cat>
            <c:multiLvlStrRef>
              <c:f>Sheet1!$A$2:$B$29</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Sheet1!$C$2:$C$29</c:f>
              <c:numCache>
                <c:formatCode>#,##0.0</c:formatCode>
                <c:ptCount val="16"/>
                <c:pt idx="0">
                  <c:v>1044.3</c:v>
                </c:pt>
                <c:pt idx="1">
                  <c:v>987.4</c:v>
                </c:pt>
                <c:pt idx="2">
                  <c:v>652</c:v>
                </c:pt>
                <c:pt idx="3">
                  <c:v>644</c:v>
                </c:pt>
                <c:pt idx="4">
                  <c:v>449.4</c:v>
                </c:pt>
                <c:pt idx="5">
                  <c:v>608.5</c:v>
                </c:pt>
                <c:pt idx="6">
                  <c:v>485.5</c:v>
                </c:pt>
                <c:pt idx="7">
                  <c:v>-16.3</c:v>
                </c:pt>
                <c:pt idx="8">
                  <c:v>-209.4</c:v>
                </c:pt>
                <c:pt idx="9">
                  <c:v>-292.2</c:v>
                </c:pt>
                <c:pt idx="10">
                  <c:v>-195.3</c:v>
                </c:pt>
                <c:pt idx="11">
                  <c:v>-365.9</c:v>
                </c:pt>
                <c:pt idx="12">
                  <c:v>-297.60000000000002</c:v>
                </c:pt>
                <c:pt idx="13">
                  <c:v>-224.1</c:v>
                </c:pt>
                <c:pt idx="14">
                  <c:v>-191.5</c:v>
                </c:pt>
                <c:pt idx="15">
                  <c:v>-408.2</c:v>
                </c:pt>
              </c:numCache>
            </c:numRef>
          </c:val>
        </c:ser>
        <c:gapWidth val="40"/>
        <c:axId val="267391744"/>
        <c:axId val="267393280"/>
      </c:barChart>
      <c:lineChart>
        <c:grouping val="standard"/>
        <c:ser>
          <c:idx val="1"/>
          <c:order val="1"/>
          <c:tx>
            <c:strRef>
              <c:f>Sheet1!$D$1</c:f>
              <c:strCache>
                <c:ptCount val="1"/>
                <c:pt idx="0">
                  <c:v>Pieaugums pret iepriekšējā gada atbilstošo ceturksni, % (labā ass)</c:v>
                </c:pt>
              </c:strCache>
            </c:strRef>
          </c:tx>
          <c:spPr>
            <a:ln w="25400">
              <a:solidFill>
                <a:sysClr val="windowText" lastClr="000000"/>
              </a:solidFill>
              <a:prstDash val="solid"/>
            </a:ln>
          </c:spPr>
          <c:marker>
            <c:symbol val="none"/>
          </c:marker>
          <c:cat>
            <c:multiLvlStrRef>
              <c:f>Sheet1!$A$2:$B$29</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Sheet1!$D$2:$D$29</c:f>
              <c:numCache>
                <c:formatCode>0.0</c:formatCode>
                <c:ptCount val="16"/>
                <c:pt idx="0">
                  <c:v>58.2</c:v>
                </c:pt>
                <c:pt idx="1">
                  <c:v>56.2</c:v>
                </c:pt>
                <c:pt idx="2">
                  <c:v>45.3</c:v>
                </c:pt>
                <c:pt idx="3">
                  <c:v>34.200000000000003</c:v>
                </c:pt>
                <c:pt idx="4" formatCode="#,##0.0">
                  <c:v>25.4</c:v>
                </c:pt>
                <c:pt idx="5" formatCode="#,##0.0">
                  <c:v>20</c:v>
                </c:pt>
                <c:pt idx="6" formatCode="#,##0.0">
                  <c:v>17.600000000000001</c:v>
                </c:pt>
                <c:pt idx="7" formatCode="#,##0.0">
                  <c:v>11.7</c:v>
                </c:pt>
                <c:pt idx="8" formatCode="#,##0.0">
                  <c:v>6.4</c:v>
                </c:pt>
                <c:pt idx="9" formatCode="#,##0.0">
                  <c:v>-0.2</c:v>
                </c:pt>
                <c:pt idx="10" formatCode="#,##0.0">
                  <c:v>-4.9000000000000004</c:v>
                </c:pt>
                <c:pt idx="11" formatCode="#,##0.0">
                  <c:v>-7.3</c:v>
                </c:pt>
                <c:pt idx="12" formatCode="#,##0.0">
                  <c:v>-8</c:v>
                </c:pt>
                <c:pt idx="13" formatCode="#,##0.0">
                  <c:v>-7.7</c:v>
                </c:pt>
                <c:pt idx="14" formatCode="#,##0.0">
                  <c:v>-7.8</c:v>
                </c:pt>
                <c:pt idx="15" formatCode="#,##0.0">
                  <c:v>-8.3000000000000007</c:v>
                </c:pt>
              </c:numCache>
            </c:numRef>
          </c:val>
        </c:ser>
        <c:marker val="1"/>
        <c:axId val="270249984"/>
        <c:axId val="270251520"/>
      </c:lineChart>
      <c:catAx>
        <c:axId val="267391744"/>
        <c:scaling>
          <c:orientation val="minMax"/>
        </c:scaling>
        <c:axPos val="b"/>
        <c:majorGridlines>
          <c:spPr>
            <a:ln>
              <a:solidFill>
                <a:sysClr val="window" lastClr="FFFFFF">
                  <a:lumMod val="85000"/>
                </a:sysClr>
              </a:solidFill>
            </a:ln>
          </c:spPr>
        </c:majorGridlines>
        <c:numFmt formatCode="General" sourceLinked="1"/>
        <c:tickLblPos val="low"/>
        <c:spPr>
          <a:ln w="2893">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267393280"/>
        <c:crosses val="autoZero"/>
        <c:auto val="1"/>
        <c:lblAlgn val="ctr"/>
        <c:lblOffset val="0"/>
        <c:tickLblSkip val="1"/>
        <c:tickMarkSkip val="1"/>
        <c:noMultiLvlLbl val="1"/>
      </c:catAx>
      <c:valAx>
        <c:axId val="267393280"/>
        <c:scaling>
          <c:orientation val="minMax"/>
          <c:max val="1200"/>
          <c:min val="-400"/>
        </c:scaling>
        <c:axPos val="l"/>
        <c:majorGridlines/>
        <c:numFmt formatCode="#,##0" sourceLinked="0"/>
        <c:tickLblPos val="nextTo"/>
        <c:spPr>
          <a:ln w="3175">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267391744"/>
        <c:crosses val="autoZero"/>
        <c:crossBetween val="between"/>
        <c:majorUnit val="200"/>
      </c:valAx>
      <c:catAx>
        <c:axId val="270249984"/>
        <c:scaling>
          <c:orientation val="minMax"/>
        </c:scaling>
        <c:delete val="1"/>
        <c:axPos val="b"/>
        <c:tickLblPos val="none"/>
        <c:crossAx val="270251520"/>
        <c:crosses val="autoZero"/>
        <c:auto val="1"/>
        <c:lblAlgn val="ctr"/>
        <c:lblOffset val="100"/>
      </c:catAx>
      <c:valAx>
        <c:axId val="270251520"/>
        <c:scaling>
          <c:orientation val="minMax"/>
          <c:max val="90"/>
          <c:min val="-30"/>
        </c:scaling>
        <c:axPos val="r"/>
        <c:numFmt formatCode="General" sourceLinked="0"/>
        <c:tickLblPos val="nextTo"/>
        <c:spPr>
          <a:ln w="2893">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270249984"/>
        <c:crosses val="max"/>
        <c:crossBetween val="between"/>
        <c:majorUnit val="30"/>
      </c:valAx>
      <c:spPr>
        <a:noFill/>
        <a:ln w="25400">
          <a:noFill/>
        </a:ln>
      </c:spPr>
    </c:plotArea>
    <c:legend>
      <c:legendPos val="r"/>
      <c:layout>
        <c:manualLayout>
          <c:xMode val="edge"/>
          <c:yMode val="edge"/>
          <c:x val="0.23738859681375915"/>
          <c:y val="0"/>
          <c:w val="0.67742603761367715"/>
          <c:h val="0.2429453581775749"/>
        </c:manualLayout>
      </c:layout>
      <c:spPr>
        <a:solidFill>
          <a:sysClr val="window" lastClr="FFFFFF"/>
        </a:solidFill>
        <a:ln w="23138">
          <a:noFill/>
        </a:ln>
      </c:spPr>
      <c:txPr>
        <a:bodyPr/>
        <a:lstStyle/>
        <a:p>
          <a:pPr>
            <a:defRPr lang="lv-LV" sz="7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plotArea>
      <c:layout>
        <c:manualLayout>
          <c:layoutTarget val="inner"/>
          <c:xMode val="edge"/>
          <c:yMode val="edge"/>
          <c:x val="0.1592654235127306"/>
          <c:y val="3.8610038610038609E-2"/>
          <c:w val="0.84073457648730165"/>
          <c:h val="0.84192040904412169"/>
        </c:manualLayout>
      </c:layout>
      <c:barChart>
        <c:barDir val="col"/>
        <c:grouping val="stacked"/>
        <c:ser>
          <c:idx val="0"/>
          <c:order val="0"/>
          <c:tx>
            <c:strRef>
              <c:f>Sheet1!$B$1</c:f>
              <c:strCache>
                <c:ptCount val="1"/>
                <c:pt idx="0">
                  <c:v>Komerckredīts</c:v>
                </c:pt>
              </c:strCache>
            </c:strRef>
          </c:tx>
          <c:spPr>
            <a:solidFill>
              <a:srgbClr val="0070C0"/>
            </a:solidFill>
            <a:ln w="3175">
              <a:solidFill>
                <a:sysClr val="windowText" lastClr="000000"/>
              </a:solidFill>
              <a:prstDash val="solid"/>
            </a:ln>
          </c:spPr>
          <c:dLbls>
            <c:delete val="1"/>
          </c:dLbls>
          <c:cat>
            <c:numRef>
              <c:f>Sheet1!$A$2:$A$7</c:f>
              <c:numCache>
                <c:formatCode>General</c:formatCode>
                <c:ptCount val="6"/>
                <c:pt idx="0">
                  <c:v>2005</c:v>
                </c:pt>
                <c:pt idx="1">
                  <c:v>2006</c:v>
                </c:pt>
                <c:pt idx="2">
                  <c:v>2007</c:v>
                </c:pt>
                <c:pt idx="3">
                  <c:v>2008</c:v>
                </c:pt>
                <c:pt idx="4">
                  <c:v>2009</c:v>
                </c:pt>
                <c:pt idx="5">
                  <c:v>2010</c:v>
                </c:pt>
              </c:numCache>
            </c:numRef>
          </c:cat>
          <c:val>
            <c:numRef>
              <c:f>Sheet1!$B$2:$B$7</c:f>
              <c:numCache>
                <c:formatCode>General</c:formatCode>
                <c:ptCount val="6"/>
                <c:pt idx="0">
                  <c:v>1618.5</c:v>
                </c:pt>
                <c:pt idx="1">
                  <c:v>1984.8</c:v>
                </c:pt>
                <c:pt idx="2">
                  <c:v>2398.1999999999998</c:v>
                </c:pt>
                <c:pt idx="3">
                  <c:v>2712.1</c:v>
                </c:pt>
                <c:pt idx="4">
                  <c:v>2193.6</c:v>
                </c:pt>
                <c:pt idx="5" formatCode="0.0">
                  <c:v>1770.4</c:v>
                </c:pt>
              </c:numCache>
            </c:numRef>
          </c:val>
        </c:ser>
        <c:ser>
          <c:idx val="1"/>
          <c:order val="1"/>
          <c:tx>
            <c:strRef>
              <c:f>Sheet1!$C$1</c:f>
              <c:strCache>
                <c:ptCount val="1"/>
                <c:pt idx="0">
                  <c:v>Industriālais</c:v>
                </c:pt>
              </c:strCache>
            </c:strRef>
          </c:tx>
          <c:spPr>
            <a:solidFill>
              <a:sysClr val="window" lastClr="FFFFFF">
                <a:lumMod val="65000"/>
              </a:sysClr>
            </a:solidFill>
            <a:ln w="3175">
              <a:solidFill>
                <a:sysClr val="windowText" lastClr="000000"/>
              </a:solidFill>
              <a:prstDash val="solid"/>
            </a:ln>
          </c:spPr>
          <c:dLbls>
            <c:delete val="1"/>
          </c:dLbls>
          <c:cat>
            <c:numRef>
              <c:f>Sheet1!$A$2:$A$7</c:f>
              <c:numCache>
                <c:formatCode>General</c:formatCode>
                <c:ptCount val="6"/>
                <c:pt idx="0">
                  <c:v>2005</c:v>
                </c:pt>
                <c:pt idx="1">
                  <c:v>2006</c:v>
                </c:pt>
                <c:pt idx="2">
                  <c:v>2007</c:v>
                </c:pt>
                <c:pt idx="3">
                  <c:v>2008</c:v>
                </c:pt>
                <c:pt idx="4">
                  <c:v>2009</c:v>
                </c:pt>
                <c:pt idx="5">
                  <c:v>2010</c:v>
                </c:pt>
              </c:numCache>
            </c:numRef>
          </c:cat>
          <c:val>
            <c:numRef>
              <c:f>Sheet1!$C$2:$C$7</c:f>
              <c:numCache>
                <c:formatCode>General</c:formatCode>
                <c:ptCount val="6"/>
                <c:pt idx="0">
                  <c:v>1003.2</c:v>
                </c:pt>
                <c:pt idx="1">
                  <c:v>1239.5</c:v>
                </c:pt>
                <c:pt idx="2">
                  <c:v>1726.8</c:v>
                </c:pt>
                <c:pt idx="3">
                  <c:v>1863.1</c:v>
                </c:pt>
                <c:pt idx="4">
                  <c:v>1840.8</c:v>
                </c:pt>
                <c:pt idx="5">
                  <c:v>2112</c:v>
                </c:pt>
              </c:numCache>
            </c:numRef>
          </c:val>
        </c:ser>
        <c:ser>
          <c:idx val="2"/>
          <c:order val="2"/>
          <c:tx>
            <c:strRef>
              <c:f>Sheet1!$D$1</c:f>
              <c:strCache>
                <c:ptCount val="1"/>
                <c:pt idx="0">
                  <c:v>Patēriņa preču iegādei</c:v>
                </c:pt>
              </c:strCache>
            </c:strRef>
          </c:tx>
          <c:spPr>
            <a:solidFill>
              <a:sysClr val="window" lastClr="FFFFFF"/>
            </a:solidFill>
            <a:ln w="3175">
              <a:solidFill>
                <a:sysClr val="windowText" lastClr="000000"/>
              </a:solidFill>
              <a:prstDash val="solid"/>
            </a:ln>
          </c:spPr>
          <c:dLbls>
            <c:delete val="1"/>
          </c:dLbls>
          <c:cat>
            <c:numRef>
              <c:f>Sheet1!$A$2:$A$7</c:f>
              <c:numCache>
                <c:formatCode>General</c:formatCode>
                <c:ptCount val="6"/>
                <c:pt idx="0">
                  <c:v>2005</c:v>
                </c:pt>
                <c:pt idx="1">
                  <c:v>2006</c:v>
                </c:pt>
                <c:pt idx="2">
                  <c:v>2007</c:v>
                </c:pt>
                <c:pt idx="3">
                  <c:v>2008</c:v>
                </c:pt>
                <c:pt idx="4">
                  <c:v>2009</c:v>
                </c:pt>
                <c:pt idx="5">
                  <c:v>2010</c:v>
                </c:pt>
              </c:numCache>
            </c:numRef>
          </c:cat>
          <c:val>
            <c:numRef>
              <c:f>Sheet1!$D$2:$D$7</c:f>
              <c:numCache>
                <c:formatCode>General</c:formatCode>
                <c:ptCount val="6"/>
                <c:pt idx="0">
                  <c:v>265.5</c:v>
                </c:pt>
                <c:pt idx="1">
                  <c:v>432.9</c:v>
                </c:pt>
                <c:pt idx="2">
                  <c:v>615.5</c:v>
                </c:pt>
                <c:pt idx="3">
                  <c:v>668.7</c:v>
                </c:pt>
                <c:pt idx="4">
                  <c:v>482.2</c:v>
                </c:pt>
                <c:pt idx="5">
                  <c:v>491.7</c:v>
                </c:pt>
              </c:numCache>
            </c:numRef>
          </c:val>
        </c:ser>
        <c:ser>
          <c:idx val="3"/>
          <c:order val="3"/>
          <c:tx>
            <c:strRef>
              <c:f>Sheet1!$E$1</c:f>
              <c:strCache>
                <c:ptCount val="1"/>
                <c:pt idx="0">
                  <c:v>Hipotēku kredīts</c:v>
                </c:pt>
              </c:strCache>
            </c:strRef>
          </c:tx>
          <c:spPr>
            <a:solidFill>
              <a:srgbClr val="1F497D">
                <a:lumMod val="75000"/>
              </a:srgbClr>
            </a:solidFill>
            <a:ln w="3175">
              <a:solidFill>
                <a:sysClr val="windowText" lastClr="000000"/>
              </a:solidFill>
              <a:prstDash val="solid"/>
            </a:ln>
          </c:spPr>
          <c:dLbls>
            <c:delete val="1"/>
          </c:dLbls>
          <c:cat>
            <c:numRef>
              <c:f>Sheet1!$A$2:$A$7</c:f>
              <c:numCache>
                <c:formatCode>General</c:formatCode>
                <c:ptCount val="6"/>
                <c:pt idx="0">
                  <c:v>2005</c:v>
                </c:pt>
                <c:pt idx="1">
                  <c:v>2006</c:v>
                </c:pt>
                <c:pt idx="2">
                  <c:v>2007</c:v>
                </c:pt>
                <c:pt idx="3">
                  <c:v>2008</c:v>
                </c:pt>
                <c:pt idx="4">
                  <c:v>2009</c:v>
                </c:pt>
                <c:pt idx="5">
                  <c:v>2010</c:v>
                </c:pt>
              </c:numCache>
            </c:numRef>
          </c:cat>
          <c:val>
            <c:numRef>
              <c:f>Sheet1!$E$2:$E$7</c:f>
              <c:numCache>
                <c:formatCode>General</c:formatCode>
                <c:ptCount val="6"/>
                <c:pt idx="0">
                  <c:v>2806.7</c:v>
                </c:pt>
                <c:pt idx="1">
                  <c:v>5311</c:v>
                </c:pt>
                <c:pt idx="2">
                  <c:v>7359.9</c:v>
                </c:pt>
                <c:pt idx="3">
                  <c:v>8287.2000000000007</c:v>
                </c:pt>
                <c:pt idx="4">
                  <c:v>7900.1</c:v>
                </c:pt>
                <c:pt idx="5">
                  <c:v>7180.7</c:v>
                </c:pt>
              </c:numCache>
            </c:numRef>
          </c:val>
        </c:ser>
        <c:ser>
          <c:idx val="4"/>
          <c:order val="4"/>
          <c:tx>
            <c:strRef>
              <c:f>Sheet1!$F$1</c:f>
              <c:strCache>
                <c:ptCount val="1"/>
                <c:pt idx="0">
                  <c:v>Pārējie</c:v>
                </c:pt>
              </c:strCache>
            </c:strRef>
          </c:tx>
          <c:spPr>
            <a:solidFill>
              <a:srgbClr val="4F81BD">
                <a:lumMod val="40000"/>
                <a:lumOff val="60000"/>
              </a:srgbClr>
            </a:solidFill>
            <a:ln w="3175">
              <a:solidFill>
                <a:sysClr val="windowText" lastClr="000000"/>
              </a:solidFill>
            </a:ln>
          </c:spPr>
          <c:dLbls>
            <c:delete val="1"/>
          </c:dLbls>
          <c:cat>
            <c:numRef>
              <c:f>Sheet1!$A$2:$A$7</c:f>
              <c:numCache>
                <c:formatCode>General</c:formatCode>
                <c:ptCount val="6"/>
                <c:pt idx="0">
                  <c:v>2005</c:v>
                </c:pt>
                <c:pt idx="1">
                  <c:v>2006</c:v>
                </c:pt>
                <c:pt idx="2">
                  <c:v>2007</c:v>
                </c:pt>
                <c:pt idx="3">
                  <c:v>2008</c:v>
                </c:pt>
                <c:pt idx="4">
                  <c:v>2009</c:v>
                </c:pt>
                <c:pt idx="5">
                  <c:v>2010</c:v>
                </c:pt>
              </c:numCache>
            </c:numRef>
          </c:cat>
          <c:val>
            <c:numRef>
              <c:f>Sheet1!$F$2:$F$7</c:f>
              <c:numCache>
                <c:formatCode>General</c:formatCode>
                <c:ptCount val="6"/>
                <c:pt idx="0">
                  <c:v>445.8</c:v>
                </c:pt>
                <c:pt idx="1">
                  <c:v>754.7</c:v>
                </c:pt>
                <c:pt idx="2">
                  <c:v>950.19999999999993</c:v>
                </c:pt>
                <c:pt idx="3">
                  <c:v>1046.7</c:v>
                </c:pt>
                <c:pt idx="4">
                  <c:v>1098.0999999999999</c:v>
                </c:pt>
                <c:pt idx="5" formatCode="0.0">
                  <c:v>838.70000000000073</c:v>
                </c:pt>
              </c:numCache>
            </c:numRef>
          </c:val>
        </c:ser>
        <c:dLbls>
          <c:showSerName val="1"/>
        </c:dLbls>
        <c:gapWidth val="40"/>
        <c:overlap val="100"/>
        <c:axId val="270400512"/>
        <c:axId val="270484224"/>
      </c:barChart>
      <c:catAx>
        <c:axId val="270400512"/>
        <c:scaling>
          <c:orientation val="minMax"/>
        </c:scaling>
        <c:axPos val="b"/>
        <c:majorGridlines>
          <c:spPr>
            <a:ln>
              <a:solidFill>
                <a:sysClr val="window" lastClr="FFFFFF">
                  <a:lumMod val="85000"/>
                </a:sysClr>
              </a:solidFill>
            </a:ln>
          </c:spPr>
        </c:majorGridlines>
        <c:numFmt formatCode="General" sourceLinked="1"/>
        <c:tickLblPos val="nextTo"/>
        <c:spPr>
          <a:ln w="2958">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270484224"/>
        <c:crosses val="autoZero"/>
        <c:auto val="1"/>
        <c:lblAlgn val="ctr"/>
        <c:lblOffset val="100"/>
        <c:tickMarkSkip val="1"/>
      </c:catAx>
      <c:valAx>
        <c:axId val="270484224"/>
        <c:scaling>
          <c:orientation val="minMax"/>
          <c:max val="18000"/>
          <c:min val="0"/>
        </c:scaling>
        <c:axPos val="l"/>
        <c:majorGridlines>
          <c:spPr>
            <a:ln>
              <a:solidFill>
                <a:sysClr val="window" lastClr="FFFFFF">
                  <a:lumMod val="85000"/>
                </a:sysClr>
              </a:solidFill>
            </a:ln>
          </c:spPr>
        </c:majorGridlines>
        <c:numFmt formatCode="General" sourceLinked="0"/>
        <c:tickLblPos val="nextTo"/>
        <c:spPr>
          <a:ln w="3175">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270400512"/>
        <c:crosses val="autoZero"/>
        <c:crossBetween val="between"/>
        <c:majorUnit val="3000"/>
      </c:valAx>
      <c:spPr>
        <a:solidFill>
          <a:srgbClr val="FFFFFF"/>
        </a:solidFill>
        <a:ln w="2958">
          <a:noFill/>
          <a:prstDash val="solid"/>
        </a:ln>
      </c:spPr>
    </c:plotArea>
    <c:legend>
      <c:legendPos val="r"/>
      <c:layout>
        <c:manualLayout>
          <c:xMode val="edge"/>
          <c:yMode val="edge"/>
          <c:x val="0.15240539479035503"/>
          <c:y val="3.0059259259259272E-2"/>
          <c:w val="0.43015218807699585"/>
          <c:h val="0.35251574074074082"/>
        </c:manualLayout>
      </c:layout>
      <c:spPr>
        <a:noFill/>
        <a:ln w="2958">
          <a:noFill/>
          <a:prstDash val="solid"/>
        </a:ln>
      </c:spPr>
      <c:txPr>
        <a:bodyPr/>
        <a:lstStyle/>
        <a:p>
          <a:pPr>
            <a:defRPr lang="lv-LV" sz="700">
              <a:latin typeface="Arial" pitchFamily="34" charset="0"/>
              <a:cs typeface="Arial" pitchFamily="34" charset="0"/>
            </a:defRPr>
          </a:pPr>
          <a:endParaRPr lang="lv-LV"/>
        </a:p>
      </c:txPr>
    </c:legend>
    <c:plotVisOnly val="1"/>
    <c:dispBlanksAs val="zero"/>
  </c:chart>
  <c:spPr>
    <a:noFill/>
    <a:ln>
      <a:noFill/>
    </a:ln>
  </c:spPr>
  <c:txPr>
    <a:bodyPr/>
    <a:lstStyle/>
    <a:p>
      <a:pPr>
        <a:defRPr sz="900" b="0" i="0" u="none" strike="noStrike" baseline="0">
          <a:solidFill>
            <a:srgbClr val="000000"/>
          </a:solidFill>
          <a:latin typeface="Garamond" pitchFamily="18" charset="0"/>
          <a:ea typeface="Arial"/>
          <a:cs typeface="Arial"/>
        </a:defRPr>
      </a:pPr>
      <a:endParaRPr lang="lv-LV"/>
    </a:p>
  </c:txPr>
  <c:externalData r:id="rId2"/>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79115226337474"/>
          <c:y val="3.7828947368426007E-2"/>
          <c:w val="0.82439094650205769"/>
          <c:h val="0.92780901063217502"/>
        </c:manualLayout>
      </c:layout>
      <c:lineChart>
        <c:grouping val="standard"/>
        <c:ser>
          <c:idx val="0"/>
          <c:order val="0"/>
          <c:tx>
            <c:strRef>
              <c:f>Sheet1!$C$1</c:f>
              <c:strCache>
                <c:ptCount val="1"/>
                <c:pt idx="0">
                  <c:v>Hipotēku kredīti</c:v>
                </c:pt>
              </c:strCache>
            </c:strRef>
          </c:tx>
          <c:spPr>
            <a:ln w="25400">
              <a:solidFill>
                <a:srgbClr val="0070C0"/>
              </a:solidFill>
              <a:prstDash val="solid"/>
            </a:ln>
          </c:spPr>
          <c:marker>
            <c:symbol val="none"/>
          </c:marker>
          <c:cat>
            <c:multiLvlStrRef>
              <c:f>Sheet1!$A$2:$B$29</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Sheet1!$C$2:$C$29</c:f>
              <c:numCache>
                <c:formatCode>0.0</c:formatCode>
                <c:ptCount val="16"/>
                <c:pt idx="0">
                  <c:v>86.5</c:v>
                </c:pt>
                <c:pt idx="1">
                  <c:v>70.7</c:v>
                </c:pt>
                <c:pt idx="2">
                  <c:v>55.5</c:v>
                </c:pt>
                <c:pt idx="3">
                  <c:v>38.6</c:v>
                </c:pt>
                <c:pt idx="4">
                  <c:v>28.6</c:v>
                </c:pt>
                <c:pt idx="5">
                  <c:v>24.4</c:v>
                </c:pt>
                <c:pt idx="6">
                  <c:v>18.399999999999999</c:v>
                </c:pt>
                <c:pt idx="7">
                  <c:v>12.6</c:v>
                </c:pt>
                <c:pt idx="8">
                  <c:v>7.5</c:v>
                </c:pt>
                <c:pt idx="9">
                  <c:v>0.1</c:v>
                </c:pt>
                <c:pt idx="10">
                  <c:v>-3.2</c:v>
                </c:pt>
                <c:pt idx="11">
                  <c:v>-4.7</c:v>
                </c:pt>
                <c:pt idx="12">
                  <c:v>-6.3</c:v>
                </c:pt>
                <c:pt idx="13">
                  <c:v>-8</c:v>
                </c:pt>
                <c:pt idx="14">
                  <c:v>-8.4</c:v>
                </c:pt>
                <c:pt idx="15">
                  <c:v>-9.1</c:v>
                </c:pt>
              </c:numCache>
            </c:numRef>
          </c:val>
        </c:ser>
        <c:ser>
          <c:idx val="1"/>
          <c:order val="1"/>
          <c:tx>
            <c:strRef>
              <c:f>Sheet1!$D$1</c:f>
              <c:strCache>
                <c:ptCount val="1"/>
                <c:pt idx="0">
                  <c:v>Kredīti patēriņa preču iegādei</c:v>
                </c:pt>
              </c:strCache>
            </c:strRef>
          </c:tx>
          <c:spPr>
            <a:ln w="25400">
              <a:solidFill>
                <a:sysClr val="windowText" lastClr="000000"/>
              </a:solidFill>
              <a:prstDash val="sysDash"/>
            </a:ln>
          </c:spPr>
          <c:marker>
            <c:symbol val="none"/>
          </c:marker>
          <c:cat>
            <c:multiLvlStrRef>
              <c:f>Sheet1!$A$2:$B$29</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Sheet1!$D$2:$D$29</c:f>
              <c:numCache>
                <c:formatCode>0.0</c:formatCode>
                <c:ptCount val="16"/>
                <c:pt idx="0">
                  <c:v>60.6</c:v>
                </c:pt>
                <c:pt idx="1">
                  <c:v>54.8</c:v>
                </c:pt>
                <c:pt idx="2">
                  <c:v>50</c:v>
                </c:pt>
                <c:pt idx="3">
                  <c:v>42.2</c:v>
                </c:pt>
                <c:pt idx="4">
                  <c:v>36.800000000000004</c:v>
                </c:pt>
                <c:pt idx="5">
                  <c:v>27.3</c:v>
                </c:pt>
                <c:pt idx="6">
                  <c:v>17.3</c:v>
                </c:pt>
                <c:pt idx="7">
                  <c:v>8.6</c:v>
                </c:pt>
                <c:pt idx="8">
                  <c:v>0.2</c:v>
                </c:pt>
                <c:pt idx="9">
                  <c:v>-24.2</c:v>
                </c:pt>
                <c:pt idx="10">
                  <c:v>-26.9</c:v>
                </c:pt>
                <c:pt idx="11">
                  <c:v>-27.9</c:v>
                </c:pt>
                <c:pt idx="12">
                  <c:v>-27.1</c:v>
                </c:pt>
                <c:pt idx="13">
                  <c:v>-2.2000000000000002</c:v>
                </c:pt>
                <c:pt idx="14">
                  <c:v>-3.3</c:v>
                </c:pt>
                <c:pt idx="15">
                  <c:v>2</c:v>
                </c:pt>
              </c:numCache>
            </c:numRef>
          </c:val>
        </c:ser>
        <c:marker val="1"/>
        <c:axId val="270269440"/>
        <c:axId val="270267904"/>
      </c:lineChart>
      <c:valAx>
        <c:axId val="270267904"/>
        <c:scaling>
          <c:orientation val="minMax"/>
          <c:max val="90"/>
          <c:min val="-30"/>
        </c:scaling>
        <c:axPos val="l"/>
        <c:majorGridlines>
          <c:spPr>
            <a:ln>
              <a:solidFill>
                <a:sysClr val="window" lastClr="FFFFFF">
                  <a:lumMod val="85000"/>
                </a:sysClr>
              </a:solidFill>
            </a:ln>
          </c:spPr>
        </c:majorGridlines>
        <c:numFmt formatCode="#,##0" sourceLinked="0"/>
        <c:tickLblPos val="low"/>
        <c:spPr>
          <a:ln w="3175"/>
        </c:spPr>
        <c:txPr>
          <a:bodyPr/>
          <a:lstStyle/>
          <a:p>
            <a:pPr>
              <a:defRPr lang="lv-LV" sz="700">
                <a:latin typeface="Arial" pitchFamily="34" charset="0"/>
                <a:cs typeface="Arial" pitchFamily="34" charset="0"/>
              </a:defRPr>
            </a:pPr>
            <a:endParaRPr lang="lv-LV"/>
          </a:p>
        </c:txPr>
        <c:crossAx val="270269440"/>
        <c:crosses val="autoZero"/>
        <c:crossBetween val="midCat"/>
        <c:majorUnit val="30"/>
        <c:minorUnit val="6"/>
      </c:valAx>
      <c:catAx>
        <c:axId val="270269440"/>
        <c:scaling>
          <c:orientation val="minMax"/>
        </c:scaling>
        <c:axPos val="b"/>
        <c:majorGridlines>
          <c:spPr>
            <a:ln>
              <a:solidFill>
                <a:sysClr val="window" lastClr="FFFFFF">
                  <a:lumMod val="85000"/>
                </a:sysClr>
              </a:solidFill>
            </a:ln>
          </c:spPr>
        </c:majorGridlines>
        <c:tickLblPos val="low"/>
        <c:spPr>
          <a:ln w="3175"/>
        </c:spPr>
        <c:txPr>
          <a:bodyPr rot="0"/>
          <a:lstStyle/>
          <a:p>
            <a:pPr>
              <a:defRPr lang="lv-LV" sz="700">
                <a:latin typeface="Arial" pitchFamily="34" charset="0"/>
                <a:cs typeface="Arial" pitchFamily="34" charset="0"/>
              </a:defRPr>
            </a:pPr>
            <a:endParaRPr lang="lv-LV"/>
          </a:p>
        </c:txPr>
        <c:crossAx val="270267904"/>
        <c:crossesAt val="0"/>
        <c:auto val="1"/>
        <c:lblAlgn val="ctr"/>
        <c:lblOffset val="0"/>
        <c:tickLblSkip val="1"/>
        <c:noMultiLvlLbl val="1"/>
      </c:catAx>
      <c:spPr>
        <a:noFill/>
        <a:ln w="25400">
          <a:noFill/>
        </a:ln>
      </c:spPr>
    </c:plotArea>
    <c:legend>
      <c:legendPos val="r"/>
      <c:layout>
        <c:manualLayout>
          <c:xMode val="edge"/>
          <c:yMode val="edge"/>
          <c:x val="0.33843860155134553"/>
          <c:y val="5.5641666666666666E-2"/>
          <c:w val="0.59985288065843612"/>
          <c:h val="0.1803201506591337"/>
        </c:manualLayout>
      </c:layout>
      <c:spPr>
        <a:solidFill>
          <a:sysClr val="window" lastClr="FFFFFF"/>
        </a:solidFill>
        <a:ln w="23138">
          <a:noFill/>
        </a:ln>
      </c:spPr>
      <c:txPr>
        <a:bodyPr/>
        <a:lstStyle/>
        <a:p>
          <a:pPr>
            <a:defRPr lang="lv-LV" sz="8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48527810408222"/>
          <c:y val="2.8994936365652597E-2"/>
          <c:w val="0.86914402657379985"/>
          <c:h val="0.81158538210955078"/>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c:formatCode>
                <c:ptCount val="12"/>
                <c:pt idx="0">
                  <c:v>5629</c:v>
                </c:pt>
                <c:pt idx="1">
                  <c:v>5485</c:v>
                </c:pt>
                <c:pt idx="2">
                  <c:v>5715</c:v>
                </c:pt>
                <c:pt idx="3">
                  <c:v>5114</c:v>
                </c:pt>
                <c:pt idx="4">
                  <c:v>5256</c:v>
                </c:pt>
                <c:pt idx="5">
                  <c:v>5004</c:v>
                </c:pt>
                <c:pt idx="6">
                  <c:v>5498</c:v>
                </c:pt>
                <c:pt idx="7">
                  <c:v>4744</c:v>
                </c:pt>
                <c:pt idx="8">
                  <c:v>5103</c:v>
                </c:pt>
                <c:pt idx="9">
                  <c:v>4963</c:v>
                </c:pt>
                <c:pt idx="10">
                  <c:v>5373</c:v>
                </c:pt>
                <c:pt idx="11">
                  <c:v>5765</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c:formatCode>
                <c:ptCount val="12"/>
                <c:pt idx="0">
                  <c:v>5577</c:v>
                </c:pt>
                <c:pt idx="1">
                  <c:v>5445</c:v>
                </c:pt>
                <c:pt idx="2">
                  <c:v>5579</c:v>
                </c:pt>
                <c:pt idx="3">
                  <c:v>5152</c:v>
                </c:pt>
                <c:pt idx="4">
                  <c:v>5128</c:v>
                </c:pt>
                <c:pt idx="5">
                  <c:v>5409</c:v>
                </c:pt>
                <c:pt idx="6">
                  <c:v>5197</c:v>
                </c:pt>
                <c:pt idx="7">
                  <c:v>5219</c:v>
                </c:pt>
                <c:pt idx="8">
                  <c:v>4416</c:v>
                </c:pt>
                <c:pt idx="9">
                  <c:v>5134</c:v>
                </c:pt>
                <c:pt idx="10">
                  <c:v>4543</c:v>
                </c:pt>
                <c:pt idx="11">
                  <c:v>5182</c:v>
                </c:pt>
              </c:numCache>
            </c:numRef>
          </c:val>
        </c:ser>
        <c:ser>
          <c:idx val="4"/>
          <c:order val="2"/>
          <c:tx>
            <c:strRef>
              <c:f>Sheet1!$A$4</c:f>
              <c:strCache>
                <c:ptCount val="1"/>
                <c:pt idx="0">
                  <c:v>2010</c:v>
                </c:pt>
              </c:strCache>
            </c:strRef>
          </c:tx>
          <c:spPr>
            <a:ln w="31750">
              <a:solidFill>
                <a:srgbClr val="0070C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c:formatCode>
                <c:ptCount val="12"/>
                <c:pt idx="0">
                  <c:v>4995</c:v>
                </c:pt>
                <c:pt idx="1">
                  <c:v>5171</c:v>
                </c:pt>
                <c:pt idx="2">
                  <c:v>5452</c:v>
                </c:pt>
                <c:pt idx="3">
                  <c:v>5483</c:v>
                </c:pt>
                <c:pt idx="4">
                  <c:v>5021</c:v>
                </c:pt>
                <c:pt idx="5">
                  <c:v>4764</c:v>
                </c:pt>
                <c:pt idx="6">
                  <c:v>5273</c:v>
                </c:pt>
                <c:pt idx="7">
                  <c:v>4617</c:v>
                </c:pt>
                <c:pt idx="8">
                  <c:v>4726</c:v>
                </c:pt>
                <c:pt idx="9">
                  <c:v>5200</c:v>
                </c:pt>
                <c:pt idx="10">
                  <c:v>5208</c:v>
                </c:pt>
                <c:pt idx="11">
                  <c:v>5250</c:v>
                </c:pt>
              </c:numCache>
            </c:numRef>
          </c:val>
        </c:ser>
        <c:marker val="1"/>
        <c:axId val="138921856"/>
        <c:axId val="138923392"/>
      </c:lineChart>
      <c:catAx>
        <c:axId val="138921856"/>
        <c:scaling>
          <c:orientation val="minMax"/>
        </c:scaling>
        <c:axPos val="b"/>
        <c:majorGridlines>
          <c:spPr>
            <a:ln>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38923392"/>
        <c:crosses val="autoZero"/>
        <c:auto val="1"/>
        <c:lblAlgn val="ctr"/>
        <c:lblOffset val="100"/>
        <c:tickLblSkip val="1"/>
        <c:tickMarkSkip val="1"/>
      </c:catAx>
      <c:valAx>
        <c:axId val="138923392"/>
        <c:scaling>
          <c:orientation val="minMax"/>
          <c:max val="6000"/>
          <c:min val="4000"/>
        </c:scaling>
        <c:axPos val="l"/>
        <c:majorGridlines>
          <c:spPr>
            <a:ln w="6350">
              <a:solidFill>
                <a:schemeClr val="bg1">
                  <a:lumMod val="75000"/>
                </a:schemeClr>
              </a:solidFill>
              <a:prstDash val="solid"/>
            </a:ln>
          </c:spPr>
        </c:majorGridlines>
        <c:numFmt formatCode="0"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38921856"/>
        <c:crosses val="autoZero"/>
        <c:crossBetween val="between"/>
        <c:majorUnit val="500"/>
      </c:valAx>
      <c:spPr>
        <a:noFill/>
        <a:ln w="6350">
          <a:solidFill>
            <a:schemeClr val="bg1">
              <a:lumMod val="75000"/>
            </a:schemeClr>
          </a:solidFill>
        </a:ln>
      </c:spPr>
    </c:plotArea>
    <c:legend>
      <c:legendPos val="r"/>
      <c:layout>
        <c:manualLayout>
          <c:xMode val="edge"/>
          <c:yMode val="edge"/>
          <c:x val="0.14956450128470195"/>
          <c:y val="0.71972049942081406"/>
          <c:w val="0.73979299362523865"/>
          <c:h val="9.0933273893972322E-2"/>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87145969498906E-2"/>
          <c:y val="3.7828947368426034E-2"/>
          <c:w val="0.83591889249140172"/>
          <c:h val="0.84030838041431266"/>
        </c:manualLayout>
      </c:layout>
      <c:lineChart>
        <c:grouping val="standard"/>
        <c:ser>
          <c:idx val="0"/>
          <c:order val="0"/>
          <c:tx>
            <c:strRef>
              <c:f>Sheet1!$C$1</c:f>
              <c:strCache>
                <c:ptCount val="1"/>
                <c:pt idx="0">
                  <c:v>Industriālie kredīti</c:v>
                </c:pt>
              </c:strCache>
            </c:strRef>
          </c:tx>
          <c:spPr>
            <a:ln w="25400">
              <a:solidFill>
                <a:srgbClr val="0070C0"/>
              </a:solidFill>
              <a:prstDash val="solid"/>
            </a:ln>
          </c:spPr>
          <c:marker>
            <c:symbol val="none"/>
          </c:marker>
          <c:cat>
            <c:multiLvlStrRef>
              <c:f>Sheet1!$A$2:$B$29</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Sheet1!$C$2:$C$29</c:f>
              <c:numCache>
                <c:formatCode>0.0</c:formatCode>
                <c:ptCount val="16"/>
                <c:pt idx="0">
                  <c:v>31.4</c:v>
                </c:pt>
                <c:pt idx="1">
                  <c:v>42</c:v>
                </c:pt>
                <c:pt idx="2">
                  <c:v>43.5</c:v>
                </c:pt>
                <c:pt idx="3">
                  <c:v>39.300000000000004</c:v>
                </c:pt>
                <c:pt idx="4">
                  <c:v>37.300000000000004</c:v>
                </c:pt>
                <c:pt idx="5">
                  <c:v>12.8</c:v>
                </c:pt>
                <c:pt idx="6">
                  <c:v>9.7000000000000011</c:v>
                </c:pt>
                <c:pt idx="7">
                  <c:v>7.9</c:v>
                </c:pt>
                <c:pt idx="8">
                  <c:v>2.1</c:v>
                </c:pt>
                <c:pt idx="9">
                  <c:v>10.7</c:v>
                </c:pt>
                <c:pt idx="10">
                  <c:v>4.3</c:v>
                </c:pt>
                <c:pt idx="11">
                  <c:v>-1.2</c:v>
                </c:pt>
                <c:pt idx="12">
                  <c:v>18.899999999999999</c:v>
                </c:pt>
                <c:pt idx="13">
                  <c:v>18.8</c:v>
                </c:pt>
                <c:pt idx="14">
                  <c:v>18.100000000000001</c:v>
                </c:pt>
                <c:pt idx="15">
                  <c:v>14.7</c:v>
                </c:pt>
              </c:numCache>
            </c:numRef>
          </c:val>
        </c:ser>
        <c:ser>
          <c:idx val="1"/>
          <c:order val="1"/>
          <c:tx>
            <c:strRef>
              <c:f>Sheet1!$D$1</c:f>
              <c:strCache>
                <c:ptCount val="1"/>
                <c:pt idx="0">
                  <c:v>Komerckredīti</c:v>
                </c:pt>
              </c:strCache>
            </c:strRef>
          </c:tx>
          <c:spPr>
            <a:ln w="25400">
              <a:solidFill>
                <a:sysClr val="windowText" lastClr="000000"/>
              </a:solidFill>
              <a:prstDash val="sysDash"/>
            </a:ln>
          </c:spPr>
          <c:marker>
            <c:symbol val="none"/>
          </c:marker>
          <c:cat>
            <c:multiLvlStrRef>
              <c:f>Sheet1!$A$2:$B$29</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Sheet1!$D$2:$D$29</c:f>
              <c:numCache>
                <c:formatCode>0.0</c:formatCode>
                <c:ptCount val="16"/>
                <c:pt idx="0">
                  <c:v>30.8</c:v>
                </c:pt>
                <c:pt idx="1">
                  <c:v>36.1</c:v>
                </c:pt>
                <c:pt idx="2">
                  <c:v>25.5</c:v>
                </c:pt>
                <c:pt idx="3">
                  <c:v>20.8</c:v>
                </c:pt>
                <c:pt idx="4">
                  <c:v>10.4</c:v>
                </c:pt>
                <c:pt idx="5">
                  <c:v>14.6</c:v>
                </c:pt>
                <c:pt idx="6">
                  <c:v>22.7</c:v>
                </c:pt>
                <c:pt idx="7">
                  <c:v>13.1</c:v>
                </c:pt>
                <c:pt idx="8">
                  <c:v>8.7000000000000011</c:v>
                </c:pt>
                <c:pt idx="9">
                  <c:v>-8.3000000000000007</c:v>
                </c:pt>
                <c:pt idx="10">
                  <c:v>-15.2</c:v>
                </c:pt>
                <c:pt idx="11">
                  <c:v>-19.100000000000001</c:v>
                </c:pt>
                <c:pt idx="12">
                  <c:v>-24.9</c:v>
                </c:pt>
                <c:pt idx="13">
                  <c:v>-20.9</c:v>
                </c:pt>
                <c:pt idx="14">
                  <c:v>-20.100000000000001</c:v>
                </c:pt>
                <c:pt idx="15">
                  <c:v>-19.3</c:v>
                </c:pt>
              </c:numCache>
            </c:numRef>
          </c:val>
        </c:ser>
        <c:marker val="1"/>
        <c:axId val="271213312"/>
        <c:axId val="270957568"/>
      </c:lineChart>
      <c:valAx>
        <c:axId val="270957568"/>
        <c:scaling>
          <c:orientation val="minMax"/>
          <c:max val="90"/>
          <c:min val="-30"/>
        </c:scaling>
        <c:axPos val="r"/>
        <c:majorGridlines>
          <c:spPr>
            <a:ln>
              <a:solidFill>
                <a:sysClr val="window" lastClr="FFFFFF">
                  <a:lumMod val="85000"/>
                </a:sysClr>
              </a:solidFill>
            </a:ln>
          </c:spPr>
        </c:majorGridlines>
        <c:numFmt formatCode="#,##0" sourceLinked="0"/>
        <c:tickLblPos val="nextTo"/>
        <c:spPr>
          <a:ln w="3175"/>
        </c:spPr>
        <c:txPr>
          <a:bodyPr/>
          <a:lstStyle/>
          <a:p>
            <a:pPr>
              <a:defRPr lang="lv-LV" sz="700">
                <a:latin typeface="Arial" pitchFamily="34" charset="0"/>
                <a:cs typeface="Arial" pitchFamily="34" charset="0"/>
              </a:defRPr>
            </a:pPr>
            <a:endParaRPr lang="lv-LV"/>
          </a:p>
        </c:txPr>
        <c:crossAx val="271213312"/>
        <c:crosses val="max"/>
        <c:crossBetween val="midCat"/>
        <c:majorUnit val="30"/>
        <c:minorUnit val="6"/>
      </c:valAx>
      <c:catAx>
        <c:axId val="271213312"/>
        <c:scaling>
          <c:orientation val="minMax"/>
        </c:scaling>
        <c:axPos val="b"/>
        <c:majorGridlines>
          <c:spPr>
            <a:ln>
              <a:solidFill>
                <a:sysClr val="window" lastClr="FFFFFF">
                  <a:lumMod val="85000"/>
                </a:sysClr>
              </a:solidFill>
            </a:ln>
          </c:spPr>
        </c:majorGridlines>
        <c:tickLblPos val="low"/>
        <c:spPr>
          <a:ln w="3175"/>
        </c:spPr>
        <c:txPr>
          <a:bodyPr rot="0"/>
          <a:lstStyle/>
          <a:p>
            <a:pPr>
              <a:defRPr lang="lv-LV" sz="700">
                <a:latin typeface="Arial" pitchFamily="34" charset="0"/>
                <a:cs typeface="Arial" pitchFamily="34" charset="0"/>
              </a:defRPr>
            </a:pPr>
            <a:endParaRPr lang="lv-LV"/>
          </a:p>
        </c:txPr>
        <c:crossAx val="270957568"/>
        <c:crossesAt val="0"/>
        <c:auto val="1"/>
        <c:lblAlgn val="ctr"/>
        <c:lblOffset val="0"/>
        <c:tickLblSkip val="1"/>
        <c:noMultiLvlLbl val="1"/>
      </c:catAx>
      <c:spPr>
        <a:noFill/>
        <a:ln w="25400">
          <a:noFill/>
        </a:ln>
      </c:spPr>
    </c:plotArea>
    <c:legend>
      <c:legendPos val="r"/>
      <c:layout>
        <c:manualLayout>
          <c:xMode val="edge"/>
          <c:yMode val="edge"/>
          <c:x val="0.30187699035923743"/>
          <c:y val="5.9186111111111529E-2"/>
          <c:w val="0.54758950617283952"/>
          <c:h val="0.16854990583804144"/>
        </c:manualLayout>
      </c:layout>
      <c:spPr>
        <a:solidFill>
          <a:sysClr val="window" lastClr="FFFFFF"/>
        </a:solidFill>
        <a:ln w="23138">
          <a:noFill/>
        </a:ln>
      </c:spPr>
      <c:txPr>
        <a:bodyPr/>
        <a:lstStyle/>
        <a:p>
          <a:pPr>
            <a:defRPr lang="lv-LV" sz="8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87278377447601"/>
          <c:y val="3.9293155092901551E-2"/>
          <c:w val="0.45639472595982072"/>
          <c:h val="0.8397773106751798"/>
        </c:manualLayout>
      </c:layout>
      <c:barChart>
        <c:barDir val="bar"/>
        <c:grouping val="clustered"/>
        <c:ser>
          <c:idx val="0"/>
          <c:order val="0"/>
          <c:tx>
            <c:strRef>
              <c:f>Sheet1!$B$1</c:f>
              <c:strCache>
                <c:ptCount val="1"/>
                <c:pt idx="0">
                  <c:v>2009.gada 4.cet.beigās</c:v>
                </c:pt>
              </c:strCache>
            </c:strRef>
          </c:tx>
          <c:spPr>
            <a:solidFill>
              <a:sysClr val="window" lastClr="FFFFFF">
                <a:lumMod val="85000"/>
              </a:sysClr>
            </a:solidFill>
            <a:ln w="3175">
              <a:solidFill>
                <a:sysClr val="windowText" lastClr="000000"/>
              </a:solidFill>
              <a:prstDash val="solid"/>
            </a:ln>
          </c:spPr>
          <c:cat>
            <c:strRef>
              <c:f>Sheet1!$A$2:$A$11</c:f>
              <c:strCache>
                <c:ptCount val="10"/>
                <c:pt idx="0">
                  <c:v>Primārās nozares</c:v>
                </c:pt>
                <c:pt idx="1">
                  <c:v>Apstrādes rūpniecība</c:v>
                </c:pt>
                <c:pt idx="2">
                  <c:v>Elektroenerģija, gāze un ūdensapgāde</c:v>
                </c:pt>
                <c:pt idx="3">
                  <c:v>Būvniecība</c:v>
                </c:pt>
                <c:pt idx="4">
                  <c:v>Tirdzniecība, viesnīcas un restorāni</c:v>
                </c:pt>
                <c:pt idx="5">
                  <c:v>Transports un sakari</c:v>
                </c:pt>
                <c:pt idx="6">
                  <c:v>Finanses</c:v>
                </c:pt>
                <c:pt idx="7">
                  <c:v>Operācijas ar nekustamo īpašumu</c:v>
                </c:pt>
                <c:pt idx="8">
                  <c:v>Sabiedriskie pakalpojumi</c:v>
                </c:pt>
                <c:pt idx="9">
                  <c:v>Pārējie komercpakalpojumi</c:v>
                </c:pt>
              </c:strCache>
            </c:strRef>
          </c:cat>
          <c:val>
            <c:numRef>
              <c:f>Sheet1!$B$2:$B$11</c:f>
              <c:numCache>
                <c:formatCode>0.0</c:formatCode>
                <c:ptCount val="10"/>
                <c:pt idx="0">
                  <c:v>348.65637199999969</c:v>
                </c:pt>
                <c:pt idx="1">
                  <c:v>996.27424699999995</c:v>
                </c:pt>
                <c:pt idx="2">
                  <c:v>251.42108500000003</c:v>
                </c:pt>
                <c:pt idx="3">
                  <c:v>798.38767899999948</c:v>
                </c:pt>
                <c:pt idx="4">
                  <c:v>885.56109799999797</c:v>
                </c:pt>
                <c:pt idx="5">
                  <c:v>608.95160999999746</c:v>
                </c:pt>
                <c:pt idx="6">
                  <c:v>693.78928100000053</c:v>
                </c:pt>
                <c:pt idx="7">
                  <c:v>2418.5533870000022</c:v>
                </c:pt>
                <c:pt idx="8">
                  <c:v>75.316215000000227</c:v>
                </c:pt>
                <c:pt idx="9">
                  <c:v>351.40389899999963</c:v>
                </c:pt>
              </c:numCache>
            </c:numRef>
          </c:val>
        </c:ser>
        <c:ser>
          <c:idx val="1"/>
          <c:order val="1"/>
          <c:tx>
            <c:strRef>
              <c:f>Sheet1!$C$1</c:f>
              <c:strCache>
                <c:ptCount val="1"/>
                <c:pt idx="0">
                  <c:v>2010.gada 4.cet. beigās</c:v>
                </c:pt>
              </c:strCache>
            </c:strRef>
          </c:tx>
          <c:spPr>
            <a:solidFill>
              <a:srgbClr val="0070C0"/>
            </a:solidFill>
            <a:ln w="3175">
              <a:solidFill>
                <a:sysClr val="windowText" lastClr="000000"/>
              </a:solidFill>
            </a:ln>
          </c:spPr>
          <c:cat>
            <c:strRef>
              <c:f>Sheet1!$A$2:$A$11</c:f>
              <c:strCache>
                <c:ptCount val="10"/>
                <c:pt idx="0">
                  <c:v>Primārās nozares</c:v>
                </c:pt>
                <c:pt idx="1">
                  <c:v>Apstrādes rūpniecība</c:v>
                </c:pt>
                <c:pt idx="2">
                  <c:v>Elektroenerģija, gāze un ūdensapgāde</c:v>
                </c:pt>
                <c:pt idx="3">
                  <c:v>Būvniecība</c:v>
                </c:pt>
                <c:pt idx="4">
                  <c:v>Tirdzniecība, viesnīcas un restorāni</c:v>
                </c:pt>
                <c:pt idx="5">
                  <c:v>Transports un sakari</c:v>
                </c:pt>
                <c:pt idx="6">
                  <c:v>Finanses</c:v>
                </c:pt>
                <c:pt idx="7">
                  <c:v>Operācijas ar nekustamo īpašumu</c:v>
                </c:pt>
                <c:pt idx="8">
                  <c:v>Sabiedriskie pakalpojumi</c:v>
                </c:pt>
                <c:pt idx="9">
                  <c:v>Pārējie komercpakalpojumi</c:v>
                </c:pt>
              </c:strCache>
            </c:strRef>
          </c:cat>
          <c:val>
            <c:numRef>
              <c:f>Sheet1!$C$2:$C$11</c:f>
              <c:numCache>
                <c:formatCode>0.0</c:formatCode>
                <c:ptCount val="10"/>
                <c:pt idx="0">
                  <c:v>316.82982099999998</c:v>
                </c:pt>
                <c:pt idx="1">
                  <c:v>913</c:v>
                </c:pt>
                <c:pt idx="2">
                  <c:v>268.73830999999723</c:v>
                </c:pt>
                <c:pt idx="3">
                  <c:v>696.83454099999949</c:v>
                </c:pt>
                <c:pt idx="4">
                  <c:v>781.18892499999993</c:v>
                </c:pt>
                <c:pt idx="5">
                  <c:v>602.24446900000009</c:v>
                </c:pt>
                <c:pt idx="6">
                  <c:v>454.76099599999969</c:v>
                </c:pt>
                <c:pt idx="7">
                  <c:v>2222.112854</c:v>
                </c:pt>
                <c:pt idx="8">
                  <c:v>74.794229000000811</c:v>
                </c:pt>
                <c:pt idx="9">
                  <c:v>327.86488000000281</c:v>
                </c:pt>
              </c:numCache>
            </c:numRef>
          </c:val>
        </c:ser>
        <c:axId val="270927360"/>
        <c:axId val="270925824"/>
      </c:barChart>
      <c:valAx>
        <c:axId val="270925824"/>
        <c:scaling>
          <c:orientation val="minMax"/>
          <c:max val="2500"/>
          <c:min val="0"/>
        </c:scaling>
        <c:axPos val="b"/>
        <c:numFmt formatCode="0" sourceLinked="0"/>
        <c:tickLblPos val="nextTo"/>
        <c:spPr>
          <a:ln w="3175"/>
        </c:spPr>
        <c:txPr>
          <a:bodyPr/>
          <a:lstStyle/>
          <a:p>
            <a:pPr>
              <a:defRPr lang="lv-LV" sz="700">
                <a:latin typeface="Arial" pitchFamily="34" charset="0"/>
                <a:cs typeface="Arial" pitchFamily="34" charset="0"/>
              </a:defRPr>
            </a:pPr>
            <a:endParaRPr lang="lv-LV"/>
          </a:p>
        </c:txPr>
        <c:crossAx val="270927360"/>
        <c:crosses val="autoZero"/>
        <c:crossBetween val="between"/>
        <c:majorUnit val="500"/>
      </c:valAx>
      <c:catAx>
        <c:axId val="270927360"/>
        <c:scaling>
          <c:orientation val="minMax"/>
        </c:scaling>
        <c:axPos val="l"/>
        <c:tickLblPos val="nextTo"/>
        <c:spPr>
          <a:ln w="3175"/>
        </c:spPr>
        <c:txPr>
          <a:bodyPr/>
          <a:lstStyle/>
          <a:p>
            <a:pPr>
              <a:defRPr lang="lv-LV" sz="700">
                <a:latin typeface="Arial" pitchFamily="34" charset="0"/>
                <a:cs typeface="Arial" pitchFamily="34" charset="0"/>
              </a:defRPr>
            </a:pPr>
            <a:endParaRPr lang="lv-LV"/>
          </a:p>
        </c:txPr>
        <c:crossAx val="270925824"/>
        <c:crosses val="autoZero"/>
        <c:auto val="1"/>
        <c:lblAlgn val="l"/>
        <c:lblOffset val="0"/>
      </c:catAx>
      <c:spPr>
        <a:noFill/>
        <a:ln w="25304">
          <a:noFill/>
        </a:ln>
      </c:spPr>
    </c:plotArea>
    <c:legend>
      <c:legendPos val="r"/>
      <c:layout>
        <c:manualLayout>
          <c:xMode val="edge"/>
          <c:yMode val="edge"/>
          <c:x val="0.6711759259259259"/>
          <c:y val="0.44627253955543694"/>
          <c:w val="0.26237203519485436"/>
          <c:h val="0.24830687679671351"/>
        </c:manualLayout>
      </c:layout>
      <c:spPr>
        <a:solidFill>
          <a:sysClr val="window" lastClr="FFFFFF"/>
        </a:solidFill>
      </c:spPr>
      <c:txPr>
        <a:bodyPr/>
        <a:lstStyle/>
        <a:p>
          <a:pPr>
            <a:defRPr lang="lv-LV" sz="700">
              <a:latin typeface="Arial" pitchFamily="34" charset="0"/>
              <a:cs typeface="Arial" pitchFamily="34" charset="0"/>
            </a:defRPr>
          </a:pPr>
          <a:endParaRPr lang="lv-LV"/>
        </a:p>
      </c:txPr>
    </c:legend>
    <c:plotVisOnly val="1"/>
    <c:dispBlanksAs val="zero"/>
  </c:chart>
  <c:spPr>
    <a:noFill/>
    <a:ln>
      <a:noFill/>
    </a:ln>
  </c:spPr>
  <c:txPr>
    <a:bodyPr/>
    <a:lstStyle/>
    <a:p>
      <a:pPr>
        <a:defRPr sz="900" b="0" i="0" u="none" strike="noStrike" baseline="0">
          <a:solidFill>
            <a:srgbClr val="000000"/>
          </a:solidFill>
          <a:latin typeface="Garamond"/>
          <a:ea typeface="Garamond"/>
          <a:cs typeface="Garamond"/>
        </a:defRPr>
      </a:pPr>
      <a:endParaRPr lang="lv-LV"/>
    </a:p>
  </c:tx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36844350930499"/>
          <c:y val="0.18982000000000004"/>
          <c:w val="0.55910042066660004"/>
          <c:h val="0.62470914349994588"/>
        </c:manualLayout>
      </c:layout>
      <c:pieChart>
        <c:varyColors val="1"/>
        <c:ser>
          <c:idx val="0"/>
          <c:order val="0"/>
          <c:tx>
            <c:strRef>
              <c:f>Sheet1!$B$1</c:f>
              <c:strCache>
                <c:ptCount val="1"/>
                <c:pt idx="0">
                  <c:v>2010.g.IV </c:v>
                </c:pt>
              </c:strCache>
            </c:strRef>
          </c:tx>
          <c:spPr>
            <a:solidFill>
              <a:srgbClr val="9999FF"/>
            </a:solidFill>
            <a:ln w="3175">
              <a:solidFill>
                <a:srgbClr val="000000"/>
              </a:solidFill>
              <a:prstDash val="solid"/>
            </a:ln>
          </c:spPr>
          <c:dPt>
            <c:idx val="0"/>
            <c:spPr>
              <a:solidFill>
                <a:srgbClr val="1F497D">
                  <a:lumMod val="75000"/>
                </a:srgbClr>
              </a:solidFill>
              <a:ln w="3175">
                <a:solidFill>
                  <a:srgbClr val="000000"/>
                </a:solidFill>
                <a:prstDash val="solid"/>
              </a:ln>
            </c:spPr>
          </c:dPt>
          <c:dPt>
            <c:idx val="1"/>
            <c:spPr>
              <a:solidFill>
                <a:sysClr val="windowText" lastClr="000000">
                  <a:lumMod val="65000"/>
                  <a:lumOff val="35000"/>
                </a:sysClr>
              </a:solidFill>
              <a:ln w="3175">
                <a:solidFill>
                  <a:srgbClr val="000000"/>
                </a:solidFill>
                <a:prstDash val="solid"/>
              </a:ln>
            </c:spPr>
          </c:dPt>
          <c:dPt>
            <c:idx val="2"/>
            <c:spPr>
              <a:solidFill>
                <a:sysClr val="windowText" lastClr="000000"/>
              </a:solidFill>
              <a:ln w="3175">
                <a:solidFill>
                  <a:srgbClr val="000000"/>
                </a:solidFill>
                <a:prstDash val="solid"/>
              </a:ln>
            </c:spPr>
          </c:dPt>
          <c:dPt>
            <c:idx val="3"/>
            <c:spPr>
              <a:solidFill>
                <a:sysClr val="window" lastClr="FFFFFF">
                  <a:lumMod val="50000"/>
                </a:sysClr>
              </a:solidFill>
              <a:ln w="3175">
                <a:solidFill>
                  <a:sysClr val="windowText" lastClr="000000"/>
                </a:solidFill>
                <a:prstDash val="solid"/>
              </a:ln>
            </c:spPr>
          </c:dPt>
          <c:dPt>
            <c:idx val="4"/>
            <c:spPr>
              <a:solidFill>
                <a:srgbClr val="0070C0"/>
              </a:solidFill>
              <a:ln w="3175">
                <a:solidFill>
                  <a:srgbClr val="000000"/>
                </a:solidFill>
                <a:prstDash val="solid"/>
              </a:ln>
            </c:spPr>
          </c:dPt>
          <c:dPt>
            <c:idx val="5"/>
            <c:spPr>
              <a:solidFill>
                <a:sysClr val="window" lastClr="FFFFFF">
                  <a:lumMod val="85000"/>
                </a:sysClr>
              </a:solidFill>
              <a:ln w="3175">
                <a:solidFill>
                  <a:srgbClr val="000000"/>
                </a:solidFill>
                <a:prstDash val="solid"/>
              </a:ln>
            </c:spPr>
          </c:dPt>
          <c:dPt>
            <c:idx val="6"/>
            <c:spPr>
              <a:solidFill>
                <a:srgbClr val="4F81BD">
                  <a:lumMod val="40000"/>
                  <a:lumOff val="60000"/>
                </a:srgbClr>
              </a:solidFill>
              <a:ln w="3175">
                <a:solidFill>
                  <a:srgbClr val="000000"/>
                </a:solidFill>
                <a:prstDash val="solid"/>
              </a:ln>
            </c:spPr>
          </c:dPt>
          <c:dPt>
            <c:idx val="7"/>
            <c:spPr>
              <a:solidFill>
                <a:sysClr val="window" lastClr="FFFFFF"/>
              </a:solidFill>
              <a:ln w="3175">
                <a:solidFill>
                  <a:srgbClr val="000000"/>
                </a:solidFill>
                <a:prstDash val="solid"/>
              </a:ln>
            </c:spPr>
          </c:dPt>
          <c:dPt>
            <c:idx val="8"/>
            <c:spPr>
              <a:solidFill>
                <a:srgbClr val="F79646">
                  <a:lumMod val="60000"/>
                  <a:lumOff val="40000"/>
                </a:srgbClr>
              </a:solidFill>
              <a:ln w="3175">
                <a:solidFill>
                  <a:srgbClr val="000000"/>
                </a:solidFill>
                <a:prstDash val="solid"/>
              </a:ln>
            </c:spPr>
          </c:dPt>
          <c:dLbls>
            <c:dLbl>
              <c:idx val="0"/>
              <c:layout>
                <c:manualLayout>
                  <c:x val="1.9598765432098767E-2"/>
                  <c:y val="-5.8855858060115349E-3"/>
                </c:manualLayout>
              </c:layout>
              <c:dLblPos val="bestFit"/>
              <c:showCatName val="1"/>
              <c:showPercent val="1"/>
            </c:dLbl>
            <c:dLbl>
              <c:idx val="2"/>
              <c:layout>
                <c:manualLayout>
                  <c:x val="8.8190543206620522E-2"/>
                  <c:y val="-5.8849999999999996E-3"/>
                </c:manualLayout>
              </c:layout>
              <c:dLblPos val="bestFit"/>
              <c:showCatName val="1"/>
              <c:showPercent val="1"/>
            </c:dLbl>
            <c:dLbl>
              <c:idx val="8"/>
              <c:layout>
                <c:manualLayout>
                  <c:x val="-2.9398148148148149E-2"/>
                  <c:y val="0"/>
                </c:manualLayout>
              </c:layout>
              <c:dLblPos val="bestFit"/>
              <c:showCatName val="1"/>
              <c:showPercent val="1"/>
            </c:dLbl>
            <c:dLbl>
              <c:idx val="9"/>
              <c:layout>
                <c:manualLayout>
                  <c:x val="-4.8996913580247534E-3"/>
                  <c:y val="0"/>
                </c:manualLayout>
              </c:layout>
              <c:dLblPos val="bestFit"/>
              <c:showCatName val="1"/>
              <c:showPercent val="1"/>
            </c:dLbl>
            <c:txPr>
              <a:bodyPr/>
              <a:lstStyle/>
              <a:p>
                <a:pPr>
                  <a:defRPr lang="lv-LV" sz="600">
                    <a:latin typeface="Arial" pitchFamily="34" charset="0"/>
                    <a:cs typeface="Arial" pitchFamily="34" charset="0"/>
                  </a:defRPr>
                </a:pPr>
                <a:endParaRPr lang="lv-LV"/>
              </a:p>
            </c:txPr>
            <c:dLblPos val="outEnd"/>
            <c:showCatName val="1"/>
            <c:showPercent val="1"/>
          </c:dLbls>
          <c:cat>
            <c:strRef>
              <c:f>Sheet1!$A$2:$A$10</c:f>
              <c:strCache>
                <c:ptCount val="9"/>
                <c:pt idx="0">
                  <c:v>Primārās nozares</c:v>
                </c:pt>
                <c:pt idx="1">
                  <c:v>Apstrādes rūpniecība</c:v>
                </c:pt>
                <c:pt idx="2">
                  <c:v>Elektroenerģija, gāze un ūdens apgāde</c:v>
                </c:pt>
                <c:pt idx="3">
                  <c:v>Būvniecība</c:v>
                </c:pt>
                <c:pt idx="4">
                  <c:v>Tirdzniecība, viesnīcas un restorāni</c:v>
                </c:pt>
                <c:pt idx="5">
                  <c:v>Transports un sakari</c:v>
                </c:pt>
                <c:pt idx="6">
                  <c:v>Finanses</c:v>
                </c:pt>
                <c:pt idx="7">
                  <c:v>Operācijas ar nekustamo īpašumu</c:v>
                </c:pt>
                <c:pt idx="8">
                  <c:v>Pārējie komercpakalpojumi</c:v>
                </c:pt>
              </c:strCache>
            </c:strRef>
          </c:cat>
          <c:val>
            <c:numRef>
              <c:f>Sheet1!$B$2:$B$10</c:f>
              <c:numCache>
                <c:formatCode>0.0</c:formatCode>
                <c:ptCount val="9"/>
                <c:pt idx="0">
                  <c:v>5</c:v>
                </c:pt>
                <c:pt idx="1">
                  <c:v>14</c:v>
                </c:pt>
                <c:pt idx="2">
                  <c:v>3.9862434002722744</c:v>
                </c:pt>
                <c:pt idx="3">
                  <c:v>10</c:v>
                </c:pt>
                <c:pt idx="4">
                  <c:v>12</c:v>
                </c:pt>
                <c:pt idx="5">
                  <c:v>9</c:v>
                </c:pt>
                <c:pt idx="6">
                  <c:v>7</c:v>
                </c:pt>
                <c:pt idx="7">
                  <c:v>33</c:v>
                </c:pt>
                <c:pt idx="8">
                  <c:v>1</c:v>
                </c:pt>
              </c:numCache>
            </c:numRef>
          </c:val>
        </c:ser>
        <c:dLbls>
          <c:showCatName val="1"/>
          <c:showPercent val="1"/>
        </c:dLbls>
        <c:firstSliceAng val="0"/>
      </c:pieChart>
      <c:spPr>
        <a:noFill/>
        <a:ln w="25304">
          <a:noFill/>
        </a:ln>
      </c:spPr>
    </c:plotArea>
    <c:plotVisOnly val="1"/>
    <c:dispBlanksAs val="zero"/>
  </c:chart>
  <c:spPr>
    <a:noFill/>
    <a:ln>
      <a:noFill/>
    </a:ln>
  </c:spPr>
  <c:txPr>
    <a:bodyPr/>
    <a:lstStyle/>
    <a:p>
      <a:pPr>
        <a:defRPr sz="822" b="0" i="0" u="none" strike="noStrike" baseline="0">
          <a:solidFill>
            <a:srgbClr val="000000"/>
          </a:solidFill>
          <a:latin typeface="Garamond"/>
          <a:ea typeface="Garamond"/>
          <a:cs typeface="Garamond"/>
        </a:defRPr>
      </a:pPr>
      <a:endParaRPr lang="lv-LV"/>
    </a:p>
  </c:txPr>
  <c:externalData r:id="rId2"/>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5.1194539249147034E-2"/>
          <c:y val="3.8350694444444444E-2"/>
          <c:w val="0.87721373386320445"/>
          <c:h val="0.77152569444446195"/>
        </c:manualLayout>
      </c:layout>
      <c:lineChart>
        <c:grouping val="standard"/>
        <c:ser>
          <c:idx val="0"/>
          <c:order val="0"/>
          <c:tx>
            <c:strRef>
              <c:f>Sheet1!$A$3</c:f>
              <c:strCache>
                <c:ptCount val="1"/>
                <c:pt idx="0">
                  <c:v>Ls</c:v>
                </c:pt>
              </c:strCache>
            </c:strRef>
          </c:tx>
          <c:spPr>
            <a:ln w="25400">
              <a:solidFill>
                <a:srgbClr val="0070C0"/>
              </a:solidFill>
            </a:ln>
          </c:spPr>
          <c:marker>
            <c:symbol val="none"/>
          </c:marker>
          <c:cat>
            <c:multiLvlStrRef>
              <c:f>Sheet1!$B$1:$AW$2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Sheet1!$B$3:$AW$3</c:f>
              <c:numCache>
                <c:formatCode>General</c:formatCode>
                <c:ptCount val="12"/>
                <c:pt idx="0">
                  <c:v>11.5</c:v>
                </c:pt>
                <c:pt idx="1">
                  <c:v>9.7000000000000011</c:v>
                </c:pt>
                <c:pt idx="2">
                  <c:v>10.5</c:v>
                </c:pt>
                <c:pt idx="3">
                  <c:v>14.6</c:v>
                </c:pt>
                <c:pt idx="4">
                  <c:v>17.3</c:v>
                </c:pt>
                <c:pt idx="5">
                  <c:v>24.4</c:v>
                </c:pt>
                <c:pt idx="6">
                  <c:v>15.9</c:v>
                </c:pt>
                <c:pt idx="7">
                  <c:v>9</c:v>
                </c:pt>
                <c:pt idx="8">
                  <c:v>10.5</c:v>
                </c:pt>
                <c:pt idx="9">
                  <c:v>7.1</c:v>
                </c:pt>
                <c:pt idx="10">
                  <c:v>8</c:v>
                </c:pt>
                <c:pt idx="11">
                  <c:v>6.6</c:v>
                </c:pt>
              </c:numCache>
            </c:numRef>
          </c:val>
          <c:smooth val="1"/>
        </c:ser>
        <c:ser>
          <c:idx val="1"/>
          <c:order val="1"/>
          <c:tx>
            <c:strRef>
              <c:f>Sheet1!$A$4</c:f>
              <c:strCache>
                <c:ptCount val="1"/>
                <c:pt idx="0">
                  <c:v>EUR</c:v>
                </c:pt>
              </c:strCache>
            </c:strRef>
          </c:tx>
          <c:spPr>
            <a:ln w="25400">
              <a:solidFill>
                <a:schemeClr val="tx1"/>
              </a:solidFill>
              <a:prstDash val="dash"/>
            </a:ln>
          </c:spPr>
          <c:marker>
            <c:symbol val="none"/>
          </c:marker>
          <c:cat>
            <c:multiLvlStrRef>
              <c:f>Sheet1!$B$1:$AW$2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Sheet1!$B$4:$AW$4</c:f>
              <c:numCache>
                <c:formatCode>General</c:formatCode>
                <c:ptCount val="12"/>
                <c:pt idx="0">
                  <c:v>6.7</c:v>
                </c:pt>
                <c:pt idx="1">
                  <c:v>7.3</c:v>
                </c:pt>
                <c:pt idx="2">
                  <c:v>7.4</c:v>
                </c:pt>
                <c:pt idx="3">
                  <c:v>7.4</c:v>
                </c:pt>
                <c:pt idx="4">
                  <c:v>6.2</c:v>
                </c:pt>
                <c:pt idx="5">
                  <c:v>5.4</c:v>
                </c:pt>
                <c:pt idx="6">
                  <c:v>4.7</c:v>
                </c:pt>
                <c:pt idx="7">
                  <c:v>4.5</c:v>
                </c:pt>
                <c:pt idx="8">
                  <c:v>4.5999999999999996</c:v>
                </c:pt>
                <c:pt idx="9">
                  <c:v>4.3</c:v>
                </c:pt>
                <c:pt idx="10">
                  <c:v>4.5999999999999996</c:v>
                </c:pt>
                <c:pt idx="11">
                  <c:v>4.4000000000000004</c:v>
                </c:pt>
              </c:numCache>
            </c:numRef>
          </c:val>
          <c:smooth val="1"/>
        </c:ser>
        <c:marker val="1"/>
        <c:axId val="270387456"/>
        <c:axId val="271929344"/>
      </c:lineChart>
      <c:catAx>
        <c:axId val="270387456"/>
        <c:scaling>
          <c:orientation val="minMax"/>
        </c:scaling>
        <c:axPos val="b"/>
        <c:majorGridlines>
          <c:spPr>
            <a:ln w="6350">
              <a:solidFill>
                <a:schemeClr val="bg1">
                  <a:lumMod val="85000"/>
                </a:schemeClr>
              </a:solidFill>
            </a:ln>
          </c:spPr>
        </c:majorGridlines>
        <c:numFmt formatCode="General" sourceLinked="1"/>
        <c:majorTickMark val="none"/>
        <c:tickLblPos val="nextTo"/>
        <c:spPr>
          <a:solidFill>
            <a:sysClr val="window" lastClr="FFFFFF"/>
          </a:solidFill>
          <a:ln w="6350">
            <a:solidFill>
              <a:schemeClr val="tx1"/>
            </a:solidFill>
          </a:ln>
        </c:spPr>
        <c:txPr>
          <a:bodyPr rot="0" vert="horz"/>
          <a:lstStyle/>
          <a:p>
            <a:pPr>
              <a:defRPr lang="lv-LV" sz="700" baseline="0">
                <a:latin typeface="Arial" pitchFamily="34" charset="0"/>
                <a:cs typeface="Arial" pitchFamily="34" charset="0"/>
              </a:defRPr>
            </a:pPr>
            <a:endParaRPr lang="lv-LV"/>
          </a:p>
        </c:txPr>
        <c:crossAx val="271929344"/>
        <c:crosses val="autoZero"/>
        <c:auto val="1"/>
        <c:lblAlgn val="ctr"/>
        <c:lblOffset val="0"/>
        <c:tickLblSkip val="1"/>
        <c:tickMarkSkip val="1"/>
        <c:noMultiLvlLbl val="1"/>
      </c:catAx>
      <c:valAx>
        <c:axId val="271929344"/>
        <c:scaling>
          <c:orientation val="minMax"/>
          <c:max val="32"/>
          <c:min val="0"/>
        </c:scaling>
        <c:axPos val="l"/>
        <c:majorGridlines>
          <c:spPr>
            <a:ln w="6350">
              <a:solidFill>
                <a:schemeClr val="bg1">
                  <a:lumMod val="85000"/>
                </a:schemeClr>
              </a:solidFill>
            </a:ln>
          </c:spPr>
        </c:majorGridlines>
        <c:numFmt formatCode="General" sourceLinked="1"/>
        <c:tickLblPos val="nextTo"/>
        <c:spPr>
          <a:ln w="6350">
            <a:solidFill>
              <a:schemeClr val="tx1"/>
            </a:solidFill>
          </a:ln>
        </c:spPr>
        <c:txPr>
          <a:bodyPr rot="0" vert="horz"/>
          <a:lstStyle/>
          <a:p>
            <a:pPr>
              <a:defRPr lang="lv-LV" sz="700">
                <a:latin typeface="Arial" pitchFamily="34" charset="0"/>
                <a:cs typeface="Arial" pitchFamily="34" charset="0"/>
              </a:defRPr>
            </a:pPr>
            <a:endParaRPr lang="lv-LV"/>
          </a:p>
        </c:txPr>
        <c:crossAx val="270387456"/>
        <c:crosses val="autoZero"/>
        <c:crossBetween val="between"/>
        <c:majorUnit val="10"/>
      </c:valAx>
      <c:spPr>
        <a:ln w="6350">
          <a:solidFill>
            <a:schemeClr val="bg1">
              <a:lumMod val="75000"/>
            </a:schemeClr>
          </a:solidFill>
        </a:ln>
      </c:spPr>
    </c:plotArea>
    <c:legend>
      <c:legendPos val="l"/>
      <c:layout>
        <c:manualLayout>
          <c:xMode val="edge"/>
          <c:yMode val="edge"/>
          <c:x val="0.5325445231849707"/>
          <c:y val="0.14027500000000001"/>
          <c:w val="0.39302259926694316"/>
          <c:h val="0.11499930555555557"/>
        </c:manualLayout>
      </c:layout>
      <c:overlay val="1"/>
      <c:spPr>
        <a:solidFill>
          <a:schemeClr val="bg1"/>
        </a:solidFill>
      </c:spPr>
      <c:txPr>
        <a:bodyPr/>
        <a:lstStyle/>
        <a:p>
          <a:pPr>
            <a:defRPr lang="lv-LV" sz="800">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286738910111484"/>
          <c:y val="3.4273427081217292E-2"/>
          <c:w val="0.85883388338834465"/>
          <c:h val="0.70562815842601989"/>
        </c:manualLayout>
      </c:layout>
      <c:lineChart>
        <c:grouping val="standard"/>
        <c:ser>
          <c:idx val="0"/>
          <c:order val="0"/>
          <c:tx>
            <c:strRef>
              <c:f>Sheet1!$A$3</c:f>
              <c:strCache>
                <c:ptCount val="1"/>
                <c:pt idx="0">
                  <c:v>Ls</c:v>
                </c:pt>
              </c:strCache>
            </c:strRef>
          </c:tx>
          <c:spPr>
            <a:ln w="25400">
              <a:solidFill>
                <a:srgbClr val="0070C0"/>
              </a:solidFill>
              <a:prstDash val="solid"/>
            </a:ln>
          </c:spPr>
          <c:marker>
            <c:symbol val="none"/>
          </c:marker>
          <c:cat>
            <c:multiLvlStrRef>
              <c:f>Sheet1!$B$1:$AW$2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Sheet1!$B$3:$AW$3</c:f>
              <c:numCache>
                <c:formatCode>0.0</c:formatCode>
                <c:ptCount val="12"/>
                <c:pt idx="0">
                  <c:v>17.2</c:v>
                </c:pt>
                <c:pt idx="1">
                  <c:v>16.600000000000001</c:v>
                </c:pt>
                <c:pt idx="2">
                  <c:v>16.8</c:v>
                </c:pt>
                <c:pt idx="3">
                  <c:v>15.2</c:v>
                </c:pt>
                <c:pt idx="4">
                  <c:v>17.8</c:v>
                </c:pt>
                <c:pt idx="5">
                  <c:v>15.2</c:v>
                </c:pt>
                <c:pt idx="6">
                  <c:v>16.399999999999999</c:v>
                </c:pt>
                <c:pt idx="7">
                  <c:v>12.5</c:v>
                </c:pt>
                <c:pt idx="8">
                  <c:v>13.6</c:v>
                </c:pt>
                <c:pt idx="9">
                  <c:v>13</c:v>
                </c:pt>
                <c:pt idx="10">
                  <c:v>13.2</c:v>
                </c:pt>
                <c:pt idx="11">
                  <c:v>10.200000000000001</c:v>
                </c:pt>
              </c:numCache>
            </c:numRef>
          </c:val>
          <c:smooth val="1"/>
        </c:ser>
        <c:ser>
          <c:idx val="2"/>
          <c:order val="1"/>
          <c:tx>
            <c:strRef>
              <c:f>Sheet1!$A$4</c:f>
              <c:strCache>
                <c:ptCount val="1"/>
                <c:pt idx="0">
                  <c:v>EUR</c:v>
                </c:pt>
              </c:strCache>
            </c:strRef>
          </c:tx>
          <c:spPr>
            <a:ln w="25400">
              <a:solidFill>
                <a:schemeClr val="tx1"/>
              </a:solidFill>
              <a:prstDash val="dash"/>
            </a:ln>
          </c:spPr>
          <c:marker>
            <c:symbol val="none"/>
          </c:marker>
          <c:cat>
            <c:multiLvlStrRef>
              <c:f>Sheet1!$B$1:$AW$2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Sheet1!$B$4:$AW$4</c:f>
              <c:numCache>
                <c:formatCode>0.0</c:formatCode>
                <c:ptCount val="12"/>
                <c:pt idx="0">
                  <c:v>6.5</c:v>
                </c:pt>
                <c:pt idx="1">
                  <c:v>7.2</c:v>
                </c:pt>
                <c:pt idx="2">
                  <c:v>7.7</c:v>
                </c:pt>
                <c:pt idx="3">
                  <c:v>7.8</c:v>
                </c:pt>
                <c:pt idx="4">
                  <c:v>7.1</c:v>
                </c:pt>
                <c:pt idx="5">
                  <c:v>7.2</c:v>
                </c:pt>
                <c:pt idx="6">
                  <c:v>7.8</c:v>
                </c:pt>
                <c:pt idx="7">
                  <c:v>7.5</c:v>
                </c:pt>
                <c:pt idx="8">
                  <c:v>8.3000000000000007</c:v>
                </c:pt>
                <c:pt idx="9">
                  <c:v>6.5</c:v>
                </c:pt>
                <c:pt idx="10">
                  <c:v>7.6</c:v>
                </c:pt>
                <c:pt idx="11">
                  <c:v>6.7</c:v>
                </c:pt>
              </c:numCache>
            </c:numRef>
          </c:val>
        </c:ser>
        <c:marker val="1"/>
        <c:axId val="272478208"/>
        <c:axId val="272479744"/>
      </c:lineChart>
      <c:catAx>
        <c:axId val="272478208"/>
        <c:scaling>
          <c:orientation val="minMax"/>
        </c:scaling>
        <c:axPos val="b"/>
        <c:majorGridlines>
          <c:spPr>
            <a:ln w="6350">
              <a:solidFill>
                <a:schemeClr val="bg1">
                  <a:lumMod val="85000"/>
                </a:schemeClr>
              </a:solidFill>
            </a:ln>
          </c:spPr>
        </c:majorGridlines>
        <c:numFmt formatCode="General" sourceLinked="1"/>
        <c:majorTickMark val="none"/>
        <c:tickLblPos val="nextTo"/>
        <c:spPr>
          <a:solidFill>
            <a:sysClr val="window" lastClr="FFFFFF"/>
          </a:solidFill>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2479744"/>
        <c:crosses val="autoZero"/>
        <c:auto val="1"/>
        <c:lblAlgn val="ctr"/>
        <c:lblOffset val="0"/>
        <c:tickLblSkip val="1"/>
        <c:tickMarkSkip val="1"/>
        <c:noMultiLvlLbl val="1"/>
      </c:catAx>
      <c:valAx>
        <c:axId val="272479744"/>
        <c:scaling>
          <c:orientation val="minMax"/>
          <c:max val="32"/>
          <c:min val="0"/>
        </c:scaling>
        <c:axPos val="l"/>
        <c:majorGridlines>
          <c:spPr>
            <a:ln w="6350">
              <a:solidFill>
                <a:schemeClr val="bg1">
                  <a:lumMod val="85000"/>
                </a:schemeClr>
              </a:solidFill>
              <a:prstDash val="solid"/>
            </a:ln>
          </c:spPr>
        </c:majorGridlines>
        <c:numFmt formatCode="0" sourceLinked="0"/>
        <c:tickLblPos val="nextTo"/>
        <c:spPr>
          <a:ln w="3175">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2478208"/>
        <c:crosses val="autoZero"/>
        <c:crossBetween val="between"/>
        <c:majorUnit val="10"/>
      </c:valAx>
      <c:spPr>
        <a:noFill/>
        <a:ln w="6350">
          <a:solidFill>
            <a:schemeClr val="bg1">
              <a:lumMod val="75000"/>
            </a:schemeClr>
          </a:solidFill>
        </a:ln>
      </c:spPr>
    </c:plotArea>
    <c:legend>
      <c:legendPos val="r"/>
      <c:layout>
        <c:manualLayout>
          <c:xMode val="edge"/>
          <c:yMode val="edge"/>
          <c:x val="0.11660676037483272"/>
          <c:y val="0.14380128827910091"/>
          <c:w val="0.38783955906950496"/>
          <c:h val="0.10718196922632377"/>
        </c:manualLayout>
      </c:layout>
      <c:spPr>
        <a:solidFill>
          <a:schemeClr val="bg1"/>
        </a:solidFill>
        <a:ln w="25400">
          <a:noFill/>
        </a:ln>
      </c:spPr>
      <c:txPr>
        <a:bodyPr/>
        <a:lstStyle/>
        <a:p>
          <a:pPr>
            <a:defRPr lang="lv-LV" sz="800" b="0" i="0" u="none" strike="noStrike" baseline="0">
              <a:solidFill>
                <a:srgbClr val="000000"/>
              </a:solidFill>
              <a:latin typeface="Times New Roman" pitchFamily="18" charset="0"/>
              <a:ea typeface="Arial"/>
              <a:cs typeface="Times New Roman" pitchFamily="18" charset="0"/>
            </a:defRPr>
          </a:pPr>
          <a:endParaRPr lang="lv-LV"/>
        </a:p>
      </c:txPr>
    </c:legend>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lv-LV"/>
    </a:p>
  </c:txPr>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43962265235766E-2"/>
          <c:y val="4.5454311441059762E-2"/>
          <c:w val="0.85630777474818265"/>
          <c:h val="0.7770208333333681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Sheet1!$B$1:$Q$2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Sheet1!$B$3:$Q$3</c:f>
              <c:numCache>
                <c:formatCode>0.0</c:formatCode>
                <c:ptCount val="16"/>
                <c:pt idx="0">
                  <c:v>99.591976853892518</c:v>
                </c:pt>
                <c:pt idx="1">
                  <c:v>101.11854063459585</c:v>
                </c:pt>
                <c:pt idx="2">
                  <c:v>102.23139823816797</c:v>
                </c:pt>
                <c:pt idx="3">
                  <c:v>101.93061342544536</c:v>
                </c:pt>
                <c:pt idx="4">
                  <c:v>101.52004908660291</c:v>
                </c:pt>
                <c:pt idx="5">
                  <c:v>102.48796629731658</c:v>
                </c:pt>
                <c:pt idx="6">
                  <c:v>103.26358452330457</c:v>
                </c:pt>
                <c:pt idx="7">
                  <c:v>102.41223875383605</c:v>
                </c:pt>
                <c:pt idx="8">
                  <c:v>100.49220593086662</c:v>
                </c:pt>
                <c:pt idx="9">
                  <c:v>100.83577518853262</c:v>
                </c:pt>
                <c:pt idx="10">
                  <c:v>100.8860446011667</c:v>
                </c:pt>
                <c:pt idx="11">
                  <c:v>100.33502160937935</c:v>
                </c:pt>
                <c:pt idx="12">
                  <c:v>99.030742887662825</c:v>
                </c:pt>
                <c:pt idx="13">
                  <c:v>100.23208020189081</c:v>
                </c:pt>
                <c:pt idx="14">
                  <c:v>100.68801638191444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Sheet1!$B$1:$Q$2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Sheet1!$B$4:$Q$4</c:f>
              <c:numCache>
                <c:formatCode>0.0</c:formatCode>
                <c:ptCount val="16"/>
                <c:pt idx="0">
                  <c:v>99.431381589057935</c:v>
                </c:pt>
                <c:pt idx="1">
                  <c:v>101.21407714768711</c:v>
                </c:pt>
                <c:pt idx="2">
                  <c:v>101.75195942830881</c:v>
                </c:pt>
                <c:pt idx="3">
                  <c:v>100.47641001997849</c:v>
                </c:pt>
                <c:pt idx="4">
                  <c:v>100.89134777931459</c:v>
                </c:pt>
                <c:pt idx="5">
                  <c:v>100.90671584447517</c:v>
                </c:pt>
                <c:pt idx="6">
                  <c:v>101.50607038573843</c:v>
                </c:pt>
                <c:pt idx="7">
                  <c:v>100.29199323805132</c:v>
                </c:pt>
                <c:pt idx="8">
                  <c:v>94.067926848009833</c:v>
                </c:pt>
                <c:pt idx="9">
                  <c:v>91.07115414169354</c:v>
                </c:pt>
                <c:pt idx="10">
                  <c:v>91.916397725526338</c:v>
                </c:pt>
                <c:pt idx="11">
                  <c:v>89.211618257261392</c:v>
                </c:pt>
                <c:pt idx="12">
                  <c:v>85.077608729060984</c:v>
                </c:pt>
                <c:pt idx="13">
                  <c:v>85.8767481174105</c:v>
                </c:pt>
                <c:pt idx="14">
                  <c:v>88.858152758567201</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Sheet1!$B$1:$Q$2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Sheet1!$B$5:$Q$5</c:f>
              <c:numCache>
                <c:formatCode>0.0</c:formatCode>
                <c:ptCount val="16"/>
                <c:pt idx="0">
                  <c:v>98.465449922818507</c:v>
                </c:pt>
                <c:pt idx="1">
                  <c:v>100.6083719240888</c:v>
                </c:pt>
                <c:pt idx="2">
                  <c:v>102.67865250158818</c:v>
                </c:pt>
                <c:pt idx="3">
                  <c:v>104.31308453645605</c:v>
                </c:pt>
                <c:pt idx="4">
                  <c:v>103.31426495959366</c:v>
                </c:pt>
                <c:pt idx="5">
                  <c:v>103.70471261236719</c:v>
                </c:pt>
                <c:pt idx="6">
                  <c:v>102.83301552710431</c:v>
                </c:pt>
                <c:pt idx="7">
                  <c:v>98.574412058475858</c:v>
                </c:pt>
                <c:pt idx="8">
                  <c:v>95.042222827567414</c:v>
                </c:pt>
                <c:pt idx="9">
                  <c:v>90.738218469081986</c:v>
                </c:pt>
                <c:pt idx="10">
                  <c:v>86.615817670026289</c:v>
                </c:pt>
                <c:pt idx="11">
                  <c:v>84.681739762098857</c:v>
                </c:pt>
                <c:pt idx="12">
                  <c:v>83.237991464632827</c:v>
                </c:pt>
                <c:pt idx="13">
                  <c:v>84.98138563515846</c:v>
                </c:pt>
                <c:pt idx="14">
                  <c:v>87.206029238173542</c:v>
                </c:pt>
                <c:pt idx="15">
                  <c:v>86.298011441024244</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Sheet1!$B$1:$Q$2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Sheet1!$B$6:$Q$6</c:f>
              <c:numCache>
                <c:formatCode>0.0</c:formatCode>
                <c:ptCount val="16"/>
                <c:pt idx="0">
                  <c:v>100.63409424642875</c:v>
                </c:pt>
                <c:pt idx="1">
                  <c:v>103.04365238285941</c:v>
                </c:pt>
                <c:pt idx="2">
                  <c:v>104.13829929248357</c:v>
                </c:pt>
                <c:pt idx="3">
                  <c:v>101.78881324255771</c:v>
                </c:pt>
                <c:pt idx="4">
                  <c:v>100.80763582966223</c:v>
                </c:pt>
                <c:pt idx="5">
                  <c:v>101.79548791883585</c:v>
                </c:pt>
                <c:pt idx="6">
                  <c:v>102.62982245361053</c:v>
                </c:pt>
                <c:pt idx="7">
                  <c:v>100.59404618875978</c:v>
                </c:pt>
                <c:pt idx="8">
                  <c:v>95.654785742890695</c:v>
                </c:pt>
                <c:pt idx="9">
                  <c:v>94.940595381124027</c:v>
                </c:pt>
                <c:pt idx="10">
                  <c:v>95.060739554131558</c:v>
                </c:pt>
                <c:pt idx="11">
                  <c:v>92.364170337738358</c:v>
                </c:pt>
                <c:pt idx="12">
                  <c:v>88.666399679615523</c:v>
                </c:pt>
                <c:pt idx="13">
                  <c:v>88.639700974502688</c:v>
                </c:pt>
                <c:pt idx="14">
                  <c:v>90.188225871045233</c:v>
                </c:pt>
              </c:numCache>
            </c:numRef>
          </c:val>
          <c:smooth val="1"/>
        </c:ser>
        <c:marker val="1"/>
        <c:axId val="272466688"/>
        <c:axId val="272468224"/>
      </c:lineChart>
      <c:catAx>
        <c:axId val="27246668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2468224"/>
        <c:crosses val="autoZero"/>
        <c:auto val="1"/>
        <c:lblAlgn val="ctr"/>
        <c:lblOffset val="0"/>
        <c:tickLblSkip val="1"/>
        <c:tickMarkSkip val="1"/>
        <c:noMultiLvlLbl val="1"/>
      </c:catAx>
      <c:valAx>
        <c:axId val="272468224"/>
        <c:scaling>
          <c:orientation val="minMax"/>
          <c:max val="108"/>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2466688"/>
        <c:crosses val="autoZero"/>
        <c:crossBetween val="between"/>
        <c:majorUnit val="4"/>
      </c:valAx>
      <c:spPr>
        <a:noFill/>
        <a:ln w="6350">
          <a:solidFill>
            <a:sysClr val="window" lastClr="FFFFFF">
              <a:lumMod val="75000"/>
            </a:sysClr>
          </a:solidFill>
        </a:ln>
      </c:spPr>
    </c:plotArea>
    <c:legend>
      <c:legendPos val="b"/>
      <c:layout>
        <c:manualLayout>
          <c:xMode val="edge"/>
          <c:yMode val="edge"/>
          <c:x val="0.12474070104717416"/>
          <c:y val="0.57168413978494559"/>
          <c:w val="0.39596091075750484"/>
          <c:h val="0.217418010752693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43962265235766E-2"/>
          <c:y val="4.5454311441059762E-2"/>
          <c:w val="0.85630777474818265"/>
          <c:h val="0.77702083333336858"/>
        </c:manualLayout>
      </c:layout>
      <c:lineChart>
        <c:grouping val="standard"/>
        <c:ser>
          <c:idx val="0"/>
          <c:order val="0"/>
          <c:tx>
            <c:strRef>
              <c:f>Sheet1!$A$3</c:f>
              <c:strCache>
                <c:ptCount val="1"/>
                <c:pt idx="0">
                  <c:v>Ekonomiski aktīvo iedzīvotāju skaits</c:v>
                </c:pt>
              </c:strCache>
            </c:strRef>
          </c:tx>
          <c:spPr>
            <a:ln w="19050">
              <a:solidFill>
                <a:srgbClr val="000000"/>
              </a:solidFill>
              <a:prstDash val="sysDash"/>
            </a:ln>
          </c:spPr>
          <c:marker>
            <c:symbol val="none"/>
          </c:marker>
          <c:cat>
            <c:multiLvlStrRef>
              <c:f>Sheet1!$B$1:$Q$2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Sheet1!$B$3:$Q$3</c:f>
              <c:numCache>
                <c:formatCode>0.0</c:formatCode>
                <c:ptCount val="16"/>
                <c:pt idx="0">
                  <c:v>1164.2</c:v>
                </c:pt>
                <c:pt idx="1">
                  <c:v>1178.5</c:v>
                </c:pt>
                <c:pt idx="2">
                  <c:v>1201.5</c:v>
                </c:pt>
                <c:pt idx="3">
                  <c:v>1213.0999999999999</c:v>
                </c:pt>
                <c:pt idx="4">
                  <c:v>1217.5</c:v>
                </c:pt>
                <c:pt idx="5">
                  <c:v>1218.5</c:v>
                </c:pt>
                <c:pt idx="6">
                  <c:v>1219.9000000000001</c:v>
                </c:pt>
                <c:pt idx="7">
                  <c:v>1204.2</c:v>
                </c:pt>
                <c:pt idx="8">
                  <c:v>1215.4000000000001</c:v>
                </c:pt>
                <c:pt idx="9">
                  <c:v>1199</c:v>
                </c:pt>
                <c:pt idx="10">
                  <c:v>1168.8</c:v>
                </c:pt>
                <c:pt idx="11">
                  <c:v>1162</c:v>
                </c:pt>
                <c:pt idx="12">
                  <c:v>1152.0999999999999</c:v>
                </c:pt>
                <c:pt idx="13">
                  <c:v>1161.7</c:v>
                </c:pt>
                <c:pt idx="14">
                  <c:v>1170.5999999999999</c:v>
                </c:pt>
                <c:pt idx="15">
                  <c:v>1144.0999999999999</c:v>
                </c:pt>
              </c:numCache>
            </c:numRef>
          </c:val>
          <c:smooth val="1"/>
        </c:ser>
        <c:ser>
          <c:idx val="2"/>
          <c:order val="1"/>
          <c:tx>
            <c:strRef>
              <c:f>Sheet1!$A$4</c:f>
              <c:strCache>
                <c:ptCount val="1"/>
                <c:pt idx="0">
                  <c:v>Nodarbināto iedzīvotāju skaits</c:v>
                </c:pt>
              </c:strCache>
            </c:strRef>
          </c:tx>
          <c:spPr>
            <a:ln>
              <a:solidFill>
                <a:srgbClr val="0070C0"/>
              </a:solidFill>
            </a:ln>
          </c:spPr>
          <c:marker>
            <c:symbol val="none"/>
          </c:marker>
          <c:cat>
            <c:multiLvlStrRef>
              <c:f>Sheet1!$B$1:$Q$2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Sheet1!$B$4:$Q$4</c:f>
              <c:numCache>
                <c:formatCode>0.0</c:formatCode>
                <c:ptCount val="16"/>
                <c:pt idx="0">
                  <c:v>1084.4000000000001</c:v>
                </c:pt>
                <c:pt idx="1">
                  <c:v>1108</c:v>
                </c:pt>
                <c:pt idx="2">
                  <c:v>1130.8</c:v>
                </c:pt>
                <c:pt idx="3">
                  <c:v>1148.8</c:v>
                </c:pt>
                <c:pt idx="4">
                  <c:v>1137.8</c:v>
                </c:pt>
                <c:pt idx="5">
                  <c:v>1142.0999999999999</c:v>
                </c:pt>
                <c:pt idx="6">
                  <c:v>1132.5</c:v>
                </c:pt>
                <c:pt idx="7">
                  <c:v>1085.5999999999999</c:v>
                </c:pt>
                <c:pt idx="8">
                  <c:v>1046.7</c:v>
                </c:pt>
                <c:pt idx="9">
                  <c:v>999.3</c:v>
                </c:pt>
                <c:pt idx="10">
                  <c:v>953.9</c:v>
                </c:pt>
                <c:pt idx="11">
                  <c:v>932.6</c:v>
                </c:pt>
                <c:pt idx="12">
                  <c:v>916.7</c:v>
                </c:pt>
                <c:pt idx="13">
                  <c:v>935.9</c:v>
                </c:pt>
                <c:pt idx="14">
                  <c:v>960.4</c:v>
                </c:pt>
                <c:pt idx="15">
                  <c:v>950.4</c:v>
                </c:pt>
              </c:numCache>
            </c:numRef>
          </c:val>
          <c:smooth val="1"/>
        </c:ser>
        <c:marker val="1"/>
        <c:axId val="272811520"/>
        <c:axId val="272813056"/>
      </c:lineChart>
      <c:catAx>
        <c:axId val="272811520"/>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2813056"/>
        <c:crosses val="autoZero"/>
        <c:auto val="1"/>
        <c:lblAlgn val="ctr"/>
        <c:lblOffset val="0"/>
        <c:tickLblSkip val="1"/>
        <c:tickMarkSkip val="1"/>
        <c:noMultiLvlLbl val="1"/>
      </c:catAx>
      <c:valAx>
        <c:axId val="272813056"/>
        <c:scaling>
          <c:orientation val="minMax"/>
          <c:min val="8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2811520"/>
        <c:crosses val="autoZero"/>
        <c:crossBetween val="between"/>
      </c:valAx>
      <c:spPr>
        <a:noFill/>
        <a:ln w="6350">
          <a:solidFill>
            <a:sysClr val="window" lastClr="FFFFFF">
              <a:lumMod val="75000"/>
            </a:sysClr>
          </a:solidFill>
        </a:ln>
      </c:spPr>
    </c:plotArea>
    <c:legend>
      <c:legendPos val="b"/>
      <c:layout>
        <c:manualLayout>
          <c:xMode val="edge"/>
          <c:yMode val="edge"/>
          <c:x val="0.12894472415100441"/>
          <c:y val="0.50412141577060932"/>
          <c:w val="0.45480982605168341"/>
          <c:h val="0.29516711469534052"/>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39971609031714E-2"/>
          <c:y val="6.7100359910809912E-2"/>
          <c:w val="0.93746665518732997"/>
          <c:h val="0.80303287232372644"/>
        </c:manualLayout>
      </c:layout>
      <c:barChart>
        <c:barDir val="col"/>
        <c:grouping val="clustered"/>
        <c:ser>
          <c:idx val="2"/>
          <c:order val="0"/>
          <c:tx>
            <c:strRef>
              <c:f>Sheet1!$A$4</c:f>
              <c:strCache>
                <c:ptCount val="1"/>
                <c:pt idx="0">
                  <c:v>Reģistrētais bezdarba līmenis</c:v>
                </c:pt>
              </c:strCache>
            </c:strRef>
          </c:tx>
          <c:spPr>
            <a:solidFill>
              <a:srgbClr val="0070C0"/>
            </a:solidFill>
            <a:ln>
              <a:solidFill>
                <a:sysClr val="windowText" lastClr="000000"/>
              </a:solidFill>
            </a:ln>
          </c:spPr>
          <c:cat>
            <c:multiLvlStrRef>
              <c:f>Sheet1!$B$1:$AN$3</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2009</c:v>
                  </c:pt>
                  <c:pt idx="12">
                    <c:v>2010</c:v>
                  </c:pt>
                  <c:pt idx="24">
                    <c:v>2011</c:v>
                  </c:pt>
                </c:lvl>
              </c:multiLvlStrCache>
            </c:multiLvlStrRef>
          </c:cat>
          <c:val>
            <c:numRef>
              <c:f>Sheet1!$B$4:$AN$4</c:f>
              <c:numCache>
                <c:formatCode>0.0</c:formatCode>
                <c:ptCount val="27"/>
                <c:pt idx="0">
                  <c:v>8.3000000000000007</c:v>
                </c:pt>
                <c:pt idx="1">
                  <c:v>9.5</c:v>
                </c:pt>
                <c:pt idx="2">
                  <c:v>10.7</c:v>
                </c:pt>
                <c:pt idx="3">
                  <c:v>11</c:v>
                </c:pt>
                <c:pt idx="4">
                  <c:v>11.3</c:v>
                </c:pt>
                <c:pt idx="5">
                  <c:v>11.5</c:v>
                </c:pt>
                <c:pt idx="6">
                  <c:v>11.8</c:v>
                </c:pt>
                <c:pt idx="7">
                  <c:v>12.3</c:v>
                </c:pt>
                <c:pt idx="8">
                  <c:v>13.2</c:v>
                </c:pt>
                <c:pt idx="9">
                  <c:v>14.1</c:v>
                </c:pt>
                <c:pt idx="10">
                  <c:v>15</c:v>
                </c:pt>
                <c:pt idx="11">
                  <c:v>16</c:v>
                </c:pt>
                <c:pt idx="12">
                  <c:v>16.600000000000001</c:v>
                </c:pt>
                <c:pt idx="13">
                  <c:v>17.100000000000001</c:v>
                </c:pt>
                <c:pt idx="14">
                  <c:v>17.3</c:v>
                </c:pt>
                <c:pt idx="15">
                  <c:v>17</c:v>
                </c:pt>
                <c:pt idx="16">
                  <c:v>16.7</c:v>
                </c:pt>
                <c:pt idx="17">
                  <c:v>15.6</c:v>
                </c:pt>
                <c:pt idx="18">
                  <c:v>15.3</c:v>
                </c:pt>
                <c:pt idx="19">
                  <c:v>15</c:v>
                </c:pt>
                <c:pt idx="20">
                  <c:v>14.6</c:v>
                </c:pt>
                <c:pt idx="21">
                  <c:v>14.3</c:v>
                </c:pt>
                <c:pt idx="22" formatCode="General">
                  <c:v>14.3</c:v>
                </c:pt>
                <c:pt idx="23" formatCode="General">
                  <c:v>14.3</c:v>
                </c:pt>
                <c:pt idx="24" formatCode="General">
                  <c:v>14.5</c:v>
                </c:pt>
                <c:pt idx="25" formatCode="General">
                  <c:v>14.5</c:v>
                </c:pt>
                <c:pt idx="26" formatCode="General">
                  <c:v>14.4</c:v>
                </c:pt>
              </c:numCache>
            </c:numRef>
          </c:val>
        </c:ser>
        <c:gapWidth val="30"/>
        <c:overlap val="50"/>
        <c:axId val="273294848"/>
        <c:axId val="273296384"/>
      </c:barChart>
      <c:catAx>
        <c:axId val="273294848"/>
        <c:scaling>
          <c:orientation val="minMax"/>
        </c:scaling>
        <c:axPos val="b"/>
        <c:majorGridlines>
          <c:spPr>
            <a:ln>
              <a:solidFill>
                <a:sysClr val="window" lastClr="FFFFFF">
                  <a:lumMod val="85000"/>
                </a:sysClr>
              </a:solidFill>
            </a:ln>
          </c:spPr>
        </c:majorGridlines>
        <c:numFmt formatCode="General" sourceLinked="1"/>
        <c:majorTickMark val="none"/>
        <c:tickLblPos val="low"/>
        <c:spPr>
          <a:ln w="6350">
            <a:solidFill>
              <a:sysClr val="windowText" lastClr="000000"/>
            </a:solidFill>
            <a:prstDash val="solid"/>
          </a:ln>
        </c:spPr>
        <c:txPr>
          <a:bodyPr rot="0" vert="horz"/>
          <a:lstStyle/>
          <a:p>
            <a:pPr>
              <a:defRPr lang="lv-LV" sz="700">
                <a:latin typeface="Arial" pitchFamily="34" charset="0"/>
                <a:cs typeface="Arial" pitchFamily="34" charset="0"/>
              </a:defRPr>
            </a:pPr>
            <a:endParaRPr lang="lv-LV"/>
          </a:p>
        </c:txPr>
        <c:crossAx val="273296384"/>
        <c:crosses val="autoZero"/>
        <c:lblAlgn val="ctr"/>
        <c:lblOffset val="0"/>
        <c:tickLblSkip val="1"/>
        <c:tickMarkSkip val="1"/>
        <c:noMultiLvlLbl val="1"/>
      </c:catAx>
      <c:valAx>
        <c:axId val="273296384"/>
        <c:scaling>
          <c:orientation val="minMax"/>
          <c:max val="18"/>
          <c:min val="6"/>
        </c:scaling>
        <c:axPos val="l"/>
        <c:majorGridlines>
          <c:spPr>
            <a:ln w="6350">
              <a:solidFill>
                <a:sysClr val="window" lastClr="FFFFFF">
                  <a:lumMod val="85000"/>
                </a:sysClr>
              </a:solidFill>
              <a:prstDash val="solid"/>
            </a:ln>
          </c:spPr>
        </c:majorGridlines>
        <c:numFmt formatCode="0" sourceLinked="0"/>
        <c:majorTickMark val="none"/>
        <c:tickLblPos val="nextTo"/>
        <c:spPr>
          <a:ln w="9525">
            <a:solidFill>
              <a:sysClr val="windowText" lastClr="000000"/>
            </a:solidFill>
          </a:ln>
        </c:spPr>
        <c:txPr>
          <a:bodyPr rot="0" vert="horz"/>
          <a:lstStyle/>
          <a:p>
            <a:pPr>
              <a:defRPr lang="lv-LV" sz="800">
                <a:latin typeface="Arial" pitchFamily="34" charset="0"/>
                <a:cs typeface="Arial" pitchFamily="34" charset="0"/>
              </a:defRPr>
            </a:pPr>
            <a:endParaRPr lang="lv-LV"/>
          </a:p>
        </c:txPr>
        <c:crossAx val="273294848"/>
        <c:crosses val="autoZero"/>
        <c:crossBetween val="between"/>
        <c:majorUnit val="2"/>
      </c:valAx>
      <c:spPr>
        <a:solidFill>
          <a:srgbClr val="FFFFFF"/>
        </a:solidFill>
        <a:ln w="6350">
          <a:solidFill>
            <a:sysClr val="window" lastClr="FFFFFF">
              <a:lumMod val="75000"/>
            </a:sysClr>
          </a:solidFill>
        </a:ln>
      </c:spPr>
    </c:plotArea>
    <c:plotVisOnly val="1"/>
    <c:dispBlanksAs val="gap"/>
  </c:chart>
  <c:spPr>
    <a:noFill/>
    <a:ln>
      <a:noFill/>
    </a:ln>
  </c:spPr>
  <c:txPr>
    <a:bodyPr/>
    <a:lstStyle/>
    <a:p>
      <a:pPr>
        <a:defRPr sz="1400" b="0" i="0" u="none" strike="noStrike" baseline="0">
          <a:solidFill>
            <a:srgbClr val="000000"/>
          </a:solidFill>
          <a:latin typeface="Calibri" pitchFamily="34" charset="0"/>
          <a:ea typeface="Arial"/>
          <a:cs typeface="Arial"/>
        </a:defRPr>
      </a:pPr>
      <a:endParaRPr lang="lv-LV"/>
    </a:p>
  </c:txPr>
  <c:externalData r:id="rId2"/>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78501321015776"/>
          <c:y val="3.6529680365296795E-2"/>
          <c:w val="0.89621498678984157"/>
          <c:h val="0.83145075077132757"/>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Sheet1!$B$4:$M$4</c:f>
              <c:numCache>
                <c:formatCode>0.000</c:formatCode>
                <c:ptCount val="12"/>
                <c:pt idx="0">
                  <c:v>4.2000000000000023E-2</c:v>
                </c:pt>
                <c:pt idx="1">
                  <c:v>4.0000000000000022E-2</c:v>
                </c:pt>
                <c:pt idx="2" formatCode="General">
                  <c:v>6.2000000000000034E-2</c:v>
                </c:pt>
                <c:pt idx="3" formatCode="General">
                  <c:v>7.5999999999999998E-2</c:v>
                </c:pt>
                <c:pt idx="4" formatCode="General">
                  <c:v>0.114</c:v>
                </c:pt>
                <c:pt idx="5" formatCode="General">
                  <c:v>0.13500000000000001</c:v>
                </c:pt>
                <c:pt idx="6" formatCode="General">
                  <c:v>0.14600000000000021</c:v>
                </c:pt>
                <c:pt idx="7" formatCode="General">
                  <c:v>0.15500000000000044</c:v>
                </c:pt>
                <c:pt idx="8" formatCode="General">
                  <c:v>0.19800000000000001</c:v>
                </c:pt>
                <c:pt idx="9" formatCode="General">
                  <c:v>0.18600000000000044</c:v>
                </c:pt>
                <c:pt idx="10" formatCode="General">
                  <c:v>0.15500000000000044</c:v>
                </c:pt>
                <c:pt idx="11" formatCode="General">
                  <c:v>0.13600000000000001</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Sheet1!$B$5:$M$5</c:f>
              <c:numCache>
                <c:formatCode>0.000</c:formatCode>
                <c:ptCount val="12"/>
                <c:pt idx="0">
                  <c:v>6.5000000000000002E-2</c:v>
                </c:pt>
                <c:pt idx="1">
                  <c:v>6.3E-2</c:v>
                </c:pt>
                <c:pt idx="2" formatCode="General">
                  <c:v>7.2000000000000022E-2</c:v>
                </c:pt>
                <c:pt idx="3" formatCode="General">
                  <c:v>9.9000000000000046E-2</c:v>
                </c:pt>
                <c:pt idx="4" formatCode="General">
                  <c:v>0.13900000000000001</c:v>
                </c:pt>
                <c:pt idx="5" formatCode="General">
                  <c:v>0.16700000000000001</c:v>
                </c:pt>
                <c:pt idx="6" formatCode="General">
                  <c:v>0.18400000000000041</c:v>
                </c:pt>
                <c:pt idx="7" formatCode="General">
                  <c:v>0.19700000000000001</c:v>
                </c:pt>
                <c:pt idx="8" formatCode="General">
                  <c:v>0.20400000000000001</c:v>
                </c:pt>
                <c:pt idx="9" formatCode="General">
                  <c:v>0.19400000000000001</c:v>
                </c:pt>
                <c:pt idx="10" formatCode="General">
                  <c:v>0.18000000000000024</c:v>
                </c:pt>
                <c:pt idx="11" formatCode="General">
                  <c:v>0.16900000000000001</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Sheet1!$B$6:$M$6</c:f>
              <c:numCache>
                <c:formatCode>0.000</c:formatCode>
                <c:ptCount val="12"/>
                <c:pt idx="0">
                  <c:v>4.9000000000000113E-2</c:v>
                </c:pt>
                <c:pt idx="1">
                  <c:v>4.5000000000000012E-2</c:v>
                </c:pt>
                <c:pt idx="2" formatCode="General">
                  <c:v>6.0000000000000032E-2</c:v>
                </c:pt>
                <c:pt idx="3" formatCode="General">
                  <c:v>7.9000000000000403E-2</c:v>
                </c:pt>
                <c:pt idx="4" formatCode="General">
                  <c:v>0.11900000000000002</c:v>
                </c:pt>
                <c:pt idx="5" formatCode="General">
                  <c:v>0.13600000000000001</c:v>
                </c:pt>
                <c:pt idx="6" formatCode="General">
                  <c:v>0.13800000000000001</c:v>
                </c:pt>
                <c:pt idx="7" formatCode="General">
                  <c:v>0.15600000000000044</c:v>
                </c:pt>
                <c:pt idx="8" formatCode="General">
                  <c:v>0.18100000000000024</c:v>
                </c:pt>
                <c:pt idx="9" formatCode="General">
                  <c:v>0.18300000000000041</c:v>
                </c:pt>
                <c:pt idx="10" formatCode="General">
                  <c:v>0.17800000000000021</c:v>
                </c:pt>
                <c:pt idx="11" formatCode="General">
                  <c:v>0.17100000000000001</c:v>
                </c:pt>
              </c:numCache>
            </c:numRef>
          </c:val>
        </c:ser>
        <c:gapWidth val="75"/>
        <c:overlap val="-25"/>
        <c:axId val="273498496"/>
        <c:axId val="273500416"/>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0.000</c:formatCode>
                <c:ptCount val="12"/>
                <c:pt idx="0">
                  <c:v>7.0999999999999994E-2</c:v>
                </c:pt>
                <c:pt idx="1">
                  <c:v>6.8000000000000019E-2</c:v>
                </c:pt>
                <c:pt idx="2" formatCode="General">
                  <c:v>6.8000000000000019E-2</c:v>
                </c:pt>
                <c:pt idx="3" formatCode="General">
                  <c:v>7.3000000000000009E-2</c:v>
                </c:pt>
                <c:pt idx="4" formatCode="General">
                  <c:v>8.7000000000000022E-2</c:v>
                </c:pt>
                <c:pt idx="5" formatCode="General">
                  <c:v>8.8000000000000064E-2</c:v>
                </c:pt>
                <c:pt idx="6" formatCode="General">
                  <c:v>9.0000000000000024E-2</c:v>
                </c:pt>
                <c:pt idx="7" formatCode="General">
                  <c:v>9.3000000000000208E-2</c:v>
                </c:pt>
                <c:pt idx="8" formatCode="General">
                  <c:v>0.10099999999999998</c:v>
                </c:pt>
                <c:pt idx="9" formatCode="General">
                  <c:v>9.5000000000000043E-2</c:v>
                </c:pt>
                <c:pt idx="10" formatCode="General">
                  <c:v>9.3000000000000208E-2</c:v>
                </c:pt>
                <c:pt idx="11" formatCode="General">
                  <c:v>9.5000000000000043E-2</c:v>
                </c:pt>
              </c:numCache>
            </c:numRef>
          </c:val>
        </c:ser>
        <c:marker val="1"/>
        <c:axId val="273498496"/>
        <c:axId val="273500416"/>
      </c:lineChart>
      <c:catAx>
        <c:axId val="27349849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3500416"/>
        <c:crosses val="autoZero"/>
        <c:auto val="1"/>
        <c:lblAlgn val="ctr"/>
        <c:lblOffset val="0"/>
        <c:tickLblSkip val="1"/>
        <c:tickMarkSkip val="1"/>
        <c:noMultiLvlLbl val="1"/>
      </c:catAx>
      <c:valAx>
        <c:axId val="273500416"/>
        <c:scaling>
          <c:orientation val="minMax"/>
          <c:max val="0.24000000000000021"/>
          <c:min val="0"/>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3498496"/>
        <c:crosses val="autoZero"/>
        <c:crossBetween val="between"/>
        <c:majorUnit val="4.0000000000000022E-2"/>
      </c:valAx>
      <c:spPr>
        <a:noFill/>
        <a:ln w="6350">
          <a:solidFill>
            <a:sysClr val="window" lastClr="FFFFFF">
              <a:lumMod val="75000"/>
            </a:sysClr>
          </a:solidFill>
        </a:ln>
      </c:spPr>
    </c:plotArea>
    <c:legend>
      <c:legendPos val="b"/>
      <c:layout>
        <c:manualLayout>
          <c:xMode val="edge"/>
          <c:yMode val="edge"/>
          <c:x val="0.15138927789673501"/>
          <c:y val="6.2671296296296294E-2"/>
          <c:w val="0.39031297046078389"/>
          <c:h val="0.15294040720393129"/>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719215390206618"/>
          <c:y val="4.0969363134540922E-2"/>
          <c:w val="0.87710149997121611"/>
          <c:h val="0.85412278526677055"/>
        </c:manualLayout>
      </c:layout>
      <c:lineChart>
        <c:grouping val="standard"/>
        <c:ser>
          <c:idx val="0"/>
          <c:order val="0"/>
          <c:tx>
            <c:strRef>
              <c:f>Sheet1!$A$2</c:f>
              <c:strCache>
                <c:ptCount val="1"/>
                <c:pt idx="0">
                  <c:v>2007</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349</c:v>
                </c:pt>
                <c:pt idx="1">
                  <c:v>345</c:v>
                </c:pt>
                <c:pt idx="2">
                  <c:v>368</c:v>
                </c:pt>
                <c:pt idx="3">
                  <c:v>373</c:v>
                </c:pt>
                <c:pt idx="4">
                  <c:v>381</c:v>
                </c:pt>
                <c:pt idx="5">
                  <c:v>403</c:v>
                </c:pt>
                <c:pt idx="6">
                  <c:v>412</c:v>
                </c:pt>
                <c:pt idx="7">
                  <c:v>399</c:v>
                </c:pt>
                <c:pt idx="8">
                  <c:v>400</c:v>
                </c:pt>
                <c:pt idx="9">
                  <c:v>422</c:v>
                </c:pt>
                <c:pt idx="10">
                  <c:v>436</c:v>
                </c:pt>
                <c:pt idx="11">
                  <c:v>480</c:v>
                </c:pt>
              </c:numCache>
            </c:numRef>
          </c:val>
          <c:smooth val="1"/>
        </c:ser>
        <c:ser>
          <c:idx val="2"/>
          <c:order val="1"/>
          <c:tx>
            <c:strRef>
              <c:f>Sheet1!$A$3</c:f>
              <c:strCache>
                <c:ptCount val="1"/>
                <c:pt idx="0">
                  <c:v>2008</c:v>
                </c:pt>
              </c:strCache>
            </c:strRef>
          </c:tx>
          <c:spPr>
            <a:ln w="15875">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446</c:v>
                </c:pt>
                <c:pt idx="1">
                  <c:v>449</c:v>
                </c:pt>
                <c:pt idx="2">
                  <c:v>465</c:v>
                </c:pt>
                <c:pt idx="3">
                  <c:v>469</c:v>
                </c:pt>
                <c:pt idx="4">
                  <c:v>473</c:v>
                </c:pt>
                <c:pt idx="5">
                  <c:v>490</c:v>
                </c:pt>
                <c:pt idx="6">
                  <c:v>504</c:v>
                </c:pt>
                <c:pt idx="7">
                  <c:v>474</c:v>
                </c:pt>
                <c:pt idx="8">
                  <c:v>482</c:v>
                </c:pt>
                <c:pt idx="9">
                  <c:v>489</c:v>
                </c:pt>
                <c:pt idx="10">
                  <c:v>486</c:v>
                </c:pt>
                <c:pt idx="11">
                  <c:v>526</c:v>
                </c:pt>
              </c:numCache>
            </c:numRef>
          </c:val>
          <c:smooth val="1"/>
        </c:ser>
        <c:ser>
          <c:idx val="4"/>
          <c:order val="2"/>
          <c:tx>
            <c:strRef>
              <c:f>Sheet1!$A$4</c:f>
              <c:strCache>
                <c:ptCount val="1"/>
                <c:pt idx="0">
                  <c:v>2009</c:v>
                </c:pt>
              </c:strCache>
            </c:strRef>
          </c:tx>
          <c:spPr>
            <a:ln w="2222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471</c:v>
                </c:pt>
                <c:pt idx="1">
                  <c:v>464</c:v>
                </c:pt>
                <c:pt idx="2">
                  <c:v>475</c:v>
                </c:pt>
                <c:pt idx="3">
                  <c:v>470</c:v>
                </c:pt>
                <c:pt idx="4">
                  <c:v>470</c:v>
                </c:pt>
                <c:pt idx="5">
                  <c:v>482</c:v>
                </c:pt>
                <c:pt idx="6">
                  <c:v>483</c:v>
                </c:pt>
                <c:pt idx="7">
                  <c:v>450</c:v>
                </c:pt>
                <c:pt idx="8">
                  <c:v>433</c:v>
                </c:pt>
                <c:pt idx="9">
                  <c:v>429</c:v>
                </c:pt>
                <c:pt idx="10">
                  <c:v>426</c:v>
                </c:pt>
                <c:pt idx="11">
                  <c:v>465</c:v>
                </c:pt>
              </c:numCache>
            </c:numRef>
          </c:val>
          <c:smooth val="1"/>
        </c:ser>
        <c:ser>
          <c:idx val="1"/>
          <c:order val="3"/>
          <c:tx>
            <c:strRef>
              <c:f>Sheet1!$A$5</c:f>
              <c:strCache>
                <c:ptCount val="1"/>
                <c:pt idx="0">
                  <c:v>2010</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427</c:v>
                </c:pt>
                <c:pt idx="1">
                  <c:v>426</c:v>
                </c:pt>
                <c:pt idx="2">
                  <c:v>441</c:v>
                </c:pt>
                <c:pt idx="3">
                  <c:v>442</c:v>
                </c:pt>
                <c:pt idx="4">
                  <c:v>443</c:v>
                </c:pt>
                <c:pt idx="5">
                  <c:v>447</c:v>
                </c:pt>
                <c:pt idx="6">
                  <c:v>456</c:v>
                </c:pt>
                <c:pt idx="7">
                  <c:v>445</c:v>
                </c:pt>
                <c:pt idx="8">
                  <c:v>442</c:v>
                </c:pt>
                <c:pt idx="9">
                  <c:v>443</c:v>
                </c:pt>
                <c:pt idx="10">
                  <c:v>442</c:v>
                </c:pt>
                <c:pt idx="11">
                  <c:v>479</c:v>
                </c:pt>
              </c:numCache>
            </c:numRef>
          </c:val>
        </c:ser>
        <c:marker val="1"/>
        <c:axId val="273518592"/>
        <c:axId val="273520128"/>
      </c:lineChart>
      <c:catAx>
        <c:axId val="273518592"/>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3520128"/>
        <c:crosses val="autoZero"/>
        <c:auto val="1"/>
        <c:lblAlgn val="ctr"/>
        <c:lblOffset val="100"/>
        <c:tickLblSkip val="1"/>
        <c:tickMarkSkip val="1"/>
      </c:catAx>
      <c:valAx>
        <c:axId val="273520128"/>
        <c:scaling>
          <c:orientation val="minMax"/>
          <c:max val="550"/>
          <c:min val="300"/>
        </c:scaling>
        <c:axPos val="l"/>
        <c:majorGridlines>
          <c:spPr>
            <a:ln w="6350">
              <a:solidFill>
                <a:schemeClr val="bg1">
                  <a:lumMod val="7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3518592"/>
        <c:crosses val="autoZero"/>
        <c:crossBetween val="between"/>
        <c:majorUnit val="50"/>
      </c:valAx>
      <c:spPr>
        <a:solidFill>
          <a:sysClr val="window" lastClr="FFFFFF"/>
        </a:solidFill>
        <a:ln w="6350">
          <a:solidFill>
            <a:schemeClr val="bg1">
              <a:lumMod val="75000"/>
            </a:schemeClr>
          </a:solidFill>
        </a:ln>
      </c:spPr>
    </c:plotArea>
    <c:legend>
      <c:legendPos val="l"/>
      <c:layout>
        <c:manualLayout>
          <c:xMode val="edge"/>
          <c:yMode val="edge"/>
          <c:x val="0.5537619689423825"/>
          <c:y val="0.62366878789316471"/>
          <c:w val="0.35599762170210031"/>
          <c:h val="0.20211284184971906"/>
        </c:manualLayout>
      </c:layout>
      <c:spPr>
        <a:solidFill>
          <a:schemeClr val="bg1"/>
        </a:solidFill>
      </c:spPr>
      <c:txPr>
        <a:bodyPr/>
        <a:lstStyle/>
        <a:p>
          <a:pPr>
            <a:defRPr lang="lv-LV" sz="7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40898593585946E-2"/>
          <c:y val="2.7980535279805416E-2"/>
          <c:w val="0.91690515526525151"/>
          <c:h val="0.8120616278897341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Sheet1!$B$3:$BK$3</c:f>
              <c:numCache>
                <c:formatCode>0.0</c:formatCode>
                <c:ptCount val="38"/>
                <c:pt idx="0">
                  <c:v>102.36999999999999</c:v>
                </c:pt>
                <c:pt idx="1">
                  <c:v>102.34952600000011</c:v>
                </c:pt>
                <c:pt idx="2">
                  <c:v>100.46629472160018</c:v>
                </c:pt>
                <c:pt idx="3">
                  <c:v>101.34035148567801</c:v>
                </c:pt>
                <c:pt idx="4">
                  <c:v>98.583893925267589</c:v>
                </c:pt>
                <c:pt idx="5">
                  <c:v>98.041682508678505</c:v>
                </c:pt>
                <c:pt idx="6">
                  <c:v>97.541669927884342</c:v>
                </c:pt>
                <c:pt idx="7">
                  <c:v>96.771090735453825</c:v>
                </c:pt>
                <c:pt idx="8">
                  <c:v>95.455003901451718</c:v>
                </c:pt>
                <c:pt idx="9">
                  <c:v>93.603176825763484</c:v>
                </c:pt>
                <c:pt idx="10">
                  <c:v>90.139859283210427</c:v>
                </c:pt>
                <c:pt idx="11">
                  <c:v>87.561859307710563</c:v>
                </c:pt>
                <c:pt idx="12">
                  <c:v>83.805455543409579</c:v>
                </c:pt>
                <c:pt idx="13">
                  <c:v>82.565134801367293</c:v>
                </c:pt>
                <c:pt idx="14">
                  <c:v>81.813792074674694</c:v>
                </c:pt>
                <c:pt idx="15">
                  <c:v>81.290183805396936</c:v>
                </c:pt>
                <c:pt idx="16">
                  <c:v>81.460893191388266</c:v>
                </c:pt>
                <c:pt idx="17">
                  <c:v>81.892635925302727</c:v>
                </c:pt>
                <c:pt idx="18">
                  <c:v>82.408559531632037</c:v>
                </c:pt>
                <c:pt idx="19">
                  <c:v>82.556894938788872</c:v>
                </c:pt>
                <c:pt idx="20">
                  <c:v>83.580600436029826</c:v>
                </c:pt>
                <c:pt idx="21">
                  <c:v>83.497019835593917</c:v>
                </c:pt>
                <c:pt idx="22">
                  <c:v>84.415487053785327</c:v>
                </c:pt>
                <c:pt idx="23">
                  <c:v>84.339513115437029</c:v>
                </c:pt>
                <c:pt idx="24">
                  <c:v>85.722681130530006</c:v>
                </c:pt>
                <c:pt idx="25">
                  <c:v>86.177011340521858</c:v>
                </c:pt>
                <c:pt idx="26">
                  <c:v>87.848845360528088</c:v>
                </c:pt>
                <c:pt idx="27">
                  <c:v>87.927909321352729</c:v>
                </c:pt>
                <c:pt idx="28">
                  <c:v>88.815981205498218</c:v>
                </c:pt>
                <c:pt idx="29">
                  <c:v>89.11795554159697</c:v>
                </c:pt>
                <c:pt idx="30">
                  <c:v>89.00210219939288</c:v>
                </c:pt>
                <c:pt idx="31">
                  <c:v>90.087927846225483</c:v>
                </c:pt>
                <c:pt idx="32">
                  <c:v>89.583435450286558</c:v>
                </c:pt>
                <c:pt idx="33">
                  <c:v>90.29114459034399</c:v>
                </c:pt>
                <c:pt idx="34">
                  <c:v>91.446871241100297</c:v>
                </c:pt>
                <c:pt idx="35">
                  <c:v>92.205880272401217</c:v>
                </c:pt>
                <c:pt idx="36">
                  <c:v>93.201703779343447</c:v>
                </c:pt>
                <c:pt idx="37">
                  <c:v>93.910036728066345</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Sheet1!$B$4:$BK$4</c:f>
              <c:numCache>
                <c:formatCode>0.0</c:formatCode>
                <c:ptCount val="38"/>
                <c:pt idx="0">
                  <c:v>101.66999999999999</c:v>
                </c:pt>
                <c:pt idx="1">
                  <c:v>102.92054099999999</c:v>
                </c:pt>
                <c:pt idx="2">
                  <c:v>97.980355031999949</c:v>
                </c:pt>
                <c:pt idx="3">
                  <c:v>100.41026783679357</c:v>
                </c:pt>
                <c:pt idx="4">
                  <c:v>95.058400561092469</c:v>
                </c:pt>
                <c:pt idx="5">
                  <c:v>97.235237933941448</c:v>
                </c:pt>
                <c:pt idx="6">
                  <c:v>98.158972694313888</c:v>
                </c:pt>
                <c:pt idx="7">
                  <c:v>94.389668142852258</c:v>
                </c:pt>
                <c:pt idx="8">
                  <c:v>93.804452200366583</c:v>
                </c:pt>
                <c:pt idx="9">
                  <c:v>86.018682667736172</c:v>
                </c:pt>
                <c:pt idx="10">
                  <c:v>82.25106436688931</c:v>
                </c:pt>
                <c:pt idx="11">
                  <c:v>78.738943918423118</c:v>
                </c:pt>
                <c:pt idx="12">
                  <c:v>74.723257778583559</c:v>
                </c:pt>
                <c:pt idx="13">
                  <c:v>71.876301657219429</c:v>
                </c:pt>
                <c:pt idx="14">
                  <c:v>69.195315605405241</c:v>
                </c:pt>
                <c:pt idx="15">
                  <c:v>66.019250619117358</c:v>
                </c:pt>
                <c:pt idx="16">
                  <c:v>67.52448953323298</c:v>
                </c:pt>
                <c:pt idx="17">
                  <c:v>68.024170755778911</c:v>
                </c:pt>
                <c:pt idx="18">
                  <c:v>71.119270525166868</c:v>
                </c:pt>
                <c:pt idx="19">
                  <c:v>71.787791668103466</c:v>
                </c:pt>
                <c:pt idx="20">
                  <c:v>69.275218959719808</c:v>
                </c:pt>
                <c:pt idx="21">
                  <c:v>69.524609747974807</c:v>
                </c:pt>
                <c:pt idx="22">
                  <c:v>72.20130722327184</c:v>
                </c:pt>
                <c:pt idx="23">
                  <c:v>70.526236895691767</c:v>
                </c:pt>
                <c:pt idx="24">
                  <c:v>72.113077225845004</c:v>
                </c:pt>
                <c:pt idx="25">
                  <c:v>72.365472996135296</c:v>
                </c:pt>
                <c:pt idx="26">
                  <c:v>74.71011432121044</c:v>
                </c:pt>
                <c:pt idx="27">
                  <c:v>77.138193036649454</c:v>
                </c:pt>
                <c:pt idx="28">
                  <c:v>78.225841558466144</c:v>
                </c:pt>
                <c:pt idx="29">
                  <c:v>80.314471528077391</c:v>
                </c:pt>
                <c:pt idx="30">
                  <c:v>84.667515884899203</c:v>
                </c:pt>
                <c:pt idx="31">
                  <c:v>84.667515884899203</c:v>
                </c:pt>
                <c:pt idx="32">
                  <c:v>89.019426201383027</c:v>
                </c:pt>
                <c:pt idx="33">
                  <c:v>95.04604135521663</c:v>
                </c:pt>
                <c:pt idx="34">
                  <c:v>94.960499917996913</c:v>
                </c:pt>
                <c:pt idx="35">
                  <c:v>96.470371866692886</c:v>
                </c:pt>
                <c:pt idx="36">
                  <c:v>101.73765417061453</c:v>
                </c:pt>
                <c:pt idx="37">
                  <c:v>102.49051281147709</c:v>
                </c:pt>
              </c:numCache>
            </c:numRef>
          </c:val>
          <c:smooth val="1"/>
        </c:ser>
        <c:ser>
          <c:idx val="2"/>
          <c:order val="2"/>
          <c:tx>
            <c:strRef>
              <c:f>Sheet1!$A$5</c:f>
              <c:strCache>
                <c:ptCount val="1"/>
                <c:pt idx="0">
                  <c:v>LV</c:v>
                </c:pt>
              </c:strCache>
            </c:strRef>
          </c:tx>
          <c:spPr>
            <a:ln w="31750">
              <a:solidFill>
                <a:srgbClr val="0070C0"/>
              </a:solidFill>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Sheet1!$B$5:$BK$5</c:f>
              <c:numCache>
                <c:formatCode>0.0</c:formatCode>
                <c:ptCount val="38"/>
                <c:pt idx="0">
                  <c:v>106.64999999999999</c:v>
                </c:pt>
                <c:pt idx="1">
                  <c:v>107.7271650000001</c:v>
                </c:pt>
                <c:pt idx="2">
                  <c:v>106.520620752</c:v>
                </c:pt>
                <c:pt idx="3">
                  <c:v>104.39020833695982</c:v>
                </c:pt>
                <c:pt idx="4">
                  <c:v>101.86396529520569</c:v>
                </c:pt>
                <c:pt idx="5">
                  <c:v>100.01004112683275</c:v>
                </c:pt>
                <c:pt idx="6">
                  <c:v>97.539793111000051</c:v>
                </c:pt>
                <c:pt idx="7">
                  <c:v>94.291718000403748</c:v>
                </c:pt>
                <c:pt idx="8">
                  <c:v>94.027701190002588</c:v>
                </c:pt>
                <c:pt idx="9">
                  <c:v>92.918174315960584</c:v>
                </c:pt>
                <c:pt idx="10">
                  <c:v>89.535952770859438</c:v>
                </c:pt>
                <c:pt idx="11">
                  <c:v>85.068108727593568</c:v>
                </c:pt>
                <c:pt idx="12">
                  <c:v>80.074610745283977</c:v>
                </c:pt>
                <c:pt idx="13">
                  <c:v>79.321909404278429</c:v>
                </c:pt>
                <c:pt idx="14">
                  <c:v>76.656693248294573</c:v>
                </c:pt>
                <c:pt idx="15">
                  <c:v>80.642841297205848</c:v>
                </c:pt>
                <c:pt idx="16">
                  <c:v>78.255813194808582</c:v>
                </c:pt>
                <c:pt idx="17">
                  <c:v>80.400022476346365</c:v>
                </c:pt>
                <c:pt idx="18">
                  <c:v>77.184021577292512</c:v>
                </c:pt>
                <c:pt idx="19">
                  <c:v>79.206242942617592</c:v>
                </c:pt>
                <c:pt idx="20">
                  <c:v>77.202324996169352</c:v>
                </c:pt>
                <c:pt idx="21">
                  <c:v>77.094241741174727</c:v>
                </c:pt>
                <c:pt idx="22">
                  <c:v>82.991951234374596</c:v>
                </c:pt>
                <c:pt idx="23">
                  <c:v>79.224116648334089</c:v>
                </c:pt>
                <c:pt idx="24">
                  <c:v>80.784831746306153</c:v>
                </c:pt>
                <c:pt idx="25">
                  <c:v>80.744439330433011</c:v>
                </c:pt>
                <c:pt idx="26">
                  <c:v>86.630708957621351</c:v>
                </c:pt>
                <c:pt idx="27">
                  <c:v>89.368239360682409</c:v>
                </c:pt>
                <c:pt idx="28">
                  <c:v>90.101058923439865</c:v>
                </c:pt>
                <c:pt idx="29">
                  <c:v>90.659685488765362</c:v>
                </c:pt>
                <c:pt idx="30">
                  <c:v>95.600638347902958</c:v>
                </c:pt>
                <c:pt idx="31">
                  <c:v>96.384563582355867</c:v>
                </c:pt>
                <c:pt idx="32">
                  <c:v>94.861687477754558</c:v>
                </c:pt>
                <c:pt idx="33">
                  <c:v>97.555759402122789</c:v>
                </c:pt>
                <c:pt idx="34">
                  <c:v>96.08266743515081</c:v>
                </c:pt>
                <c:pt idx="35">
                  <c:v>93.968848751577511</c:v>
                </c:pt>
                <c:pt idx="36">
                  <c:v>90.341651189766623</c:v>
                </c:pt>
                <c:pt idx="37">
                  <c:v>91.696775957613013</c:v>
                </c:pt>
              </c:numCache>
            </c:numRef>
          </c:val>
          <c:smooth val="1"/>
        </c:ser>
        <c:ser>
          <c:idx val="3"/>
          <c:order val="3"/>
          <c:tx>
            <c:strRef>
              <c:f>Sheet1!$A$6</c:f>
              <c:strCache>
                <c:ptCount val="1"/>
                <c:pt idx="0">
                  <c:v>LT</c:v>
                </c:pt>
              </c:strCache>
            </c:strRef>
          </c:tx>
          <c:spPr>
            <a:ln w="19050">
              <a:solidFill>
                <a:sysClr val="windowText" lastClr="000000"/>
              </a:solidFill>
              <a:prstDash val="dash"/>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Sheet1!$B$6:$BK$6</c:f>
              <c:numCache>
                <c:formatCode>0.0</c:formatCode>
                <c:ptCount val="38"/>
                <c:pt idx="0">
                  <c:v>102.14999999999999</c:v>
                </c:pt>
                <c:pt idx="1">
                  <c:v>108.15642</c:v>
                </c:pt>
                <c:pt idx="2">
                  <c:v>109.681425522</c:v>
                </c:pt>
                <c:pt idx="3">
                  <c:v>112.90605943234682</c:v>
                </c:pt>
                <c:pt idx="4">
                  <c:v>111.29150278246425</c:v>
                </c:pt>
                <c:pt idx="5">
                  <c:v>111.73666879359411</c:v>
                </c:pt>
                <c:pt idx="6">
                  <c:v>109.85949275786153</c:v>
                </c:pt>
                <c:pt idx="7">
                  <c:v>106.00342456206077</c:v>
                </c:pt>
                <c:pt idx="8">
                  <c:v>104.39217250871745</c:v>
                </c:pt>
                <c:pt idx="9">
                  <c:v>93.99471212684918</c:v>
                </c:pt>
                <c:pt idx="10">
                  <c:v>94.530481985972358</c:v>
                </c:pt>
                <c:pt idx="11">
                  <c:v>97.215147674373867</c:v>
                </c:pt>
                <c:pt idx="12">
                  <c:v>94.979199277863273</c:v>
                </c:pt>
                <c:pt idx="13">
                  <c:v>90.315720593320151</c:v>
                </c:pt>
                <c:pt idx="14">
                  <c:v>84.219409453271126</c:v>
                </c:pt>
                <c:pt idx="15">
                  <c:v>84.219409453271126</c:v>
                </c:pt>
                <c:pt idx="16">
                  <c:v>89.862109886640212</c:v>
                </c:pt>
                <c:pt idx="17">
                  <c:v>92.189538532703921</c:v>
                </c:pt>
                <c:pt idx="18">
                  <c:v>92.908616933259282</c:v>
                </c:pt>
                <c:pt idx="19">
                  <c:v>90.669519265167878</c:v>
                </c:pt>
                <c:pt idx="20">
                  <c:v>89.146271341512914</c:v>
                </c:pt>
                <c:pt idx="21">
                  <c:v>84.849421062851988</c:v>
                </c:pt>
                <c:pt idx="22">
                  <c:v>84.849421062851988</c:v>
                </c:pt>
                <c:pt idx="23">
                  <c:v>87.182780142080162</c:v>
                </c:pt>
                <c:pt idx="24">
                  <c:v>84.49755051370434</c:v>
                </c:pt>
                <c:pt idx="25">
                  <c:v>89.516705014218374</c:v>
                </c:pt>
                <c:pt idx="26">
                  <c:v>84.136751042863693</c:v>
                </c:pt>
                <c:pt idx="27">
                  <c:v>90.051564641177421</c:v>
                </c:pt>
                <c:pt idx="28">
                  <c:v>93.635616913895959</c:v>
                </c:pt>
                <c:pt idx="29">
                  <c:v>98.205035019294158</c:v>
                </c:pt>
                <c:pt idx="30">
                  <c:v>100.53249434925144</c:v>
                </c:pt>
                <c:pt idx="31">
                  <c:v>101.06531656930252</c:v>
                </c:pt>
                <c:pt idx="32">
                  <c:v>98.740814288208696</c:v>
                </c:pt>
                <c:pt idx="33">
                  <c:v>104.47765559835346</c:v>
                </c:pt>
                <c:pt idx="34">
                  <c:v>103.67317765024605</c:v>
                </c:pt>
                <c:pt idx="35">
                  <c:v>102.95783272445929</c:v>
                </c:pt>
                <c:pt idx="36">
                  <c:v>106.27307493818704</c:v>
                </c:pt>
                <c:pt idx="37">
                  <c:v>104.21137728438622</c:v>
                </c:pt>
              </c:numCache>
            </c:numRef>
          </c:val>
          <c:smooth val="1"/>
        </c:ser>
        <c:marker val="1"/>
        <c:axId val="147805312"/>
        <c:axId val="147806848"/>
      </c:lineChart>
      <c:catAx>
        <c:axId val="147805312"/>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7806848"/>
        <c:crosses val="autoZero"/>
        <c:auto val="1"/>
        <c:lblAlgn val="ctr"/>
        <c:lblOffset val="0"/>
        <c:tickLblSkip val="1"/>
        <c:tickMarkSkip val="1"/>
        <c:noMultiLvlLbl val="1"/>
      </c:catAx>
      <c:valAx>
        <c:axId val="147806848"/>
        <c:scaling>
          <c:orientation val="minMax"/>
          <c:max val="12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7805312"/>
        <c:crosses val="autoZero"/>
        <c:crossBetween val="between"/>
        <c:majorUnit val="10"/>
      </c:valAx>
      <c:spPr>
        <a:noFill/>
        <a:ln w="6350">
          <a:solidFill>
            <a:sysClr val="window" lastClr="FFFFFF">
              <a:lumMod val="85000"/>
            </a:sysClr>
          </a:solidFill>
        </a:ln>
      </c:spPr>
    </c:plotArea>
    <c:legend>
      <c:legendPos val="b"/>
      <c:layout>
        <c:manualLayout>
          <c:xMode val="edge"/>
          <c:yMode val="edge"/>
          <c:x val="0.51181239371849852"/>
          <c:y val="6.5591311149665599E-2"/>
          <c:w val="0.33059136973038838"/>
          <c:h val="0.17895498761807321"/>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30968602482495"/>
          <c:y val="4.0969363134540922E-2"/>
          <c:w val="0.82932225168394014"/>
          <c:h val="0.8143328272306769"/>
        </c:manualLayout>
      </c:layout>
      <c:barChart>
        <c:barDir val="col"/>
        <c:grouping val="clustered"/>
        <c:ser>
          <c:idx val="0"/>
          <c:order val="0"/>
          <c:tx>
            <c:strRef>
              <c:f>Sheet1!$A$3</c:f>
              <c:strCache>
                <c:ptCount val="1"/>
                <c:pt idx="0">
                  <c:v>%</c:v>
                </c:pt>
              </c:strCache>
            </c:strRef>
          </c:tx>
          <c:spPr>
            <a:solidFill>
              <a:srgbClr val="0070C0"/>
            </a:solidFill>
            <a:ln w="9525">
              <a:solidFill>
                <a:schemeClr val="tx1"/>
              </a:solidFill>
              <a:prstDash val="solid"/>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c:formatCode>
                <c:ptCount val="12"/>
                <c:pt idx="0">
                  <c:v>27.966101694915189</c:v>
                </c:pt>
                <c:pt idx="1">
                  <c:v>23.575129533678609</c:v>
                </c:pt>
                <c:pt idx="2">
                  <c:v>20.544554455445535</c:v>
                </c:pt>
                <c:pt idx="3">
                  <c:v>12.107623318385636</c:v>
                </c:pt>
                <c:pt idx="4">
                  <c:v>3.752759381898457</c:v>
                </c:pt>
                <c:pt idx="5">
                  <c:v>-0.62893081761007708</c:v>
                </c:pt>
                <c:pt idx="6">
                  <c:v>-6.3655030800821404</c:v>
                </c:pt>
                <c:pt idx="7">
                  <c:v>-12.058627581612257</c:v>
                </c:pt>
                <c:pt idx="8">
                  <c:v>-8.2269503546099276</c:v>
                </c:pt>
                <c:pt idx="9">
                  <c:v>-6.3291139240506311</c:v>
                </c:pt>
                <c:pt idx="10">
                  <c:v>-1.6837481698389578</c:v>
                </c:pt>
                <c:pt idx="11">
                  <c:v>3.3333333333333428</c:v>
                </c:pt>
              </c:numCache>
            </c:numRef>
          </c:val>
        </c:ser>
        <c:gapWidth val="25"/>
        <c:axId val="272769792"/>
        <c:axId val="272771328"/>
      </c:barChart>
      <c:catAx>
        <c:axId val="272769792"/>
        <c:scaling>
          <c:orientation val="minMax"/>
        </c:scaling>
        <c:axPos val="b"/>
        <c:majorGridlines>
          <c:spPr>
            <a:ln>
              <a:solidFill>
                <a:schemeClr val="bg1">
                  <a:lumMod val="85000"/>
                </a:schemeClr>
              </a:solidFill>
            </a:ln>
          </c:spPr>
        </c:majorGridlines>
        <c:numFmt formatCode="General" sourceLinked="1"/>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2771328"/>
        <c:crosses val="autoZero"/>
        <c:auto val="1"/>
        <c:lblAlgn val="ctr"/>
        <c:lblOffset val="100"/>
        <c:tickLblSkip val="1"/>
        <c:tickMarkSkip val="1"/>
        <c:noMultiLvlLbl val="1"/>
      </c:catAx>
      <c:valAx>
        <c:axId val="272771328"/>
        <c:scaling>
          <c:orientation val="minMax"/>
        </c:scaling>
        <c:axPos val="l"/>
        <c:majorGridlines>
          <c:spPr>
            <a:ln w="6350">
              <a:solidFill>
                <a:schemeClr val="bg1">
                  <a:lumMod val="7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2769792"/>
        <c:crosses val="autoZero"/>
        <c:crossBetween val="between"/>
      </c:valAx>
      <c:spPr>
        <a:solidFill>
          <a:sysClr val="window" lastClr="FFFFFF"/>
        </a:solid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049372483410372"/>
          <c:y val="4.0969363134540922E-2"/>
          <c:w val="0.78958643692082342"/>
          <c:h val="0.8143328272306769"/>
        </c:manualLayout>
      </c:layout>
      <c:lineChart>
        <c:grouping val="standard"/>
        <c:ser>
          <c:idx val="0"/>
          <c:order val="0"/>
          <c:tx>
            <c:strRef>
              <c:f>Sheet1!$A$3</c:f>
              <c:strCache>
                <c:ptCount val="1"/>
                <c:pt idx="0">
                  <c:v>   Sabiedriskajā sektorā</c:v>
                </c:pt>
              </c:strCache>
            </c:strRef>
          </c:tx>
          <c:spPr>
            <a:ln w="22225">
              <a:solidFill>
                <a:srgbClr val="000000"/>
              </a:solidFill>
              <a:prstDash val="sysDash"/>
            </a:ln>
          </c:spPr>
          <c:marker>
            <c:symbol val="none"/>
          </c:marker>
          <c:cat>
            <c:multiLvlStrRef>
              <c:f>Sheet1!$B$1:$AK$2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Sheet1!$B$3:$AK$3</c:f>
              <c:numCache>
                <c:formatCode>0.0</c:formatCode>
                <c:ptCount val="36"/>
                <c:pt idx="0">
                  <c:v>101.83662760188909</c:v>
                </c:pt>
                <c:pt idx="1">
                  <c:v>103.77820535245678</c:v>
                </c:pt>
                <c:pt idx="2">
                  <c:v>105.96466678327884</c:v>
                </c:pt>
                <c:pt idx="3">
                  <c:v>107.6263774707006</c:v>
                </c:pt>
                <c:pt idx="4">
                  <c:v>109.55046352982332</c:v>
                </c:pt>
                <c:pt idx="5">
                  <c:v>111.38709113171241</c:v>
                </c:pt>
                <c:pt idx="6">
                  <c:v>113.45111072240681</c:v>
                </c:pt>
                <c:pt idx="7">
                  <c:v>115.06034633549002</c:v>
                </c:pt>
                <c:pt idx="8">
                  <c:v>116.66958194857438</c:v>
                </c:pt>
                <c:pt idx="9">
                  <c:v>117.85901696694066</c:v>
                </c:pt>
                <c:pt idx="10">
                  <c:v>118.59366800769628</c:v>
                </c:pt>
                <c:pt idx="11">
                  <c:v>118.926010145181</c:v>
                </c:pt>
                <c:pt idx="12">
                  <c:v>119.25835228266527</c:v>
                </c:pt>
                <c:pt idx="13">
                  <c:v>119.41577750568401</c:v>
                </c:pt>
                <c:pt idx="14">
                  <c:v>118.89102676228786</c:v>
                </c:pt>
                <c:pt idx="15">
                  <c:v>118.62865139058859</c:v>
                </c:pt>
                <c:pt idx="16">
                  <c:v>118.22634248731846</c:v>
                </c:pt>
                <c:pt idx="17">
                  <c:v>117.26429945775793</c:v>
                </c:pt>
                <c:pt idx="18">
                  <c:v>116.26727304530419</c:v>
                </c:pt>
                <c:pt idx="19">
                  <c:v>115.23526324995673</c:v>
                </c:pt>
                <c:pt idx="20">
                  <c:v>113.24121042504905</c:v>
                </c:pt>
                <c:pt idx="21">
                  <c:v>111.00227391988801</c:v>
                </c:pt>
                <c:pt idx="22">
                  <c:v>108.25607836277725</c:v>
                </c:pt>
                <c:pt idx="23">
                  <c:v>105.70229141157947</c:v>
                </c:pt>
                <c:pt idx="24">
                  <c:v>104.33793947874797</c:v>
                </c:pt>
                <c:pt idx="25">
                  <c:v>103.11352107748795</c:v>
                </c:pt>
                <c:pt idx="26">
                  <c:v>101.87161098478219</c:v>
                </c:pt>
                <c:pt idx="27">
                  <c:v>100.90956795522123</c:v>
                </c:pt>
                <c:pt idx="28">
                  <c:v>99.877558159873658</c:v>
                </c:pt>
                <c:pt idx="29">
                  <c:v>98.635648067168049</c:v>
                </c:pt>
                <c:pt idx="30">
                  <c:v>97.568654888927725</c:v>
                </c:pt>
                <c:pt idx="31">
                  <c:v>97.253804442889589</c:v>
                </c:pt>
                <c:pt idx="32">
                  <c:v>97.516179814587858</c:v>
                </c:pt>
                <c:pt idx="33">
                  <c:v>97.970963792198674</c:v>
                </c:pt>
                <c:pt idx="34">
                  <c:v>98.408256078362797</c:v>
                </c:pt>
                <c:pt idx="35">
                  <c:v>98.740598215847527</c:v>
                </c:pt>
              </c:numCache>
            </c:numRef>
          </c:val>
          <c:smooth val="1"/>
        </c:ser>
        <c:ser>
          <c:idx val="2"/>
          <c:order val="1"/>
          <c:tx>
            <c:strRef>
              <c:f>Sheet1!$A$4</c:f>
              <c:strCache>
                <c:ptCount val="1"/>
                <c:pt idx="0">
                  <c:v>   Privātajā sektorā</c:v>
                </c:pt>
              </c:strCache>
            </c:strRef>
          </c:tx>
          <c:spPr>
            <a:ln w="22225">
              <a:solidFill>
                <a:srgbClr val="0070C0"/>
              </a:solidFill>
              <a:prstDash val="solid"/>
            </a:ln>
          </c:spPr>
          <c:marker>
            <c:symbol val="none"/>
          </c:marker>
          <c:cat>
            <c:multiLvlStrRef>
              <c:f>Sheet1!$B$1:$AK$2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Sheet1!$B$4:$AK$4</c:f>
              <c:numCache>
                <c:formatCode>0.0</c:formatCode>
                <c:ptCount val="36"/>
                <c:pt idx="0">
                  <c:v>102.1678966789668</c:v>
                </c:pt>
                <c:pt idx="1">
                  <c:v>104.47416974169815</c:v>
                </c:pt>
                <c:pt idx="2">
                  <c:v>106.41143911439117</c:v>
                </c:pt>
                <c:pt idx="3">
                  <c:v>108.57933579335756</c:v>
                </c:pt>
                <c:pt idx="4">
                  <c:v>110.47047970479709</c:v>
                </c:pt>
                <c:pt idx="5">
                  <c:v>112.24630996309969</c:v>
                </c:pt>
                <c:pt idx="6">
                  <c:v>114.04520295202916</c:v>
                </c:pt>
                <c:pt idx="7">
                  <c:v>115.5673431734313</c:v>
                </c:pt>
                <c:pt idx="8">
                  <c:v>117.32011070110732</c:v>
                </c:pt>
                <c:pt idx="9">
                  <c:v>118.77306273062725</c:v>
                </c:pt>
                <c:pt idx="10">
                  <c:v>119.92619926199333</c:v>
                </c:pt>
                <c:pt idx="11">
                  <c:v>121.12546125461255</c:v>
                </c:pt>
                <c:pt idx="12">
                  <c:v>121.60977859778508</c:v>
                </c:pt>
                <c:pt idx="13">
                  <c:v>121.88653136531372</c:v>
                </c:pt>
                <c:pt idx="14">
                  <c:v>122.39391143911446</c:v>
                </c:pt>
                <c:pt idx="15">
                  <c:v>122.41697416974176</c:v>
                </c:pt>
                <c:pt idx="16">
                  <c:v>122.34778597785942</c:v>
                </c:pt>
                <c:pt idx="17">
                  <c:v>122.39391143911443</c:v>
                </c:pt>
                <c:pt idx="18">
                  <c:v>122.07103321033216</c:v>
                </c:pt>
                <c:pt idx="19">
                  <c:v>121.74815498155027</c:v>
                </c:pt>
                <c:pt idx="20">
                  <c:v>121.26383763837643</c:v>
                </c:pt>
                <c:pt idx="21">
                  <c:v>120.59501845018413</c:v>
                </c:pt>
                <c:pt idx="22">
                  <c:v>120.24907749077495</c:v>
                </c:pt>
                <c:pt idx="23">
                  <c:v>119.74169741697422</c:v>
                </c:pt>
                <c:pt idx="24">
                  <c:v>119.14206642066425</c:v>
                </c:pt>
                <c:pt idx="25">
                  <c:v>118.65774907749015</c:v>
                </c:pt>
                <c:pt idx="26">
                  <c:v>118.38099630996314</c:v>
                </c:pt>
                <c:pt idx="27">
                  <c:v>118.10424354243547</c:v>
                </c:pt>
                <c:pt idx="28">
                  <c:v>117.91974169741702</c:v>
                </c:pt>
                <c:pt idx="29">
                  <c:v>117.59686346863479</c:v>
                </c:pt>
                <c:pt idx="30">
                  <c:v>117.43542435424359</c:v>
                </c:pt>
                <c:pt idx="31">
                  <c:v>117.50461254612551</c:v>
                </c:pt>
                <c:pt idx="32">
                  <c:v>117.59686346863479</c:v>
                </c:pt>
                <c:pt idx="33">
                  <c:v>117.73523985239858</c:v>
                </c:pt>
                <c:pt idx="34">
                  <c:v>117.96586715867123</c:v>
                </c:pt>
                <c:pt idx="35">
                  <c:v>118.21955719557202</c:v>
                </c:pt>
              </c:numCache>
            </c:numRef>
          </c:val>
          <c:smooth val="1"/>
        </c:ser>
        <c:marker val="1"/>
        <c:axId val="273627008"/>
        <c:axId val="273628544"/>
      </c:lineChart>
      <c:catAx>
        <c:axId val="273627008"/>
        <c:scaling>
          <c:orientation val="minMax"/>
        </c:scaling>
        <c:axPos val="b"/>
        <c:numFmt formatCode="General" sourceLinked="1"/>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3628544"/>
        <c:crosses val="autoZero"/>
        <c:auto val="1"/>
        <c:lblAlgn val="ctr"/>
        <c:lblOffset val="100"/>
        <c:tickLblSkip val="2"/>
        <c:tickMarkSkip val="1"/>
        <c:noMultiLvlLbl val="1"/>
      </c:catAx>
      <c:valAx>
        <c:axId val="273628544"/>
        <c:scaling>
          <c:orientation val="minMax"/>
          <c:max val="130"/>
          <c:min val="95"/>
        </c:scaling>
        <c:axPos val="l"/>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3627008"/>
        <c:crosses val="autoZero"/>
        <c:crossBetween val="between"/>
      </c:valAx>
      <c:spPr>
        <a:solidFill>
          <a:sysClr val="window" lastClr="FFFFFF"/>
        </a:solidFill>
        <a:ln w="6350">
          <a:solidFill>
            <a:schemeClr val="bg1">
              <a:lumMod val="75000"/>
            </a:schemeClr>
          </a:solidFill>
        </a:ln>
      </c:spPr>
    </c:plotArea>
    <c:legend>
      <c:legendPos val="t"/>
      <c:layout>
        <c:manualLayout>
          <c:xMode val="edge"/>
          <c:yMode val="edge"/>
          <c:x val="0.14807826841725741"/>
          <c:y val="7.3072208019391433E-2"/>
          <c:w val="0.78772342092145553"/>
          <c:h val="9.3717284751287044E-2"/>
        </c:manualLayout>
      </c:layout>
      <c:spPr>
        <a:solidFill>
          <a:schemeClr val="bg1"/>
        </a:solidFill>
      </c:spPr>
      <c:txPr>
        <a:bodyPr/>
        <a:lstStyle/>
        <a:p>
          <a:pPr>
            <a:defRPr lang="lv-LV" sz="7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98253987386119E-2"/>
          <c:y val="4.0204678362573076E-2"/>
          <c:w val="0.95330174601261386"/>
          <c:h val="0.84257499999999996"/>
        </c:manualLayout>
      </c:layout>
      <c:barChart>
        <c:barDir val="col"/>
        <c:grouping val="clustered"/>
        <c:ser>
          <c:idx val="1"/>
          <c:order val="0"/>
          <c:tx>
            <c:strRef>
              <c:f>Sheet1!$A$3</c:f>
              <c:strCache>
                <c:ptCount val="1"/>
                <c:pt idx="0">
                  <c:v>PCI</c:v>
                </c:pt>
              </c:strCache>
            </c:strRef>
          </c:tx>
          <c:spPr>
            <a:solidFill>
              <a:srgbClr val="0070C0"/>
            </a:solidFill>
            <a:ln w="9525">
              <a:solidFill>
                <a:srgbClr val="000000"/>
              </a:solidFill>
              <a:prstDash val="solid"/>
            </a:ln>
          </c:spP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Sheet1!$B$3:$BL$3</c:f>
              <c:numCache>
                <c:formatCode>0.0</c:formatCode>
                <c:ptCount val="39"/>
                <c:pt idx="0">
                  <c:v>15.754537108961276</c:v>
                </c:pt>
                <c:pt idx="1">
                  <c:v>16.671350288042731</c:v>
                </c:pt>
                <c:pt idx="2">
                  <c:v>16.76020231414109</c:v>
                </c:pt>
                <c:pt idx="3">
                  <c:v>17.503261690585727</c:v>
                </c:pt>
                <c:pt idx="4">
                  <c:v>17.905659089357563</c:v>
                </c:pt>
                <c:pt idx="5">
                  <c:v>17.69881556683589</c:v>
                </c:pt>
                <c:pt idx="6">
                  <c:v>16.667781419303054</c:v>
                </c:pt>
                <c:pt idx="7">
                  <c:v>15.741419526824401</c:v>
                </c:pt>
                <c:pt idx="8">
                  <c:v>14.879277628737825</c:v>
                </c:pt>
                <c:pt idx="9">
                  <c:v>13.782502882028995</c:v>
                </c:pt>
                <c:pt idx="10">
                  <c:v>11.797398004294509</c:v>
                </c:pt>
                <c:pt idx="11">
                  <c:v>10.534571464424641</c:v>
                </c:pt>
                <c:pt idx="12">
                  <c:v>9.8340653977549977</c:v>
                </c:pt>
                <c:pt idx="13">
                  <c:v>9.5802974649244437</c:v>
                </c:pt>
                <c:pt idx="14">
                  <c:v>8.2423451222406889</c:v>
                </c:pt>
                <c:pt idx="15">
                  <c:v>6.1886395511921535</c:v>
                </c:pt>
                <c:pt idx="16">
                  <c:v>4.6665122742010245</c:v>
                </c:pt>
                <c:pt idx="17">
                  <c:v>3.3870040253019056</c:v>
                </c:pt>
                <c:pt idx="18">
                  <c:v>2.4537063578512885</c:v>
                </c:pt>
                <c:pt idx="19">
                  <c:v>1.8425749985604796</c:v>
                </c:pt>
                <c:pt idx="20">
                  <c:v>0.51261605057810511</c:v>
                </c:pt>
                <c:pt idx="21">
                  <c:v>-0.86119554204661664</c:v>
                </c:pt>
                <c:pt idx="22">
                  <c:v>-1.16935939441871</c:v>
                </c:pt>
                <c:pt idx="23">
                  <c:v>-1.1693250837259512</c:v>
                </c:pt>
                <c:pt idx="24">
                  <c:v>-3.1215285492112792</c:v>
                </c:pt>
                <c:pt idx="25">
                  <c:v>-4.176283108033882</c:v>
                </c:pt>
                <c:pt idx="26" formatCode="General">
                  <c:v>-3.9416698645907577</c:v>
                </c:pt>
                <c:pt idx="27" formatCode="General">
                  <c:v>-2.7296241263551781</c:v>
                </c:pt>
                <c:pt idx="28" formatCode="General">
                  <c:v>-2.3066710919349589</c:v>
                </c:pt>
                <c:pt idx="29" formatCode="General">
                  <c:v>-1.3738250180766438</c:v>
                </c:pt>
                <c:pt idx="30" formatCode="General">
                  <c:v>-0.58194840803535897</c:v>
                </c:pt>
                <c:pt idx="31">
                  <c:v>-0.25442415333295015</c:v>
                </c:pt>
                <c:pt idx="32">
                  <c:v>0.41933473111576941</c:v>
                </c:pt>
                <c:pt idx="33" formatCode="General">
                  <c:v>0.99358428433542656</c:v>
                </c:pt>
                <c:pt idx="34" formatCode="General">
                  <c:v>1.9091168905401616</c:v>
                </c:pt>
                <c:pt idx="35" formatCode="General">
                  <c:v>2.5</c:v>
                </c:pt>
                <c:pt idx="36" formatCode="General">
                  <c:v>3.7</c:v>
                </c:pt>
                <c:pt idx="37" formatCode="General">
                  <c:v>4</c:v>
                </c:pt>
                <c:pt idx="38" formatCode="General">
                  <c:v>4.2</c:v>
                </c:pt>
              </c:numCache>
            </c:numRef>
          </c:val>
        </c:ser>
        <c:gapWidth val="30"/>
        <c:axId val="273640064"/>
        <c:axId val="273764736"/>
      </c:barChart>
      <c:catAx>
        <c:axId val="27364006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Times New Roman"/>
                <a:ea typeface="Times New Roman"/>
                <a:cs typeface="Times New Roman"/>
              </a:defRPr>
            </a:pPr>
            <a:endParaRPr lang="lv-LV"/>
          </a:p>
        </c:txPr>
        <c:crossAx val="273764736"/>
        <c:crosses val="autoZero"/>
        <c:auto val="1"/>
        <c:lblAlgn val="ctr"/>
        <c:lblOffset val="0"/>
        <c:tickLblSkip val="2"/>
        <c:tickMarkSkip val="1"/>
        <c:noMultiLvlLbl val="1"/>
      </c:catAx>
      <c:valAx>
        <c:axId val="273764736"/>
        <c:scaling>
          <c:orientation val="minMax"/>
          <c:max val="20"/>
          <c:min val="-5"/>
        </c:scaling>
        <c:axPos val="l"/>
        <c:majorGridlines>
          <c:spPr>
            <a:ln w="6350">
              <a:solidFill>
                <a:srgbClr val="C0C0C0"/>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3640064"/>
        <c:crosses val="autoZero"/>
        <c:crossBetween val="between"/>
        <c:majorUnit val="5"/>
      </c:valAx>
      <c:spPr>
        <a:noFill/>
        <a:ln w="25398">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98253987386119E-2"/>
          <c:y val="4.0204678362573076E-2"/>
          <c:w val="0.8699164407727723"/>
          <c:h val="0.85536239876628928"/>
        </c:manualLayout>
      </c:layout>
      <c:lineChart>
        <c:grouping val="standard"/>
        <c:ser>
          <c:idx val="1"/>
          <c:order val="0"/>
          <c:tx>
            <c:strRef>
              <c:f>Sheet1!$A$3</c:f>
              <c:strCache>
                <c:ptCount val="1"/>
                <c:pt idx="0">
                  <c:v>PCI</c:v>
                </c:pt>
              </c:strCache>
            </c:strRef>
          </c:tx>
          <c:spPr>
            <a:ln w="31750">
              <a:solidFill>
                <a:srgbClr val="0070C0"/>
              </a:solidFill>
              <a:prstDash val="solid"/>
            </a:ln>
          </c:spPr>
          <c:marker>
            <c:symbol val="none"/>
          </c:marker>
          <c:cat>
            <c:multiLvlStrRef>
              <c:f>Sheet1!$B$1:$AZ$2</c:f>
              <c:multiLvlStrCache>
                <c:ptCount val="5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lvl>
                <c:lvl>
                  <c:pt idx="0">
                    <c:v>2007</c:v>
                  </c:pt>
                  <c:pt idx="12">
                    <c:v>2008</c:v>
                  </c:pt>
                  <c:pt idx="24">
                    <c:v>2009</c:v>
                  </c:pt>
                  <c:pt idx="36">
                    <c:v>2010</c:v>
                  </c:pt>
                  <c:pt idx="48">
                    <c:v>2011</c:v>
                  </c:pt>
                </c:lvl>
              </c:multiLvlStrCache>
            </c:multiLvlStrRef>
          </c:cat>
          <c:val>
            <c:numRef>
              <c:f>Sheet1!$B$3:$AZ$3</c:f>
              <c:numCache>
                <c:formatCode>0.0</c:formatCode>
                <c:ptCount val="51"/>
                <c:pt idx="0">
                  <c:v>101.345451943033</c:v>
                </c:pt>
                <c:pt idx="1">
                  <c:v>101.867888069849</c:v>
                </c:pt>
                <c:pt idx="2">
                  <c:v>103.29206326486837</c:v>
                </c:pt>
                <c:pt idx="3">
                  <c:v>104.22242897015649</c:v>
                </c:pt>
                <c:pt idx="4">
                  <c:v>104.83790166750163</c:v>
                </c:pt>
                <c:pt idx="5">
                  <c:v>105.7396407357046</c:v>
                </c:pt>
                <c:pt idx="6">
                  <c:v>106.99921276748017</c:v>
                </c:pt>
                <c:pt idx="7">
                  <c:v>107.38567236813832</c:v>
                </c:pt>
                <c:pt idx="8">
                  <c:v>109.3752236456026</c:v>
                </c:pt>
                <c:pt idx="9">
                  <c:v>111.74407786445288</c:v>
                </c:pt>
                <c:pt idx="10">
                  <c:v>113.31854290417236</c:v>
                </c:pt>
                <c:pt idx="11">
                  <c:v>114.06283546840338</c:v>
                </c:pt>
                <c:pt idx="12">
                  <c:v>117.31195877764262</c:v>
                </c:pt>
                <c:pt idx="13">
                  <c:v>118.85064052100481</c:v>
                </c:pt>
                <c:pt idx="14">
                  <c:v>120.60402204251058</c:v>
                </c:pt>
                <c:pt idx="15">
                  <c:v>122.46475345308816</c:v>
                </c:pt>
                <c:pt idx="16">
                  <c:v>123.60981893651993</c:v>
                </c:pt>
                <c:pt idx="17">
                  <c:v>124.45430473055154</c:v>
                </c:pt>
                <c:pt idx="18">
                  <c:v>124.83360767193879</c:v>
                </c:pt>
                <c:pt idx="19">
                  <c:v>124.28970156730843</c:v>
                </c:pt>
                <c:pt idx="20">
                  <c:v>125.64946682888406</c:v>
                </c:pt>
                <c:pt idx="21">
                  <c:v>127.14520861661781</c:v>
                </c:pt>
                <c:pt idx="22">
                  <c:v>126.68718242324488</c:v>
                </c:pt>
                <c:pt idx="23">
                  <c:v>126.07886638517145</c:v>
                </c:pt>
                <c:pt idx="24">
                  <c:v>128.84849352322396</c:v>
                </c:pt>
                <c:pt idx="25">
                  <c:v>130.23688542188438</c:v>
                </c:pt>
                <c:pt idx="26" formatCode="General">
                  <c:v>130.54462177055657</c:v>
                </c:pt>
                <c:pt idx="27" formatCode="General">
                  <c:v>130.04365562155422</c:v>
                </c:pt>
                <c:pt idx="28" formatCode="General">
                  <c:v>129.37808630931087</c:v>
                </c:pt>
                <c:pt idx="29" formatCode="General">
                  <c:v>128.66957704143712</c:v>
                </c:pt>
                <c:pt idx="30" formatCode="General">
                  <c:v>127.8966578401203</c:v>
                </c:pt>
                <c:pt idx="31">
                  <c:v>126.57983253417272</c:v>
                </c:pt>
                <c:pt idx="32">
                  <c:v>126.29356616331543</c:v>
                </c:pt>
                <c:pt idx="33" formatCode="General">
                  <c:v>126.05023974808564</c:v>
                </c:pt>
                <c:pt idx="34" formatCode="General">
                  <c:v>125.20575395405425</c:v>
                </c:pt>
                <c:pt idx="35" formatCode="General">
                  <c:v>124.60459457525236</c:v>
                </c:pt>
                <c:pt idx="36" formatCode="General">
                  <c:v>124.82645101266685</c:v>
                </c:pt>
                <c:pt idx="37" formatCode="General">
                  <c:v>124.79782437558153</c:v>
                </c:pt>
                <c:pt idx="38" formatCode="General">
                  <c:v>125.39898375438351</c:v>
                </c:pt>
                <c:pt idx="39" formatCode="General">
                  <c:v>126.49395262291594</c:v>
                </c:pt>
                <c:pt idx="40" formatCode="General">
                  <c:v>126.39375939311536</c:v>
                </c:pt>
                <c:pt idx="41" formatCode="General">
                  <c:v>126.90188220138846</c:v>
                </c:pt>
                <c:pt idx="42" formatCode="General">
                  <c:v>127.152365275889</c:v>
                </c:pt>
                <c:pt idx="43" formatCode="General">
                  <c:v>126.25778286695751</c:v>
                </c:pt>
                <c:pt idx="44" formatCode="General">
                  <c:v>126.82315894940248</c:v>
                </c:pt>
                <c:pt idx="45" formatCode="General">
                  <c:v>127.30265512058929</c:v>
                </c:pt>
                <c:pt idx="46" formatCode="General">
                  <c:v>127.59607815071892</c:v>
                </c:pt>
                <c:pt idx="47" formatCode="General">
                  <c:v>127.77499463250561</c:v>
                </c:pt>
                <c:pt idx="48" formatCode="General">
                  <c:v>129.42102626494</c:v>
                </c:pt>
                <c:pt idx="49">
                  <c:v>129.77885922851144</c:v>
                </c:pt>
                <c:pt idx="50" formatCode="General">
                  <c:v>130.70206827452952</c:v>
                </c:pt>
              </c:numCache>
            </c:numRef>
          </c:val>
        </c:ser>
        <c:marker val="1"/>
        <c:axId val="273800192"/>
        <c:axId val="273888000"/>
      </c:lineChart>
      <c:catAx>
        <c:axId val="27380019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Times New Roman"/>
                <a:ea typeface="Times New Roman"/>
                <a:cs typeface="Times New Roman"/>
              </a:defRPr>
            </a:pPr>
            <a:endParaRPr lang="lv-LV"/>
          </a:p>
        </c:txPr>
        <c:crossAx val="273888000"/>
        <c:crosses val="autoZero"/>
        <c:auto val="1"/>
        <c:lblAlgn val="ctr"/>
        <c:lblOffset val="0"/>
        <c:tickLblSkip val="2"/>
        <c:tickMarkSkip val="1"/>
        <c:noMultiLvlLbl val="1"/>
      </c:catAx>
      <c:valAx>
        <c:axId val="273888000"/>
        <c:scaling>
          <c:orientation val="minMax"/>
          <c:min val="100"/>
        </c:scaling>
        <c:axPos val="l"/>
        <c:majorGridlines>
          <c:spPr>
            <a:ln w="6350">
              <a:solidFill>
                <a:srgbClr val="C0C0C0"/>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3800192"/>
        <c:crosses val="autoZero"/>
        <c:crossBetween val="between"/>
      </c:valAx>
      <c:spPr>
        <a:noFill/>
        <a:ln w="25398">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6.8062699059179207E-2"/>
          <c:y val="2.8737907761530092E-2"/>
          <c:w val="0.90785410444384163"/>
          <c:h val="0.84521447319085163"/>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102.8</c:v>
                </c:pt>
                <c:pt idx="1">
                  <c:v>104.13639999999998</c:v>
                </c:pt>
                <c:pt idx="2">
                  <c:v>105.59430959999999</c:v>
                </c:pt>
                <c:pt idx="3">
                  <c:v>107.28381855359945</c:v>
                </c:pt>
                <c:pt idx="4">
                  <c:v>108.35665673913599</c:v>
                </c:pt>
                <c:pt idx="5">
                  <c:v>109.11515333630985</c:v>
                </c:pt>
                <c:pt idx="6">
                  <c:v>109.44249879631884</c:v>
                </c:pt>
                <c:pt idx="7">
                  <c:v>109.00472880113357</c:v>
                </c:pt>
                <c:pt idx="8">
                  <c:v>110.20378081794576</c:v>
                </c:pt>
                <c:pt idx="9">
                  <c:v>111.52622618776138</c:v>
                </c:pt>
                <c:pt idx="10">
                  <c:v>111.0801212830106</c:v>
                </c:pt>
                <c:pt idx="11">
                  <c:v>110.52472067659528</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102.2</c:v>
                </c:pt>
                <c:pt idx="1">
                  <c:v>103.22200000000001</c:v>
                </c:pt>
                <c:pt idx="2">
                  <c:v>103.42844400000001</c:v>
                </c:pt>
                <c:pt idx="3">
                  <c:v>103.11815866800002</c:v>
                </c:pt>
                <c:pt idx="4">
                  <c:v>102.6025678746595</c:v>
                </c:pt>
                <c:pt idx="5">
                  <c:v>101.98695246741212</c:v>
                </c:pt>
                <c:pt idx="6">
                  <c:v>101.37503075260705</c:v>
                </c:pt>
                <c:pt idx="7">
                  <c:v>100.2599054143289</c:v>
                </c:pt>
                <c:pt idx="8">
                  <c:v>100.05938560350025</c:v>
                </c:pt>
                <c:pt idx="9">
                  <c:v>99.859266832293159</c:v>
                </c:pt>
                <c:pt idx="10">
                  <c:v>99.160251964467193</c:v>
                </c:pt>
                <c:pt idx="11">
                  <c:v>98.66445070464485</c:v>
                </c:pt>
              </c:numCache>
            </c:numRef>
          </c:val>
        </c:ser>
        <c:ser>
          <c:idx val="4"/>
          <c:order val="2"/>
          <c:tx>
            <c:strRef>
              <c:f>Sheet1!$A$4</c:f>
              <c:strCache>
                <c:ptCount val="1"/>
                <c:pt idx="0">
                  <c:v>2010</c:v>
                </c:pt>
              </c:strCache>
            </c:strRef>
          </c:tx>
          <c:spPr>
            <a:ln w="2222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100.2</c:v>
                </c:pt>
                <c:pt idx="1">
                  <c:v>100.13992805755346</c:v>
                </c:pt>
                <c:pt idx="2">
                  <c:v>100.62050359712231</c:v>
                </c:pt>
                <c:pt idx="3">
                  <c:v>101.52158273381295</c:v>
                </c:pt>
                <c:pt idx="4">
                  <c:v>101.46151079136744</c:v>
                </c:pt>
                <c:pt idx="5">
                  <c:v>101.88201438848894</c:v>
                </c:pt>
                <c:pt idx="6">
                  <c:v>102.06223021582736</c:v>
                </c:pt>
                <c:pt idx="7">
                  <c:v>101.34136690647478</c:v>
                </c:pt>
                <c:pt idx="8">
                  <c:v>101.82194244604318</c:v>
                </c:pt>
                <c:pt idx="9">
                  <c:v>102.1823741007189</c:v>
                </c:pt>
                <c:pt idx="10">
                  <c:v>102.42266187050355</c:v>
                </c:pt>
                <c:pt idx="11">
                  <c:v>102.54280575539569</c:v>
                </c:pt>
              </c:numCache>
            </c:numRef>
          </c:val>
        </c:ser>
        <c:ser>
          <c:idx val="1"/>
          <c:order val="3"/>
          <c:tx>
            <c:strRef>
              <c:f>Sheet1!$A$5</c:f>
              <c:strCache>
                <c:ptCount val="1"/>
                <c:pt idx="0">
                  <c:v>2011</c:v>
                </c:pt>
              </c:strCache>
            </c:strRef>
          </c:tx>
          <c:spPr>
            <a:ln w="3175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101.3</c:v>
                </c:pt>
                <c:pt idx="1">
                  <c:v>101.59294389820712</c:v>
                </c:pt>
                <c:pt idx="2">
                  <c:v>102.29600925390397</c:v>
                </c:pt>
              </c:numCache>
            </c:numRef>
          </c:val>
        </c:ser>
        <c:marker val="1"/>
        <c:axId val="273782656"/>
        <c:axId val="273784192"/>
      </c:lineChart>
      <c:catAx>
        <c:axId val="273782656"/>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3784192"/>
        <c:crosses val="autoZero"/>
        <c:auto val="1"/>
        <c:lblAlgn val="ctr"/>
        <c:lblOffset val="100"/>
        <c:tickLblSkip val="1"/>
        <c:tickMarkSkip val="1"/>
      </c:catAx>
      <c:valAx>
        <c:axId val="273784192"/>
        <c:scaling>
          <c:orientation val="minMax"/>
          <c:max val="115"/>
          <c:min val="97"/>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3782656"/>
        <c:crosses val="autoZero"/>
        <c:crossBetween val="between"/>
        <c:majorUnit val="3"/>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102.89999999999999</c:v>
                </c:pt>
                <c:pt idx="1">
                  <c:v>104.2377</c:v>
                </c:pt>
                <c:pt idx="2">
                  <c:v>105.07160159999998</c:v>
                </c:pt>
                <c:pt idx="3">
                  <c:v>106.54260402239998</c:v>
                </c:pt>
                <c:pt idx="4">
                  <c:v>107.92765787469118</c:v>
                </c:pt>
                <c:pt idx="5">
                  <c:v>109.43864508493689</c:v>
                </c:pt>
                <c:pt idx="6">
                  <c:v>110.97078611612532</c:v>
                </c:pt>
                <c:pt idx="7">
                  <c:v>108.64039960768731</c:v>
                </c:pt>
                <c:pt idx="8">
                  <c:v>108.74904000729498</c:v>
                </c:pt>
                <c:pt idx="9">
                  <c:v>109.72778136736061</c:v>
                </c:pt>
                <c:pt idx="10">
                  <c:v>109.94723693009563</c:v>
                </c:pt>
                <c:pt idx="11">
                  <c:v>110.27707864088561</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103.5</c:v>
                </c:pt>
                <c:pt idx="1">
                  <c:v>102.77549999999998</c:v>
                </c:pt>
                <c:pt idx="2">
                  <c:v>101.43941849999997</c:v>
                </c:pt>
                <c:pt idx="3">
                  <c:v>99.714948385499952</c:v>
                </c:pt>
                <c:pt idx="4">
                  <c:v>99.415803540343816</c:v>
                </c:pt>
                <c:pt idx="5">
                  <c:v>98.819308719101258</c:v>
                </c:pt>
                <c:pt idx="6">
                  <c:v>98.028754249348594</c:v>
                </c:pt>
                <c:pt idx="7">
                  <c:v>95.381977884616148</c:v>
                </c:pt>
                <c:pt idx="8">
                  <c:v>94.142012172115827</c:v>
                </c:pt>
                <c:pt idx="9">
                  <c:v>94.330296196459955</c:v>
                </c:pt>
                <c:pt idx="10">
                  <c:v>93.481323530692265</c:v>
                </c:pt>
                <c:pt idx="11">
                  <c:v>93.761767501284311</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101.8</c:v>
                </c:pt>
                <c:pt idx="1">
                  <c:v>102.30899999999998</c:v>
                </c:pt>
                <c:pt idx="2">
                  <c:v>103.12747199999971</c:v>
                </c:pt>
                <c:pt idx="3">
                  <c:v>103.64310935999997</c:v>
                </c:pt>
                <c:pt idx="4">
                  <c:v>103.43582314128012</c:v>
                </c:pt>
                <c:pt idx="5">
                  <c:v>103.95300225698604</c:v>
                </c:pt>
                <c:pt idx="6">
                  <c:v>104.78462627504278</c:v>
                </c:pt>
                <c:pt idx="7">
                  <c:v>102.89850300209145</c:v>
                </c:pt>
                <c:pt idx="8">
                  <c:v>103.92748803211238</c:v>
                </c:pt>
                <c:pt idx="9">
                  <c:v>105.38247286456132</c:v>
                </c:pt>
                <c:pt idx="10">
                  <c:v>106.64706253893671</c:v>
                </c:pt>
                <c:pt idx="11">
                  <c:v>108.03347435194287</c:v>
                </c:pt>
              </c:numCache>
            </c:numRef>
          </c:val>
        </c:ser>
        <c:ser>
          <c:idx val="1"/>
          <c:order val="3"/>
          <c:tx>
            <c:strRef>
              <c:f>Sheet1!$A$5</c:f>
              <c:strCache>
                <c:ptCount val="1"/>
                <c:pt idx="0">
                  <c:v>2011</c:v>
                </c:pt>
              </c:strCache>
            </c:strRef>
          </c:tx>
          <c:spPr>
            <a:ln w="3175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102.1</c:v>
                </c:pt>
                <c:pt idx="1">
                  <c:v>103.93780000000002</c:v>
                </c:pt>
                <c:pt idx="2">
                  <c:v>104.3535512</c:v>
                </c:pt>
              </c:numCache>
            </c:numRef>
          </c:val>
        </c:ser>
        <c:marker val="1"/>
        <c:axId val="273998592"/>
        <c:axId val="274000128"/>
      </c:lineChart>
      <c:catAx>
        <c:axId val="273998592"/>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4000128"/>
        <c:crosses val="autoZero"/>
        <c:auto val="1"/>
        <c:lblAlgn val="ctr"/>
        <c:lblOffset val="100"/>
        <c:tickLblSkip val="1"/>
        <c:tickMarkSkip val="1"/>
      </c:catAx>
      <c:valAx>
        <c:axId val="274000128"/>
        <c:scaling>
          <c:orientation val="minMax"/>
          <c:max val="114"/>
          <c:min val="9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3998592"/>
        <c:crosses val="autoZero"/>
        <c:crossBetween val="between"/>
        <c:majorUnit val="6"/>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c:v>
                </c:pt>
                <c:pt idx="1">
                  <c:v>106.69200000000001</c:v>
                </c:pt>
                <c:pt idx="2">
                  <c:v>108.71914800000002</c:v>
                </c:pt>
                <c:pt idx="3">
                  <c:v>116.00333091599973</c:v>
                </c:pt>
                <c:pt idx="4">
                  <c:v>117.16336422516002</c:v>
                </c:pt>
                <c:pt idx="5">
                  <c:v>117.63201768206065</c:v>
                </c:pt>
                <c:pt idx="6">
                  <c:v>119.04360189424565</c:v>
                </c:pt>
                <c:pt idx="7">
                  <c:v>120.11499431129359</c:v>
                </c:pt>
                <c:pt idx="8">
                  <c:v>121.19602926009549</c:v>
                </c:pt>
                <c:pt idx="9">
                  <c:v>130.77051557164165</c:v>
                </c:pt>
                <c:pt idx="10">
                  <c:v>133.51669639864718</c:v>
                </c:pt>
                <c:pt idx="11">
                  <c:v>134.58482996983639</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105.3</c:v>
                </c:pt>
                <c:pt idx="1">
                  <c:v>105.72120000000002</c:v>
                </c:pt>
                <c:pt idx="2">
                  <c:v>108.99855719999998</c:v>
                </c:pt>
                <c:pt idx="3">
                  <c:v>110.30653988639995</c:v>
                </c:pt>
                <c:pt idx="4">
                  <c:v>107.76948946901327</c:v>
                </c:pt>
                <c:pt idx="5">
                  <c:v>105.3770068028003</c:v>
                </c:pt>
                <c:pt idx="6">
                  <c:v>103.58559768715308</c:v>
                </c:pt>
                <c:pt idx="7">
                  <c:v>103.48201208946593</c:v>
                </c:pt>
                <c:pt idx="8">
                  <c:v>103.58549410155511</c:v>
                </c:pt>
                <c:pt idx="9">
                  <c:v>103.27473761925044</c:v>
                </c:pt>
                <c:pt idx="10">
                  <c:v>102.24199024305832</c:v>
                </c:pt>
                <c:pt idx="11">
                  <c:v>102.24199024305832</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99.8</c:v>
                </c:pt>
                <c:pt idx="1">
                  <c:v>99.999600000000285</c:v>
                </c:pt>
                <c:pt idx="2">
                  <c:v>99.999600000000285</c:v>
                </c:pt>
                <c:pt idx="3">
                  <c:v>103.69958519999985</c:v>
                </c:pt>
                <c:pt idx="4">
                  <c:v>104.73658105199998</c:v>
                </c:pt>
                <c:pt idx="5">
                  <c:v>107.25025899724812</c:v>
                </c:pt>
                <c:pt idx="6">
                  <c:v>108.75176262320947</c:v>
                </c:pt>
                <c:pt idx="7">
                  <c:v>109.07801791107885</c:v>
                </c:pt>
                <c:pt idx="8">
                  <c:v>107.44184764241292</c:v>
                </c:pt>
                <c:pt idx="9">
                  <c:v>106.47487101363068</c:v>
                </c:pt>
                <c:pt idx="10">
                  <c:v>106.47487101363068</c:v>
                </c:pt>
                <c:pt idx="11">
                  <c:v>105.30364743248069</c:v>
                </c:pt>
              </c:numCache>
            </c:numRef>
          </c:val>
        </c:ser>
        <c:ser>
          <c:idx val="1"/>
          <c:order val="3"/>
          <c:tx>
            <c:strRef>
              <c:f>Sheet1!$A$5</c:f>
              <c:strCache>
                <c:ptCount val="1"/>
                <c:pt idx="0">
                  <c:v>2011</c:v>
                </c:pt>
              </c:strCache>
            </c:strRef>
          </c:tx>
          <c:spPr>
            <a:ln w="3175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101.69999999999999</c:v>
                </c:pt>
                <c:pt idx="1">
                  <c:v>101.39489999999999</c:v>
                </c:pt>
                <c:pt idx="2">
                  <c:v>101.0907153</c:v>
                </c:pt>
              </c:numCache>
            </c:numRef>
          </c:val>
        </c:ser>
        <c:marker val="1"/>
        <c:axId val="273612160"/>
        <c:axId val="273806464"/>
      </c:lineChart>
      <c:catAx>
        <c:axId val="273612160"/>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3806464"/>
        <c:crosses val="autoZero"/>
        <c:auto val="1"/>
        <c:lblAlgn val="ctr"/>
        <c:lblOffset val="100"/>
        <c:tickLblSkip val="1"/>
        <c:tickMarkSkip val="1"/>
      </c:catAx>
      <c:valAx>
        <c:axId val="273806464"/>
        <c:scaling>
          <c:orientation val="minMax"/>
          <c:max val="140"/>
          <c:min val="9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3612160"/>
        <c:crosses val="autoZero"/>
        <c:crossBetween val="between"/>
        <c:majorUnit val="10"/>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93.5</c:v>
                </c:pt>
                <c:pt idx="1">
                  <c:v>93.032499999999999</c:v>
                </c:pt>
                <c:pt idx="2">
                  <c:v>97.498060000000024</c:v>
                </c:pt>
                <c:pt idx="3">
                  <c:v>98.863032839999576</c:v>
                </c:pt>
                <c:pt idx="4">
                  <c:v>98.368717675800013</c:v>
                </c:pt>
                <c:pt idx="5">
                  <c:v>96.598080757635458</c:v>
                </c:pt>
                <c:pt idx="6">
                  <c:v>90.319205508389302</c:v>
                </c:pt>
                <c:pt idx="7">
                  <c:v>91.583674385506754</c:v>
                </c:pt>
                <c:pt idx="8">
                  <c:v>100.55887447528625</c:v>
                </c:pt>
                <c:pt idx="9">
                  <c:v>102.26837534136628</c:v>
                </c:pt>
                <c:pt idx="10">
                  <c:v>101.24569158795263</c:v>
                </c:pt>
                <c:pt idx="11">
                  <c:v>97.600846690786042</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94.2</c:v>
                </c:pt>
                <c:pt idx="1">
                  <c:v>93.257999999999996</c:v>
                </c:pt>
                <c:pt idx="2">
                  <c:v>96.522029999999972</c:v>
                </c:pt>
                <c:pt idx="3">
                  <c:v>97.197684209999963</c:v>
                </c:pt>
                <c:pt idx="4">
                  <c:v>96.420102736319919</c:v>
                </c:pt>
                <c:pt idx="5">
                  <c:v>93.816759962439278</c:v>
                </c:pt>
                <c:pt idx="6">
                  <c:v>90.064089563941764</c:v>
                </c:pt>
                <c:pt idx="7">
                  <c:v>88.623064130918678</c:v>
                </c:pt>
                <c:pt idx="8">
                  <c:v>94.649432491821159</c:v>
                </c:pt>
                <c:pt idx="9">
                  <c:v>96.069173979198467</c:v>
                </c:pt>
                <c:pt idx="10">
                  <c:v>95.396689761344419</c:v>
                </c:pt>
                <c:pt idx="11">
                  <c:v>91.962408929935691</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94.8</c:v>
                </c:pt>
                <c:pt idx="1">
                  <c:v>92.714400000000026</c:v>
                </c:pt>
                <c:pt idx="2">
                  <c:v>96.422975999999949</c:v>
                </c:pt>
                <c:pt idx="3">
                  <c:v>97.772897664000013</c:v>
                </c:pt>
                <c:pt idx="4">
                  <c:v>97.577351868672011</c:v>
                </c:pt>
                <c:pt idx="5">
                  <c:v>96.406423646248498</c:v>
                </c:pt>
                <c:pt idx="6">
                  <c:v>92.068134582166778</c:v>
                </c:pt>
                <c:pt idx="7">
                  <c:v>91.147453236345385</c:v>
                </c:pt>
                <c:pt idx="8">
                  <c:v>97.072037696707184</c:v>
                </c:pt>
                <c:pt idx="9">
                  <c:v>100.56663105378873</c:v>
                </c:pt>
                <c:pt idx="10">
                  <c:v>99.762098005358681</c:v>
                </c:pt>
                <c:pt idx="11">
                  <c:v>97.467569751236013</c:v>
                </c:pt>
              </c:numCache>
            </c:numRef>
          </c:val>
        </c:ser>
        <c:ser>
          <c:idx val="1"/>
          <c:order val="3"/>
          <c:tx>
            <c:strRef>
              <c:f>Sheet1!$A$5</c:f>
              <c:strCache>
                <c:ptCount val="1"/>
                <c:pt idx="0">
                  <c:v>2011</c:v>
                </c:pt>
              </c:strCache>
            </c:strRef>
          </c:tx>
          <c:spPr>
            <a:ln w="3175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95.399999999999991</c:v>
                </c:pt>
                <c:pt idx="1">
                  <c:v>92.060999999999993</c:v>
                </c:pt>
                <c:pt idx="2">
                  <c:v>97.676720999999958</c:v>
                </c:pt>
              </c:numCache>
            </c:numRef>
          </c:val>
        </c:ser>
        <c:marker val="1"/>
        <c:axId val="275671296"/>
        <c:axId val="275677184"/>
      </c:lineChart>
      <c:catAx>
        <c:axId val="275671296"/>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5677184"/>
        <c:crosses val="autoZero"/>
        <c:auto val="1"/>
        <c:lblAlgn val="ctr"/>
        <c:lblOffset val="100"/>
        <c:tickLblSkip val="1"/>
        <c:tickMarkSkip val="1"/>
      </c:catAx>
      <c:valAx>
        <c:axId val="275677184"/>
        <c:scaling>
          <c:orientation val="minMax"/>
          <c:min val="8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5671296"/>
        <c:crosses val="autoZero"/>
        <c:crossBetween val="between"/>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116.5</c:v>
                </c:pt>
                <c:pt idx="1">
                  <c:v>122.67449999999998</c:v>
                </c:pt>
                <c:pt idx="2">
                  <c:v>124.14659399999999</c:v>
                </c:pt>
                <c:pt idx="3">
                  <c:v>125.38805993999998</c:v>
                </c:pt>
                <c:pt idx="4">
                  <c:v>126.76732859933999</c:v>
                </c:pt>
                <c:pt idx="5">
                  <c:v>127.90823455673385</c:v>
                </c:pt>
                <c:pt idx="6">
                  <c:v>127.65241808762009</c:v>
                </c:pt>
                <c:pt idx="7">
                  <c:v>128.2906801780579</c:v>
                </c:pt>
                <c:pt idx="8">
                  <c:v>128.16238949788061</c:v>
                </c:pt>
                <c:pt idx="9">
                  <c:v>128.29055188737792</c:v>
                </c:pt>
                <c:pt idx="10">
                  <c:v>128.03397078360371</c:v>
                </c:pt>
                <c:pt idx="11">
                  <c:v>127.64986887125288</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104.89999999999999</c:v>
                </c:pt>
                <c:pt idx="1">
                  <c:v>115.9145000000003</c:v>
                </c:pt>
                <c:pt idx="2">
                  <c:v>115.9145000000003</c:v>
                </c:pt>
                <c:pt idx="3">
                  <c:v>117.07364499999998</c:v>
                </c:pt>
                <c:pt idx="4">
                  <c:v>117.42486593499997</c:v>
                </c:pt>
                <c:pt idx="5">
                  <c:v>118.24683999654495</c:v>
                </c:pt>
                <c:pt idx="6">
                  <c:v>122.26723255642735</c:v>
                </c:pt>
                <c:pt idx="7">
                  <c:v>121.77816362620179</c:v>
                </c:pt>
                <c:pt idx="8">
                  <c:v>121.77816362620179</c:v>
                </c:pt>
                <c:pt idx="9">
                  <c:v>121.53460729894942</c:v>
                </c:pt>
                <c:pt idx="10">
                  <c:v>120.19772661866094</c:v>
                </c:pt>
                <c:pt idx="11">
                  <c:v>119.83713343880495</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100.89999999999999</c:v>
                </c:pt>
                <c:pt idx="1">
                  <c:v>101.50539999999998</c:v>
                </c:pt>
                <c:pt idx="2">
                  <c:v>101.40389460000027</c:v>
                </c:pt>
                <c:pt idx="3">
                  <c:v>101.40389460000027</c:v>
                </c:pt>
                <c:pt idx="4">
                  <c:v>101.6067023892</c:v>
                </c:pt>
                <c:pt idx="5">
                  <c:v>101.70830909158892</c:v>
                </c:pt>
                <c:pt idx="6">
                  <c:v>101.81001740068075</c:v>
                </c:pt>
                <c:pt idx="7">
                  <c:v>101.19915729627668</c:v>
                </c:pt>
                <c:pt idx="8">
                  <c:v>101.70515308275806</c:v>
                </c:pt>
                <c:pt idx="9">
                  <c:v>101.50174277659217</c:v>
                </c:pt>
                <c:pt idx="10">
                  <c:v>101.40024103381596</c:v>
                </c:pt>
                <c:pt idx="11">
                  <c:v>101.50164127484976</c:v>
                </c:pt>
              </c:numCache>
            </c:numRef>
          </c:val>
        </c:ser>
        <c:ser>
          <c:idx val="1"/>
          <c:order val="3"/>
          <c:tx>
            <c:strRef>
              <c:f>Sheet1!$A$5</c:f>
              <c:strCache>
                <c:ptCount val="1"/>
                <c:pt idx="0">
                  <c:v>2011</c:v>
                </c:pt>
              </c:strCache>
            </c:strRef>
          </c:tx>
          <c:spPr>
            <a:ln w="3175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101.4</c:v>
                </c:pt>
                <c:pt idx="1">
                  <c:v>101.19720000000002</c:v>
                </c:pt>
                <c:pt idx="2">
                  <c:v>100.69121400000027</c:v>
                </c:pt>
              </c:numCache>
            </c:numRef>
          </c:val>
        </c:ser>
        <c:marker val="1"/>
        <c:axId val="275690624"/>
        <c:axId val="275692160"/>
      </c:lineChart>
      <c:catAx>
        <c:axId val="275690624"/>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5692160"/>
        <c:crosses val="autoZero"/>
        <c:auto val="1"/>
        <c:lblAlgn val="ctr"/>
        <c:lblOffset val="100"/>
        <c:tickLblSkip val="1"/>
        <c:tickMarkSkip val="1"/>
      </c:catAx>
      <c:valAx>
        <c:axId val="275692160"/>
        <c:scaling>
          <c:orientation val="minMax"/>
          <c:max val="130"/>
          <c:min val="10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5690624"/>
        <c:crosses val="autoZero"/>
        <c:crossBetween val="between"/>
        <c:majorUnit val="5"/>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104.89999999999999</c:v>
                </c:pt>
                <c:pt idx="1">
                  <c:v>103.64120000000025</c:v>
                </c:pt>
                <c:pt idx="2">
                  <c:v>106.85407719999955</c:v>
                </c:pt>
                <c:pt idx="3">
                  <c:v>107.28149350879998</c:v>
                </c:pt>
                <c:pt idx="4">
                  <c:v>112.00187922318719</c:v>
                </c:pt>
                <c:pt idx="5">
                  <c:v>117.26596754667698</c:v>
                </c:pt>
                <c:pt idx="6">
                  <c:v>119.14222302742381</c:v>
                </c:pt>
                <c:pt idx="7">
                  <c:v>114.25739188329941</c:v>
                </c:pt>
                <c:pt idx="8">
                  <c:v>112.20075882939985</c:v>
                </c:pt>
                <c:pt idx="9">
                  <c:v>107.03952392324818</c:v>
                </c:pt>
                <c:pt idx="10">
                  <c:v>93.338464861071941</c:v>
                </c:pt>
                <c:pt idx="11">
                  <c:v>85.124679953297615</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95.2</c:v>
                </c:pt>
                <c:pt idx="1">
                  <c:v>106.90960000000022</c:v>
                </c:pt>
                <c:pt idx="2">
                  <c:v>109.04779199999999</c:v>
                </c:pt>
                <c:pt idx="3">
                  <c:v>110.0292221279997</c:v>
                </c:pt>
                <c:pt idx="4">
                  <c:v>114.65044945737597</c:v>
                </c:pt>
                <c:pt idx="5">
                  <c:v>121.07087462698873</c:v>
                </c:pt>
                <c:pt idx="6">
                  <c:v>119.3758823822107</c:v>
                </c:pt>
                <c:pt idx="7">
                  <c:v>121.0471447355624</c:v>
                </c:pt>
                <c:pt idx="8">
                  <c:v>120.44190901188432</c:v>
                </c:pt>
                <c:pt idx="9">
                  <c:v>117.91262892263475</c:v>
                </c:pt>
                <c:pt idx="10">
                  <c:v>122.39330882169438</c:v>
                </c:pt>
                <c:pt idx="11">
                  <c:v>120.31262257172605</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103.5</c:v>
                </c:pt>
                <c:pt idx="1">
                  <c:v>105.15599999999998</c:v>
                </c:pt>
                <c:pt idx="2">
                  <c:v>107.67974399999973</c:v>
                </c:pt>
                <c:pt idx="3">
                  <c:v>111.01781606399999</c:v>
                </c:pt>
                <c:pt idx="4">
                  <c:v>111.01781606399999</c:v>
                </c:pt>
                <c:pt idx="5">
                  <c:v>109.90763790335998</c:v>
                </c:pt>
                <c:pt idx="6">
                  <c:v>110.23736081707005</c:v>
                </c:pt>
                <c:pt idx="7">
                  <c:v>109.02474984808228</c:v>
                </c:pt>
                <c:pt idx="8">
                  <c:v>109.13377459793008</c:v>
                </c:pt>
                <c:pt idx="9">
                  <c:v>109.67944347091998</c:v>
                </c:pt>
                <c:pt idx="10">
                  <c:v>110.77623790562915</c:v>
                </c:pt>
                <c:pt idx="11">
                  <c:v>115.20728742185436</c:v>
                </c:pt>
              </c:numCache>
            </c:numRef>
          </c:val>
        </c:ser>
        <c:ser>
          <c:idx val="1"/>
          <c:order val="3"/>
          <c:tx>
            <c:strRef>
              <c:f>Sheet1!$A$5</c:f>
              <c:strCache>
                <c:ptCount val="1"/>
                <c:pt idx="0">
                  <c:v>2011</c:v>
                </c:pt>
              </c:strCache>
            </c:strRef>
          </c:tx>
          <c:spPr>
            <a:ln w="3175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105.3</c:v>
                </c:pt>
                <c:pt idx="1">
                  <c:v>105.72120000000002</c:v>
                </c:pt>
                <c:pt idx="2">
                  <c:v>110.69009639999985</c:v>
                </c:pt>
              </c:numCache>
            </c:numRef>
          </c:val>
        </c:ser>
        <c:marker val="1"/>
        <c:axId val="276086784"/>
        <c:axId val="276088320"/>
      </c:lineChart>
      <c:catAx>
        <c:axId val="276086784"/>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6088320"/>
        <c:crosses val="autoZero"/>
        <c:auto val="1"/>
        <c:lblAlgn val="ctr"/>
        <c:lblOffset val="100"/>
        <c:tickLblSkip val="1"/>
        <c:tickMarkSkip val="1"/>
      </c:catAx>
      <c:valAx>
        <c:axId val="276088320"/>
        <c:scaling>
          <c:orientation val="minMax"/>
          <c:max val="130"/>
          <c:min val="8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6086784"/>
        <c:crosses val="autoZero"/>
        <c:crossBetween val="between"/>
        <c:majorUnit val="10"/>
      </c:valAx>
      <c:spPr>
        <a:noFill/>
        <a:ln w="6350">
          <a:solidFill>
            <a:schemeClr val="bg1">
              <a:lumMod val="8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413403774290374E-2"/>
          <c:y val="3.6529680365296795E-2"/>
          <c:w val="0.91621881614793377"/>
          <c:h val="0.7677868480725627"/>
        </c:manualLayout>
      </c:layout>
      <c:barChart>
        <c:barDir val="col"/>
        <c:grouping val="clustered"/>
        <c:ser>
          <c:idx val="0"/>
          <c:order val="1"/>
          <c:tx>
            <c:strRef>
              <c:f>Sheet1!$A$4</c:f>
              <c:strCache>
                <c:ptCount val="1"/>
                <c:pt idx="0">
                  <c:v>EE</c:v>
                </c:pt>
              </c:strCache>
            </c:strRef>
          </c:tx>
          <c:spPr>
            <a:solidFill>
              <a:sysClr val="window" lastClr="FFFFFF"/>
            </a:solidFill>
            <a:ln w="635">
              <a:solidFill>
                <a:sysClr val="windowText" lastClr="000000"/>
              </a:solidFill>
            </a:ln>
          </c:spPr>
          <c:cat>
            <c:multiLvlStrRef>
              <c:f>Sheet1!$B$1:$AU$2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Sheet1!$B$4:$AU$4</c:f>
              <c:numCache>
                <c:formatCode>0.000</c:formatCode>
                <c:ptCount val="38"/>
                <c:pt idx="0">
                  <c:v>4.7500000000000014E-2</c:v>
                </c:pt>
                <c:pt idx="1">
                  <c:v>6.5199999999999994E-2</c:v>
                </c:pt>
                <c:pt idx="2">
                  <c:v>-1.2100000000000001E-2</c:v>
                </c:pt>
                <c:pt idx="3">
                  <c:v>2.3099999999999999E-2</c:v>
                </c:pt>
                <c:pt idx="4">
                  <c:v>-3.2000000000000042E-2</c:v>
                </c:pt>
                <c:pt idx="5">
                  <c:v>-1.0300000000000005E-2</c:v>
                </c:pt>
                <c:pt idx="6">
                  <c:v>1.1299999999999998E-2</c:v>
                </c:pt>
                <c:pt idx="7">
                  <c:v>-2.7500000000000011E-2</c:v>
                </c:pt>
                <c:pt idx="8">
                  <c:v>-3.8399999999999997E-2</c:v>
                </c:pt>
                <c:pt idx="9">
                  <c:v>-0.125</c:v>
                </c:pt>
                <c:pt idx="10">
                  <c:v>-0.15580000000000019</c:v>
                </c:pt>
                <c:pt idx="11">
                  <c:v>-0.21260000000000001</c:v>
                </c:pt>
                <c:pt idx="12">
                  <c:v>-0.26470000000000005</c:v>
                </c:pt>
                <c:pt idx="13">
                  <c:v>-0.30230000000000046</c:v>
                </c:pt>
                <c:pt idx="14">
                  <c:v>-0.29440000000000038</c:v>
                </c:pt>
                <c:pt idx="15">
                  <c:v>-0.34250000000000008</c:v>
                </c:pt>
                <c:pt idx="16">
                  <c:v>-0.29010000000000002</c:v>
                </c:pt>
                <c:pt idx="17">
                  <c:v>-0.3008000000000004</c:v>
                </c:pt>
                <c:pt idx="18">
                  <c:v>-0.27530000000000032</c:v>
                </c:pt>
                <c:pt idx="19">
                  <c:v>-0.23930000000000001</c:v>
                </c:pt>
                <c:pt idx="20">
                  <c:v>-0.26140000000000002</c:v>
                </c:pt>
                <c:pt idx="21">
                  <c:v>-0.19140000000000001</c:v>
                </c:pt>
                <c:pt idx="22">
                  <c:v>-0.12210000000000011</c:v>
                </c:pt>
                <c:pt idx="23">
                  <c:v>-0.1038</c:v>
                </c:pt>
                <c:pt idx="24">
                  <c:v>-3.5799999999999998E-2</c:v>
                </c:pt>
                <c:pt idx="25">
                  <c:v>7.6000000000000061E-3</c:v>
                </c:pt>
                <c:pt idx="26">
                  <c:v>8.1100000000000033E-2</c:v>
                </c:pt>
                <c:pt idx="27">
                  <c:v>0.1691</c:v>
                </c:pt>
                <c:pt idx="28">
                  <c:v>0.15890000000000029</c:v>
                </c:pt>
                <c:pt idx="29">
                  <c:v>0.18080000000000004</c:v>
                </c:pt>
                <c:pt idx="30">
                  <c:v>0.1913</c:v>
                </c:pt>
                <c:pt idx="31">
                  <c:v>0.18040000000000025</c:v>
                </c:pt>
                <c:pt idx="32">
                  <c:v>0.28640000000000032</c:v>
                </c:pt>
                <c:pt idx="33">
                  <c:v>0.36780000000000052</c:v>
                </c:pt>
                <c:pt idx="34">
                  <c:v>0.31590000000000051</c:v>
                </c:pt>
                <c:pt idx="35">
                  <c:v>0.36830000000000046</c:v>
                </c:pt>
                <c:pt idx="36">
                  <c:v>0.41180000000000039</c:v>
                </c:pt>
                <c:pt idx="37">
                  <c:v>0.41610000000000008</c:v>
                </c:pt>
              </c:numCache>
            </c:numRef>
          </c:val>
        </c:ser>
        <c:ser>
          <c:idx val="2"/>
          <c:order val="2"/>
          <c:tx>
            <c:strRef>
              <c:f>Sheet1!$A$5</c:f>
              <c:strCache>
                <c:ptCount val="1"/>
                <c:pt idx="0">
                  <c:v>LV</c:v>
                </c:pt>
              </c:strCache>
            </c:strRef>
          </c:tx>
          <c:spPr>
            <a:solidFill>
              <a:srgbClr val="0070C0"/>
            </a:solidFill>
            <a:ln w="635">
              <a:solidFill>
                <a:sysClr val="windowText" lastClr="000000"/>
              </a:solidFill>
            </a:ln>
          </c:spPr>
          <c:cat>
            <c:multiLvlStrRef>
              <c:f>Sheet1!$B$1:$AU$2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Sheet1!$B$5:$AU$5</c:f>
              <c:numCache>
                <c:formatCode>0.000</c:formatCode>
                <c:ptCount val="38"/>
                <c:pt idx="0">
                  <c:v>1.2600000000000005E-2</c:v>
                </c:pt>
                <c:pt idx="1">
                  <c:v>3.2900000000000006E-2</c:v>
                </c:pt>
                <c:pt idx="2">
                  <c:v>-2.5600000000000012E-2</c:v>
                </c:pt>
                <c:pt idx="3">
                  <c:v>4.2199999999999994E-2</c:v>
                </c:pt>
                <c:pt idx="4">
                  <c:v>-3.0300000000000001E-2</c:v>
                </c:pt>
                <c:pt idx="5">
                  <c:v>-2.5999999999999999E-3</c:v>
                </c:pt>
                <c:pt idx="6">
                  <c:v>-2.8000000000000001E-2</c:v>
                </c:pt>
                <c:pt idx="7">
                  <c:v>-6.7700000000000024E-2</c:v>
                </c:pt>
                <c:pt idx="8">
                  <c:v>-5.6400000000000013E-2</c:v>
                </c:pt>
                <c:pt idx="9">
                  <c:v>-4.8300000000000003E-2</c:v>
                </c:pt>
                <c:pt idx="10">
                  <c:v>-9.8900000000000127E-2</c:v>
                </c:pt>
                <c:pt idx="11">
                  <c:v>-0.15190000000000026</c:v>
                </c:pt>
                <c:pt idx="12">
                  <c:v>-0.255</c:v>
                </c:pt>
                <c:pt idx="13">
                  <c:v>-0.2707</c:v>
                </c:pt>
                <c:pt idx="14">
                  <c:v>-0.29160000000000008</c:v>
                </c:pt>
                <c:pt idx="15">
                  <c:v>-0.22920000000000001</c:v>
                </c:pt>
                <c:pt idx="16">
                  <c:v>-0.2351</c:v>
                </c:pt>
                <c:pt idx="17">
                  <c:v>-0.19550000000000001</c:v>
                </c:pt>
                <c:pt idx="18">
                  <c:v>-0.2051</c:v>
                </c:pt>
                <c:pt idx="19">
                  <c:v>-0.15280000000000019</c:v>
                </c:pt>
                <c:pt idx="20">
                  <c:v>-0.17730000000000001</c:v>
                </c:pt>
                <c:pt idx="21">
                  <c:v>-0.16469999999999999</c:v>
                </c:pt>
                <c:pt idx="22">
                  <c:v>-6.8600000000000008E-2</c:v>
                </c:pt>
                <c:pt idx="23">
                  <c:v>-6.8499999999999991E-2</c:v>
                </c:pt>
                <c:pt idx="24">
                  <c:v>3.4999999999999996E-3</c:v>
                </c:pt>
                <c:pt idx="25">
                  <c:v>1.3700000000000023E-2</c:v>
                </c:pt>
                <c:pt idx="26">
                  <c:v>0.12089999999999998</c:v>
                </c:pt>
                <c:pt idx="27">
                  <c:v>0.10580000000000002</c:v>
                </c:pt>
                <c:pt idx="28">
                  <c:v>0.14790000000000023</c:v>
                </c:pt>
                <c:pt idx="29">
                  <c:v>0.1263</c:v>
                </c:pt>
                <c:pt idx="30">
                  <c:v>0.24410000000000001</c:v>
                </c:pt>
                <c:pt idx="31">
                  <c:v>0.22510000000000002</c:v>
                </c:pt>
                <c:pt idx="32">
                  <c:v>0.23260000000000003</c:v>
                </c:pt>
                <c:pt idx="33">
                  <c:v>0.27350000000000002</c:v>
                </c:pt>
                <c:pt idx="34">
                  <c:v>0.16300000000000001</c:v>
                </c:pt>
                <c:pt idx="35">
                  <c:v>0.18730000000000019</c:v>
                </c:pt>
                <c:pt idx="36">
                  <c:v>0.1134</c:v>
                </c:pt>
                <c:pt idx="37">
                  <c:v>0.13300000000000001</c:v>
                </c:pt>
              </c:numCache>
            </c:numRef>
          </c:val>
        </c:ser>
        <c:ser>
          <c:idx val="3"/>
          <c:order val="3"/>
          <c:tx>
            <c:strRef>
              <c:f>Sheet1!$A$6</c:f>
              <c:strCache>
                <c:ptCount val="1"/>
                <c:pt idx="0">
                  <c:v>LT</c:v>
                </c:pt>
              </c:strCache>
            </c:strRef>
          </c:tx>
          <c:spPr>
            <a:solidFill>
              <a:sysClr val="window" lastClr="FFFFFF">
                <a:lumMod val="75000"/>
              </a:sysClr>
            </a:solidFill>
            <a:ln w="635">
              <a:solidFill>
                <a:sysClr val="windowText" lastClr="000000"/>
              </a:solidFill>
            </a:ln>
          </c:spPr>
          <c:cat>
            <c:multiLvlStrRef>
              <c:f>Sheet1!$B$1:$AU$2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Sheet1!$B$6:$AU$6</c:f>
              <c:numCache>
                <c:formatCode>0.000</c:formatCode>
                <c:ptCount val="38"/>
                <c:pt idx="0">
                  <c:v>8.5500000000000048E-2</c:v>
                </c:pt>
                <c:pt idx="1">
                  <c:v>0.16140000000000004</c:v>
                </c:pt>
                <c:pt idx="2">
                  <c:v>0.14750000000000019</c:v>
                </c:pt>
                <c:pt idx="3">
                  <c:v>0.14169999999999999</c:v>
                </c:pt>
                <c:pt idx="4">
                  <c:v>0.1027000000000001</c:v>
                </c:pt>
                <c:pt idx="5">
                  <c:v>6.5500000000000003E-2</c:v>
                </c:pt>
                <c:pt idx="6">
                  <c:v>0</c:v>
                </c:pt>
                <c:pt idx="7">
                  <c:v>-4.1999999999999997E-3</c:v>
                </c:pt>
                <c:pt idx="8">
                  <c:v>5.4900000000000032E-2</c:v>
                </c:pt>
                <c:pt idx="9">
                  <c:v>2.7100000000000006E-2</c:v>
                </c:pt>
                <c:pt idx="10">
                  <c:v>8.4000000000000047E-3</c:v>
                </c:pt>
                <c:pt idx="11">
                  <c:v>-2.3099999999999999E-2</c:v>
                </c:pt>
                <c:pt idx="12">
                  <c:v>-5.9800000000000103E-2</c:v>
                </c:pt>
                <c:pt idx="13">
                  <c:v>-0.16159999999999999</c:v>
                </c:pt>
                <c:pt idx="14">
                  <c:v>-0.23190000000000022</c:v>
                </c:pt>
                <c:pt idx="15">
                  <c:v>-0.25540000000000002</c:v>
                </c:pt>
                <c:pt idx="16">
                  <c:v>-0.19420000000000001</c:v>
                </c:pt>
                <c:pt idx="17">
                  <c:v>-0.17670000000000022</c:v>
                </c:pt>
                <c:pt idx="18">
                  <c:v>-0.15000000000000019</c:v>
                </c:pt>
                <c:pt idx="19">
                  <c:v>-0.14180000000000001</c:v>
                </c:pt>
                <c:pt idx="20">
                  <c:v>-0.14680000000000001</c:v>
                </c:pt>
                <c:pt idx="21">
                  <c:v>-0.1009</c:v>
                </c:pt>
                <c:pt idx="22">
                  <c:v>-0.1033</c:v>
                </c:pt>
                <c:pt idx="23">
                  <c:v>-0.1108</c:v>
                </c:pt>
                <c:pt idx="24">
                  <c:v>-0.11910000000000009</c:v>
                </c:pt>
                <c:pt idx="25">
                  <c:v>-1.8300000000000021E-2</c:v>
                </c:pt>
                <c:pt idx="26">
                  <c:v>-3.2000000000000036E-3</c:v>
                </c:pt>
                <c:pt idx="27">
                  <c:v>6.94000000000001E-2</c:v>
                </c:pt>
                <c:pt idx="28">
                  <c:v>4.1100000000000005E-2</c:v>
                </c:pt>
                <c:pt idx="29">
                  <c:v>6.4199999999999993E-2</c:v>
                </c:pt>
                <c:pt idx="30">
                  <c:v>7.9199999999999993E-2</c:v>
                </c:pt>
                <c:pt idx="31">
                  <c:v>0.1118</c:v>
                </c:pt>
                <c:pt idx="32">
                  <c:v>0.1052000000000001</c:v>
                </c:pt>
                <c:pt idx="33">
                  <c:v>0.23260000000000003</c:v>
                </c:pt>
                <c:pt idx="34">
                  <c:v>0.221</c:v>
                </c:pt>
                <c:pt idx="35">
                  <c:v>0.17670000000000022</c:v>
                </c:pt>
                <c:pt idx="36">
                  <c:v>0.27490000000000031</c:v>
                </c:pt>
                <c:pt idx="37">
                  <c:v>0.17980000000000004</c:v>
                </c:pt>
              </c:numCache>
            </c:numRef>
          </c:val>
        </c:ser>
        <c:gapWidth val="75"/>
        <c:overlap val="-25"/>
        <c:axId val="147308928"/>
        <c:axId val="147310848"/>
      </c:barChart>
      <c:lineChart>
        <c:grouping val="standard"/>
        <c:ser>
          <c:idx val="1"/>
          <c:order val="0"/>
          <c:tx>
            <c:strRef>
              <c:f>Sheet1!$A$3</c:f>
              <c:strCache>
                <c:ptCount val="1"/>
                <c:pt idx="0">
                  <c:v>EU27</c:v>
                </c:pt>
              </c:strCache>
            </c:strRef>
          </c:tx>
          <c:spPr>
            <a:ln w="28575">
              <a:solidFill>
                <a:srgbClr val="000000"/>
              </a:solidFill>
              <a:prstDash val="solid"/>
            </a:ln>
          </c:spPr>
          <c:marker>
            <c:symbol val="diamond"/>
            <c:size val="5"/>
            <c:spPr>
              <a:solidFill>
                <a:sysClr val="window" lastClr="FFFFFF">
                  <a:lumMod val="95000"/>
                </a:sysClr>
              </a:solidFill>
              <a:ln>
                <a:solidFill>
                  <a:sysClr val="windowText" lastClr="000000"/>
                </a:solidFill>
              </a:ln>
            </c:spPr>
          </c:marker>
          <c:cat>
            <c:multiLvlStrRef>
              <c:f>Sheet1!$B$1:$AU$2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Sheet1!$B$3:$AU$3</c:f>
              <c:numCache>
                <c:formatCode>0.000</c:formatCode>
                <c:ptCount val="38"/>
                <c:pt idx="0">
                  <c:v>3.9699999999999999E-2</c:v>
                </c:pt>
                <c:pt idx="1">
                  <c:v>3.49E-2</c:v>
                </c:pt>
                <c:pt idx="2">
                  <c:v>1.2400000000000001E-2</c:v>
                </c:pt>
                <c:pt idx="3">
                  <c:v>3.9100000000000003E-2</c:v>
                </c:pt>
                <c:pt idx="4">
                  <c:v>-4.3000000000000061E-3</c:v>
                </c:pt>
                <c:pt idx="5">
                  <c:v>0</c:v>
                </c:pt>
                <c:pt idx="6">
                  <c:v>-7.3000000000000061E-3</c:v>
                </c:pt>
                <c:pt idx="7">
                  <c:v>-1.7299999999999996E-2</c:v>
                </c:pt>
                <c:pt idx="8">
                  <c:v>-2.2200000000000032E-2</c:v>
                </c:pt>
                <c:pt idx="9">
                  <c:v>-5.440000000000008E-2</c:v>
                </c:pt>
                <c:pt idx="10">
                  <c:v>-9.1500000000000026E-2</c:v>
                </c:pt>
                <c:pt idx="11">
                  <c:v>-0.1273</c:v>
                </c:pt>
                <c:pt idx="12">
                  <c:v>-0.18650000000000022</c:v>
                </c:pt>
                <c:pt idx="13">
                  <c:v>-0.1986</c:v>
                </c:pt>
                <c:pt idx="14">
                  <c:v>-0.18750000000000022</c:v>
                </c:pt>
                <c:pt idx="15">
                  <c:v>-0.2016</c:v>
                </c:pt>
                <c:pt idx="16">
                  <c:v>-0.17540000000000022</c:v>
                </c:pt>
                <c:pt idx="17">
                  <c:v>-0.16550000000000001</c:v>
                </c:pt>
                <c:pt idx="18">
                  <c:v>-0.15620000000000026</c:v>
                </c:pt>
                <c:pt idx="19">
                  <c:v>-0.14560000000000001</c:v>
                </c:pt>
                <c:pt idx="20">
                  <c:v>-0.1240000000000001</c:v>
                </c:pt>
                <c:pt idx="21">
                  <c:v>-0.10920000000000013</c:v>
                </c:pt>
                <c:pt idx="22">
                  <c:v>-6.1799999999999994E-2</c:v>
                </c:pt>
                <c:pt idx="23">
                  <c:v>-3.85E-2</c:v>
                </c:pt>
                <c:pt idx="24">
                  <c:v>2.4500000000000001E-2</c:v>
                </c:pt>
                <c:pt idx="25">
                  <c:v>4.4100000000000014E-2</c:v>
                </c:pt>
                <c:pt idx="26">
                  <c:v>7.8700000000000034E-2</c:v>
                </c:pt>
                <c:pt idx="27">
                  <c:v>8.4100000000000008E-2</c:v>
                </c:pt>
                <c:pt idx="28">
                  <c:v>9.4200000000000006E-2</c:v>
                </c:pt>
                <c:pt idx="29">
                  <c:v>9.0700000000000044E-2</c:v>
                </c:pt>
                <c:pt idx="30">
                  <c:v>7.9199999999999993E-2</c:v>
                </c:pt>
                <c:pt idx="31">
                  <c:v>9.2500000000000027E-2</c:v>
                </c:pt>
                <c:pt idx="32">
                  <c:v>6.8400000000000002E-2</c:v>
                </c:pt>
                <c:pt idx="33">
                  <c:v>7.8000000000000014E-2</c:v>
                </c:pt>
                <c:pt idx="34">
                  <c:v>8.1700000000000023E-2</c:v>
                </c:pt>
                <c:pt idx="35">
                  <c:v>9.1700000000000004E-2</c:v>
                </c:pt>
                <c:pt idx="36">
                  <c:v>8.7399999999999992E-2</c:v>
                </c:pt>
                <c:pt idx="37">
                  <c:v>9.0900000000000022E-2</c:v>
                </c:pt>
              </c:numCache>
            </c:numRef>
          </c:val>
        </c:ser>
        <c:marker val="1"/>
        <c:axId val="147308928"/>
        <c:axId val="147310848"/>
      </c:lineChart>
      <c:catAx>
        <c:axId val="14730892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7310848"/>
        <c:crosses val="autoZero"/>
        <c:auto val="1"/>
        <c:lblAlgn val="ctr"/>
        <c:lblOffset val="0"/>
        <c:tickLblSkip val="1"/>
        <c:tickMarkSkip val="1"/>
        <c:noMultiLvlLbl val="1"/>
      </c:catAx>
      <c:valAx>
        <c:axId val="147310848"/>
        <c:scaling>
          <c:orientation val="minMax"/>
          <c:max val="0.5"/>
          <c:min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7308928"/>
        <c:crosses val="autoZero"/>
        <c:crossBetween val="between"/>
      </c:valAx>
      <c:spPr>
        <a:noFill/>
        <a:ln w="6350">
          <a:solidFill>
            <a:sysClr val="window" lastClr="FFFFFF">
              <a:lumMod val="85000"/>
            </a:sysClr>
          </a:solidFill>
        </a:ln>
      </c:spPr>
    </c:plotArea>
    <c:legend>
      <c:legendPos val="b"/>
      <c:layout>
        <c:manualLayout>
          <c:xMode val="edge"/>
          <c:yMode val="edge"/>
          <c:x val="0.43356532373176132"/>
          <c:y val="9.4373266900959443E-2"/>
          <c:w val="0.25485066997454137"/>
          <c:h val="0.17979558699231796"/>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102.1</c:v>
                </c:pt>
                <c:pt idx="1">
                  <c:v>102.50839999999998</c:v>
                </c:pt>
                <c:pt idx="2">
                  <c:v>103.1234504</c:v>
                </c:pt>
                <c:pt idx="3">
                  <c:v>103.9484380032</c:v>
                </c:pt>
                <c:pt idx="4">
                  <c:v>104.5721286312192</c:v>
                </c:pt>
                <c:pt idx="5">
                  <c:v>104.99041714574409</c:v>
                </c:pt>
                <c:pt idx="6">
                  <c:v>105.62035964861856</c:v>
                </c:pt>
                <c:pt idx="7">
                  <c:v>105.72598000826716</c:v>
                </c:pt>
                <c:pt idx="8">
                  <c:v>106.57178784833305</c:v>
                </c:pt>
                <c:pt idx="9">
                  <c:v>106.99807499972664</c:v>
                </c:pt>
                <c:pt idx="10">
                  <c:v>107.10507307472589</c:v>
                </c:pt>
                <c:pt idx="11">
                  <c:v>106.99796800165163</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102.2</c:v>
                </c:pt>
                <c:pt idx="1">
                  <c:v>103.22200000000001</c:v>
                </c:pt>
                <c:pt idx="2">
                  <c:v>103.42844400000001</c:v>
                </c:pt>
                <c:pt idx="3">
                  <c:v>103.11815866800002</c:v>
                </c:pt>
                <c:pt idx="4">
                  <c:v>102.6025678746595</c:v>
                </c:pt>
                <c:pt idx="5">
                  <c:v>101.98695246741212</c:v>
                </c:pt>
                <c:pt idx="6">
                  <c:v>101.37503075260705</c:v>
                </c:pt>
                <c:pt idx="7">
                  <c:v>100.2599054143289</c:v>
                </c:pt>
                <c:pt idx="8">
                  <c:v>100.05938560350025</c:v>
                </c:pt>
                <c:pt idx="9">
                  <c:v>99.859266832293159</c:v>
                </c:pt>
                <c:pt idx="10">
                  <c:v>99.160251964467193</c:v>
                </c:pt>
                <c:pt idx="11">
                  <c:v>98.66445070464485</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100.2</c:v>
                </c:pt>
                <c:pt idx="1">
                  <c:v>100.13992805755346</c:v>
                </c:pt>
                <c:pt idx="2">
                  <c:v>100.62050359712231</c:v>
                </c:pt>
                <c:pt idx="3">
                  <c:v>101.52158273381295</c:v>
                </c:pt>
                <c:pt idx="4">
                  <c:v>101.46151079136744</c:v>
                </c:pt>
                <c:pt idx="5">
                  <c:v>101.88201438848894</c:v>
                </c:pt>
                <c:pt idx="6">
                  <c:v>102.06223021582736</c:v>
                </c:pt>
                <c:pt idx="7">
                  <c:v>101.34136690647478</c:v>
                </c:pt>
                <c:pt idx="8">
                  <c:v>101.82194244604318</c:v>
                </c:pt>
                <c:pt idx="9">
                  <c:v>102.1823741007189</c:v>
                </c:pt>
                <c:pt idx="10">
                  <c:v>102.42266187050355</c:v>
                </c:pt>
                <c:pt idx="11">
                  <c:v>102.54280575539569</c:v>
                </c:pt>
              </c:numCache>
            </c:numRef>
          </c:val>
        </c:ser>
        <c:ser>
          <c:idx val="1"/>
          <c:order val="3"/>
          <c:tx>
            <c:strRef>
              <c:f>Sheet1!$A$5</c:f>
              <c:strCache>
                <c:ptCount val="1"/>
                <c:pt idx="0">
                  <c:v>2011</c:v>
                </c:pt>
              </c:strCache>
            </c:strRef>
          </c:tx>
          <c:spPr>
            <a:ln w="3175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101.2</c:v>
                </c:pt>
                <c:pt idx="1">
                  <c:v>101.6048</c:v>
                </c:pt>
                <c:pt idx="2">
                  <c:v>101.6048</c:v>
                </c:pt>
              </c:numCache>
            </c:numRef>
          </c:val>
        </c:ser>
        <c:marker val="1"/>
        <c:axId val="275716736"/>
        <c:axId val="276062592"/>
      </c:lineChart>
      <c:catAx>
        <c:axId val="275716736"/>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6062592"/>
        <c:crosses val="autoZero"/>
        <c:auto val="1"/>
        <c:lblAlgn val="ctr"/>
        <c:lblOffset val="100"/>
        <c:tickLblSkip val="1"/>
        <c:tickMarkSkip val="1"/>
      </c:catAx>
      <c:valAx>
        <c:axId val="276062592"/>
        <c:scaling>
          <c:orientation val="minMax"/>
          <c:max val="110"/>
          <c:min val="96"/>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5716736"/>
        <c:crosses val="autoZero"/>
        <c:crossBetween val="between"/>
        <c:majorUnit val="6"/>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31.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3.6865679790026251E-2"/>
          <c:y val="1.7914267434420986E-2"/>
          <c:w val="0.94350278215222527"/>
          <c:h val="0.90795492214145013"/>
        </c:manualLayout>
      </c:layout>
      <c:barChart>
        <c:barDir val="col"/>
        <c:grouping val="stacked"/>
        <c:ser>
          <c:idx val="3"/>
          <c:order val="0"/>
          <c:tx>
            <c:strRef>
              <c:f>Sheet1!$A$3</c:f>
              <c:strCache>
                <c:ptCount val="1"/>
                <c:pt idx="0">
                  <c:v>Pārējās grupas</c:v>
                </c:pt>
              </c:strCache>
            </c:strRef>
          </c:tx>
          <c:spPr>
            <a:solidFill>
              <a:schemeClr val="bg1"/>
            </a:solidFill>
            <a:ln w="6350">
              <a:solidFill>
                <a:schemeClr val="tx1"/>
              </a:solidFill>
            </a:ln>
          </c:spPr>
          <c:dLbls>
            <c:dLbl>
              <c:idx val="17"/>
              <c:delete val="1"/>
            </c:dLbl>
            <c:dLbl>
              <c:idx val="18"/>
              <c:delete val="1"/>
            </c:dLbl>
            <c:dLbl>
              <c:idx val="36"/>
              <c:delete val="1"/>
            </c:dLbl>
            <c:dLbl>
              <c:idx val="37"/>
              <c:delete val="1"/>
            </c:dLbl>
            <c:numFmt formatCode="#,##0.0" sourceLinked="0"/>
            <c:txPr>
              <a:bodyPr/>
              <a:lstStyle/>
              <a:p>
                <a:pPr>
                  <a:defRPr sz="600">
                    <a:latin typeface="Arial" pitchFamily="34" charset="0"/>
                    <a:cs typeface="Arial" pitchFamily="34" charset="0"/>
                  </a:defRPr>
                </a:pPr>
                <a:endParaRPr lang="lv-LV"/>
              </a:p>
            </c:txPr>
            <c:showVal val="1"/>
          </c:dLbls>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Sheet1!$B$3:$AN$3</c:f>
              <c:numCache>
                <c:formatCode>0.0</c:formatCode>
                <c:ptCount val="39"/>
                <c:pt idx="0">
                  <c:v>4.7</c:v>
                </c:pt>
                <c:pt idx="1">
                  <c:v>5</c:v>
                </c:pt>
                <c:pt idx="2">
                  <c:v>4.9000000000000004</c:v>
                </c:pt>
                <c:pt idx="3">
                  <c:v>4.9000000000000004</c:v>
                </c:pt>
                <c:pt idx="4">
                  <c:v>5</c:v>
                </c:pt>
                <c:pt idx="5">
                  <c:v>5</c:v>
                </c:pt>
                <c:pt idx="6">
                  <c:v>4.5999999999999996</c:v>
                </c:pt>
                <c:pt idx="7">
                  <c:v>4.4000000000000004</c:v>
                </c:pt>
                <c:pt idx="8">
                  <c:v>4.0999999999999996</c:v>
                </c:pt>
                <c:pt idx="9">
                  <c:v>3.7</c:v>
                </c:pt>
                <c:pt idx="10">
                  <c:v>3.3</c:v>
                </c:pt>
                <c:pt idx="11">
                  <c:v>2.9</c:v>
                </c:pt>
                <c:pt idx="12" formatCode="General">
                  <c:v>2.9</c:v>
                </c:pt>
                <c:pt idx="13" formatCode="General">
                  <c:v>2.4</c:v>
                </c:pt>
                <c:pt idx="14" formatCode="General">
                  <c:v>1.7</c:v>
                </c:pt>
                <c:pt idx="15" formatCode="General">
                  <c:v>1.2</c:v>
                </c:pt>
                <c:pt idx="16" formatCode="General">
                  <c:v>0.70000000000000062</c:v>
                </c:pt>
                <c:pt idx="17" formatCode="General">
                  <c:v>0.2</c:v>
                </c:pt>
                <c:pt idx="18" formatCode="General">
                  <c:v>0.1</c:v>
                </c:pt>
                <c:pt idx="19" formatCode="General">
                  <c:v>-0.5</c:v>
                </c:pt>
                <c:pt idx="20" formatCode="General">
                  <c:v>-1.5</c:v>
                </c:pt>
                <c:pt idx="21" formatCode="General">
                  <c:v>-1.7</c:v>
                </c:pt>
                <c:pt idx="22" formatCode="General">
                  <c:v>-2.1</c:v>
                </c:pt>
                <c:pt idx="23" formatCode="General">
                  <c:v>-2.2999999999999998</c:v>
                </c:pt>
                <c:pt idx="24">
                  <c:v>-3.2950414513930193</c:v>
                </c:pt>
                <c:pt idx="25">
                  <c:v>-3.3877418437454794</c:v>
                </c:pt>
                <c:pt idx="26">
                  <c:v>-3.2428740101288343</c:v>
                </c:pt>
                <c:pt idx="27">
                  <c:v>-3.012869769199257</c:v>
                </c:pt>
                <c:pt idx="28">
                  <c:v>-2.8988910834384387</c:v>
                </c:pt>
                <c:pt idx="29">
                  <c:v>-2.4365646693275478</c:v>
                </c:pt>
                <c:pt idx="30">
                  <c:v>-2.3411880585462455</c:v>
                </c:pt>
                <c:pt idx="31">
                  <c:v>-2.0631557431198013</c:v>
                </c:pt>
                <c:pt idx="32">
                  <c:v>-1.6998435587442637</c:v>
                </c:pt>
                <c:pt idx="33">
                  <c:v>-1.4458837892829155</c:v>
                </c:pt>
                <c:pt idx="34">
                  <c:v>-1.1457274044812811</c:v>
                </c:pt>
                <c:pt idx="35">
                  <c:v>-0.93473637262190779</c:v>
                </c:pt>
                <c:pt idx="36">
                  <c:v>-0.20371603422084494</c:v>
                </c:pt>
                <c:pt idx="37">
                  <c:v>9.6733964950110208E-3</c:v>
                </c:pt>
                <c:pt idx="38">
                  <c:v>0.25420619660313004</c:v>
                </c:pt>
              </c:numCache>
            </c:numRef>
          </c:val>
        </c:ser>
        <c:ser>
          <c:idx val="5"/>
          <c:order val="1"/>
          <c:tx>
            <c:strRef>
              <c:f>Sheet1!$A$4</c:f>
              <c:strCache>
                <c:ptCount val="1"/>
                <c:pt idx="0">
                  <c:v>Administratīvi regulējamie pakalpojumi</c:v>
                </c:pt>
              </c:strCache>
            </c:strRef>
          </c:tx>
          <c:spPr>
            <a:solidFill>
              <a:srgbClr val="002060"/>
            </a:solidFill>
            <a:ln w="6350">
              <a:solidFill>
                <a:schemeClr val="tx1"/>
              </a:solidFill>
            </a:ln>
          </c:spPr>
          <c:dLbls>
            <c:dLbl>
              <c:idx val="28"/>
              <c:delete val="1"/>
            </c:dLbl>
            <c:numFmt formatCode="#,##0.0" sourceLinked="0"/>
            <c:txPr>
              <a:bodyPr/>
              <a:lstStyle/>
              <a:p>
                <a:pPr>
                  <a:defRPr sz="600">
                    <a:solidFill>
                      <a:schemeClr val="bg1"/>
                    </a:solidFill>
                    <a:latin typeface="Arial" pitchFamily="34" charset="0"/>
                    <a:cs typeface="Arial" pitchFamily="34" charset="0"/>
                  </a:defRPr>
                </a:pPr>
                <a:endParaRPr lang="lv-LV"/>
              </a:p>
            </c:txPr>
            <c:showVal val="1"/>
          </c:dLbls>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Sheet1!$B$4:$AN$4</c:f>
              <c:numCache>
                <c:formatCode>0.0</c:formatCode>
                <c:ptCount val="39"/>
                <c:pt idx="0">
                  <c:v>2.1</c:v>
                </c:pt>
                <c:pt idx="1">
                  <c:v>2.2000000000000002</c:v>
                </c:pt>
                <c:pt idx="2">
                  <c:v>2.5</c:v>
                </c:pt>
                <c:pt idx="3">
                  <c:v>3.4</c:v>
                </c:pt>
                <c:pt idx="4">
                  <c:v>3.4</c:v>
                </c:pt>
                <c:pt idx="5">
                  <c:v>3.3</c:v>
                </c:pt>
                <c:pt idx="6">
                  <c:v>3.3</c:v>
                </c:pt>
                <c:pt idx="7">
                  <c:v>3.3</c:v>
                </c:pt>
                <c:pt idx="8">
                  <c:v>3.3</c:v>
                </c:pt>
                <c:pt idx="9">
                  <c:v>3.7</c:v>
                </c:pt>
                <c:pt idx="10">
                  <c:v>4</c:v>
                </c:pt>
                <c:pt idx="11">
                  <c:v>4</c:v>
                </c:pt>
                <c:pt idx="12" formatCode="General">
                  <c:v>4.4000000000000004</c:v>
                </c:pt>
                <c:pt idx="13" formatCode="General">
                  <c:v>4.3</c:v>
                </c:pt>
                <c:pt idx="14" formatCode="General">
                  <c:v>4.5</c:v>
                </c:pt>
                <c:pt idx="15" formatCode="General">
                  <c:v>3.6</c:v>
                </c:pt>
                <c:pt idx="16" formatCode="General">
                  <c:v>3.1</c:v>
                </c:pt>
                <c:pt idx="17" formatCode="General">
                  <c:v>2.7</c:v>
                </c:pt>
                <c:pt idx="18" formatCode="General">
                  <c:v>2.2000000000000002</c:v>
                </c:pt>
                <c:pt idx="19" formatCode="General">
                  <c:v>2.1</c:v>
                </c:pt>
                <c:pt idx="20" formatCode="General">
                  <c:v>2</c:v>
                </c:pt>
                <c:pt idx="21" formatCode="General">
                  <c:v>0.8</c:v>
                </c:pt>
                <c:pt idx="22" formatCode="General">
                  <c:v>0.4</c:v>
                </c:pt>
                <c:pt idx="23" formatCode="General">
                  <c:v>0.30000000000000032</c:v>
                </c:pt>
                <c:pt idx="24">
                  <c:v>-0.39785920849588996</c:v>
                </c:pt>
                <c:pt idx="25">
                  <c:v>-0.4055248902604715</c:v>
                </c:pt>
                <c:pt idx="26">
                  <c:v>-0.79238614212598057</c:v>
                </c:pt>
                <c:pt idx="27">
                  <c:v>-0.44984482467888331</c:v>
                </c:pt>
                <c:pt idx="28">
                  <c:v>-2.1981841354145881E-3</c:v>
                </c:pt>
                <c:pt idx="29">
                  <c:v>0.60227717761388722</c:v>
                </c:pt>
                <c:pt idx="30">
                  <c:v>1.0470544501393284</c:v>
                </c:pt>
                <c:pt idx="31">
                  <c:v>1.0769622517600508</c:v>
                </c:pt>
                <c:pt idx="32">
                  <c:v>0.82599862450728379</c:v>
                </c:pt>
                <c:pt idx="33">
                  <c:v>0.73845856553227629</c:v>
                </c:pt>
                <c:pt idx="34">
                  <c:v>0.87909298955130133</c:v>
                </c:pt>
                <c:pt idx="35">
                  <c:v>0.73286860235253803</c:v>
                </c:pt>
                <c:pt idx="36">
                  <c:v>0.98239543310629562</c:v>
                </c:pt>
                <c:pt idx="37">
                  <c:v>0.8982927293359303</c:v>
                </c:pt>
                <c:pt idx="38">
                  <c:v>0.87209902703801512</c:v>
                </c:pt>
              </c:numCache>
            </c:numRef>
          </c:val>
        </c:ser>
        <c:ser>
          <c:idx val="0"/>
          <c:order val="2"/>
          <c:tx>
            <c:strRef>
              <c:f>Sheet1!$A$5</c:f>
              <c:strCache>
                <c:ptCount val="1"/>
                <c:pt idx="0">
                  <c:v>Alkoholiskie dzērieni un tabaka</c:v>
                </c:pt>
              </c:strCache>
            </c:strRef>
          </c:tx>
          <c:spPr>
            <a:solidFill>
              <a:schemeClr val="bg1">
                <a:lumMod val="75000"/>
              </a:schemeClr>
            </a:solidFill>
            <a:ln w="6350">
              <a:solidFill>
                <a:schemeClr val="tx1"/>
              </a:solidFill>
            </a:ln>
          </c:spPr>
          <c:dLbls>
            <c:dLbl>
              <c:idx val="16"/>
              <c:delete val="1"/>
            </c:dLbl>
            <c:dLbl>
              <c:idx val="17"/>
              <c:delete val="1"/>
            </c:dLbl>
            <c:dLbl>
              <c:idx val="29"/>
              <c:delete val="1"/>
            </c:dLbl>
            <c:dLbl>
              <c:idx val="30"/>
              <c:delete val="1"/>
            </c:dLbl>
            <c:dLbl>
              <c:idx val="31"/>
              <c:delete val="1"/>
            </c:dLbl>
            <c:dLbl>
              <c:idx val="34"/>
              <c:delete val="1"/>
            </c:dLbl>
            <c:dLbl>
              <c:idx val="35"/>
              <c:delete val="1"/>
            </c:dLbl>
            <c:dLbl>
              <c:idx val="36"/>
              <c:delete val="1"/>
            </c:dLbl>
            <c:dLbl>
              <c:idx val="37"/>
              <c:delete val="1"/>
            </c:dLbl>
            <c:dLbl>
              <c:idx val="38"/>
              <c:delete val="1"/>
            </c:dLbl>
            <c:numFmt formatCode="#,##0.0" sourceLinked="0"/>
            <c:txPr>
              <a:bodyPr/>
              <a:lstStyle/>
              <a:p>
                <a:pPr>
                  <a:defRPr sz="600">
                    <a:latin typeface="Arial" pitchFamily="34" charset="0"/>
                    <a:cs typeface="Arial" pitchFamily="34" charset="0"/>
                  </a:defRPr>
                </a:pPr>
                <a:endParaRPr lang="lv-LV"/>
              </a:p>
            </c:txPr>
            <c:showVal val="1"/>
          </c:dLbls>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Sheet1!$B$5:$AN$5</c:f>
              <c:numCache>
                <c:formatCode>0.0</c:formatCode>
                <c:ptCount val="39"/>
                <c:pt idx="0">
                  <c:v>2.7</c:v>
                </c:pt>
                <c:pt idx="1">
                  <c:v>3.2</c:v>
                </c:pt>
                <c:pt idx="2">
                  <c:v>3.2</c:v>
                </c:pt>
                <c:pt idx="3">
                  <c:v>3.3</c:v>
                </c:pt>
                <c:pt idx="4">
                  <c:v>3.3</c:v>
                </c:pt>
                <c:pt idx="5">
                  <c:v>3.2</c:v>
                </c:pt>
                <c:pt idx="6">
                  <c:v>2.5</c:v>
                </c:pt>
                <c:pt idx="7">
                  <c:v>2.2000000000000002</c:v>
                </c:pt>
                <c:pt idx="8">
                  <c:v>2.1</c:v>
                </c:pt>
                <c:pt idx="9">
                  <c:v>2.1</c:v>
                </c:pt>
                <c:pt idx="10">
                  <c:v>2</c:v>
                </c:pt>
                <c:pt idx="11">
                  <c:v>2</c:v>
                </c:pt>
                <c:pt idx="12" formatCode="General">
                  <c:v>1</c:v>
                </c:pt>
                <c:pt idx="13" formatCode="General">
                  <c:v>1.4</c:v>
                </c:pt>
                <c:pt idx="14" formatCode="General">
                  <c:v>1.3</c:v>
                </c:pt>
                <c:pt idx="15" formatCode="General">
                  <c:v>1.3</c:v>
                </c:pt>
                <c:pt idx="16" formatCode="General">
                  <c:v>1.3</c:v>
                </c:pt>
                <c:pt idx="17" formatCode="General">
                  <c:v>1.3</c:v>
                </c:pt>
                <c:pt idx="18" formatCode="General">
                  <c:v>1.6</c:v>
                </c:pt>
                <c:pt idx="19" formatCode="General">
                  <c:v>1.5</c:v>
                </c:pt>
                <c:pt idx="20" formatCode="General">
                  <c:v>1.5</c:v>
                </c:pt>
                <c:pt idx="21" formatCode="General">
                  <c:v>1.5</c:v>
                </c:pt>
                <c:pt idx="22" formatCode="General">
                  <c:v>1.4</c:v>
                </c:pt>
                <c:pt idx="23" formatCode="General">
                  <c:v>1.4</c:v>
                </c:pt>
                <c:pt idx="24">
                  <c:v>1.1053077044567932</c:v>
                </c:pt>
                <c:pt idx="25">
                  <c:v>0.37145369622156232</c:v>
                </c:pt>
                <c:pt idx="26">
                  <c:v>0.36226664974946687</c:v>
                </c:pt>
                <c:pt idx="27">
                  <c:v>0.30750282290242886</c:v>
                </c:pt>
                <c:pt idx="28">
                  <c:v>0.31048008138068611</c:v>
                </c:pt>
                <c:pt idx="29">
                  <c:v>0.25768027869848181</c:v>
                </c:pt>
                <c:pt idx="30">
                  <c:v>2.7145154621454212E-2</c:v>
                </c:pt>
                <c:pt idx="31">
                  <c:v>-1.9114990399723001E-3</c:v>
                </c:pt>
                <c:pt idx="32">
                  <c:v>2.1058340640335352E-2</c:v>
                </c:pt>
                <c:pt idx="33">
                  <c:v>1.9268308472150733E-2</c:v>
                </c:pt>
                <c:pt idx="34">
                  <c:v>9.2216176118891643E-2</c:v>
                </c:pt>
                <c:pt idx="35">
                  <c:v>0.12600469219229277</c:v>
                </c:pt>
                <c:pt idx="36">
                  <c:v>0.15397659987616219</c:v>
                </c:pt>
                <c:pt idx="37">
                  <c:v>8.825512509232776E-2</c:v>
                </c:pt>
                <c:pt idx="38">
                  <c:v>6.7859469293460178E-2</c:v>
                </c:pt>
              </c:numCache>
            </c:numRef>
          </c:val>
        </c:ser>
        <c:ser>
          <c:idx val="2"/>
          <c:order val="3"/>
          <c:tx>
            <c:strRef>
              <c:f>Sheet1!$A$6</c:f>
              <c:strCache>
                <c:ptCount val="1"/>
                <c:pt idx="0">
                  <c:v>Degviela</c:v>
                </c:pt>
              </c:strCache>
            </c:strRef>
          </c:tx>
          <c:spPr>
            <a:solidFill>
              <a:schemeClr val="tx1"/>
            </a:solidFill>
            <a:ln w="6350">
              <a:solidFill>
                <a:schemeClr val="tx1"/>
              </a:solidFill>
            </a:ln>
          </c:spPr>
          <c:dLbls>
            <c:txPr>
              <a:bodyPr/>
              <a:lstStyle/>
              <a:p>
                <a:pPr>
                  <a:defRPr sz="600" b="1">
                    <a:solidFill>
                      <a:schemeClr val="bg1"/>
                    </a:solidFill>
                  </a:defRPr>
                </a:pPr>
                <a:endParaRPr lang="lv-LV"/>
              </a:p>
            </c:txPr>
            <c:showVal val="1"/>
          </c:dLbls>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Sheet1!$B$6:$AN$6</c:f>
              <c:numCache>
                <c:formatCode>0.0</c:formatCode>
                <c:ptCount val="39"/>
                <c:pt idx="0">
                  <c:v>0.9</c:v>
                </c:pt>
                <c:pt idx="1">
                  <c:v>1.2</c:v>
                </c:pt>
                <c:pt idx="2">
                  <c:v>1.1000000000000001</c:v>
                </c:pt>
                <c:pt idx="3">
                  <c:v>0.9</c:v>
                </c:pt>
                <c:pt idx="4">
                  <c:v>1</c:v>
                </c:pt>
                <c:pt idx="5">
                  <c:v>1.2</c:v>
                </c:pt>
                <c:pt idx="6">
                  <c:v>1.3</c:v>
                </c:pt>
                <c:pt idx="7">
                  <c:v>1</c:v>
                </c:pt>
                <c:pt idx="8">
                  <c:v>1</c:v>
                </c:pt>
                <c:pt idx="9">
                  <c:v>0.60000000000000064</c:v>
                </c:pt>
                <c:pt idx="10">
                  <c:v>-0.30000000000000032</c:v>
                </c:pt>
                <c:pt idx="11">
                  <c:v>-0.70000000000000062</c:v>
                </c:pt>
                <c:pt idx="12" formatCode="General">
                  <c:v>-1.1000000000000001</c:v>
                </c:pt>
                <c:pt idx="13" formatCode="General">
                  <c:v>-0.5</c:v>
                </c:pt>
                <c:pt idx="14" formatCode="General">
                  <c:v>-0.60000000000000064</c:v>
                </c:pt>
                <c:pt idx="15" formatCode="General">
                  <c:v>-0.60000000000000064</c:v>
                </c:pt>
                <c:pt idx="16" formatCode="General">
                  <c:v>-0.60000000000000064</c:v>
                </c:pt>
                <c:pt idx="17" formatCode="General">
                  <c:v>-0.5</c:v>
                </c:pt>
                <c:pt idx="18" formatCode="General">
                  <c:v>-0.60000000000000064</c:v>
                </c:pt>
                <c:pt idx="19" formatCode="General">
                  <c:v>-0.4</c:v>
                </c:pt>
                <c:pt idx="20" formatCode="General">
                  <c:v>-0.4</c:v>
                </c:pt>
                <c:pt idx="21" formatCode="General">
                  <c:v>-0.30000000000000032</c:v>
                </c:pt>
                <c:pt idx="22" formatCode="General">
                  <c:v>0.5</c:v>
                </c:pt>
                <c:pt idx="23" formatCode="General">
                  <c:v>0.9</c:v>
                </c:pt>
                <c:pt idx="24">
                  <c:v>1.2972511609331265</c:v>
                </c:pt>
                <c:pt idx="25">
                  <c:v>0.77945298946257802</c:v>
                </c:pt>
                <c:pt idx="26">
                  <c:v>0.79800804568718864</c:v>
                </c:pt>
                <c:pt idx="27">
                  <c:v>0.91846664669308264</c:v>
                </c:pt>
                <c:pt idx="28">
                  <c:v>0.71902921413873599</c:v>
                </c:pt>
                <c:pt idx="29">
                  <c:v>0.40836182924078224</c:v>
                </c:pt>
                <c:pt idx="30">
                  <c:v>0.49113550686251495</c:v>
                </c:pt>
                <c:pt idx="31">
                  <c:v>0.3675516255600163</c:v>
                </c:pt>
                <c:pt idx="32">
                  <c:v>0.38749819870686386</c:v>
                </c:pt>
                <c:pt idx="33">
                  <c:v>0.50804817994208751</c:v>
                </c:pt>
                <c:pt idx="34">
                  <c:v>0.38128776940268877</c:v>
                </c:pt>
                <c:pt idx="35">
                  <c:v>0.64914273711217363</c:v>
                </c:pt>
                <c:pt idx="36">
                  <c:v>0.72848718326109396</c:v>
                </c:pt>
                <c:pt idx="37">
                  <c:v>0.66606632297052415</c:v>
                </c:pt>
                <c:pt idx="38">
                  <c:v>0.78045469042118565</c:v>
                </c:pt>
              </c:numCache>
            </c:numRef>
          </c:val>
        </c:ser>
        <c:ser>
          <c:idx val="4"/>
          <c:order val="4"/>
          <c:tx>
            <c:strRef>
              <c:f>Sheet1!$A$7</c:f>
              <c:strCache>
                <c:ptCount val="1"/>
                <c:pt idx="0">
                  <c:v>Pārtika</c:v>
                </c:pt>
              </c:strCache>
            </c:strRef>
          </c:tx>
          <c:spPr>
            <a:solidFill>
              <a:srgbClr val="0070C0"/>
            </a:solidFill>
            <a:ln w="6350">
              <a:solidFill>
                <a:schemeClr val="tx1"/>
              </a:solidFill>
            </a:ln>
          </c:spPr>
          <c:dLbls>
            <c:dLbl>
              <c:idx val="16"/>
              <c:delete val="1"/>
            </c:dLbl>
            <c:dLbl>
              <c:idx val="17"/>
              <c:delete val="1"/>
            </c:dLbl>
            <c:dLbl>
              <c:idx val="29"/>
              <c:delete val="1"/>
            </c:dLbl>
            <c:dLbl>
              <c:idx val="30"/>
              <c:delete val="1"/>
            </c:dLbl>
            <c:txPr>
              <a:bodyPr/>
              <a:lstStyle/>
              <a:p>
                <a:pPr>
                  <a:defRPr sz="600">
                    <a:solidFill>
                      <a:schemeClr val="bg1"/>
                    </a:solidFill>
                  </a:defRPr>
                </a:pPr>
                <a:endParaRPr lang="lv-LV"/>
              </a:p>
            </c:txPr>
            <c:showVal val="1"/>
          </c:dLbls>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Sheet1!$B$7:$AN$7</c:f>
              <c:numCache>
                <c:formatCode>0.0</c:formatCode>
                <c:ptCount val="39"/>
                <c:pt idx="0">
                  <c:v>5.3</c:v>
                </c:pt>
                <c:pt idx="1">
                  <c:v>5.0999999999999996</c:v>
                </c:pt>
                <c:pt idx="2">
                  <c:v>5</c:v>
                </c:pt>
                <c:pt idx="3">
                  <c:v>5</c:v>
                </c:pt>
                <c:pt idx="4">
                  <c:v>5.2</c:v>
                </c:pt>
                <c:pt idx="5">
                  <c:v>5.0999999999999996</c:v>
                </c:pt>
                <c:pt idx="6">
                  <c:v>5</c:v>
                </c:pt>
                <c:pt idx="7">
                  <c:v>4.8</c:v>
                </c:pt>
                <c:pt idx="8">
                  <c:v>4.4000000000000004</c:v>
                </c:pt>
                <c:pt idx="9">
                  <c:v>3.7</c:v>
                </c:pt>
                <c:pt idx="10">
                  <c:v>2.8</c:v>
                </c:pt>
                <c:pt idx="11">
                  <c:v>2.4</c:v>
                </c:pt>
                <c:pt idx="12" formatCode="General">
                  <c:v>2.6</c:v>
                </c:pt>
                <c:pt idx="13" formatCode="General">
                  <c:v>2</c:v>
                </c:pt>
                <c:pt idx="14" formatCode="General">
                  <c:v>1.3</c:v>
                </c:pt>
                <c:pt idx="15" formatCode="General">
                  <c:v>0.60000000000000064</c:v>
                </c:pt>
                <c:pt idx="16" formatCode="General">
                  <c:v>0.2</c:v>
                </c:pt>
                <c:pt idx="17" formatCode="General">
                  <c:v>-0.2</c:v>
                </c:pt>
                <c:pt idx="18" formatCode="General">
                  <c:v>-0.70000000000000062</c:v>
                </c:pt>
                <c:pt idx="19" formatCode="General">
                  <c:v>-0.8</c:v>
                </c:pt>
                <c:pt idx="20" formatCode="General">
                  <c:v>-1.1000000000000001</c:v>
                </c:pt>
                <c:pt idx="21" formatCode="General">
                  <c:v>-1.2</c:v>
                </c:pt>
                <c:pt idx="22" formatCode="General">
                  <c:v>-1.4</c:v>
                </c:pt>
                <c:pt idx="23" formatCode="General">
                  <c:v>-1.5</c:v>
                </c:pt>
                <c:pt idx="24">
                  <c:v>-1.831186754712284</c:v>
                </c:pt>
                <c:pt idx="25">
                  <c:v>-1.5339230597120532</c:v>
                </c:pt>
                <c:pt idx="26">
                  <c:v>-1.0666844077726019</c:v>
                </c:pt>
                <c:pt idx="27">
                  <c:v>-0.49287900207253232</c:v>
                </c:pt>
                <c:pt idx="28">
                  <c:v>-0.43509111988052035</c:v>
                </c:pt>
                <c:pt idx="29">
                  <c:v>-0.20557963430224141</c:v>
                </c:pt>
                <c:pt idx="30">
                  <c:v>0.19390453888758474</c:v>
                </c:pt>
                <c:pt idx="31">
                  <c:v>0.36612921150675831</c:v>
                </c:pt>
                <c:pt idx="32">
                  <c:v>0.88462312600555282</c:v>
                </c:pt>
                <c:pt idx="33">
                  <c:v>1.173693019671832</c:v>
                </c:pt>
                <c:pt idx="34">
                  <c:v>1.7022473599485601</c:v>
                </c:pt>
                <c:pt idx="35">
                  <c:v>1.971088843635636</c:v>
                </c:pt>
                <c:pt idx="36">
                  <c:v>2.0196273718128661</c:v>
                </c:pt>
                <c:pt idx="37">
                  <c:v>2.3289958301663036</c:v>
                </c:pt>
                <c:pt idx="38">
                  <c:v>2.2543499123867154</c:v>
                </c:pt>
              </c:numCache>
            </c:numRef>
          </c:val>
        </c:ser>
        <c:gapWidth val="20"/>
        <c:overlap val="100"/>
        <c:axId val="276439424"/>
        <c:axId val="276440960"/>
      </c:barChart>
      <c:catAx>
        <c:axId val="276439424"/>
        <c:scaling>
          <c:orientation val="minMax"/>
        </c:scaling>
        <c:axPos val="b"/>
        <c:majorGridlines>
          <c:spPr>
            <a:ln w="6350">
              <a:solidFill>
                <a:schemeClr val="bg1">
                  <a:lumMod val="85000"/>
                </a:schemeClr>
              </a:solidFill>
            </a:ln>
          </c:spPr>
        </c:majorGridlines>
        <c:numFmt formatCode="@"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6440960"/>
        <c:crosses val="autoZero"/>
        <c:auto val="1"/>
        <c:lblAlgn val="ctr"/>
        <c:lblOffset val="100"/>
        <c:tickLblSkip val="1"/>
        <c:tickMarkSkip val="1"/>
        <c:noMultiLvlLbl val="1"/>
      </c:catAx>
      <c:valAx>
        <c:axId val="276440960"/>
        <c:scaling>
          <c:orientation val="minMax"/>
          <c:max val="18"/>
          <c:min val="-6"/>
        </c:scaling>
        <c:axPos val="l"/>
        <c:majorGridlines>
          <c:spPr>
            <a:ln w="6350">
              <a:solidFill>
                <a:schemeClr val="bg1">
                  <a:lumMod val="85000"/>
                </a:schemeClr>
              </a:solidFill>
              <a:prstDash val="solid"/>
            </a:ln>
          </c:spPr>
        </c:majorGridlines>
        <c:numFmt formatCode="0" sourceLinked="0"/>
        <c:majorTickMark val="cross"/>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6439424"/>
        <c:crosses val="autoZero"/>
        <c:crossBetween val="between"/>
        <c:majorUnit val="3"/>
      </c:valAx>
      <c:spPr>
        <a:noFill/>
        <a:ln w="6350">
          <a:solidFill>
            <a:schemeClr val="bg1">
              <a:lumMod val="75000"/>
            </a:schemeClr>
          </a:solidFill>
        </a:ln>
      </c:spPr>
    </c:plotArea>
    <c:legend>
      <c:legendPos val="r"/>
      <c:layout>
        <c:manualLayout>
          <c:xMode val="edge"/>
          <c:yMode val="edge"/>
          <c:x val="0.44519479416349222"/>
          <c:y val="3.9159526460887648E-2"/>
          <c:w val="0.51792018729185518"/>
          <c:h val="0.20173347095037056"/>
        </c:manualLayout>
      </c:layout>
      <c:spPr>
        <a:solidFill>
          <a:schemeClr val="bg1"/>
        </a:solidFill>
      </c:spPr>
      <c:txPr>
        <a:bodyPr/>
        <a:lstStyle/>
        <a:p>
          <a:pPr>
            <a:defRPr lang="lv-LV" sz="105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65279653464227E-2"/>
          <c:y val="2.8006088280060883E-2"/>
          <c:w val="0.93009473826600064"/>
          <c:h val="0.77448501066726505"/>
        </c:manualLayout>
      </c:layout>
      <c:lineChart>
        <c:grouping val="standard"/>
        <c:ser>
          <c:idx val="0"/>
          <c:order val="0"/>
          <c:tx>
            <c:strRef>
              <c:f>Sheet1!$A$3</c:f>
              <c:strCache>
                <c:ptCount val="1"/>
                <c:pt idx="0">
                  <c:v>EU27</c:v>
                </c:pt>
              </c:strCache>
            </c:strRef>
          </c:tx>
          <c:spPr>
            <a:ln w="12700">
              <a:solidFill>
                <a:sysClr val="windowText" lastClr="000000"/>
              </a:solidFill>
              <a:prstDash val="solid"/>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Sheet1!$B$3:$AA$3</c:f>
              <c:numCache>
                <c:formatCode>0.0</c:formatCode>
                <c:ptCount val="26"/>
                <c:pt idx="0">
                  <c:v>99.38481314847121</c:v>
                </c:pt>
                <c:pt idx="1">
                  <c:v>99.90818106693601</c:v>
                </c:pt>
                <c:pt idx="2">
                  <c:v>100.25709301257918</c:v>
                </c:pt>
                <c:pt idx="3">
                  <c:v>100.59682306491682</c:v>
                </c:pt>
                <c:pt idx="4">
                  <c:v>100.78046093104399</c:v>
                </c:pt>
                <c:pt idx="5">
                  <c:v>100.99164447709165</c:v>
                </c:pt>
                <c:pt idx="6">
                  <c:v>100.52336791846388</c:v>
                </c:pt>
                <c:pt idx="7">
                  <c:v>100.80800661096318</c:v>
                </c:pt>
                <c:pt idx="8">
                  <c:v>100.84473418418877</c:v>
                </c:pt>
                <c:pt idx="9">
                  <c:v>101.04673583692866</c:v>
                </c:pt>
                <c:pt idx="10">
                  <c:v>101.21200991644429</c:v>
                </c:pt>
                <c:pt idx="11">
                  <c:v>101.5333761821682</c:v>
                </c:pt>
                <c:pt idx="12">
                  <c:v>101.03755394362319</c:v>
                </c:pt>
                <c:pt idx="13">
                  <c:v>101.3589202093477</c:v>
                </c:pt>
                <c:pt idx="14">
                  <c:v>102.28629143329354</c:v>
                </c:pt>
                <c:pt idx="15">
                  <c:v>102.72702231200023</c:v>
                </c:pt>
                <c:pt idx="16">
                  <c:v>102.88311449820952</c:v>
                </c:pt>
                <c:pt idx="17">
                  <c:v>102.91984207143511</c:v>
                </c:pt>
                <c:pt idx="18">
                  <c:v>102.63520337893671</c:v>
                </c:pt>
                <c:pt idx="19">
                  <c:v>102.82802313837111</c:v>
                </c:pt>
                <c:pt idx="20">
                  <c:v>103.11266183086903</c:v>
                </c:pt>
                <c:pt idx="21">
                  <c:v>103.41566430998112</c:v>
                </c:pt>
                <c:pt idx="22">
                  <c:v>103.58093838949543</c:v>
                </c:pt>
                <c:pt idx="23">
                  <c:v>104.24203470755621</c:v>
                </c:pt>
                <c:pt idx="24">
                  <c:v>103.81966761546232</c:v>
                </c:pt>
                <c:pt idx="25">
                  <c:v>104.2236709209439</c:v>
                </c:pt>
              </c:numCache>
            </c:numRef>
          </c:val>
          <c:smooth val="1"/>
        </c:ser>
        <c:ser>
          <c:idx val="1"/>
          <c:order val="1"/>
          <c:tx>
            <c:strRef>
              <c:f>Sheet1!$A$4</c:f>
              <c:strCache>
                <c:ptCount val="1"/>
                <c:pt idx="0">
                  <c:v>EE</c:v>
                </c:pt>
              </c:strCache>
            </c:strRef>
          </c:tx>
          <c:spPr>
            <a:ln w="15875">
              <a:solidFill>
                <a:sysClr val="windowText" lastClr="000000"/>
              </a:solidFill>
              <a:prstDash val="sysDot"/>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Sheet1!$B$4:$AA$4</c:f>
              <c:numCache>
                <c:formatCode>0.0</c:formatCode>
                <c:ptCount val="26"/>
                <c:pt idx="0">
                  <c:v>99.394952631159939</c:v>
                </c:pt>
                <c:pt idx="1">
                  <c:v>98.980972852478814</c:v>
                </c:pt>
                <c:pt idx="2">
                  <c:v>98.519226176259849</c:v>
                </c:pt>
                <c:pt idx="3">
                  <c:v>97.930101106598997</c:v>
                </c:pt>
                <c:pt idx="4">
                  <c:v>97.961945704959803</c:v>
                </c:pt>
                <c:pt idx="5">
                  <c:v>97.770878114798478</c:v>
                </c:pt>
                <c:pt idx="6">
                  <c:v>98.598837672159007</c:v>
                </c:pt>
                <c:pt idx="7">
                  <c:v>98.511265026669847</c:v>
                </c:pt>
                <c:pt idx="8">
                  <c:v>98.336119735689778</c:v>
                </c:pt>
                <c:pt idx="9">
                  <c:v>98.256508239789142</c:v>
                </c:pt>
                <c:pt idx="10">
                  <c:v>98.009712602498965</c:v>
                </c:pt>
                <c:pt idx="11">
                  <c:v>98.129129846349812</c:v>
                </c:pt>
                <c:pt idx="12" formatCode="General">
                  <c:v>98.407770081999843</c:v>
                </c:pt>
                <c:pt idx="13" formatCode="General">
                  <c:v>98.662526868879851</c:v>
                </c:pt>
                <c:pt idx="14" formatCode="General">
                  <c:v>99.880582756149138</c:v>
                </c:pt>
                <c:pt idx="15" formatCode="General">
                  <c:v>100.38213518032001</c:v>
                </c:pt>
                <c:pt idx="16" formatCode="General">
                  <c:v>100.66873656555913</c:v>
                </c:pt>
                <c:pt idx="17">
                  <c:v>101.06679404506009</c:v>
                </c:pt>
                <c:pt idx="18">
                  <c:v>101.31358968235052</c:v>
                </c:pt>
                <c:pt idx="19">
                  <c:v>101.28174508399009</c:v>
                </c:pt>
                <c:pt idx="20">
                  <c:v>102.06989889339955</c:v>
                </c:pt>
                <c:pt idx="21">
                  <c:v>102.6351405142895</c:v>
                </c:pt>
                <c:pt idx="22">
                  <c:v>102.95358649789024</c:v>
                </c:pt>
                <c:pt idx="23">
                  <c:v>103.4471777724703</c:v>
                </c:pt>
                <c:pt idx="24">
                  <c:v>103.42329432370029</c:v>
                </c:pt>
                <c:pt idx="25">
                  <c:v>104.11591433803035</c:v>
                </c:pt>
              </c:numCache>
            </c:numRef>
          </c:val>
          <c:smooth val="1"/>
        </c:ser>
        <c:ser>
          <c:idx val="2"/>
          <c:order val="2"/>
          <c:tx>
            <c:strRef>
              <c:f>Sheet1!$A$5</c:f>
              <c:strCache>
                <c:ptCount val="1"/>
                <c:pt idx="0">
                  <c:v>LV</c:v>
                </c:pt>
              </c:strCache>
            </c:strRef>
          </c:tx>
          <c:spPr>
            <a:ln w="34925">
              <a:solidFill>
                <a:srgbClr val="0070C0"/>
              </a:solidFill>
              <a:prstDash val="solid"/>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Sheet1!$B$5:$AA$5</c:f>
              <c:numCache>
                <c:formatCode>0.0</c:formatCode>
                <c:ptCount val="26"/>
                <c:pt idx="0">
                  <c:v>102.14757309729374</c:v>
                </c:pt>
                <c:pt idx="1">
                  <c:v>103.25038090401219</c:v>
                </c:pt>
                <c:pt idx="2">
                  <c:v>103.32293404919101</c:v>
                </c:pt>
                <c:pt idx="3">
                  <c:v>102.96016832329678</c:v>
                </c:pt>
                <c:pt idx="4">
                  <c:v>102.5466153957782</c:v>
                </c:pt>
                <c:pt idx="5">
                  <c:v>102.01697743597184</c:v>
                </c:pt>
                <c:pt idx="6">
                  <c:v>101.36399912936272</c:v>
                </c:pt>
                <c:pt idx="7">
                  <c:v>100.35551041137632</c:v>
                </c:pt>
                <c:pt idx="8">
                  <c:v>100.06529783066043</c:v>
                </c:pt>
                <c:pt idx="9">
                  <c:v>99.804106508017227</c:v>
                </c:pt>
                <c:pt idx="10">
                  <c:v>99.10759631430021</c:v>
                </c:pt>
                <c:pt idx="11">
                  <c:v>98.628745556118787</c:v>
                </c:pt>
                <c:pt idx="12" formatCode="General">
                  <c:v>98.78836247551331</c:v>
                </c:pt>
                <c:pt idx="13" formatCode="General">
                  <c:v>98.759341217440948</c:v>
                </c:pt>
                <c:pt idx="14" formatCode="General">
                  <c:v>99.216426032068512</c:v>
                </c:pt>
                <c:pt idx="15" formatCode="General">
                  <c:v>100.06529783066046</c:v>
                </c:pt>
                <c:pt idx="16" formatCode="General">
                  <c:v>100.03627657258853</c:v>
                </c:pt>
                <c:pt idx="17">
                  <c:v>100.4208082420373</c:v>
                </c:pt>
                <c:pt idx="18">
                  <c:v>100.63121236305595</c:v>
                </c:pt>
                <c:pt idx="19">
                  <c:v>99.920191540303293</c:v>
                </c:pt>
                <c:pt idx="20">
                  <c:v>100.34825509685847</c:v>
                </c:pt>
                <c:pt idx="21">
                  <c:v>100.66748893564537</c:v>
                </c:pt>
                <c:pt idx="22">
                  <c:v>100.84161648407553</c:v>
                </c:pt>
                <c:pt idx="23">
                  <c:v>100.99397808895016</c:v>
                </c:pt>
                <c:pt idx="24">
                  <c:v>102.2709134440983</c:v>
                </c:pt>
                <c:pt idx="25">
                  <c:v>102.55387071029465</c:v>
                </c:pt>
              </c:numCache>
            </c:numRef>
          </c:val>
          <c:smooth val="1"/>
        </c:ser>
        <c:ser>
          <c:idx val="3"/>
          <c:order val="3"/>
          <c:tx>
            <c:strRef>
              <c:f>Sheet1!$A$6</c:f>
              <c:strCache>
                <c:ptCount val="1"/>
                <c:pt idx="0">
                  <c:v>LT</c:v>
                </c:pt>
              </c:strCache>
            </c:strRef>
          </c:tx>
          <c:spPr>
            <a:ln w="15875">
              <a:solidFill>
                <a:sysClr val="windowText" lastClr="000000"/>
              </a:solidFill>
              <a:prstDash val="dash"/>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Sheet1!$B$6:$AA$6</c:f>
              <c:numCache>
                <c:formatCode>0.0</c:formatCode>
                <c:ptCount val="26"/>
                <c:pt idx="0">
                  <c:v>102.62692802056515</c:v>
                </c:pt>
                <c:pt idx="1">
                  <c:v>102.93219794344471</c:v>
                </c:pt>
                <c:pt idx="2">
                  <c:v>102.93219794344471</c:v>
                </c:pt>
                <c:pt idx="3">
                  <c:v>102.84383033419005</c:v>
                </c:pt>
                <c:pt idx="4">
                  <c:v>102.65906169665762</c:v>
                </c:pt>
                <c:pt idx="5">
                  <c:v>102.32165809768586</c:v>
                </c:pt>
                <c:pt idx="6">
                  <c:v>101.51831619537276</c:v>
                </c:pt>
                <c:pt idx="7">
                  <c:v>101.28534704370099</c:v>
                </c:pt>
                <c:pt idx="8">
                  <c:v>101.87178663239018</c:v>
                </c:pt>
                <c:pt idx="9">
                  <c:v>101.45404884318765</c:v>
                </c:pt>
                <c:pt idx="10">
                  <c:v>101.50224935732645</c:v>
                </c:pt>
                <c:pt idx="11">
                  <c:v>101.1728791773773</c:v>
                </c:pt>
                <c:pt idx="12" formatCode="General">
                  <c:v>102.36182519280204</c:v>
                </c:pt>
                <c:pt idx="13" formatCode="General">
                  <c:v>102.27345758354754</c:v>
                </c:pt>
                <c:pt idx="14" formatCode="General">
                  <c:v>102.56266066838093</c:v>
                </c:pt>
                <c:pt idx="15" formatCode="General">
                  <c:v>103.01253213367522</c:v>
                </c:pt>
                <c:pt idx="16" formatCode="General">
                  <c:v>103.22140102827782</c:v>
                </c:pt>
                <c:pt idx="17">
                  <c:v>103.25353470437022</c:v>
                </c:pt>
                <c:pt idx="18">
                  <c:v>103.29370179948585</c:v>
                </c:pt>
                <c:pt idx="19">
                  <c:v>103.06073264781485</c:v>
                </c:pt>
                <c:pt idx="20">
                  <c:v>103.67930591259525</c:v>
                </c:pt>
                <c:pt idx="21">
                  <c:v>104.08901028277631</c:v>
                </c:pt>
                <c:pt idx="22">
                  <c:v>104.04884318766065</c:v>
                </c:pt>
                <c:pt idx="23">
                  <c:v>104.84415167095112</c:v>
                </c:pt>
                <c:pt idx="24">
                  <c:v>105.27795629820049</c:v>
                </c:pt>
                <c:pt idx="25">
                  <c:v>105.35829048843181</c:v>
                </c:pt>
              </c:numCache>
            </c:numRef>
          </c:val>
        </c:ser>
        <c:marker val="1"/>
        <c:axId val="276569472"/>
        <c:axId val="276575360"/>
      </c:lineChart>
      <c:catAx>
        <c:axId val="27656947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6575360"/>
        <c:crosses val="autoZero"/>
        <c:auto val="1"/>
        <c:lblAlgn val="ctr"/>
        <c:lblOffset val="0"/>
        <c:tickMarkSkip val="1"/>
        <c:noMultiLvlLbl val="1"/>
      </c:catAx>
      <c:valAx>
        <c:axId val="276575360"/>
        <c:scaling>
          <c:orientation val="minMax"/>
          <c:max val="107"/>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6569472"/>
        <c:crosses val="autoZero"/>
        <c:crossBetween val="between"/>
        <c:majorUnit val="2"/>
      </c:valAx>
      <c:spPr>
        <a:noFill/>
        <a:ln w="6350">
          <a:solidFill>
            <a:sysClr val="window" lastClr="FFFFFF">
              <a:lumMod val="75000"/>
            </a:sysClr>
          </a:solidFill>
        </a:ln>
      </c:spPr>
    </c:plotArea>
    <c:legend>
      <c:legendPos val="b"/>
      <c:layout>
        <c:manualLayout>
          <c:xMode val="edge"/>
          <c:yMode val="edge"/>
          <c:x val="0.44064907563647243"/>
          <c:y val="0.65435609744918477"/>
          <c:w val="0.52573537463576969"/>
          <c:h val="0.11415545799954258"/>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4545"/>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Sheet1!$B$3:$AA$3</c:f>
              <c:numCache>
                <c:formatCode>0.0</c:formatCode>
                <c:ptCount val="26"/>
                <c:pt idx="0">
                  <c:v>100.59612518628913</c:v>
                </c:pt>
                <c:pt idx="1">
                  <c:v>100.90295432629087</c:v>
                </c:pt>
                <c:pt idx="2">
                  <c:v>100.95555360743403</c:v>
                </c:pt>
                <c:pt idx="3">
                  <c:v>101.01691943543437</c:v>
                </c:pt>
                <c:pt idx="4">
                  <c:v>101.20978346629262</c:v>
                </c:pt>
                <c:pt idx="5">
                  <c:v>101.04321907600612</c:v>
                </c:pt>
                <c:pt idx="6">
                  <c:v>100.67502410800337</c:v>
                </c:pt>
                <c:pt idx="7">
                  <c:v>100.1753309371429</c:v>
                </c:pt>
                <c:pt idx="8">
                  <c:v>100.09643201542826</c:v>
                </c:pt>
                <c:pt idx="9">
                  <c:v>100.24546331200141</c:v>
                </c:pt>
                <c:pt idx="10">
                  <c:v>100.54352590514686</c:v>
                </c:pt>
                <c:pt idx="11">
                  <c:v>100.78022267029066</c:v>
                </c:pt>
                <c:pt idx="12" formatCode="General">
                  <c:v>101.63934426229508</c:v>
                </c:pt>
                <c:pt idx="13" formatCode="General">
                  <c:v>101.84097484001052</c:v>
                </c:pt>
                <c:pt idx="14" formatCode="General">
                  <c:v>102.24423599544187</c:v>
                </c:pt>
                <c:pt idx="15" formatCode="General">
                  <c:v>102.68256333830101</c:v>
                </c:pt>
                <c:pt idx="16" formatCode="General">
                  <c:v>102.63873060401505</c:v>
                </c:pt>
                <c:pt idx="17">
                  <c:v>102.7088629788726</c:v>
                </c:pt>
                <c:pt idx="18">
                  <c:v>102.88419391601647</c:v>
                </c:pt>
                <c:pt idx="19">
                  <c:v>102.69132988515832</c:v>
                </c:pt>
                <c:pt idx="20">
                  <c:v>102.8403611817305</c:v>
                </c:pt>
                <c:pt idx="21">
                  <c:v>103.14719032173232</c:v>
                </c:pt>
                <c:pt idx="22">
                  <c:v>103.69948277373487</c:v>
                </c:pt>
                <c:pt idx="23">
                  <c:v>104.21670903830979</c:v>
                </c:pt>
                <c:pt idx="24">
                  <c:v>104.88296659945593</c:v>
                </c:pt>
                <c:pt idx="25">
                  <c:v>105.40895941088802</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Sheet1!$B$4:$AA$4</c:f>
              <c:numCache>
                <c:formatCode>0.0</c:formatCode>
                <c:ptCount val="26"/>
                <c:pt idx="0">
                  <c:v>100.06003301816</c:v>
                </c:pt>
                <c:pt idx="1">
                  <c:v>99.452198709290116</c:v>
                </c:pt>
                <c:pt idx="2">
                  <c:v>99.197058382110171</c:v>
                </c:pt>
                <c:pt idx="3">
                  <c:v>97.921356746210435</c:v>
                </c:pt>
                <c:pt idx="4">
                  <c:v>97.613687528140503</c:v>
                </c:pt>
                <c:pt idx="5">
                  <c:v>96.225423983190765</c:v>
                </c:pt>
                <c:pt idx="6">
                  <c:v>97.471109110010531</c:v>
                </c:pt>
                <c:pt idx="7">
                  <c:v>95.977787783280789</c:v>
                </c:pt>
                <c:pt idx="8">
                  <c:v>94.957226474561097</c:v>
                </c:pt>
                <c:pt idx="9">
                  <c:v>95.24988743809098</c:v>
                </c:pt>
                <c:pt idx="10">
                  <c:v>95.174846165390989</c:v>
                </c:pt>
                <c:pt idx="11">
                  <c:v>95.41497823803094</c:v>
                </c:pt>
                <c:pt idx="12" formatCode="General">
                  <c:v>96.675671619390258</c:v>
                </c:pt>
                <c:pt idx="13" formatCode="General">
                  <c:v>96.758217019360657</c:v>
                </c:pt>
                <c:pt idx="14" formatCode="General">
                  <c:v>98.356596127870318</c:v>
                </c:pt>
                <c:pt idx="15" formatCode="General">
                  <c:v>99.459702836558805</c:v>
                </c:pt>
                <c:pt idx="16" formatCode="General">
                  <c:v>99.279603782080173</c:v>
                </c:pt>
                <c:pt idx="17">
                  <c:v>99.279603782080173</c:v>
                </c:pt>
                <c:pt idx="18">
                  <c:v>100.41272699984999</c:v>
                </c:pt>
                <c:pt idx="19">
                  <c:v>99.932462854570019</c:v>
                </c:pt>
                <c:pt idx="20">
                  <c:v>101.48581719945889</c:v>
                </c:pt>
                <c:pt idx="21">
                  <c:v>103.1592375806689</c:v>
                </c:pt>
                <c:pt idx="22">
                  <c:v>104.75011256190909</c:v>
                </c:pt>
                <c:pt idx="23">
                  <c:v>105.28290559807898</c:v>
                </c:pt>
                <c:pt idx="24">
                  <c:v>105.66561608884892</c:v>
                </c:pt>
                <c:pt idx="25">
                  <c:v>107.23397868827882</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Sheet1!$B$5:$AA$5</c:f>
              <c:numCache>
                <c:formatCode>0.0</c:formatCode>
                <c:ptCount val="26"/>
                <c:pt idx="0">
                  <c:v>103.82236113824264</c:v>
                </c:pt>
                <c:pt idx="1">
                  <c:v>105.88656638666365</c:v>
                </c:pt>
                <c:pt idx="2">
                  <c:v>104.87074298365478</c:v>
                </c:pt>
                <c:pt idx="3">
                  <c:v>103.81584944976242</c:v>
                </c:pt>
                <c:pt idx="4">
                  <c:v>103.66608061470338</c:v>
                </c:pt>
                <c:pt idx="5">
                  <c:v>103.4316598293946</c:v>
                </c:pt>
                <c:pt idx="6">
                  <c:v>103.73119749951169</c:v>
                </c:pt>
                <c:pt idx="7">
                  <c:v>101.57582861235836</c:v>
                </c:pt>
                <c:pt idx="8">
                  <c:v>100.59256365175493</c:v>
                </c:pt>
                <c:pt idx="9">
                  <c:v>100.67070391352365</c:v>
                </c:pt>
                <c:pt idx="10">
                  <c:v>99.693950641401344</c:v>
                </c:pt>
                <c:pt idx="11">
                  <c:v>99.83069609949861</c:v>
                </c:pt>
                <c:pt idx="12" formatCode="General">
                  <c:v>101.41303640033892</c:v>
                </c:pt>
                <c:pt idx="13" formatCode="General">
                  <c:v>101.92094810184284</c:v>
                </c:pt>
                <c:pt idx="14" formatCode="General">
                  <c:v>102.5656052614443</c:v>
                </c:pt>
                <c:pt idx="15" formatCode="General">
                  <c:v>102.95630657029371</c:v>
                </c:pt>
                <c:pt idx="16" formatCode="General">
                  <c:v>102.8390961776383</c:v>
                </c:pt>
                <c:pt idx="17">
                  <c:v>103.26235592889239</c:v>
                </c:pt>
                <c:pt idx="18">
                  <c:v>103.90050140001352</c:v>
                </c:pt>
                <c:pt idx="19">
                  <c:v>102.34420785309631</c:v>
                </c:pt>
                <c:pt idx="20">
                  <c:v>103.23630917496908</c:v>
                </c:pt>
                <c:pt idx="21">
                  <c:v>104.31073777430441</c:v>
                </c:pt>
                <c:pt idx="22">
                  <c:v>105.24842091554342</c:v>
                </c:pt>
                <c:pt idx="23">
                  <c:v>106.36843133424414</c:v>
                </c:pt>
                <c:pt idx="24">
                  <c:v>108.47170671354999</c:v>
                </c:pt>
                <c:pt idx="25">
                  <c:v>110.00195350654425</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Sheet1!$B$6:$AA$6</c:f>
              <c:numCache>
                <c:formatCode>0.0</c:formatCode>
                <c:ptCount val="26"/>
                <c:pt idx="0">
                  <c:v>102.05619786331042</c:v>
                </c:pt>
                <c:pt idx="1">
                  <c:v>102.61232255231916</c:v>
                </c:pt>
                <c:pt idx="2">
                  <c:v>102.64890970291236</c:v>
                </c:pt>
                <c:pt idx="3">
                  <c:v>103.07332064978783</c:v>
                </c:pt>
                <c:pt idx="4">
                  <c:v>103.08063807990638</c:v>
                </c:pt>
                <c:pt idx="5">
                  <c:v>101.73423093809458</c:v>
                </c:pt>
                <c:pt idx="6">
                  <c:v>101.08297965754385</c:v>
                </c:pt>
                <c:pt idx="7">
                  <c:v>100.27074491438565</c:v>
                </c:pt>
                <c:pt idx="8">
                  <c:v>100.72442558173623</c:v>
                </c:pt>
                <c:pt idx="9">
                  <c:v>101.50007317430125</c:v>
                </c:pt>
                <c:pt idx="10">
                  <c:v>102.06351529342898</c:v>
                </c:pt>
                <c:pt idx="11">
                  <c:v>101.87326211034645</c:v>
                </c:pt>
                <c:pt idx="12" formatCode="General">
                  <c:v>103.00746377872099</c:v>
                </c:pt>
                <c:pt idx="13" formatCode="General">
                  <c:v>103.02209863895756</c:v>
                </c:pt>
                <c:pt idx="14" formatCode="General">
                  <c:v>103.40260500512242</c:v>
                </c:pt>
                <c:pt idx="15" formatCode="General">
                  <c:v>104.06849114590958</c:v>
                </c:pt>
                <c:pt idx="16" formatCode="General">
                  <c:v>104.46363237231087</c:v>
                </c:pt>
                <c:pt idx="17">
                  <c:v>104.45631494219236</c:v>
                </c:pt>
                <c:pt idx="18">
                  <c:v>104.41972779159961</c:v>
                </c:pt>
                <c:pt idx="19">
                  <c:v>104.15630030733205</c:v>
                </c:pt>
                <c:pt idx="20">
                  <c:v>105.10756622274262</c:v>
                </c:pt>
                <c:pt idx="21">
                  <c:v>105.89053124542635</c:v>
                </c:pt>
                <c:pt idx="22">
                  <c:v>106.02956241767895</c:v>
                </c:pt>
                <c:pt idx="23">
                  <c:v>107.09790721498615</c:v>
                </c:pt>
                <c:pt idx="24">
                  <c:v>108.24674374359732</c:v>
                </c:pt>
                <c:pt idx="25">
                  <c:v>109.19069222888925</c:v>
                </c:pt>
              </c:numCache>
            </c:numRef>
          </c:val>
          <c:smooth val="1"/>
        </c:ser>
        <c:marker val="1"/>
        <c:axId val="276687488"/>
        <c:axId val="276767104"/>
      </c:lineChart>
      <c:catAx>
        <c:axId val="27668748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276767104"/>
        <c:crosses val="autoZero"/>
        <c:auto val="1"/>
        <c:lblAlgn val="ctr"/>
        <c:lblOffset val="0"/>
        <c:tickLblSkip val="2"/>
        <c:tickMarkSkip val="1"/>
        <c:noMultiLvlLbl val="1"/>
      </c:catAx>
      <c:valAx>
        <c:axId val="276767104"/>
        <c:scaling>
          <c:orientation val="minMax"/>
          <c:max val="114"/>
          <c:min val="93"/>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6687488"/>
        <c:crosses val="autoZero"/>
        <c:crossBetween val="between"/>
        <c:majorUnit val="3"/>
      </c:valAx>
      <c:spPr>
        <a:noFill/>
        <a:ln w="6350">
          <a:solidFill>
            <a:sysClr val="window" lastClr="FFFFFF">
              <a:lumMod val="85000"/>
            </a:sysClr>
          </a:solidFill>
        </a:ln>
      </c:spPr>
    </c:plotArea>
    <c:legend>
      <c:legendPos val="b"/>
      <c:layout>
        <c:manualLayout>
          <c:xMode val="edge"/>
          <c:yMode val="edge"/>
          <c:x val="0.13544940181663187"/>
          <c:y val="4.1649957501715275E-2"/>
          <c:w val="0.8164130850831145"/>
          <c:h val="0.1004751773049645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4578"/>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Sheet1!$B$3:$AA$3</c:f>
              <c:numCache>
                <c:formatCode>0.0</c:formatCode>
                <c:ptCount val="26"/>
                <c:pt idx="0">
                  <c:v>99.931159108510627</c:v>
                </c:pt>
                <c:pt idx="1">
                  <c:v>100.90353670080029</c:v>
                </c:pt>
                <c:pt idx="2">
                  <c:v>99.913948885638092</c:v>
                </c:pt>
                <c:pt idx="3">
                  <c:v>100.16349711728678</c:v>
                </c:pt>
                <c:pt idx="4">
                  <c:v>100.59375268909781</c:v>
                </c:pt>
                <c:pt idx="5">
                  <c:v>102.89131744256088</c:v>
                </c:pt>
                <c:pt idx="6">
                  <c:v>101.60915583856763</c:v>
                </c:pt>
                <c:pt idx="7">
                  <c:v>103.02899922553998</c:v>
                </c:pt>
                <c:pt idx="8">
                  <c:v>102.16848808192017</c:v>
                </c:pt>
                <c:pt idx="9">
                  <c:v>101.91893985027106</c:v>
                </c:pt>
                <c:pt idx="10">
                  <c:v>103.25273212287968</c:v>
                </c:pt>
                <c:pt idx="11">
                  <c:v>102.84829188537992</c:v>
                </c:pt>
                <c:pt idx="12" formatCode="General">
                  <c:v>105.02538507873595</c:v>
                </c:pt>
                <c:pt idx="13" formatCode="General">
                  <c:v>104.99956974442867</c:v>
                </c:pt>
                <c:pt idx="14" formatCode="General">
                  <c:v>107.1508476034758</c:v>
                </c:pt>
                <c:pt idx="15" formatCode="General">
                  <c:v>108.95792100507786</c:v>
                </c:pt>
                <c:pt idx="16" formatCode="General">
                  <c:v>109.53446347130293</c:v>
                </c:pt>
                <c:pt idx="17">
                  <c:v>109.14723345667323</c:v>
                </c:pt>
                <c:pt idx="18">
                  <c:v>109.28491523965232</c:v>
                </c:pt>
                <c:pt idx="19">
                  <c:v>109.04397211943814</c:v>
                </c:pt>
                <c:pt idx="20">
                  <c:v>109.26770501677944</c:v>
                </c:pt>
                <c:pt idx="21">
                  <c:v>109.91308837449377</c:v>
                </c:pt>
                <c:pt idx="22">
                  <c:v>110.75638929524136</c:v>
                </c:pt>
                <c:pt idx="23">
                  <c:v>113.41536872902502</c:v>
                </c:pt>
                <c:pt idx="24">
                  <c:v>116.56483951467168</c:v>
                </c:pt>
                <c:pt idx="25">
                  <c:v>117.37371998967386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Sheet1!$B$4:$AA$4</c:f>
              <c:numCache>
                <c:formatCode>0.0</c:formatCode>
                <c:ptCount val="26"/>
                <c:pt idx="0">
                  <c:v>96.295274232493284</c:v>
                </c:pt>
                <c:pt idx="1">
                  <c:v>95.61917902725078</c:v>
                </c:pt>
                <c:pt idx="2">
                  <c:v>93.328734046221996</c:v>
                </c:pt>
                <c:pt idx="3">
                  <c:v>92.50776129699895</c:v>
                </c:pt>
                <c:pt idx="4">
                  <c:v>92.521559158330476</c:v>
                </c:pt>
                <c:pt idx="5">
                  <c:v>94.577440496722858</c:v>
                </c:pt>
                <c:pt idx="6">
                  <c:v>97.143842704380788</c:v>
                </c:pt>
                <c:pt idx="7">
                  <c:v>98.682304242842349</c:v>
                </c:pt>
                <c:pt idx="8">
                  <c:v>98.599517074853381</c:v>
                </c:pt>
                <c:pt idx="9">
                  <c:v>98.406347016212479</c:v>
                </c:pt>
                <c:pt idx="10">
                  <c:v>98.978958261469458</c:v>
                </c:pt>
                <c:pt idx="11">
                  <c:v>99.530872714728318</c:v>
                </c:pt>
                <c:pt idx="12" formatCode="General">
                  <c:v>102.80786478095899</c:v>
                </c:pt>
                <c:pt idx="13" formatCode="General">
                  <c:v>103.2769920662292</c:v>
                </c:pt>
                <c:pt idx="14" formatCode="General">
                  <c:v>105.54674025526043</c:v>
                </c:pt>
                <c:pt idx="15" formatCode="General">
                  <c:v>107.23007933770265</c:v>
                </c:pt>
                <c:pt idx="16" formatCode="General">
                  <c:v>108.25112107623319</c:v>
                </c:pt>
                <c:pt idx="17">
                  <c:v>108.12004139358285</c:v>
                </c:pt>
                <c:pt idx="18">
                  <c:v>107.6509141083132</c:v>
                </c:pt>
                <c:pt idx="19">
                  <c:v>107.80269058295916</c:v>
                </c:pt>
                <c:pt idx="20">
                  <c:v>108.09934460158675</c:v>
                </c:pt>
                <c:pt idx="21">
                  <c:v>108.568471886857</c:v>
                </c:pt>
                <c:pt idx="22">
                  <c:v>109.58261469472232</c:v>
                </c:pt>
                <c:pt idx="23">
                  <c:v>111.60400137978564</c:v>
                </c:pt>
                <c:pt idx="24">
                  <c:v>111.50051741979991</c:v>
                </c:pt>
                <c:pt idx="25">
                  <c:v>112.15591583304537</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Sheet1!$B$5:$AA$5</c:f>
              <c:numCache>
                <c:formatCode>0.0</c:formatCode>
                <c:ptCount val="26"/>
                <c:pt idx="0">
                  <c:v>100.54775972427426</c:v>
                </c:pt>
                <c:pt idx="1">
                  <c:v>104.09896602658785</c:v>
                </c:pt>
                <c:pt idx="2">
                  <c:v>104.49901526341779</c:v>
                </c:pt>
                <c:pt idx="3">
                  <c:v>104.54825209256524</c:v>
                </c:pt>
                <c:pt idx="4">
                  <c:v>103.24963072378138</c:v>
                </c:pt>
                <c:pt idx="5">
                  <c:v>102.75726243229937</c:v>
                </c:pt>
                <c:pt idx="6">
                  <c:v>99.993845396356448</c:v>
                </c:pt>
                <c:pt idx="7">
                  <c:v>100.48621368783944</c:v>
                </c:pt>
                <c:pt idx="8">
                  <c:v>99.93845396356474</c:v>
                </c:pt>
                <c:pt idx="9">
                  <c:v>98.621368783850258</c:v>
                </c:pt>
                <c:pt idx="10">
                  <c:v>98.886016740521299</c:v>
                </c:pt>
                <c:pt idx="11">
                  <c:v>98.110536681437722</c:v>
                </c:pt>
                <c:pt idx="12" formatCode="General">
                  <c:v>99.070654849827662</c:v>
                </c:pt>
                <c:pt idx="13" formatCode="General">
                  <c:v>99.981536189069402</c:v>
                </c:pt>
                <c:pt idx="14" formatCode="General">
                  <c:v>100.97858197932051</c:v>
                </c:pt>
                <c:pt idx="15" formatCode="General">
                  <c:v>106.07459379615948</c:v>
                </c:pt>
                <c:pt idx="16" formatCode="General">
                  <c:v>107.0716395864106</c:v>
                </c:pt>
                <c:pt idx="17">
                  <c:v>109.37346134908859</c:v>
                </c:pt>
                <c:pt idx="18">
                  <c:v>110.91826686361392</c:v>
                </c:pt>
                <c:pt idx="19">
                  <c:v>110.53668143771534</c:v>
                </c:pt>
                <c:pt idx="20">
                  <c:v>109.09034958148688</c:v>
                </c:pt>
                <c:pt idx="21">
                  <c:v>108.60413589364838</c:v>
                </c:pt>
                <c:pt idx="22">
                  <c:v>109.06573116691231</c:v>
                </c:pt>
                <c:pt idx="23">
                  <c:v>110.85056622353515</c:v>
                </c:pt>
                <c:pt idx="24">
                  <c:v>114.76489414081783</c:v>
                </c:pt>
                <c:pt idx="25">
                  <c:v>114.61718365337333</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Sheet1!$B$6:$AA$6</c:f>
              <c:numCache>
                <c:formatCode>0.0</c:formatCode>
                <c:ptCount val="26"/>
                <c:pt idx="0">
                  <c:v>109.24761411555819</c:v>
                </c:pt>
                <c:pt idx="1">
                  <c:v>109.54353776725607</c:v>
                </c:pt>
                <c:pt idx="2">
                  <c:v>109.15143892875567</c:v>
                </c:pt>
                <c:pt idx="3">
                  <c:v>109.09225419841685</c:v>
                </c:pt>
                <c:pt idx="4">
                  <c:v>110.35732780942448</c:v>
                </c:pt>
                <c:pt idx="5">
                  <c:v>111.91832507213141</c:v>
                </c:pt>
                <c:pt idx="6">
                  <c:v>108.5965820818229</c:v>
                </c:pt>
                <c:pt idx="7">
                  <c:v>109.70629577568987</c:v>
                </c:pt>
                <c:pt idx="8">
                  <c:v>109.2180217503884</c:v>
                </c:pt>
                <c:pt idx="9">
                  <c:v>104.64600133165578</c:v>
                </c:pt>
                <c:pt idx="10">
                  <c:v>104.96411925723226</c:v>
                </c:pt>
                <c:pt idx="11">
                  <c:v>104.98631353110899</c:v>
                </c:pt>
                <c:pt idx="12" formatCode="General">
                  <c:v>113.71606125619594</c:v>
                </c:pt>
                <c:pt idx="13" formatCode="General">
                  <c:v>115.47680698379821</c:v>
                </c:pt>
                <c:pt idx="14" formatCode="General">
                  <c:v>116.48294739957095</c:v>
                </c:pt>
                <c:pt idx="15" formatCode="General">
                  <c:v>118.48043204853104</c:v>
                </c:pt>
                <c:pt idx="16" formatCode="General">
                  <c:v>119.39779536879485</c:v>
                </c:pt>
                <c:pt idx="17">
                  <c:v>119.33861063845531</c:v>
                </c:pt>
                <c:pt idx="18">
                  <c:v>121.42487238292505</c:v>
                </c:pt>
                <c:pt idx="19">
                  <c:v>121.25471628319899</c:v>
                </c:pt>
                <c:pt idx="20">
                  <c:v>121.26211437449138</c:v>
                </c:pt>
                <c:pt idx="21">
                  <c:v>122.36442997706602</c:v>
                </c:pt>
                <c:pt idx="22">
                  <c:v>121.87615595176445</c:v>
                </c:pt>
                <c:pt idx="23">
                  <c:v>125.70836724125178</c:v>
                </c:pt>
                <c:pt idx="24">
                  <c:v>128.28290301102416</c:v>
                </c:pt>
                <c:pt idx="25">
                  <c:v>128.56403048013621</c:v>
                </c:pt>
              </c:numCache>
            </c:numRef>
          </c:val>
          <c:smooth val="1"/>
        </c:ser>
        <c:marker val="1"/>
        <c:axId val="276629376"/>
        <c:axId val="276630912"/>
      </c:lineChart>
      <c:catAx>
        <c:axId val="27662937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276630912"/>
        <c:crosses val="autoZero"/>
        <c:auto val="1"/>
        <c:lblAlgn val="ctr"/>
        <c:lblOffset val="0"/>
        <c:tickLblSkip val="2"/>
        <c:tickMarkSkip val="1"/>
        <c:noMultiLvlLbl val="1"/>
      </c:catAx>
      <c:valAx>
        <c:axId val="276630912"/>
        <c:scaling>
          <c:orientation val="minMax"/>
          <c:max val="140"/>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6629376"/>
        <c:crosses val="autoZero"/>
        <c:crossBetween val="between"/>
      </c:valAx>
      <c:spPr>
        <a:noFill/>
        <a:ln w="6350">
          <a:solidFill>
            <a:sysClr val="window" lastClr="FFFFFF">
              <a:lumMod val="75000"/>
            </a:sysClr>
          </a:solidFill>
        </a:ln>
      </c:spPr>
    </c:plotArea>
    <c:legend>
      <c:legendPos val="b"/>
      <c:layout>
        <c:manualLayout>
          <c:xMode val="edge"/>
          <c:yMode val="edge"/>
          <c:x val="0.10506753062117249"/>
          <c:y val="4.9156028368794326E-2"/>
          <c:w val="0.83811447397200345"/>
          <c:h val="0.10798108747044922"/>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4578"/>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Sheet1!$B$3:$AA$3</c:f>
              <c:numCache>
                <c:formatCode>0.0</c:formatCode>
                <c:ptCount val="26"/>
                <c:pt idx="0">
                  <c:v>99.781917310313503</c:v>
                </c:pt>
                <c:pt idx="1">
                  <c:v>100.2180826896865</c:v>
                </c:pt>
                <c:pt idx="2">
                  <c:v>100.22716946842372</c:v>
                </c:pt>
                <c:pt idx="3">
                  <c:v>100.61790095411176</c:v>
                </c:pt>
                <c:pt idx="4">
                  <c:v>100.75420263516592</c:v>
                </c:pt>
                <c:pt idx="5">
                  <c:v>100.89959109495685</c:v>
                </c:pt>
                <c:pt idx="6">
                  <c:v>101.68105406633349</c:v>
                </c:pt>
                <c:pt idx="7">
                  <c:v>101.91731031349345</c:v>
                </c:pt>
                <c:pt idx="8">
                  <c:v>101.28123580190822</c:v>
                </c:pt>
                <c:pt idx="9">
                  <c:v>101.3721035892781</c:v>
                </c:pt>
                <c:pt idx="10">
                  <c:v>101.19036801453807</c:v>
                </c:pt>
                <c:pt idx="11">
                  <c:v>101.92639709223045</c:v>
                </c:pt>
                <c:pt idx="12" formatCode="General">
                  <c:v>101.59018627896411</c:v>
                </c:pt>
                <c:pt idx="13" formatCode="General">
                  <c:v>101.96274420717856</c:v>
                </c:pt>
                <c:pt idx="14" formatCode="General">
                  <c:v>102.14447978191818</c:v>
                </c:pt>
                <c:pt idx="15" formatCode="General">
                  <c:v>102.271694684235</c:v>
                </c:pt>
                <c:pt idx="16" formatCode="General">
                  <c:v>102.43525670149934</c:v>
                </c:pt>
                <c:pt idx="17">
                  <c:v>102.68059972739667</c:v>
                </c:pt>
                <c:pt idx="18">
                  <c:v>103.47114947751029</c:v>
                </c:pt>
                <c:pt idx="19">
                  <c:v>103.79827351204001</c:v>
                </c:pt>
                <c:pt idx="20">
                  <c:v>103.09859154929579</c:v>
                </c:pt>
                <c:pt idx="21">
                  <c:v>103.18945933666434</c:v>
                </c:pt>
                <c:pt idx="22">
                  <c:v>102.96228986824192</c:v>
                </c:pt>
                <c:pt idx="23">
                  <c:v>103.72557928214451</c:v>
                </c:pt>
                <c:pt idx="24">
                  <c:v>103.57110404361656</c:v>
                </c:pt>
                <c:pt idx="25">
                  <c:v>104.07087687414766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Sheet1!$B$4:$AA$4</c:f>
              <c:numCache>
                <c:formatCode>0.0</c:formatCode>
                <c:ptCount val="26"/>
                <c:pt idx="0">
                  <c:v>100.18537112844562</c:v>
                </c:pt>
                <c:pt idx="1">
                  <c:v>99.436162817641119</c:v>
                </c:pt>
                <c:pt idx="2">
                  <c:v>99.389820035528871</c:v>
                </c:pt>
                <c:pt idx="3">
                  <c:v>98.98045879354288</c:v>
                </c:pt>
                <c:pt idx="4">
                  <c:v>99.304858268324679</c:v>
                </c:pt>
                <c:pt idx="5">
                  <c:v>99.389820035528857</c:v>
                </c:pt>
                <c:pt idx="6">
                  <c:v>100.14675214335308</c:v>
                </c:pt>
                <c:pt idx="7">
                  <c:v>100.04634278211165</c:v>
                </c:pt>
                <c:pt idx="8">
                  <c:v>99.482505599752812</c:v>
                </c:pt>
                <c:pt idx="9">
                  <c:v>98.941839808449799</c:v>
                </c:pt>
                <c:pt idx="10">
                  <c:v>98.123117324476027</c:v>
                </c:pt>
                <c:pt idx="11">
                  <c:v>98.192631497644058</c:v>
                </c:pt>
                <c:pt idx="12" formatCode="General">
                  <c:v>97.304394840503548</c:v>
                </c:pt>
                <c:pt idx="13" formatCode="General">
                  <c:v>97.574727736154173</c:v>
                </c:pt>
                <c:pt idx="14" formatCode="General">
                  <c:v>98.663783115778955</c:v>
                </c:pt>
                <c:pt idx="15" formatCode="General">
                  <c:v>98.378002626090108</c:v>
                </c:pt>
                <c:pt idx="16" formatCode="General">
                  <c:v>98.934116011431186</c:v>
                </c:pt>
                <c:pt idx="17">
                  <c:v>100.41708503900563</c:v>
                </c:pt>
                <c:pt idx="18">
                  <c:v>101.14312195875488</c:v>
                </c:pt>
                <c:pt idx="19">
                  <c:v>101.21263613192241</c:v>
                </c:pt>
                <c:pt idx="20">
                  <c:v>100.73376071676815</c:v>
                </c:pt>
                <c:pt idx="21">
                  <c:v>100.57928477639605</c:v>
                </c:pt>
                <c:pt idx="22">
                  <c:v>99.490229396771497</c:v>
                </c:pt>
                <c:pt idx="23">
                  <c:v>99.575191163976058</c:v>
                </c:pt>
                <c:pt idx="24">
                  <c:v>99.930485826832438</c:v>
                </c:pt>
                <c:pt idx="25">
                  <c:v>100.25488530161425</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Sheet1!$B$5:$AA$5</c:f>
              <c:numCache>
                <c:formatCode>0.0</c:formatCode>
                <c:ptCount val="26"/>
                <c:pt idx="0">
                  <c:v>102.09668431317915</c:v>
                </c:pt>
                <c:pt idx="1">
                  <c:v>102.73056561716356</c:v>
                </c:pt>
                <c:pt idx="2">
                  <c:v>103.29478963499582</c:v>
                </c:pt>
                <c:pt idx="3">
                  <c:v>102.73056561716356</c:v>
                </c:pt>
                <c:pt idx="4">
                  <c:v>102.66090833101094</c:v>
                </c:pt>
                <c:pt idx="5">
                  <c:v>102.2708275285589</c:v>
                </c:pt>
                <c:pt idx="6">
                  <c:v>101.85288381164597</c:v>
                </c:pt>
                <c:pt idx="7">
                  <c:v>101.46976873780955</c:v>
                </c:pt>
                <c:pt idx="8">
                  <c:v>100.38311507383671</c:v>
                </c:pt>
                <c:pt idx="9">
                  <c:v>99.54026191139647</c:v>
                </c:pt>
                <c:pt idx="10">
                  <c:v>98.592922819726198</c:v>
                </c:pt>
                <c:pt idx="11">
                  <c:v>98.056561716355489</c:v>
                </c:pt>
                <c:pt idx="12" formatCode="General">
                  <c:v>97.52716634159934</c:v>
                </c:pt>
                <c:pt idx="13" formatCode="General">
                  <c:v>97.157982724993019</c:v>
                </c:pt>
                <c:pt idx="14" formatCode="General">
                  <c:v>97.025633881304003</c:v>
                </c:pt>
                <c:pt idx="15" formatCode="General">
                  <c:v>96.628587350235975</c:v>
                </c:pt>
                <c:pt idx="16" formatCode="General">
                  <c:v>96.698244636388978</c:v>
                </c:pt>
                <c:pt idx="17">
                  <c:v>96.740039008080274</c:v>
                </c:pt>
                <c:pt idx="18">
                  <c:v>96.851490665923663</c:v>
                </c:pt>
                <c:pt idx="19">
                  <c:v>96.823627751462809</c:v>
                </c:pt>
                <c:pt idx="20">
                  <c:v>96.7679019225411</c:v>
                </c:pt>
                <c:pt idx="21">
                  <c:v>96.294232376706589</c:v>
                </c:pt>
                <c:pt idx="22">
                  <c:v>95.904151574254684</c:v>
                </c:pt>
                <c:pt idx="23">
                  <c:v>95.95987740317635</c:v>
                </c:pt>
                <c:pt idx="24">
                  <c:v>96.419615491781045</c:v>
                </c:pt>
                <c:pt idx="25">
                  <c:v>96.628587350235975</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Sheet1!$B$6:$AA$6</c:f>
              <c:numCache>
                <c:formatCode>0.0</c:formatCode>
                <c:ptCount val="26"/>
                <c:pt idx="0">
                  <c:v>101.80463830440785</c:v>
                </c:pt>
                <c:pt idx="1">
                  <c:v>102.29611426816214</c:v>
                </c:pt>
                <c:pt idx="2">
                  <c:v>102.26539702042612</c:v>
                </c:pt>
                <c:pt idx="3">
                  <c:v>102.30379358009523</c:v>
                </c:pt>
                <c:pt idx="4">
                  <c:v>101.76624174473969</c:v>
                </c:pt>
                <c:pt idx="5">
                  <c:v>102.13484871755375</c:v>
                </c:pt>
                <c:pt idx="6">
                  <c:v>102.35754876363075</c:v>
                </c:pt>
                <c:pt idx="7">
                  <c:v>102.53417293810475</c:v>
                </c:pt>
                <c:pt idx="8">
                  <c:v>102.62632468130906</c:v>
                </c:pt>
                <c:pt idx="9">
                  <c:v>101.75088312087237</c:v>
                </c:pt>
                <c:pt idx="10">
                  <c:v>101.0290277991092</c:v>
                </c:pt>
                <c:pt idx="11">
                  <c:v>101.06742435877796</c:v>
                </c:pt>
                <c:pt idx="12" formatCode="General">
                  <c:v>100.76793119336509</c:v>
                </c:pt>
                <c:pt idx="13" formatCode="General">
                  <c:v>100.33788972508064</c:v>
                </c:pt>
                <c:pt idx="14" formatCode="General">
                  <c:v>100.26877591767735</c:v>
                </c:pt>
                <c:pt idx="15" formatCode="General">
                  <c:v>100.12286899093795</c:v>
                </c:pt>
                <c:pt idx="16" formatCode="General">
                  <c:v>100.22270004607545</c:v>
                </c:pt>
                <c:pt idx="17">
                  <c:v>100.46843802795235</c:v>
                </c:pt>
                <c:pt idx="18">
                  <c:v>100.83704500076794</c:v>
                </c:pt>
                <c:pt idx="19">
                  <c:v>101.05206573491016</c:v>
                </c:pt>
                <c:pt idx="20">
                  <c:v>100.82168637690035</c:v>
                </c:pt>
                <c:pt idx="21">
                  <c:v>100.19198279834127</c:v>
                </c:pt>
                <c:pt idx="22">
                  <c:v>100.12286899093795</c:v>
                </c:pt>
                <c:pt idx="23">
                  <c:v>100.43004146828446</c:v>
                </c:pt>
                <c:pt idx="24">
                  <c:v>100.56826908309067</c:v>
                </c:pt>
                <c:pt idx="25">
                  <c:v>100.49915527568781</c:v>
                </c:pt>
              </c:numCache>
            </c:numRef>
          </c:val>
          <c:smooth val="1"/>
        </c:ser>
        <c:marker val="1"/>
        <c:axId val="276911232"/>
        <c:axId val="276912768"/>
      </c:lineChart>
      <c:catAx>
        <c:axId val="27691123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276912768"/>
        <c:crosses val="autoZero"/>
        <c:auto val="1"/>
        <c:lblAlgn val="ctr"/>
        <c:lblOffset val="0"/>
        <c:tickLblSkip val="2"/>
        <c:tickMarkSkip val="1"/>
        <c:noMultiLvlLbl val="1"/>
      </c:catAx>
      <c:valAx>
        <c:axId val="276912768"/>
        <c:scaling>
          <c:orientation val="minMax"/>
          <c:max val="106"/>
          <c:min val="9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6911232"/>
        <c:crosses val="autoZero"/>
        <c:crossBetween val="between"/>
        <c:majorUnit val="2"/>
      </c:valAx>
      <c:spPr>
        <a:noFill/>
        <a:ln w="6350">
          <a:solidFill>
            <a:sysClr val="window" lastClr="FFFFFF">
              <a:lumMod val="85000"/>
            </a:sysClr>
          </a:solidFill>
        </a:ln>
      </c:spPr>
    </c:plotArea>
    <c:legend>
      <c:legendPos val="b"/>
      <c:layout>
        <c:manualLayout>
          <c:xMode val="edge"/>
          <c:yMode val="edge"/>
          <c:x val="0.13110919728783901"/>
          <c:y val="0.66464066193854821"/>
          <c:w val="0.80339225174978124"/>
          <c:h val="0.1004751773049645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46"/>
        </c:manualLayout>
      </c:layout>
      <c:lineChart>
        <c:grouping val="standard"/>
        <c:ser>
          <c:idx val="1"/>
          <c:order val="0"/>
          <c:tx>
            <c:strRef>
              <c:f>Sheet1!$A$4</c:f>
              <c:strCache>
                <c:ptCount val="1"/>
                <c:pt idx="0">
                  <c:v>EE</c:v>
                </c:pt>
              </c:strCache>
            </c:strRef>
          </c:tx>
          <c:spPr>
            <a:ln w="9525">
              <a:solidFill>
                <a:srgbClr val="000000"/>
              </a:solidFill>
              <a:prstDash val="solid"/>
            </a:ln>
          </c:spPr>
          <c:marker>
            <c:symbol val="none"/>
          </c:marker>
          <c:cat>
            <c:multiLvlStrRef>
              <c:f>Sheet1!$B$1:$AA$3</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Sheet1!$B$4:$AA$4</c:f>
              <c:numCache>
                <c:formatCode>0.0</c:formatCode>
                <c:ptCount val="26"/>
                <c:pt idx="0">
                  <c:v>101.5426098952787</c:v>
                </c:pt>
                <c:pt idx="1">
                  <c:v>99.266319683953327</c:v>
                </c:pt>
                <c:pt idx="2">
                  <c:v>96.325327647833419</c:v>
                </c:pt>
                <c:pt idx="3">
                  <c:v>94.431554524362781</c:v>
                </c:pt>
                <c:pt idx="4">
                  <c:v>93.516021822286348</c:v>
                </c:pt>
                <c:pt idx="5">
                  <c:v>94.143099015488758</c:v>
                </c:pt>
                <c:pt idx="6">
                  <c:v>96.745469367279227</c:v>
                </c:pt>
                <c:pt idx="7">
                  <c:v>96.4444723145414</c:v>
                </c:pt>
                <c:pt idx="8">
                  <c:v>97.027654104220233</c:v>
                </c:pt>
                <c:pt idx="9">
                  <c:v>97.215777262180154</c:v>
                </c:pt>
                <c:pt idx="10">
                  <c:v>97.146798770928157</c:v>
                </c:pt>
                <c:pt idx="11">
                  <c:v>97.284755753433188</c:v>
                </c:pt>
                <c:pt idx="12" formatCode="General">
                  <c:v>98.5639932275663</c:v>
                </c:pt>
                <c:pt idx="13" formatCode="General">
                  <c:v>98.777199473255166</c:v>
                </c:pt>
                <c:pt idx="14" formatCode="General">
                  <c:v>100.5894525616103</c:v>
                </c:pt>
                <c:pt idx="15" formatCode="General">
                  <c:v>100.84655421082333</c:v>
                </c:pt>
                <c:pt idx="16" formatCode="General">
                  <c:v>102.08189628143222</c:v>
                </c:pt>
                <c:pt idx="17">
                  <c:v>102.98488743964379</c:v>
                </c:pt>
                <c:pt idx="18">
                  <c:v>103.11030287828343</c:v>
                </c:pt>
                <c:pt idx="19">
                  <c:v>103.27961372044896</c:v>
                </c:pt>
                <c:pt idx="20">
                  <c:v>104.00702326456422</c:v>
                </c:pt>
                <c:pt idx="21">
                  <c:v>103.67467235216557</c:v>
                </c:pt>
                <c:pt idx="22">
                  <c:v>104.27039568570892</c:v>
                </c:pt>
                <c:pt idx="23">
                  <c:v>104.22022951025272</c:v>
                </c:pt>
                <c:pt idx="24">
                  <c:v>102.8281181413432</c:v>
                </c:pt>
                <c:pt idx="25">
                  <c:v>102.67134884304203</c:v>
                </c:pt>
              </c:numCache>
            </c:numRef>
          </c:val>
          <c:smooth val="1"/>
        </c:ser>
        <c:ser>
          <c:idx val="0"/>
          <c:order val="1"/>
          <c:tx>
            <c:strRef>
              <c:f>Sheet1!$A$5</c:f>
              <c:strCache>
                <c:ptCount val="1"/>
                <c:pt idx="0">
                  <c:v>LV</c:v>
                </c:pt>
              </c:strCache>
            </c:strRef>
          </c:tx>
          <c:spPr>
            <a:ln w="12700">
              <a:solidFill>
                <a:srgbClr val="000000"/>
              </a:solidFill>
              <a:prstDash val="sysDot"/>
            </a:ln>
          </c:spPr>
          <c:marker>
            <c:symbol val="none"/>
          </c:marker>
          <c:cat>
            <c:multiLvlStrRef>
              <c:f>Sheet1!$B$1:$AA$3</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Sheet1!$B$5:$AA$5</c:f>
              <c:numCache>
                <c:formatCode>0.0</c:formatCode>
                <c:ptCount val="26"/>
                <c:pt idx="0">
                  <c:v>105.81643002028395</c:v>
                </c:pt>
                <c:pt idx="1">
                  <c:v>105.64401622718054</c:v>
                </c:pt>
                <c:pt idx="2">
                  <c:v>107.84989858012165</c:v>
                </c:pt>
                <c:pt idx="3">
                  <c:v>107.95638945233264</c:v>
                </c:pt>
                <c:pt idx="4">
                  <c:v>104.98985801217025</c:v>
                </c:pt>
                <c:pt idx="5">
                  <c:v>102.26166328600485</c:v>
                </c:pt>
                <c:pt idx="6">
                  <c:v>99.939148073022309</c:v>
                </c:pt>
                <c:pt idx="7">
                  <c:v>99.94421906693826</c:v>
                </c:pt>
                <c:pt idx="8">
                  <c:v>99.721095334685558</c:v>
                </c:pt>
                <c:pt idx="9">
                  <c:v>99.421906693711961</c:v>
                </c:pt>
                <c:pt idx="10">
                  <c:v>98.265720081135896</c:v>
                </c:pt>
                <c:pt idx="11">
                  <c:v>98.316430020283889</c:v>
                </c:pt>
                <c:pt idx="12" formatCode="General">
                  <c:v>98.640973630831638</c:v>
                </c:pt>
                <c:pt idx="13" formatCode="General">
                  <c:v>98.864097363083118</c:v>
                </c:pt>
                <c:pt idx="14" formatCode="General">
                  <c:v>98.990872210952958</c:v>
                </c:pt>
                <c:pt idx="15" formatCode="General">
                  <c:v>103.32150101419865</c:v>
                </c:pt>
                <c:pt idx="16" formatCode="General">
                  <c:v>104.40669371196819</c:v>
                </c:pt>
                <c:pt idx="17">
                  <c:v>107.39858012170365</c:v>
                </c:pt>
                <c:pt idx="18">
                  <c:v>109.16328600405645</c:v>
                </c:pt>
                <c:pt idx="19">
                  <c:v>109.29006085192698</c:v>
                </c:pt>
                <c:pt idx="20">
                  <c:v>107.28701825557809</c:v>
                </c:pt>
                <c:pt idx="21">
                  <c:v>106.21703853955327</c:v>
                </c:pt>
                <c:pt idx="22">
                  <c:v>106.21703853955327</c:v>
                </c:pt>
                <c:pt idx="23">
                  <c:v>106.29310344827682</c:v>
                </c:pt>
                <c:pt idx="24">
                  <c:v>108.18458417849843</c:v>
                </c:pt>
                <c:pt idx="25">
                  <c:v>107.92596348884449</c:v>
                </c:pt>
              </c:numCache>
            </c:numRef>
          </c:val>
          <c:smooth val="1"/>
        </c:ser>
        <c:ser>
          <c:idx val="2"/>
          <c:order val="2"/>
          <c:tx>
            <c:strRef>
              <c:f>Sheet1!$A$6</c:f>
              <c:strCache>
                <c:ptCount val="1"/>
                <c:pt idx="0">
                  <c:v>LT</c:v>
                </c:pt>
              </c:strCache>
            </c:strRef>
          </c:tx>
          <c:spPr>
            <a:ln>
              <a:solidFill>
                <a:srgbClr val="0070C0"/>
              </a:solidFill>
            </a:ln>
          </c:spPr>
          <c:marker>
            <c:symbol val="none"/>
          </c:marker>
          <c:cat>
            <c:multiLvlStrRef>
              <c:f>Sheet1!$B$1:$AA$3</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Sheet1!$B$6:$AA$6</c:f>
              <c:numCache>
                <c:formatCode>0.0</c:formatCode>
                <c:ptCount val="26"/>
                <c:pt idx="0">
                  <c:v>105.12145349219931</c:v>
                </c:pt>
                <c:pt idx="1">
                  <c:v>106.13521163847014</c:v>
                </c:pt>
                <c:pt idx="2">
                  <c:v>106.09571456783621</c:v>
                </c:pt>
                <c:pt idx="3">
                  <c:v>105.75998946744782</c:v>
                </c:pt>
                <c:pt idx="4">
                  <c:v>105.44401290237688</c:v>
                </c:pt>
                <c:pt idx="5">
                  <c:v>105.15436771772708</c:v>
                </c:pt>
                <c:pt idx="6">
                  <c:v>102.94253176222762</c:v>
                </c:pt>
                <c:pt idx="7">
                  <c:v>103.22559410177078</c:v>
                </c:pt>
                <c:pt idx="8">
                  <c:v>105.2531103943129</c:v>
                </c:pt>
                <c:pt idx="9">
                  <c:v>101.40214600750396</c:v>
                </c:pt>
                <c:pt idx="10">
                  <c:v>100.48713053781846</c:v>
                </c:pt>
                <c:pt idx="11">
                  <c:v>100.85576986373511</c:v>
                </c:pt>
                <c:pt idx="12" formatCode="General">
                  <c:v>107.76117437956685</c:v>
                </c:pt>
                <c:pt idx="13" formatCode="General">
                  <c:v>108.90658942795079</c:v>
                </c:pt>
                <c:pt idx="14" formatCode="General">
                  <c:v>109.22256599302219</c:v>
                </c:pt>
                <c:pt idx="15" formatCode="General">
                  <c:v>109.74261075636892</c:v>
                </c:pt>
                <c:pt idx="16" formatCode="General">
                  <c:v>110.28898690013826</c:v>
                </c:pt>
                <c:pt idx="17">
                  <c:v>110.2824040550326</c:v>
                </c:pt>
                <c:pt idx="18">
                  <c:v>111.65821868211444</c:v>
                </c:pt>
                <c:pt idx="19">
                  <c:v>111.73721282338232</c:v>
                </c:pt>
                <c:pt idx="20">
                  <c:v>111.86228688038975</c:v>
                </c:pt>
                <c:pt idx="21">
                  <c:v>112.85629649134407</c:v>
                </c:pt>
                <c:pt idx="22">
                  <c:v>112.61931406754003</c:v>
                </c:pt>
                <c:pt idx="23">
                  <c:v>113.11302745046405</c:v>
                </c:pt>
                <c:pt idx="24">
                  <c:v>113.15252452109806</c:v>
                </c:pt>
                <c:pt idx="25">
                  <c:v>113.08669607004153</c:v>
                </c:pt>
              </c:numCache>
            </c:numRef>
          </c:val>
          <c:smooth val="1"/>
        </c:ser>
        <c:marker val="1"/>
        <c:axId val="276934016"/>
        <c:axId val="276964480"/>
      </c:lineChart>
      <c:catAx>
        <c:axId val="27693401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276964480"/>
        <c:crosses val="autoZero"/>
        <c:auto val="1"/>
        <c:lblAlgn val="ctr"/>
        <c:lblOffset val="0"/>
        <c:tickLblSkip val="2"/>
        <c:tickMarkSkip val="1"/>
        <c:noMultiLvlLbl val="1"/>
      </c:catAx>
      <c:valAx>
        <c:axId val="276964480"/>
        <c:scaling>
          <c:orientation val="minMax"/>
          <c:max val="116"/>
          <c:min val="9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6934016"/>
        <c:crosses val="autoZero"/>
        <c:crossBetween val="between"/>
        <c:majorUnit val="4"/>
      </c:valAx>
      <c:spPr>
        <a:noFill/>
        <a:ln w="6350">
          <a:solidFill>
            <a:sysClr val="window" lastClr="FFFFFF">
              <a:lumMod val="75000"/>
            </a:sysClr>
          </a:solidFill>
        </a:ln>
      </c:spPr>
    </c:plotArea>
    <c:legend>
      <c:legendPos val="b"/>
      <c:layout>
        <c:manualLayout>
          <c:xMode val="edge"/>
          <c:yMode val="edge"/>
          <c:x val="0.10506753062117249"/>
          <c:y val="4.9156028368794326E-2"/>
          <c:w val="0.57769780730534992"/>
          <c:h val="9.2969267139480047E-2"/>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41090527134E-2"/>
          <c:y val="2.8006088280060883E-2"/>
          <c:w val="0.92105420797316362"/>
          <c:h val="0.80535314116437196"/>
        </c:manualLayout>
      </c:layout>
      <c:barChart>
        <c:barDir val="col"/>
        <c:grouping val="clustered"/>
        <c:ser>
          <c:idx val="1"/>
          <c:order val="0"/>
          <c:tx>
            <c:strRef>
              <c:f>Sheet1!$A$3</c:f>
              <c:strCache>
                <c:ptCount val="1"/>
                <c:pt idx="0">
                  <c:v>RCI</c:v>
                </c:pt>
              </c:strCache>
            </c:strRef>
          </c:tx>
          <c:spPr>
            <a:solidFill>
              <a:srgbClr val="0070C0"/>
            </a:solidFill>
            <a:ln w="9525">
              <a:solidFill>
                <a:srgbClr val="000000"/>
              </a:solidFill>
              <a:prstDash val="solid"/>
            </a:ln>
          </c:spPr>
          <c:cat>
            <c:multiLvlStrRef>
              <c:f>Sheet1!$B$1:$AM$2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Sheet1!$B$3:$AM$3</c:f>
              <c:numCache>
                <c:formatCode>0.0</c:formatCode>
                <c:ptCount val="38"/>
                <c:pt idx="0">
                  <c:v>10.726072607260701</c:v>
                </c:pt>
                <c:pt idx="1">
                  <c:v>11.328443357783282</c:v>
                </c:pt>
                <c:pt idx="2">
                  <c:v>10.530546623794224</c:v>
                </c:pt>
                <c:pt idx="3">
                  <c:v>12.341772151898731</c:v>
                </c:pt>
                <c:pt idx="4">
                  <c:v>12.402496099844157</c:v>
                </c:pt>
                <c:pt idx="5">
                  <c:v>13.50931677018632</c:v>
                </c:pt>
                <c:pt idx="6" formatCode="General">
                  <c:v>13.020030816641045</c:v>
                </c:pt>
                <c:pt idx="7">
                  <c:v>13.814274750575548</c:v>
                </c:pt>
                <c:pt idx="8">
                  <c:v>12.509593246354546</c:v>
                </c:pt>
                <c:pt idx="9">
                  <c:v>11.445783132530105</c:v>
                </c:pt>
                <c:pt idx="10">
                  <c:v>9.9622641509434047</c:v>
                </c:pt>
                <c:pt idx="11">
                  <c:v>9.3655589123868062</c:v>
                </c:pt>
                <c:pt idx="12">
                  <c:v>7.2280178837555855</c:v>
                </c:pt>
                <c:pt idx="13">
                  <c:v>3.8799414348462422</c:v>
                </c:pt>
                <c:pt idx="14">
                  <c:v>1.4545454545454639</c:v>
                </c:pt>
                <c:pt idx="15">
                  <c:v>-2.6056338028169193</c:v>
                </c:pt>
                <c:pt idx="16">
                  <c:v>-4.8577376821651637</c:v>
                </c:pt>
                <c:pt idx="17">
                  <c:v>-7.7975376196990247</c:v>
                </c:pt>
                <c:pt idx="18">
                  <c:v>-8.3844580777096862</c:v>
                </c:pt>
                <c:pt idx="19">
                  <c:v>-9.3728927848954804</c:v>
                </c:pt>
                <c:pt idx="20">
                  <c:v>-8.0491132332878514</c:v>
                </c:pt>
                <c:pt idx="21">
                  <c:v>-8.7837837837837789</c:v>
                </c:pt>
                <c:pt idx="22">
                  <c:v>-8.9224433768017271</c:v>
                </c:pt>
                <c:pt idx="23">
                  <c:v>-8.0110497237569209</c:v>
                </c:pt>
                <c:pt idx="24">
                  <c:v>-6.5323141070187667</c:v>
                </c:pt>
                <c:pt idx="25">
                  <c:v>-4.8625792811839315</c:v>
                </c:pt>
                <c:pt idx="26">
                  <c:v>-2.508960573476704</c:v>
                </c:pt>
                <c:pt idx="27">
                  <c:v>0.57845263919016343</c:v>
                </c:pt>
                <c:pt idx="28">
                  <c:v>3.2822757111597332</c:v>
                </c:pt>
                <c:pt idx="29">
                  <c:v>5.9347181008902128</c:v>
                </c:pt>
                <c:pt idx="30">
                  <c:v>6.3244047619047645</c:v>
                </c:pt>
                <c:pt idx="31">
                  <c:v>6.9196428571428434</c:v>
                </c:pt>
                <c:pt idx="32">
                  <c:v>7.1216617210682509</c:v>
                </c:pt>
                <c:pt idx="33">
                  <c:v>6.4444444444444304</c:v>
                </c:pt>
                <c:pt idx="34">
                  <c:v>8.1386586284852989</c:v>
                </c:pt>
                <c:pt idx="35">
                  <c:v>8</c:v>
                </c:pt>
                <c:pt idx="36">
                  <c:v>8.3000000000000007</c:v>
                </c:pt>
                <c:pt idx="37">
                  <c:v>8.6</c:v>
                </c:pt>
              </c:numCache>
            </c:numRef>
          </c:val>
        </c:ser>
        <c:gapWidth val="25"/>
        <c:axId val="277053824"/>
        <c:axId val="277055360"/>
      </c:barChart>
      <c:catAx>
        <c:axId val="27705382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7055360"/>
        <c:crosses val="autoZero"/>
        <c:auto val="1"/>
        <c:lblAlgn val="ctr"/>
        <c:lblOffset val="0"/>
        <c:tickLblSkip val="1"/>
        <c:tickMarkSkip val="1"/>
        <c:noMultiLvlLbl val="1"/>
      </c:catAx>
      <c:valAx>
        <c:axId val="277055360"/>
        <c:scaling>
          <c:orientation val="minMax"/>
          <c:max val="15"/>
          <c:min val="-1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7053824"/>
        <c:crosses val="autoZero"/>
        <c:crossBetween val="between"/>
        <c:majorUnit val="5"/>
      </c:valAx>
      <c:spPr>
        <a:noFill/>
        <a:ln w="6350">
          <a:solidFill>
            <a:sysClr val="window" lastClr="FFFFFF">
              <a:lumMod val="7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364431050162058E-2"/>
          <c:y val="2.8006088280060883E-2"/>
          <c:w val="0.93990099327122612"/>
          <c:h val="0.78143374854211256"/>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Sheet1!$B$3:$AA$3</c:f>
              <c:numCache>
                <c:formatCode>0.0</c:formatCode>
                <c:ptCount val="26"/>
                <c:pt idx="0">
                  <c:v>99.58</c:v>
                </c:pt>
                <c:pt idx="1">
                  <c:v>99.450546000000003</c:v>
                </c:pt>
                <c:pt idx="2">
                  <c:v>99.132304252799045</c:v>
                </c:pt>
                <c:pt idx="3">
                  <c:v>99.013345487696654</c:v>
                </c:pt>
                <c:pt idx="4">
                  <c:v>99.062852160440258</c:v>
                </c:pt>
                <c:pt idx="5">
                  <c:v>99.528447565593709</c:v>
                </c:pt>
                <c:pt idx="6">
                  <c:v>99.229862222897779</c:v>
                </c:pt>
                <c:pt idx="7">
                  <c:v>99.696242575345394</c:v>
                </c:pt>
                <c:pt idx="8">
                  <c:v>99.526758962967278</c:v>
                </c:pt>
                <c:pt idx="9">
                  <c:v>99.616333046033958</c:v>
                </c:pt>
                <c:pt idx="10">
                  <c:v>99.855412245344453</c:v>
                </c:pt>
                <c:pt idx="11">
                  <c:v>99.935296575140725</c:v>
                </c:pt>
                <c:pt idx="12">
                  <c:v>100.59486953253665</c:v>
                </c:pt>
                <c:pt idx="13">
                  <c:v>100.83629721941465</c:v>
                </c:pt>
                <c:pt idx="14">
                  <c:v>101.54215129995062</c:v>
                </c:pt>
                <c:pt idx="15">
                  <c:v>102.50680173730015</c:v>
                </c:pt>
                <c:pt idx="16">
                  <c:v>103.18334662876615</c:v>
                </c:pt>
                <c:pt idx="17">
                  <c:v>103.42066832601249</c:v>
                </c:pt>
                <c:pt idx="18">
                  <c:v>103.28622145718867</c:v>
                </c:pt>
                <c:pt idx="19">
                  <c:v>103.33786456791803</c:v>
                </c:pt>
                <c:pt idx="20">
                  <c:v>103.64787816162044</c:v>
                </c:pt>
                <c:pt idx="21">
                  <c:v>103.79298519104729</c:v>
                </c:pt>
                <c:pt idx="22">
                  <c:v>104.22891572884967</c:v>
                </c:pt>
                <c:pt idx="23">
                  <c:v>105.11486151254412</c:v>
                </c:pt>
                <c:pt idx="24">
                  <c:v>106.15549864151905</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Sheet1!$B$4:$AA$4</c:f>
              <c:numCache>
                <c:formatCode>0.0</c:formatCode>
                <c:ptCount val="26"/>
                <c:pt idx="0">
                  <c:v>98.5</c:v>
                </c:pt>
                <c:pt idx="1">
                  <c:v>98.253750000000011</c:v>
                </c:pt>
                <c:pt idx="2">
                  <c:v>97.674052874999205</c:v>
                </c:pt>
                <c:pt idx="3">
                  <c:v>97.420100337524175</c:v>
                </c:pt>
                <c:pt idx="4">
                  <c:v>97.001193906073667</c:v>
                </c:pt>
                <c:pt idx="5">
                  <c:v>96.836291876432526</c:v>
                </c:pt>
                <c:pt idx="6">
                  <c:v>97.417309627691921</c:v>
                </c:pt>
                <c:pt idx="7">
                  <c:v>97.582919054058948</c:v>
                </c:pt>
                <c:pt idx="8">
                  <c:v>97.670743681207696</c:v>
                </c:pt>
                <c:pt idx="9">
                  <c:v>97.758647350519894</c:v>
                </c:pt>
                <c:pt idx="10">
                  <c:v>97.758647350519894</c:v>
                </c:pt>
                <c:pt idx="11">
                  <c:v>97.758647350519894</c:v>
                </c:pt>
                <c:pt idx="12">
                  <c:v>98.345199234623848</c:v>
                </c:pt>
                <c:pt idx="13">
                  <c:v>98.925435910108149</c:v>
                </c:pt>
                <c:pt idx="14">
                  <c:v>99.093609151155334</c:v>
                </c:pt>
                <c:pt idx="15">
                  <c:v>100.01517971626095</c:v>
                </c:pt>
                <c:pt idx="16">
                  <c:v>101.01533151342255</c:v>
                </c:pt>
                <c:pt idx="17">
                  <c:v>100.84360544985122</c:v>
                </c:pt>
                <c:pt idx="18">
                  <c:v>101.34782347710083</c:v>
                </c:pt>
                <c:pt idx="19">
                  <c:v>102.25995388839402</c:v>
                </c:pt>
                <c:pt idx="20">
                  <c:v>102.67921969933691</c:v>
                </c:pt>
                <c:pt idx="21">
                  <c:v>103.00779320237432</c:v>
                </c:pt>
                <c:pt idx="22">
                  <c:v>103.51253138906594</c:v>
                </c:pt>
                <c:pt idx="23">
                  <c:v>103.51253138906594</c:v>
                </c:pt>
                <c:pt idx="24">
                  <c:v>104.17501158995555</c:v>
                </c:pt>
                <c:pt idx="25">
                  <c:v>104.25835159922791</c:v>
                </c:pt>
              </c:numCache>
            </c:numRef>
          </c:val>
          <c:smooth val="1"/>
        </c:ser>
        <c:ser>
          <c:idx val="2"/>
          <c:order val="2"/>
          <c:tx>
            <c:strRef>
              <c:f>Sheet1!$A$5</c:f>
              <c:strCache>
                <c:ptCount val="1"/>
                <c:pt idx="0">
                  <c:v>LV</c:v>
                </c:pt>
              </c:strCache>
            </c:strRef>
          </c:tx>
          <c:spPr>
            <a:ln w="47625">
              <a:solidFill>
                <a:srgbClr val="0070C0"/>
              </a:solidFill>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Sheet1!$B$5:$AA$5</c:f>
              <c:numCache>
                <c:formatCode>0.0</c:formatCode>
                <c:ptCount val="26"/>
                <c:pt idx="0">
                  <c:v>99.490000000000023</c:v>
                </c:pt>
                <c:pt idx="1">
                  <c:v>97.520097999999948</c:v>
                </c:pt>
                <c:pt idx="2">
                  <c:v>95.696472167399165</c:v>
                </c:pt>
                <c:pt idx="3">
                  <c:v>94.710798504075768</c:v>
                </c:pt>
                <c:pt idx="4">
                  <c:v>94.701327424225397</c:v>
                </c:pt>
                <c:pt idx="5">
                  <c:v>93.678553088043728</c:v>
                </c:pt>
                <c:pt idx="6">
                  <c:v>93.678553088043728</c:v>
                </c:pt>
                <c:pt idx="7">
                  <c:v>93.697288798661319</c:v>
                </c:pt>
                <c:pt idx="8">
                  <c:v>94.006489851696458</c:v>
                </c:pt>
                <c:pt idx="9">
                  <c:v>94.927753452243564</c:v>
                </c:pt>
                <c:pt idx="10">
                  <c:v>93.446880498388566</c:v>
                </c:pt>
                <c:pt idx="11">
                  <c:v>93.923459588930427</c:v>
                </c:pt>
                <c:pt idx="12">
                  <c:v>94.947225298450391</c:v>
                </c:pt>
                <c:pt idx="13">
                  <c:v>95.108635581457051</c:v>
                </c:pt>
                <c:pt idx="14">
                  <c:v>96.050211073713498</c:v>
                </c:pt>
                <c:pt idx="15">
                  <c:v>96.741772593443628</c:v>
                </c:pt>
                <c:pt idx="16">
                  <c:v>98.521821209163605</c:v>
                </c:pt>
                <c:pt idx="17">
                  <c:v>98.738569215823773</c:v>
                </c:pt>
                <c:pt idx="18">
                  <c:v>98.67932607429357</c:v>
                </c:pt>
                <c:pt idx="19">
                  <c:v>99.399685154636558</c:v>
                </c:pt>
                <c:pt idx="20">
                  <c:v>100.42350191172935</c:v>
                </c:pt>
                <c:pt idx="21">
                  <c:v>100.70468771708221</c:v>
                </c:pt>
                <c:pt idx="22">
                  <c:v>100.61405349813761</c:v>
                </c:pt>
                <c:pt idx="23">
                  <c:v>100.68448333558506</c:v>
                </c:pt>
                <c:pt idx="24">
                  <c:v>101.83228644561122</c:v>
                </c:pt>
                <c:pt idx="25">
                  <c:v>103.06445711160308</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Sheet1!$B$6:$AA$6</c:f>
              <c:numCache>
                <c:formatCode>0.0</c:formatCode>
                <c:ptCount val="26"/>
                <c:pt idx="0">
                  <c:v>98.77</c:v>
                </c:pt>
                <c:pt idx="1">
                  <c:v>99.7577</c:v>
                </c:pt>
                <c:pt idx="2">
                  <c:v>98.869856470000002</c:v>
                </c:pt>
                <c:pt idx="3">
                  <c:v>99.255448910232758</c:v>
                </c:pt>
                <c:pt idx="4">
                  <c:v>100.53584420117502</c:v>
                </c:pt>
                <c:pt idx="5">
                  <c:v>103.50165160511031</c:v>
                </c:pt>
                <c:pt idx="6">
                  <c:v>101.57652088525464</c:v>
                </c:pt>
                <c:pt idx="7">
                  <c:v>103.76041608428802</c:v>
                </c:pt>
                <c:pt idx="8">
                  <c:v>101.65407963777658</c:v>
                </c:pt>
                <c:pt idx="9">
                  <c:v>102.46731227487882</c:v>
                </c:pt>
                <c:pt idx="10">
                  <c:v>103.99407522777449</c:v>
                </c:pt>
                <c:pt idx="11">
                  <c:v>103.60929714943124</c:v>
                </c:pt>
                <c:pt idx="12">
                  <c:v>105.81617517871445</c:v>
                </c:pt>
                <c:pt idx="13">
                  <c:v>106.98015310568049</c:v>
                </c:pt>
                <c:pt idx="14">
                  <c:v>111.36633938301338</c:v>
                </c:pt>
                <c:pt idx="15">
                  <c:v>113.41548002766081</c:v>
                </c:pt>
                <c:pt idx="16">
                  <c:v>113.40413847965806</c:v>
                </c:pt>
                <c:pt idx="17">
                  <c:v>114.26600993210347</c:v>
                </c:pt>
                <c:pt idx="18">
                  <c:v>112.7576986009997</c:v>
                </c:pt>
                <c:pt idx="19">
                  <c:v>112.63366513253811</c:v>
                </c:pt>
                <c:pt idx="20">
                  <c:v>113.12925325912178</c:v>
                </c:pt>
                <c:pt idx="21">
                  <c:v>114.38498797029804</c:v>
                </c:pt>
                <c:pt idx="22">
                  <c:v>116.87858070804985</c:v>
                </c:pt>
                <c:pt idx="23">
                  <c:v>120.8524524521233</c:v>
                </c:pt>
                <c:pt idx="24">
                  <c:v>122.29059663630456</c:v>
                </c:pt>
                <c:pt idx="25">
                  <c:v>125.05436412028503</c:v>
                </c:pt>
              </c:numCache>
            </c:numRef>
          </c:val>
          <c:smooth val="1"/>
        </c:ser>
        <c:marker val="1"/>
        <c:axId val="277244928"/>
        <c:axId val="277246720"/>
      </c:lineChart>
      <c:catAx>
        <c:axId val="27724492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Times New Roman"/>
                <a:ea typeface="Times New Roman"/>
                <a:cs typeface="Times New Roman"/>
              </a:defRPr>
            </a:pPr>
            <a:endParaRPr lang="lv-LV"/>
          </a:p>
        </c:txPr>
        <c:crossAx val="277246720"/>
        <c:crosses val="autoZero"/>
        <c:auto val="1"/>
        <c:lblAlgn val="ctr"/>
        <c:lblOffset val="0"/>
        <c:tickMarkSkip val="1"/>
        <c:noMultiLvlLbl val="1"/>
      </c:catAx>
      <c:valAx>
        <c:axId val="277246720"/>
        <c:scaling>
          <c:orientation val="minMax"/>
          <c:max val="130"/>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77244928"/>
        <c:crosses val="autoZero"/>
        <c:crossBetween val="between"/>
        <c:majorUnit val="5"/>
      </c:valAx>
      <c:spPr>
        <a:noFill/>
        <a:ln w="6350">
          <a:solidFill>
            <a:sysClr val="window" lastClr="FFFFFF">
              <a:lumMod val="75000"/>
            </a:sysClr>
          </a:solidFill>
        </a:ln>
      </c:spPr>
    </c:plotArea>
    <c:legend>
      <c:legendPos val="b"/>
      <c:layout>
        <c:manualLayout>
          <c:xMode val="edge"/>
          <c:yMode val="edge"/>
          <c:x val="6.5945342810873886E-2"/>
          <c:y val="8.7398794173681044E-2"/>
          <c:w val="0.18070676700581054"/>
          <c:h val="0.27371731695624202"/>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32143774717895E-2"/>
          <c:y val="3.6529680365296795E-2"/>
          <c:w val="0.93118091381047563"/>
          <c:h val="0.79168732537647313"/>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Sheet1!$B$4:$AA$4</c:f>
              <c:numCache>
                <c:formatCode>0.000</c:formatCode>
                <c:ptCount val="26"/>
                <c:pt idx="0">
                  <c:v>0</c:v>
                </c:pt>
                <c:pt idx="1">
                  <c:v>-9.2000000000000068E-3</c:v>
                </c:pt>
                <c:pt idx="2">
                  <c:v>-1.6000000000000021E-2</c:v>
                </c:pt>
                <c:pt idx="3">
                  <c:v>-2.1800000000000052E-2</c:v>
                </c:pt>
                <c:pt idx="4">
                  <c:v>-2.8399999999999998E-2</c:v>
                </c:pt>
                <c:pt idx="5">
                  <c:v>-3.3300000000000003E-2</c:v>
                </c:pt>
                <c:pt idx="6">
                  <c:v>-3.15E-2</c:v>
                </c:pt>
                <c:pt idx="7">
                  <c:v>-3.2199999999999999E-2</c:v>
                </c:pt>
                <c:pt idx="8">
                  <c:v>-3.0600000000000002E-2</c:v>
                </c:pt>
                <c:pt idx="9">
                  <c:v>-2.8999999999999998E-2</c:v>
                </c:pt>
                <c:pt idx="10">
                  <c:v>-2.7400000000000209E-2</c:v>
                </c:pt>
                <c:pt idx="11">
                  <c:v>-2.2500000000000006E-2</c:v>
                </c:pt>
                <c:pt idx="12">
                  <c:v>-1.7000000000000081E-3</c:v>
                </c:pt>
                <c:pt idx="13">
                  <c:v>6.8000000000000334E-3</c:v>
                </c:pt>
                <c:pt idx="14">
                  <c:v>1.4499999999999914E-2</c:v>
                </c:pt>
                <c:pt idx="15">
                  <c:v>2.6500000000000006E-2</c:v>
                </c:pt>
                <c:pt idx="16">
                  <c:v>4.1199999999999987E-2</c:v>
                </c:pt>
                <c:pt idx="17">
                  <c:v>4.1299999999999996E-2</c:v>
                </c:pt>
                <c:pt idx="18">
                  <c:v>4.0199999999999993E-2</c:v>
                </c:pt>
                <c:pt idx="19">
                  <c:v>4.7800000000000023E-2</c:v>
                </c:pt>
                <c:pt idx="20" formatCode="General">
                  <c:v>5.1199999999999996E-2</c:v>
                </c:pt>
                <c:pt idx="21" formatCode="General">
                  <c:v>5.3699999999999998E-2</c:v>
                </c:pt>
                <c:pt idx="22" formatCode="General">
                  <c:v>5.8800000000000012E-2</c:v>
                </c:pt>
                <c:pt idx="23" formatCode="General">
                  <c:v>5.8800000000000012E-2</c:v>
                </c:pt>
                <c:pt idx="24" formatCode="General">
                  <c:v>5.9300000000000436E-2</c:v>
                </c:pt>
                <c:pt idx="25" formatCode="0.00">
                  <c:v>5.3900000000000003E-2</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Sheet1!$B$5:$AA$5</c:f>
              <c:numCache>
                <c:formatCode>0.000</c:formatCode>
                <c:ptCount val="26"/>
                <c:pt idx="0">
                  <c:v>-2.3999999999999998E-3</c:v>
                </c:pt>
                <c:pt idx="1">
                  <c:v>-3.5099999999999999E-2</c:v>
                </c:pt>
                <c:pt idx="2">
                  <c:v>-5.5900000000000012E-2</c:v>
                </c:pt>
                <c:pt idx="3">
                  <c:v>-7.0900000000000019E-2</c:v>
                </c:pt>
                <c:pt idx="4">
                  <c:v>-7.9199999999999993E-2</c:v>
                </c:pt>
                <c:pt idx="5">
                  <c:v>-0.1024</c:v>
                </c:pt>
                <c:pt idx="6">
                  <c:v>-0.10630000000000002</c:v>
                </c:pt>
                <c:pt idx="7">
                  <c:v>-0.12000000000000002</c:v>
                </c:pt>
                <c:pt idx="8">
                  <c:v>-0.10760000000000022</c:v>
                </c:pt>
                <c:pt idx="9">
                  <c:v>-7.6499999999999999E-2</c:v>
                </c:pt>
                <c:pt idx="10">
                  <c:v>-7.5700000000000031E-2</c:v>
                </c:pt>
                <c:pt idx="11">
                  <c:v>-6.0700000000000122E-2</c:v>
                </c:pt>
                <c:pt idx="12">
                  <c:v>-4.5600000000000002E-2</c:v>
                </c:pt>
                <c:pt idx="13">
                  <c:v>-2.4600000000000011E-2</c:v>
                </c:pt>
                <c:pt idx="14">
                  <c:v>3.8000000000000052E-3</c:v>
                </c:pt>
                <c:pt idx="15">
                  <c:v>2.1500000000000002E-2</c:v>
                </c:pt>
                <c:pt idx="16">
                  <c:v>4.0300000000000023E-2</c:v>
                </c:pt>
                <c:pt idx="17">
                  <c:v>5.4000000000000034E-2</c:v>
                </c:pt>
                <c:pt idx="18">
                  <c:v>5.3400000000000003E-2</c:v>
                </c:pt>
                <c:pt idx="19">
                  <c:v>6.0800000000000014E-2</c:v>
                </c:pt>
                <c:pt idx="20" formatCode="General">
                  <c:v>6.8300000000000013E-2</c:v>
                </c:pt>
                <c:pt idx="21" formatCode="General">
                  <c:v>6.0900000000000003E-2</c:v>
                </c:pt>
                <c:pt idx="22" formatCode="General">
                  <c:v>7.6700000000000004E-2</c:v>
                </c:pt>
                <c:pt idx="23" formatCode="General">
                  <c:v>7.2000000000000022E-2</c:v>
                </c:pt>
                <c:pt idx="24" formatCode="General">
                  <c:v>7.2600000000000012E-2</c:v>
                </c:pt>
                <c:pt idx="25" formatCode="0.00">
                  <c:v>8.3700000000000066E-2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Sheet1!$B$6:$AA$6</c:f>
              <c:numCache>
                <c:formatCode>0.000</c:formatCode>
                <c:ptCount val="26"/>
                <c:pt idx="0">
                  <c:v>-0.14750000000000021</c:v>
                </c:pt>
                <c:pt idx="1">
                  <c:v>-0.1381</c:v>
                </c:pt>
                <c:pt idx="2">
                  <c:v>-0.16309999999999999</c:v>
                </c:pt>
                <c:pt idx="3">
                  <c:v>-0.17780000000000001</c:v>
                </c:pt>
                <c:pt idx="4">
                  <c:v>-0.1923</c:v>
                </c:pt>
                <c:pt idx="5">
                  <c:v>-0.20630000000000001</c:v>
                </c:pt>
                <c:pt idx="6">
                  <c:v>-0.22920000000000001</c:v>
                </c:pt>
                <c:pt idx="7">
                  <c:v>-0.20720000000000041</c:v>
                </c:pt>
                <c:pt idx="8">
                  <c:v>-0.21810000000000004</c:v>
                </c:pt>
                <c:pt idx="9">
                  <c:v>-0.16990000000000041</c:v>
                </c:pt>
                <c:pt idx="10">
                  <c:v>-8.6100000000000024E-2</c:v>
                </c:pt>
                <c:pt idx="11">
                  <c:v>3.6200000000000052E-2</c:v>
                </c:pt>
                <c:pt idx="12">
                  <c:v>7.1399999999999991E-2</c:v>
                </c:pt>
                <c:pt idx="13">
                  <c:v>7.2400000000000034E-2</c:v>
                </c:pt>
                <c:pt idx="14">
                  <c:v>0.12640000000000001</c:v>
                </c:pt>
                <c:pt idx="15">
                  <c:v>0.14269999999999999</c:v>
                </c:pt>
                <c:pt idx="16">
                  <c:v>0.12789999999999999</c:v>
                </c:pt>
                <c:pt idx="17">
                  <c:v>0.10400000000000002</c:v>
                </c:pt>
                <c:pt idx="18">
                  <c:v>0.1101</c:v>
                </c:pt>
                <c:pt idx="19">
                  <c:v>8.5600000000000065E-2</c:v>
                </c:pt>
                <c:pt idx="20" formatCode="General">
                  <c:v>0.11289999999999988</c:v>
                </c:pt>
                <c:pt idx="21" formatCode="General">
                  <c:v>0.1164</c:v>
                </c:pt>
                <c:pt idx="22" formatCode="General">
                  <c:v>0.12390000000000002</c:v>
                </c:pt>
                <c:pt idx="23" formatCode="General">
                  <c:v>0.16639999999999999</c:v>
                </c:pt>
                <c:pt idx="24" formatCode="General">
                  <c:v>0.15570000000000112</c:v>
                </c:pt>
                <c:pt idx="25" formatCode="0.00">
                  <c:v>0.16900000000000001</c:v>
                </c:pt>
              </c:numCache>
            </c:numRef>
          </c:val>
        </c:ser>
        <c:gapWidth val="75"/>
        <c:overlap val="-25"/>
        <c:axId val="277358848"/>
        <c:axId val="277369216"/>
      </c:barChart>
      <c:lineChart>
        <c:grouping val="standard"/>
        <c:ser>
          <c:idx val="1"/>
          <c:order val="0"/>
          <c:tx>
            <c:strRef>
              <c:f>Sheet1!$A$3</c:f>
              <c:strCache>
                <c:ptCount val="1"/>
                <c:pt idx="0">
                  <c:v>EU27</c:v>
                </c:pt>
              </c:strCache>
            </c:strRef>
          </c:tx>
          <c:spPr>
            <a:ln w="41275">
              <a:solidFill>
                <a:sysClr val="windowText" lastClr="000000"/>
              </a:solidFill>
              <a:prstDash val="solid"/>
            </a:ln>
          </c:spPr>
          <c:marker>
            <c:symbol val="diamond"/>
            <c:size val="5"/>
            <c:spPr>
              <a:solidFill>
                <a:sysClr val="window" lastClr="FFFFFF">
                  <a:lumMod val="95000"/>
                </a:sysClr>
              </a:solidFill>
              <a:ln>
                <a:solidFill>
                  <a:sysClr val="windowText" lastClr="000000"/>
                </a:solidFill>
              </a:ln>
            </c:spPr>
          </c:marker>
          <c:cat>
            <c:multiLvlStrRef>
              <c:f>Sheet1!$B$1:$AA$2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2009</c:v>
                  </c:pt>
                  <c:pt idx="12">
                    <c:v>2010</c:v>
                  </c:pt>
                  <c:pt idx="24">
                    <c:v>2011</c:v>
                  </c:pt>
                </c:lvl>
              </c:multiLvlStrCache>
            </c:multiLvlStrRef>
          </c:cat>
          <c:val>
            <c:numRef>
              <c:f>Sheet1!$B$3:$AA$3</c:f>
              <c:numCache>
                <c:formatCode>0.000</c:formatCode>
                <c:ptCount val="26"/>
                <c:pt idx="0">
                  <c:v>-1.3500000000000092E-2</c:v>
                </c:pt>
                <c:pt idx="1">
                  <c:v>-1.9699999999999999E-2</c:v>
                </c:pt>
                <c:pt idx="2">
                  <c:v>-2.87E-2</c:v>
                </c:pt>
                <c:pt idx="3">
                  <c:v>-3.5099999999999999E-2</c:v>
                </c:pt>
                <c:pt idx="4">
                  <c:v>-4.5500000000000013E-2</c:v>
                </c:pt>
                <c:pt idx="5">
                  <c:v>-4.8500000000000001E-2</c:v>
                </c:pt>
                <c:pt idx="6">
                  <c:v>-5.7200000000000001E-2</c:v>
                </c:pt>
                <c:pt idx="7">
                  <c:v>-4.9200000000000021E-2</c:v>
                </c:pt>
                <c:pt idx="8">
                  <c:v>-4.9699999999999994E-2</c:v>
                </c:pt>
                <c:pt idx="9">
                  <c:v>-3.7300000000000041E-2</c:v>
                </c:pt>
                <c:pt idx="10">
                  <c:v>-1.7500000000000005E-2</c:v>
                </c:pt>
                <c:pt idx="11">
                  <c:v>-6.0000000000000461E-4</c:v>
                </c:pt>
                <c:pt idx="12">
                  <c:v>1.0300000000000005E-2</c:v>
                </c:pt>
                <c:pt idx="13">
                  <c:v>1.4100000000000001E-2</c:v>
                </c:pt>
                <c:pt idx="14">
                  <c:v>2.4500000000000001E-2</c:v>
                </c:pt>
                <c:pt idx="15">
                  <c:v>3.5400000000000001E-2</c:v>
                </c:pt>
                <c:pt idx="16">
                  <c:v>4.1700000000000001E-2</c:v>
                </c:pt>
                <c:pt idx="17">
                  <c:v>3.9300000000000002E-2</c:v>
                </c:pt>
                <c:pt idx="18">
                  <c:v>4.1000000000000002E-2</c:v>
                </c:pt>
                <c:pt idx="19">
                  <c:v>3.6600000000000042E-2</c:v>
                </c:pt>
                <c:pt idx="20" formatCode="General">
                  <c:v>4.1500000000000002E-2</c:v>
                </c:pt>
                <c:pt idx="21" formatCode="General">
                  <c:v>4.2000000000000023E-2</c:v>
                </c:pt>
                <c:pt idx="22" formatCode="General">
                  <c:v>4.3800000000000013E-2</c:v>
                </c:pt>
                <c:pt idx="23" formatCode="General">
                  <c:v>5.1900000000000002E-2</c:v>
                </c:pt>
                <c:pt idx="24" formatCode="General">
                  <c:v>5.5300000000000113E-2</c:v>
                </c:pt>
              </c:numCache>
            </c:numRef>
          </c:val>
        </c:ser>
        <c:marker val="1"/>
        <c:axId val="277358848"/>
        <c:axId val="277369216"/>
      </c:lineChart>
      <c:catAx>
        <c:axId val="27735884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77369216"/>
        <c:crosses val="autoZero"/>
        <c:auto val="1"/>
        <c:lblAlgn val="ctr"/>
        <c:lblOffset val="0"/>
        <c:tickLblSkip val="1"/>
        <c:tickMarkSkip val="1"/>
        <c:noMultiLvlLbl val="1"/>
      </c:catAx>
      <c:valAx>
        <c:axId val="277369216"/>
        <c:scaling>
          <c:orientation val="minMax"/>
          <c:max val="0.2"/>
          <c:min val="-0.25"/>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77358848"/>
        <c:crosses val="autoZero"/>
        <c:crossBetween val="between"/>
      </c:valAx>
      <c:spPr>
        <a:noFill/>
        <a:ln w="6350">
          <a:solidFill>
            <a:sysClr val="window" lastClr="FFFFFF">
              <a:lumMod val="75000"/>
            </a:sysClr>
          </a:solidFill>
        </a:ln>
      </c:spPr>
    </c:plotArea>
    <c:legend>
      <c:legendPos val="b"/>
      <c:layout>
        <c:manualLayout>
          <c:xMode val="edge"/>
          <c:yMode val="edge"/>
          <c:x val="8.1361525721925759E-2"/>
          <c:y val="7.7727601081039738E-2"/>
          <c:w val="0.38723462327551988"/>
          <c:h val="0.11751353845654262"/>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43276595944424E-2"/>
          <c:y val="2.3584324861358277E-2"/>
          <c:w val="0.91692665367644965"/>
          <c:h val="0.8729695134262086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Sheet1!$B$3:$BL$3</c:f>
              <c:numCache>
                <c:formatCode>0.0</c:formatCode>
                <c:ptCount val="39"/>
                <c:pt idx="0">
                  <c:v>3.2</c:v>
                </c:pt>
                <c:pt idx="1">
                  <c:v>0.4</c:v>
                </c:pt>
                <c:pt idx="2">
                  <c:v>1.7</c:v>
                </c:pt>
                <c:pt idx="3">
                  <c:v>-1.2</c:v>
                </c:pt>
                <c:pt idx="4">
                  <c:v>-2.7</c:v>
                </c:pt>
                <c:pt idx="5">
                  <c:v>-4</c:v>
                </c:pt>
                <c:pt idx="6">
                  <c:v>-6.4</c:v>
                </c:pt>
                <c:pt idx="7">
                  <c:v>-8.6</c:v>
                </c:pt>
                <c:pt idx="8">
                  <c:v>-12.2</c:v>
                </c:pt>
                <c:pt idx="9">
                  <c:v>-18.7</c:v>
                </c:pt>
                <c:pt idx="10">
                  <c:v>-25.4</c:v>
                </c:pt>
                <c:pt idx="11">
                  <c:v>-32.300000000000004</c:v>
                </c:pt>
                <c:pt idx="12">
                  <c:v>-32.9</c:v>
                </c:pt>
                <c:pt idx="13">
                  <c:v>-37.1</c:v>
                </c:pt>
                <c:pt idx="14">
                  <c:v>-39.1</c:v>
                </c:pt>
                <c:pt idx="15">
                  <c:v>-36</c:v>
                </c:pt>
                <c:pt idx="16">
                  <c:v>-33.700000000000003</c:v>
                </c:pt>
                <c:pt idx="17">
                  <c:v>-32</c:v>
                </c:pt>
                <c:pt idx="18">
                  <c:v>-30.2</c:v>
                </c:pt>
                <c:pt idx="19">
                  <c:v>-25.3</c:v>
                </c:pt>
                <c:pt idx="20">
                  <c:v>-24.2</c:v>
                </c:pt>
                <c:pt idx="21">
                  <c:v>-20.100000000000001</c:v>
                </c:pt>
                <c:pt idx="22">
                  <c:v>-17.8</c:v>
                </c:pt>
                <c:pt idx="23">
                  <c:v>-15.8</c:v>
                </c:pt>
                <c:pt idx="24">
                  <c:v>-13.7</c:v>
                </c:pt>
                <c:pt idx="25">
                  <c:v>-11.3</c:v>
                </c:pt>
                <c:pt idx="26">
                  <c:v>-8.6</c:v>
                </c:pt>
                <c:pt idx="27">
                  <c:v>-7.1</c:v>
                </c:pt>
                <c:pt idx="28">
                  <c:v>-4.9000000000000004</c:v>
                </c:pt>
                <c:pt idx="29">
                  <c:v>-5.4</c:v>
                </c:pt>
                <c:pt idx="30">
                  <c:v>-3.5</c:v>
                </c:pt>
                <c:pt idx="31">
                  <c:v>-2.1</c:v>
                </c:pt>
                <c:pt idx="32" formatCode="0.00">
                  <c:v>-1.1000000000000001</c:v>
                </c:pt>
                <c:pt idx="33" formatCode="0.00">
                  <c:v>0.2</c:v>
                </c:pt>
                <c:pt idx="34" formatCode="0.00">
                  <c:v>0.8</c:v>
                </c:pt>
                <c:pt idx="35" formatCode="General">
                  <c:v>4.5</c:v>
                </c:pt>
                <c:pt idx="36" formatCode="General">
                  <c:v>4.8</c:v>
                </c:pt>
                <c:pt idx="37" formatCode="General">
                  <c:v>6</c:v>
                </c:pt>
                <c:pt idx="38" formatCode="General">
                  <c:v>6.6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Sheet1!$B$4:$BL$4</c:f>
              <c:numCache>
                <c:formatCode>0.0</c:formatCode>
                <c:ptCount val="39"/>
                <c:pt idx="0">
                  <c:v>4</c:v>
                </c:pt>
                <c:pt idx="1">
                  <c:v>2.4</c:v>
                </c:pt>
                <c:pt idx="2">
                  <c:v>-0.4</c:v>
                </c:pt>
                <c:pt idx="3">
                  <c:v>-3.9</c:v>
                </c:pt>
                <c:pt idx="4">
                  <c:v>-5.5</c:v>
                </c:pt>
                <c:pt idx="5">
                  <c:v>-10.7</c:v>
                </c:pt>
                <c:pt idx="6">
                  <c:v>-8.7000000000000011</c:v>
                </c:pt>
                <c:pt idx="7">
                  <c:v>-11.4</c:v>
                </c:pt>
                <c:pt idx="8">
                  <c:v>-17.899999999999999</c:v>
                </c:pt>
                <c:pt idx="9">
                  <c:v>-23</c:v>
                </c:pt>
                <c:pt idx="10">
                  <c:v>-26.3</c:v>
                </c:pt>
                <c:pt idx="11">
                  <c:v>-31.1</c:v>
                </c:pt>
                <c:pt idx="12">
                  <c:v>-28.3</c:v>
                </c:pt>
                <c:pt idx="13">
                  <c:v>-36</c:v>
                </c:pt>
                <c:pt idx="14">
                  <c:v>-39.1</c:v>
                </c:pt>
                <c:pt idx="15">
                  <c:v>-35.5</c:v>
                </c:pt>
                <c:pt idx="16">
                  <c:v>-32.200000000000003</c:v>
                </c:pt>
                <c:pt idx="17">
                  <c:v>-33.300000000000004</c:v>
                </c:pt>
                <c:pt idx="18">
                  <c:v>-27.5</c:v>
                </c:pt>
                <c:pt idx="19">
                  <c:v>-24.1</c:v>
                </c:pt>
                <c:pt idx="20">
                  <c:v>-23.9</c:v>
                </c:pt>
                <c:pt idx="21">
                  <c:v>-22.5</c:v>
                </c:pt>
                <c:pt idx="22">
                  <c:v>-19.8</c:v>
                </c:pt>
                <c:pt idx="23">
                  <c:v>-14.2</c:v>
                </c:pt>
                <c:pt idx="24">
                  <c:v>-12.3</c:v>
                </c:pt>
                <c:pt idx="25">
                  <c:v>-10.8</c:v>
                </c:pt>
                <c:pt idx="26">
                  <c:v>-8</c:v>
                </c:pt>
                <c:pt idx="27">
                  <c:v>-2.4</c:v>
                </c:pt>
                <c:pt idx="28">
                  <c:v>0.9</c:v>
                </c:pt>
                <c:pt idx="29">
                  <c:v>-2.2999999999999998</c:v>
                </c:pt>
                <c:pt idx="30">
                  <c:v>1.4</c:v>
                </c:pt>
                <c:pt idx="31">
                  <c:v>4.3</c:v>
                </c:pt>
                <c:pt idx="32" formatCode="0.00">
                  <c:v>2.7</c:v>
                </c:pt>
                <c:pt idx="33" formatCode="0.00">
                  <c:v>11.7</c:v>
                </c:pt>
                <c:pt idx="34" formatCode="0.00">
                  <c:v>8.3000000000000007</c:v>
                </c:pt>
                <c:pt idx="35" formatCode="General">
                  <c:v>12.6</c:v>
                </c:pt>
                <c:pt idx="36" formatCode="General">
                  <c:v>10.9</c:v>
                </c:pt>
                <c:pt idx="37" formatCode="General">
                  <c:v>11.3</c:v>
                </c:pt>
                <c:pt idx="38" formatCode="General">
                  <c:v>11.7</c:v>
                </c:pt>
              </c:numCache>
            </c:numRef>
          </c:val>
          <c:smooth val="1"/>
        </c:ser>
        <c:ser>
          <c:idx val="2"/>
          <c:order val="2"/>
          <c:tx>
            <c:strRef>
              <c:f>Sheet1!$A$5</c:f>
              <c:strCache>
                <c:ptCount val="1"/>
                <c:pt idx="0">
                  <c:v>LV</c:v>
                </c:pt>
              </c:strCache>
            </c:strRef>
          </c:tx>
          <c:spPr>
            <a:ln w="31750">
              <a:solidFill>
                <a:srgbClr val="0070C0"/>
              </a:solidFill>
              <a:prstDash val="solid"/>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Sheet1!$B$5:$BL$5</c:f>
              <c:numCache>
                <c:formatCode>0.0</c:formatCode>
                <c:ptCount val="39"/>
                <c:pt idx="0">
                  <c:v>-0.9</c:v>
                </c:pt>
                <c:pt idx="1">
                  <c:v>-2</c:v>
                </c:pt>
                <c:pt idx="2">
                  <c:v>-5.6</c:v>
                </c:pt>
                <c:pt idx="3">
                  <c:v>-7.8</c:v>
                </c:pt>
                <c:pt idx="4">
                  <c:v>-13</c:v>
                </c:pt>
                <c:pt idx="5">
                  <c:v>-12.3</c:v>
                </c:pt>
                <c:pt idx="6">
                  <c:v>-13.7</c:v>
                </c:pt>
                <c:pt idx="7">
                  <c:v>-13.5</c:v>
                </c:pt>
                <c:pt idx="8">
                  <c:v>-17.5</c:v>
                </c:pt>
                <c:pt idx="9">
                  <c:v>-22.8</c:v>
                </c:pt>
                <c:pt idx="10">
                  <c:v>-25.6</c:v>
                </c:pt>
                <c:pt idx="11">
                  <c:v>-27.4</c:v>
                </c:pt>
                <c:pt idx="12">
                  <c:v>-31.4</c:v>
                </c:pt>
                <c:pt idx="13">
                  <c:v>-36.300000000000004</c:v>
                </c:pt>
                <c:pt idx="14">
                  <c:v>-35.6</c:v>
                </c:pt>
                <c:pt idx="15">
                  <c:v>-28.2</c:v>
                </c:pt>
                <c:pt idx="16">
                  <c:v>-27.2</c:v>
                </c:pt>
                <c:pt idx="17">
                  <c:v>-26.5</c:v>
                </c:pt>
                <c:pt idx="18">
                  <c:v>-26.4</c:v>
                </c:pt>
                <c:pt idx="19">
                  <c:v>-28.3</c:v>
                </c:pt>
                <c:pt idx="20">
                  <c:v>-26.4</c:v>
                </c:pt>
                <c:pt idx="21">
                  <c:v>-23.4</c:v>
                </c:pt>
                <c:pt idx="22">
                  <c:v>-22.5</c:v>
                </c:pt>
                <c:pt idx="23">
                  <c:v>-19.899999999999999</c:v>
                </c:pt>
                <c:pt idx="24">
                  <c:v>-18.100000000000001</c:v>
                </c:pt>
                <c:pt idx="25">
                  <c:v>-14.2</c:v>
                </c:pt>
                <c:pt idx="26">
                  <c:v>-10.7</c:v>
                </c:pt>
                <c:pt idx="27">
                  <c:v>-8.1</c:v>
                </c:pt>
                <c:pt idx="28">
                  <c:v>-5.4</c:v>
                </c:pt>
                <c:pt idx="29">
                  <c:v>-5.3</c:v>
                </c:pt>
                <c:pt idx="30">
                  <c:v>-5.0999999999999996</c:v>
                </c:pt>
                <c:pt idx="31">
                  <c:v>-5.0999999999999996</c:v>
                </c:pt>
                <c:pt idx="32" formatCode="0.00">
                  <c:v>-5.7</c:v>
                </c:pt>
                <c:pt idx="33" formatCode="0.00">
                  <c:v>-4.4000000000000004</c:v>
                </c:pt>
                <c:pt idx="34" formatCode="0.00">
                  <c:v>-4.7</c:v>
                </c:pt>
                <c:pt idx="35" formatCode="General">
                  <c:v>-4.7</c:v>
                </c:pt>
                <c:pt idx="36" formatCode="General">
                  <c:v>-5.9</c:v>
                </c:pt>
                <c:pt idx="37" formatCode="General">
                  <c:v>-3</c:v>
                </c:pt>
                <c:pt idx="38" formatCode="General">
                  <c:v>-2.8</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Sheet1!$B$6:$BL$6</c:f>
              <c:numCache>
                <c:formatCode>0.0</c:formatCode>
                <c:ptCount val="39"/>
                <c:pt idx="0">
                  <c:v>5.3</c:v>
                </c:pt>
                <c:pt idx="1">
                  <c:v>-1.5</c:v>
                </c:pt>
                <c:pt idx="2">
                  <c:v>-5.2</c:v>
                </c:pt>
                <c:pt idx="3">
                  <c:v>-9.5</c:v>
                </c:pt>
                <c:pt idx="4">
                  <c:v>-3.8</c:v>
                </c:pt>
                <c:pt idx="5">
                  <c:v>-3.6</c:v>
                </c:pt>
                <c:pt idx="6">
                  <c:v>-8.3000000000000007</c:v>
                </c:pt>
                <c:pt idx="7">
                  <c:v>-7</c:v>
                </c:pt>
                <c:pt idx="8">
                  <c:v>-11.6</c:v>
                </c:pt>
                <c:pt idx="9">
                  <c:v>-15.1</c:v>
                </c:pt>
                <c:pt idx="10">
                  <c:v>-25.9</c:v>
                </c:pt>
                <c:pt idx="11">
                  <c:v>-27.6</c:v>
                </c:pt>
                <c:pt idx="12">
                  <c:v>-28.8</c:v>
                </c:pt>
                <c:pt idx="13">
                  <c:v>-32.1</c:v>
                </c:pt>
                <c:pt idx="14">
                  <c:v>-36.800000000000004</c:v>
                </c:pt>
                <c:pt idx="15">
                  <c:v>-41.4</c:v>
                </c:pt>
                <c:pt idx="16">
                  <c:v>-37.1</c:v>
                </c:pt>
                <c:pt idx="17">
                  <c:v>-35.1</c:v>
                </c:pt>
                <c:pt idx="18">
                  <c:v>-35.300000000000004</c:v>
                </c:pt>
                <c:pt idx="19">
                  <c:v>-31.8</c:v>
                </c:pt>
                <c:pt idx="20">
                  <c:v>-37.200000000000003</c:v>
                </c:pt>
                <c:pt idx="21">
                  <c:v>-31.6</c:v>
                </c:pt>
                <c:pt idx="22">
                  <c:v>-30.2</c:v>
                </c:pt>
                <c:pt idx="23">
                  <c:v>-25.2</c:v>
                </c:pt>
                <c:pt idx="24">
                  <c:v>-15.7</c:v>
                </c:pt>
                <c:pt idx="25">
                  <c:v>-17.100000000000001</c:v>
                </c:pt>
                <c:pt idx="26">
                  <c:v>-14.7</c:v>
                </c:pt>
                <c:pt idx="27">
                  <c:v>-12.5</c:v>
                </c:pt>
                <c:pt idx="28">
                  <c:v>-13.9</c:v>
                </c:pt>
                <c:pt idx="29">
                  <c:v>-18.100000000000001</c:v>
                </c:pt>
                <c:pt idx="30">
                  <c:v>-17.399999999999999</c:v>
                </c:pt>
                <c:pt idx="31">
                  <c:v>-14.5</c:v>
                </c:pt>
                <c:pt idx="32" formatCode="0.00">
                  <c:v>-13.6</c:v>
                </c:pt>
                <c:pt idx="33" formatCode="0.00">
                  <c:v>-10.200000000000001</c:v>
                </c:pt>
                <c:pt idx="34" formatCode="0.00">
                  <c:v>-6.6</c:v>
                </c:pt>
                <c:pt idx="35" formatCode="General">
                  <c:v>-3.2</c:v>
                </c:pt>
                <c:pt idx="36" formatCode="General">
                  <c:v>-5.2</c:v>
                </c:pt>
                <c:pt idx="37" formatCode="General">
                  <c:v>-6</c:v>
                </c:pt>
                <c:pt idx="38" formatCode="General">
                  <c:v>-3.1</c:v>
                </c:pt>
              </c:numCache>
            </c:numRef>
          </c:val>
          <c:smooth val="1"/>
        </c:ser>
        <c:marker val="1"/>
        <c:axId val="149020672"/>
        <c:axId val="149022208"/>
      </c:lineChart>
      <c:catAx>
        <c:axId val="149020672"/>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9022208"/>
        <c:crosses val="autoZero"/>
        <c:lblAlgn val="ctr"/>
        <c:lblOffset val="0"/>
        <c:tickLblSkip val="2"/>
        <c:tickMarkSkip val="1"/>
        <c:noMultiLvlLbl val="1"/>
      </c:catAx>
      <c:valAx>
        <c:axId val="149022208"/>
        <c:scaling>
          <c:orientation val="minMax"/>
          <c:max val="15"/>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9020672"/>
        <c:crosses val="autoZero"/>
        <c:crossBetween val="between"/>
        <c:majorUnit val="15"/>
      </c:valAx>
      <c:spPr>
        <a:noFill/>
        <a:ln w="6350">
          <a:solidFill>
            <a:sysClr val="window" lastClr="FFFFFF">
              <a:lumMod val="75000"/>
            </a:sysClr>
          </a:solidFill>
        </a:ln>
      </c:spPr>
    </c:plotArea>
    <c:legend>
      <c:legendPos val="b"/>
      <c:layout>
        <c:manualLayout>
          <c:xMode val="edge"/>
          <c:yMode val="edge"/>
          <c:x val="0.18920111024460601"/>
          <c:y val="4.3087746811731532E-2"/>
          <c:w val="0.4928375806059388"/>
          <c:h val="0.17677699001317784"/>
        </c:manualLayout>
      </c:layout>
      <c:spPr>
        <a:solidFill>
          <a:sysClr val="window" lastClr="FFFFFF"/>
        </a:solidFill>
      </c:spPr>
      <c:txPr>
        <a:bodyPr/>
        <a:lstStyle/>
        <a:p>
          <a:pPr>
            <a:defRPr lang="lv-LV" sz="10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225953646253576E-2"/>
          <c:y val="2.8006088280060883E-2"/>
          <c:w val="0.92774472978863509"/>
          <c:h val="0.77857253350582034"/>
        </c:manualLayout>
      </c:layout>
      <c:lineChart>
        <c:grouping val="standard"/>
        <c:ser>
          <c:idx val="1"/>
          <c:order val="0"/>
          <c:tx>
            <c:strRef>
              <c:f>Sheet1!$A$3</c:f>
              <c:strCache>
                <c:ptCount val="1"/>
                <c:pt idx="0">
                  <c:v>PCI</c:v>
                </c:pt>
              </c:strCache>
            </c:strRef>
          </c:tx>
          <c:spPr>
            <a:ln w="44450">
              <a:solidFill>
                <a:srgbClr val="0070C0"/>
              </a:solidFill>
              <a:prstDash val="solid"/>
            </a:ln>
          </c:spPr>
          <c:marker>
            <c:symbol val="none"/>
          </c:marker>
          <c:cat>
            <c:multiLvlStrRef>
              <c:f>Sheet1!$B$1:$V$2</c:f>
              <c:multiLvlStrCache>
                <c:ptCount val="13"/>
                <c:lvl>
                  <c:pt idx="0">
                    <c:v>I</c:v>
                  </c:pt>
                  <c:pt idx="1">
                    <c:v>II</c:v>
                  </c:pt>
                  <c:pt idx="2">
                    <c:v>III</c:v>
                  </c:pt>
                  <c:pt idx="3">
                    <c:v>IV</c:v>
                  </c:pt>
                  <c:pt idx="4">
                    <c:v>I</c:v>
                  </c:pt>
                  <c:pt idx="5">
                    <c:v>II</c:v>
                  </c:pt>
                  <c:pt idx="6">
                    <c:v>III</c:v>
                  </c:pt>
                  <c:pt idx="7">
                    <c:v>IV</c:v>
                  </c:pt>
                  <c:pt idx="8">
                    <c:v>I</c:v>
                  </c:pt>
                  <c:pt idx="9">
                    <c:v>II</c:v>
                  </c:pt>
                  <c:pt idx="10">
                    <c:v>III</c:v>
                  </c:pt>
                  <c:pt idx="11">
                    <c:v>IV</c:v>
                  </c:pt>
                  <c:pt idx="12">
                    <c:v>I</c:v>
                  </c:pt>
                </c:lvl>
                <c:lvl>
                  <c:pt idx="0">
                    <c:v>2008</c:v>
                  </c:pt>
                  <c:pt idx="4">
                    <c:v>2009</c:v>
                  </c:pt>
                  <c:pt idx="8">
                    <c:v>2010</c:v>
                  </c:pt>
                  <c:pt idx="12">
                    <c:v>2011</c:v>
                  </c:pt>
                </c:lvl>
              </c:multiLvlStrCache>
            </c:multiLvlStrRef>
          </c:cat>
          <c:val>
            <c:numRef>
              <c:f>Sheet1!$B$3:$V$3</c:f>
              <c:numCache>
                <c:formatCode>0.0</c:formatCode>
                <c:ptCount val="13"/>
                <c:pt idx="0">
                  <c:v>16.398150742504896</c:v>
                </c:pt>
                <c:pt idx="1">
                  <c:v>17.702957692045374</c:v>
                </c:pt>
                <c:pt idx="2">
                  <c:v>15.756316452618321</c:v>
                </c:pt>
                <c:pt idx="3">
                  <c:v>12.026758958342128</c:v>
                </c:pt>
                <c:pt idx="4">
                  <c:v>9.2114501213616649</c:v>
                </c:pt>
                <c:pt idx="5">
                  <c:v>4.7398308031058036</c:v>
                </c:pt>
                <c:pt idx="6">
                  <c:v>1.6002444287432969</c:v>
                </c:pt>
                <c:pt idx="7">
                  <c:v>-1.0662145615522312</c:v>
                </c:pt>
                <c:pt idx="8">
                  <c:v>-3.7488749701522752</c:v>
                </c:pt>
                <c:pt idx="9">
                  <c:v>-2.1391163236704358</c:v>
                </c:pt>
                <c:pt idx="10">
                  <c:v>-0.14096419509445496</c:v>
                </c:pt>
                <c:pt idx="11">
                  <c:v>1.8126773167805941</c:v>
                </c:pt>
                <c:pt idx="12">
                  <c:v>3.967405824205184</c:v>
                </c:pt>
              </c:numCache>
            </c:numRef>
          </c:val>
          <c:smooth val="1"/>
        </c:ser>
        <c:ser>
          <c:idx val="0"/>
          <c:order val="1"/>
          <c:tx>
            <c:strRef>
              <c:f>Sheet1!$A$4</c:f>
              <c:strCache>
                <c:ptCount val="1"/>
                <c:pt idx="0">
                  <c:v>RCI</c:v>
                </c:pt>
              </c:strCache>
            </c:strRef>
          </c:tx>
          <c:spPr>
            <a:ln w="19050">
              <a:solidFill>
                <a:srgbClr val="000000"/>
              </a:solidFill>
              <a:prstDash val="sysDot"/>
            </a:ln>
          </c:spPr>
          <c:marker>
            <c:symbol val="none"/>
          </c:marker>
          <c:cat>
            <c:multiLvlStrRef>
              <c:f>Sheet1!$B$1:$V$2</c:f>
              <c:multiLvlStrCache>
                <c:ptCount val="13"/>
                <c:lvl>
                  <c:pt idx="0">
                    <c:v>I</c:v>
                  </c:pt>
                  <c:pt idx="1">
                    <c:v>II</c:v>
                  </c:pt>
                  <c:pt idx="2">
                    <c:v>III</c:v>
                  </c:pt>
                  <c:pt idx="3">
                    <c:v>IV</c:v>
                  </c:pt>
                  <c:pt idx="4">
                    <c:v>I</c:v>
                  </c:pt>
                  <c:pt idx="5">
                    <c:v>II</c:v>
                  </c:pt>
                  <c:pt idx="6">
                    <c:v>III</c:v>
                  </c:pt>
                  <c:pt idx="7">
                    <c:v>IV</c:v>
                  </c:pt>
                  <c:pt idx="8">
                    <c:v>I</c:v>
                  </c:pt>
                  <c:pt idx="9">
                    <c:v>II</c:v>
                  </c:pt>
                  <c:pt idx="10">
                    <c:v>III</c:v>
                  </c:pt>
                  <c:pt idx="11">
                    <c:v>IV</c:v>
                  </c:pt>
                  <c:pt idx="12">
                    <c:v>I</c:v>
                  </c:pt>
                </c:lvl>
                <c:lvl>
                  <c:pt idx="0">
                    <c:v>2008</c:v>
                  </c:pt>
                  <c:pt idx="4">
                    <c:v>2009</c:v>
                  </c:pt>
                  <c:pt idx="8">
                    <c:v>2010</c:v>
                  </c:pt>
                  <c:pt idx="12">
                    <c:v>2011</c:v>
                  </c:pt>
                </c:lvl>
              </c:multiLvlStrCache>
            </c:multiLvlStrRef>
          </c:cat>
          <c:val>
            <c:numRef>
              <c:f>Sheet1!$B$4:$V$4</c:f>
              <c:numCache>
                <c:formatCode>0.0</c:formatCode>
                <c:ptCount val="13"/>
                <c:pt idx="0">
                  <c:v>10.86071137659515</c:v>
                </c:pt>
                <c:pt idx="1">
                  <c:v>12.75430359937404</c:v>
                </c:pt>
                <c:pt idx="2">
                  <c:v>13.114754098360654</c:v>
                </c:pt>
                <c:pt idx="3">
                  <c:v>10.258989187830011</c:v>
                </c:pt>
                <c:pt idx="4">
                  <c:v>4.1636051922606105</c:v>
                </c:pt>
                <c:pt idx="5">
                  <c:v>-5.1121906083738216</c:v>
                </c:pt>
                <c:pt idx="6">
                  <c:v>-8.60507246376811</c:v>
                </c:pt>
                <c:pt idx="7">
                  <c:v>-8.5746864310148396</c:v>
                </c:pt>
                <c:pt idx="8">
                  <c:v>-4.6555372678109386</c:v>
                </c:pt>
                <c:pt idx="9">
                  <c:v>3.2423208191126212</c:v>
                </c:pt>
                <c:pt idx="10">
                  <c:v>6.7888999008919804</c:v>
                </c:pt>
                <c:pt idx="11">
                  <c:v>7.5330506360688654</c:v>
                </c:pt>
              </c:numCache>
            </c:numRef>
          </c:val>
          <c:smooth val="1"/>
        </c:ser>
        <c:ser>
          <c:idx val="2"/>
          <c:order val="2"/>
          <c:tx>
            <c:strRef>
              <c:f>Sheet1!$A$5</c:f>
              <c:strCache>
                <c:ptCount val="1"/>
                <c:pt idx="0">
                  <c:v>Tirgus pakalpojumu deflators</c:v>
                </c:pt>
              </c:strCache>
            </c:strRef>
          </c:tx>
          <c:spPr>
            <a:ln w="25400">
              <a:solidFill>
                <a:sysClr val="windowText" lastClr="000000"/>
              </a:solidFill>
              <a:prstDash val="dash"/>
            </a:ln>
          </c:spPr>
          <c:marker>
            <c:symbol val="none"/>
          </c:marker>
          <c:cat>
            <c:multiLvlStrRef>
              <c:f>Sheet1!$B$1:$V$2</c:f>
              <c:multiLvlStrCache>
                <c:ptCount val="13"/>
                <c:lvl>
                  <c:pt idx="0">
                    <c:v>I</c:v>
                  </c:pt>
                  <c:pt idx="1">
                    <c:v>II</c:v>
                  </c:pt>
                  <c:pt idx="2">
                    <c:v>III</c:v>
                  </c:pt>
                  <c:pt idx="3">
                    <c:v>IV</c:v>
                  </c:pt>
                  <c:pt idx="4">
                    <c:v>I</c:v>
                  </c:pt>
                  <c:pt idx="5">
                    <c:v>II</c:v>
                  </c:pt>
                  <c:pt idx="6">
                    <c:v>III</c:v>
                  </c:pt>
                  <c:pt idx="7">
                    <c:v>IV</c:v>
                  </c:pt>
                  <c:pt idx="8">
                    <c:v>I</c:v>
                  </c:pt>
                  <c:pt idx="9">
                    <c:v>II</c:v>
                  </c:pt>
                  <c:pt idx="10">
                    <c:v>III</c:v>
                  </c:pt>
                  <c:pt idx="11">
                    <c:v>IV</c:v>
                  </c:pt>
                  <c:pt idx="12">
                    <c:v>I</c:v>
                  </c:pt>
                </c:lvl>
                <c:lvl>
                  <c:pt idx="0">
                    <c:v>2008</c:v>
                  </c:pt>
                  <c:pt idx="4">
                    <c:v>2009</c:v>
                  </c:pt>
                  <c:pt idx="8">
                    <c:v>2010</c:v>
                  </c:pt>
                  <c:pt idx="12">
                    <c:v>2011</c:v>
                  </c:pt>
                </c:lvl>
              </c:multiLvlStrCache>
            </c:multiLvlStrRef>
          </c:cat>
          <c:val>
            <c:numRef>
              <c:f>Sheet1!$B$5:$V$5</c:f>
              <c:numCache>
                <c:formatCode>0.0</c:formatCode>
                <c:ptCount val="13"/>
                <c:pt idx="0">
                  <c:v>17.636541574906687</c:v>
                </c:pt>
                <c:pt idx="1">
                  <c:v>15.338475146245628</c:v>
                </c:pt>
                <c:pt idx="2">
                  <c:v>13.946026233993082</c:v>
                </c:pt>
                <c:pt idx="3">
                  <c:v>5.1755806386726277</c:v>
                </c:pt>
                <c:pt idx="4">
                  <c:v>6.6832347369281555</c:v>
                </c:pt>
                <c:pt idx="5">
                  <c:v>-3.8512243091302727</c:v>
                </c:pt>
                <c:pt idx="6">
                  <c:v>-2.4362301460373601</c:v>
                </c:pt>
                <c:pt idx="7">
                  <c:v>-4.8729802784119318</c:v>
                </c:pt>
                <c:pt idx="8">
                  <c:v>-10.920763649656223</c:v>
                </c:pt>
                <c:pt idx="9">
                  <c:v>-2.1088815007844492</c:v>
                </c:pt>
                <c:pt idx="10">
                  <c:v>-2.1739960229074802</c:v>
                </c:pt>
                <c:pt idx="11">
                  <c:v>8.4243352572315224E-3</c:v>
                </c:pt>
              </c:numCache>
            </c:numRef>
          </c:val>
          <c:smooth val="1"/>
        </c:ser>
        <c:marker val="1"/>
        <c:axId val="277296256"/>
        <c:axId val="277297792"/>
      </c:lineChart>
      <c:catAx>
        <c:axId val="27729625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77297792"/>
        <c:crosses val="autoZero"/>
        <c:auto val="1"/>
        <c:lblAlgn val="ctr"/>
        <c:lblOffset val="0"/>
        <c:tickMarkSkip val="1"/>
        <c:noMultiLvlLbl val="1"/>
      </c:catAx>
      <c:valAx>
        <c:axId val="277297792"/>
        <c:scaling>
          <c:orientation val="minMax"/>
          <c:max val="20"/>
          <c:min val="-1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77296256"/>
        <c:crosses val="autoZero"/>
        <c:crossBetween val="between"/>
        <c:majorUnit val="5"/>
      </c:valAx>
      <c:spPr>
        <a:noFill/>
        <a:ln w="6350">
          <a:solidFill>
            <a:sysClr val="window" lastClr="FFFFFF">
              <a:lumMod val="75000"/>
            </a:sysClr>
          </a:solidFill>
        </a:ln>
      </c:spPr>
    </c:plotArea>
    <c:legend>
      <c:legendPos val="b"/>
      <c:layout>
        <c:manualLayout>
          <c:xMode val="edge"/>
          <c:yMode val="edge"/>
          <c:x val="7.9427964150042177E-2"/>
          <c:y val="0.60077941920603006"/>
          <c:w val="0.36645062011693241"/>
          <c:h val="0.19266538761198371"/>
        </c:manualLayout>
      </c:layout>
      <c:spPr>
        <a:solidFill>
          <a:sysClr val="window" lastClr="FFFFFF"/>
        </a:solidFill>
      </c:spPr>
      <c:txPr>
        <a:bodyPr/>
        <a:lstStyle/>
        <a:p>
          <a:pPr>
            <a:defRPr lang="lv-LV" sz="11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852E-2"/>
          <c:w val="0.89764680515788364"/>
          <c:h val="0.86604768153983003"/>
        </c:manualLayout>
      </c:layout>
      <c:lineChart>
        <c:grouping val="standard"/>
        <c:ser>
          <c:idx val="2"/>
          <c:order val="0"/>
          <c:tx>
            <c:strRef>
              <c:f>Sheet1!$A$3</c:f>
              <c:strCache>
                <c:ptCount val="1"/>
                <c:pt idx="0">
                  <c:v>Fakts</c:v>
                </c:pt>
              </c:strCache>
            </c:strRef>
          </c:tx>
          <c:spPr>
            <a:ln w="19050">
              <a:solidFill>
                <a:srgbClr val="0070C0"/>
              </a:solidFill>
              <a:prstDash val="solid"/>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Sheet1!$B$3:$AC$3</c:f>
              <c:numCache>
                <c:formatCode>0.0</c:formatCode>
                <c:ptCount val="28"/>
                <c:pt idx="0">
                  <c:v>104.1</c:v>
                </c:pt>
                <c:pt idx="1">
                  <c:v>106.8066</c:v>
                </c:pt>
                <c:pt idx="2">
                  <c:v>108.62231219999981</c:v>
                </c:pt>
                <c:pt idx="3">
                  <c:v>111.55511462939999</c:v>
                </c:pt>
                <c:pt idx="4">
                  <c:v>114.678657839023</c:v>
                </c:pt>
                <c:pt idx="5">
                  <c:v>117.2015883114815</c:v>
                </c:pt>
                <c:pt idx="6">
                  <c:v>119.78002325433432</c:v>
                </c:pt>
                <c:pt idx="7">
                  <c:v>122.2954037426753</c:v>
                </c:pt>
                <c:pt idx="8">
                  <c:v>117.28129218922562</c:v>
                </c:pt>
                <c:pt idx="9">
                  <c:v>114.466541176684</c:v>
                </c:pt>
                <c:pt idx="10">
                  <c:v>113.20740922374075</c:v>
                </c:pt>
                <c:pt idx="11">
                  <c:v>109.69797953780458</c:v>
                </c:pt>
                <c:pt idx="12">
                  <c:v>96.534221993268247</c:v>
                </c:pt>
                <c:pt idx="13">
                  <c:v>94.603537553402589</c:v>
                </c:pt>
                <c:pt idx="14">
                  <c:v>91.103206663926855</c:v>
                </c:pt>
                <c:pt idx="15">
                  <c:v>91.194309870590672</c:v>
                </c:pt>
                <c:pt idx="16">
                  <c:v>91.376698490331918</c:v>
                </c:pt>
                <c:pt idx="17">
                  <c:v>91.924958681274077</c:v>
                </c:pt>
                <c:pt idx="18">
                  <c:v>93.395758020174199</c:v>
                </c:pt>
                <c:pt idx="19">
                  <c:v>94.890090148497109</c:v>
                </c:pt>
              </c:numCache>
            </c:numRef>
          </c:val>
          <c:smooth val="1"/>
        </c:ser>
        <c:ser>
          <c:idx val="4"/>
          <c:order val="1"/>
          <c:tx>
            <c:strRef>
              <c:f>Sheet1!$A$4</c:f>
              <c:strCache>
                <c:ptCount val="1"/>
                <c:pt idx="0">
                  <c:v>EM prognoze</c:v>
                </c:pt>
              </c:strCache>
            </c:strRef>
          </c:tx>
          <c:spPr>
            <a:ln w="19050">
              <a:solidFill>
                <a:srgbClr val="0070C0"/>
              </a:solidFill>
              <a:prstDash val="sysDash"/>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Sheet1!$B$4:$AC$4</c:f>
              <c:numCache>
                <c:formatCode>General</c:formatCode>
                <c:ptCount val="28"/>
                <c:pt idx="19" formatCode="0.0">
                  <c:v>94.89009014849708</c:v>
                </c:pt>
                <c:pt idx="20" formatCode="0.0">
                  <c:v>95.830017252768783</c:v>
                </c:pt>
                <c:pt idx="21" formatCode="0.0">
                  <c:v>96.452291265807375</c:v>
                </c:pt>
                <c:pt idx="22" formatCode="0.0">
                  <c:v>97.05966778924703</c:v>
                </c:pt>
                <c:pt idx="23" formatCode="0.0">
                  <c:v>97.612935290577752</c:v>
                </c:pt>
                <c:pt idx="24" formatCode="0.0">
                  <c:v>97.346830538125118</c:v>
                </c:pt>
                <c:pt idx="25" formatCode="0.0">
                  <c:v>99.360161955020033</c:v>
                </c:pt>
                <c:pt idx="26" formatCode="0.0">
                  <c:v>100.75040729545898</c:v>
                </c:pt>
                <c:pt idx="27" formatCode="0.0">
                  <c:v>101.42305382438717</c:v>
                </c:pt>
              </c:numCache>
            </c:numRef>
          </c:val>
          <c:smooth val="1"/>
        </c:ser>
        <c:marker val="1"/>
        <c:axId val="277527168"/>
        <c:axId val="277528960"/>
      </c:lineChart>
      <c:catAx>
        <c:axId val="277527168"/>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7528960"/>
        <c:crosses val="autoZero"/>
        <c:auto val="1"/>
        <c:lblAlgn val="ctr"/>
        <c:lblOffset val="100"/>
        <c:tickLblSkip val="1"/>
        <c:tickMarkSkip val="1"/>
        <c:noMultiLvlLbl val="1"/>
      </c:catAx>
      <c:valAx>
        <c:axId val="277528960"/>
        <c:scaling>
          <c:orientation val="minMax"/>
          <c:min val="8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7527168"/>
        <c:crosses val="autoZero"/>
        <c:crossBetween val="between"/>
      </c:valAx>
      <c:spPr>
        <a:noFill/>
        <a:ln w="6350">
          <a:noFill/>
        </a:ln>
      </c:spPr>
    </c:plotArea>
    <c:legend>
      <c:legendPos val="l"/>
      <c:layout>
        <c:manualLayout>
          <c:xMode val="edge"/>
          <c:yMode val="edge"/>
          <c:x val="0.14658579338360089"/>
          <c:y val="0.56901428988043157"/>
          <c:w val="0.42421561262439367"/>
          <c:h val="0.17576387470533344"/>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3025"/>
        </c:manualLayout>
      </c:layout>
      <c:lineChart>
        <c:grouping val="standard"/>
        <c:ser>
          <c:idx val="2"/>
          <c:order val="0"/>
          <c:tx>
            <c:strRef>
              <c:f>Sheet1!$A$3</c:f>
              <c:strCache>
                <c:ptCount val="1"/>
                <c:pt idx="0">
                  <c:v>Fakts</c:v>
                </c:pt>
              </c:strCache>
            </c:strRef>
          </c:tx>
          <c:spPr>
            <a:ln w="19050">
              <a:solidFill>
                <a:srgbClr val="0070C0"/>
              </a:solidFill>
              <a:prstDash val="solid"/>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Sheet1!$B$3:$AC$3</c:f>
              <c:numCache>
                <c:formatCode>0.0</c:formatCode>
                <c:ptCount val="28"/>
                <c:pt idx="0">
                  <c:v>98.7</c:v>
                </c:pt>
                <c:pt idx="1">
                  <c:v>102.25320000000002</c:v>
                </c:pt>
                <c:pt idx="2">
                  <c:v>101.84418720000002</c:v>
                </c:pt>
                <c:pt idx="3">
                  <c:v>99.094394145600006</c:v>
                </c:pt>
                <c:pt idx="4">
                  <c:v>110.09387189576148</c:v>
                </c:pt>
                <c:pt idx="5">
                  <c:v>110.86452899903193</c:v>
                </c:pt>
                <c:pt idx="6">
                  <c:v>109.53415465104374</c:v>
                </c:pt>
                <c:pt idx="7">
                  <c:v>111.50576943476234</c:v>
                </c:pt>
                <c:pt idx="8">
                  <c:v>114.07040213176165</c:v>
                </c:pt>
                <c:pt idx="9">
                  <c:v>114.98296534881599</c:v>
                </c:pt>
                <c:pt idx="10">
                  <c:v>111.07354452695613</c:v>
                </c:pt>
                <c:pt idx="11">
                  <c:v>105.74201438966242</c:v>
                </c:pt>
                <c:pt idx="12">
                  <c:v>96.542459137761554</c:v>
                </c:pt>
                <c:pt idx="13">
                  <c:v>93.935812741042227</c:v>
                </c:pt>
                <c:pt idx="14">
                  <c:v>95.532721557639647</c:v>
                </c:pt>
                <c:pt idx="15">
                  <c:v>100.59595580019463</c:v>
                </c:pt>
                <c:pt idx="16">
                  <c:v>100.29416793279414</c:v>
                </c:pt>
                <c:pt idx="17">
                  <c:v>102.09946295558433</c:v>
                </c:pt>
                <c:pt idx="18">
                  <c:v>110.26741999203119</c:v>
                </c:pt>
                <c:pt idx="19">
                  <c:v>111.39409804309739</c:v>
                </c:pt>
              </c:numCache>
            </c:numRef>
          </c:val>
          <c:smooth val="1"/>
        </c:ser>
        <c:ser>
          <c:idx val="4"/>
          <c:order val="1"/>
          <c:tx>
            <c:strRef>
              <c:f>Sheet1!$A$4</c:f>
              <c:strCache>
                <c:ptCount val="1"/>
                <c:pt idx="0">
                  <c:v>EM prognoze</c:v>
                </c:pt>
              </c:strCache>
            </c:strRef>
          </c:tx>
          <c:spPr>
            <a:ln w="19050">
              <a:solidFill>
                <a:srgbClr val="0070C0"/>
              </a:solidFill>
              <a:prstDash val="sysDash"/>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Sheet1!$B$4:$AC$4</c:f>
              <c:numCache>
                <c:formatCode>General</c:formatCode>
                <c:ptCount val="28"/>
                <c:pt idx="19" formatCode="0.0">
                  <c:v>111.39409804309739</c:v>
                </c:pt>
                <c:pt idx="20" formatCode="0.0">
                  <c:v>112.57601349810102</c:v>
                </c:pt>
                <c:pt idx="21" formatCode="0.0">
                  <c:v>113.92536730331355</c:v>
                </c:pt>
                <c:pt idx="22" formatCode="0.0">
                  <c:v>115.58870245787807</c:v>
                </c:pt>
                <c:pt idx="23" formatCode="0.0">
                  <c:v>116.36484484133572</c:v>
                </c:pt>
                <c:pt idx="24" formatCode="0.0">
                  <c:v>119.65840129625219</c:v>
                </c:pt>
                <c:pt idx="25" formatCode="0.0">
                  <c:v>121.21314421656615</c:v>
                </c:pt>
                <c:pt idx="26" formatCode="0.0">
                  <c:v>121.65628053295799</c:v>
                </c:pt>
                <c:pt idx="27" formatCode="0.0">
                  <c:v>122.02599551672988</c:v>
                </c:pt>
              </c:numCache>
            </c:numRef>
          </c:val>
          <c:smooth val="1"/>
        </c:ser>
        <c:marker val="1"/>
        <c:axId val="277340544"/>
        <c:axId val="277342080"/>
      </c:lineChart>
      <c:catAx>
        <c:axId val="277340544"/>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7342080"/>
        <c:crosses val="autoZero"/>
        <c:auto val="1"/>
        <c:lblAlgn val="ctr"/>
        <c:lblOffset val="100"/>
        <c:tickLblSkip val="1"/>
        <c:tickMarkSkip val="1"/>
        <c:noMultiLvlLbl val="1"/>
      </c:catAx>
      <c:valAx>
        <c:axId val="277342080"/>
        <c:scaling>
          <c:orientation val="minMax"/>
          <c:max val="125"/>
          <c:min val="8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7340544"/>
        <c:crosses val="autoZero"/>
        <c:crossBetween val="between"/>
      </c:valAx>
      <c:spPr>
        <a:noFill/>
        <a:ln w="6350">
          <a:noFill/>
        </a:ln>
      </c:spPr>
    </c:plotArea>
    <c:legend>
      <c:legendPos val="l"/>
      <c:layout>
        <c:manualLayout>
          <c:xMode val="edge"/>
          <c:yMode val="edge"/>
          <c:x val="0.14658579338360089"/>
          <c:y val="0.56901428988043157"/>
          <c:w val="0.42421561262439367"/>
          <c:h val="0.17576387470533344"/>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3203"/>
        </c:manualLayout>
      </c:layout>
      <c:lineChart>
        <c:grouping val="standard"/>
        <c:ser>
          <c:idx val="2"/>
          <c:order val="0"/>
          <c:tx>
            <c:strRef>
              <c:f>Sheet1!$A$3</c:f>
              <c:strCache>
                <c:ptCount val="1"/>
                <c:pt idx="0">
                  <c:v>Fakts</c:v>
                </c:pt>
              </c:strCache>
            </c:strRef>
          </c:tx>
          <c:spPr>
            <a:ln w="19050">
              <a:solidFill>
                <a:srgbClr val="0070C0"/>
              </a:solidFill>
              <a:prstDash val="solid"/>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Sheet1!$B$3:$AC$3</c:f>
              <c:numCache>
                <c:formatCode>0.0</c:formatCode>
                <c:ptCount val="28"/>
                <c:pt idx="0">
                  <c:v>104.2</c:v>
                </c:pt>
                <c:pt idx="1">
                  <c:v>109.51420000000012</c:v>
                </c:pt>
                <c:pt idx="2">
                  <c:v>113.1281686</c:v>
                </c:pt>
                <c:pt idx="3">
                  <c:v>129.531753047</c:v>
                </c:pt>
                <c:pt idx="4">
                  <c:v>130.1794118122352</c:v>
                </c:pt>
                <c:pt idx="5">
                  <c:v>132.52264122485499</c:v>
                </c:pt>
                <c:pt idx="6">
                  <c:v>132.25759594240549</c:v>
                </c:pt>
                <c:pt idx="7">
                  <c:v>132.12533834646348</c:v>
                </c:pt>
                <c:pt idx="8">
                  <c:v>130.2755836096122</c:v>
                </c:pt>
                <c:pt idx="9">
                  <c:v>129.49393010795501</c:v>
                </c:pt>
                <c:pt idx="10">
                  <c:v>124.31417290363665</c:v>
                </c:pt>
                <c:pt idx="11">
                  <c:v>113.37452568811683</c:v>
                </c:pt>
                <c:pt idx="12">
                  <c:v>102.03707311930502</c:v>
                </c:pt>
                <c:pt idx="13">
                  <c:v>95.302626293430848</c:v>
                </c:pt>
                <c:pt idx="14">
                  <c:v>91.585823867987074</c:v>
                </c:pt>
                <c:pt idx="15">
                  <c:v>91.127894748647137</c:v>
                </c:pt>
                <c:pt idx="16">
                  <c:v>94.408498959598418</c:v>
                </c:pt>
                <c:pt idx="17">
                  <c:v>93.842047965840862</c:v>
                </c:pt>
                <c:pt idx="18">
                  <c:v>94.59278434956758</c:v>
                </c:pt>
                <c:pt idx="19">
                  <c:v>95.058308181848858</c:v>
                </c:pt>
              </c:numCache>
            </c:numRef>
          </c:val>
          <c:smooth val="1"/>
        </c:ser>
        <c:ser>
          <c:idx val="4"/>
          <c:order val="1"/>
          <c:tx>
            <c:strRef>
              <c:f>Sheet1!$A$4</c:f>
              <c:strCache>
                <c:ptCount val="1"/>
                <c:pt idx="0">
                  <c:v>EM prognoze</c:v>
                </c:pt>
              </c:strCache>
            </c:strRef>
          </c:tx>
          <c:spPr>
            <a:ln w="19050">
              <a:solidFill>
                <a:srgbClr val="0070C0"/>
              </a:solidFill>
              <a:prstDash val="sysDash"/>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Sheet1!$B$4:$AC$4</c:f>
              <c:numCache>
                <c:formatCode>General</c:formatCode>
                <c:ptCount val="28"/>
                <c:pt idx="19" formatCode="0.0">
                  <c:v>95.058308181848858</c:v>
                </c:pt>
                <c:pt idx="20" formatCode="0.0">
                  <c:v>96.04858639339885</c:v>
                </c:pt>
                <c:pt idx="21" formatCode="0.0">
                  <c:v>96.289520901875306</c:v>
                </c:pt>
                <c:pt idx="22" formatCode="0.0">
                  <c:v>97.357181772224237</c:v>
                </c:pt>
                <c:pt idx="23" formatCode="0.0">
                  <c:v>98.314964131796629</c:v>
                </c:pt>
                <c:pt idx="24" formatCode="0.0">
                  <c:v>99.38523709907588</c:v>
                </c:pt>
                <c:pt idx="25" formatCode="0.0">
                  <c:v>100.42708842568045</c:v>
                </c:pt>
                <c:pt idx="26" formatCode="0.0">
                  <c:v>101.73153972616392</c:v>
                </c:pt>
                <c:pt idx="27" formatCode="0.0">
                  <c:v>102.78374178473445</c:v>
                </c:pt>
              </c:numCache>
            </c:numRef>
          </c:val>
          <c:smooth val="1"/>
        </c:ser>
        <c:marker val="1"/>
        <c:axId val="277772160"/>
        <c:axId val="277773696"/>
      </c:lineChart>
      <c:catAx>
        <c:axId val="277772160"/>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7773696"/>
        <c:crosses val="autoZero"/>
        <c:auto val="1"/>
        <c:lblAlgn val="ctr"/>
        <c:lblOffset val="100"/>
        <c:tickLblSkip val="1"/>
        <c:tickMarkSkip val="1"/>
        <c:noMultiLvlLbl val="1"/>
      </c:catAx>
      <c:valAx>
        <c:axId val="277773696"/>
        <c:scaling>
          <c:orientation val="minMax"/>
          <c:min val="8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7772160"/>
        <c:crosses val="autoZero"/>
        <c:crossBetween val="between"/>
      </c:valAx>
      <c:spPr>
        <a:noFill/>
        <a:ln w="6350">
          <a:noFill/>
        </a:ln>
      </c:spPr>
    </c:plotArea>
    <c:legend>
      <c:legendPos val="l"/>
      <c:layout>
        <c:manualLayout>
          <c:xMode val="edge"/>
          <c:yMode val="edge"/>
          <c:x val="0.10895007507507509"/>
          <c:y val="0.62965537645045344"/>
          <c:w val="0.42421561262439367"/>
          <c:h val="0.17576387470533344"/>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3192"/>
        </c:manualLayout>
      </c:layout>
      <c:lineChart>
        <c:grouping val="standard"/>
        <c:ser>
          <c:idx val="2"/>
          <c:order val="0"/>
          <c:tx>
            <c:strRef>
              <c:f>Sheet1!$A$3</c:f>
              <c:strCache>
                <c:ptCount val="1"/>
                <c:pt idx="0">
                  <c:v>Fakts</c:v>
                </c:pt>
              </c:strCache>
            </c:strRef>
          </c:tx>
          <c:spPr>
            <a:ln w="19050">
              <a:solidFill>
                <a:srgbClr val="0070C0"/>
              </a:solidFill>
              <a:prstDash val="solid"/>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Sheet1!$B$3:$AC$3</c:f>
              <c:numCache>
                <c:formatCode>0.0</c:formatCode>
                <c:ptCount val="28"/>
                <c:pt idx="0">
                  <c:v>102.8</c:v>
                </c:pt>
                <c:pt idx="1">
                  <c:v>107.52879999999998</c:v>
                </c:pt>
                <c:pt idx="2">
                  <c:v>113.8729992</c:v>
                </c:pt>
                <c:pt idx="3">
                  <c:v>115.2394751903999</c:v>
                </c:pt>
                <c:pt idx="4">
                  <c:v>119.27285682206379</c:v>
                </c:pt>
                <c:pt idx="5">
                  <c:v>119.39212967888606</c:v>
                </c:pt>
                <c:pt idx="6">
                  <c:v>117.72063986338161</c:v>
                </c:pt>
                <c:pt idx="7">
                  <c:v>116.30799218502105</c:v>
                </c:pt>
                <c:pt idx="8">
                  <c:v>111.42305651325015</c:v>
                </c:pt>
                <c:pt idx="9">
                  <c:v>106.6318650831804</c:v>
                </c:pt>
                <c:pt idx="10">
                  <c:v>99.061002662274603</c:v>
                </c:pt>
                <c:pt idx="11">
                  <c:v>90.640817435981248</c:v>
                </c:pt>
                <c:pt idx="12">
                  <c:v>78.676229534431627</c:v>
                </c:pt>
                <c:pt idx="13">
                  <c:v>69.864491826575389</c:v>
                </c:pt>
                <c:pt idx="14">
                  <c:v>58.616308642496762</c:v>
                </c:pt>
                <c:pt idx="15">
                  <c:v>53.164991938744549</c:v>
                </c:pt>
                <c:pt idx="16">
                  <c:v>51.463712196704805</c:v>
                </c:pt>
                <c:pt idx="17">
                  <c:v>48.736135450279413</c:v>
                </c:pt>
                <c:pt idx="18">
                  <c:v>51.806511983646914</c:v>
                </c:pt>
                <c:pt idx="19">
                  <c:v>51.127295516516675</c:v>
                </c:pt>
              </c:numCache>
            </c:numRef>
          </c:val>
          <c:smooth val="1"/>
        </c:ser>
        <c:ser>
          <c:idx val="4"/>
          <c:order val="1"/>
          <c:tx>
            <c:strRef>
              <c:f>Sheet1!$A$4</c:f>
              <c:strCache>
                <c:ptCount val="1"/>
                <c:pt idx="0">
                  <c:v>EM prognoze</c:v>
                </c:pt>
              </c:strCache>
            </c:strRef>
          </c:tx>
          <c:spPr>
            <a:ln w="19050">
              <a:solidFill>
                <a:srgbClr val="0070C0"/>
              </a:solidFill>
              <a:prstDash val="sysDash"/>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Sheet1!$B$4:$AC$4</c:f>
              <c:numCache>
                <c:formatCode>General</c:formatCode>
                <c:ptCount val="28"/>
                <c:pt idx="19" formatCode="0.0">
                  <c:v>51.127295516516675</c:v>
                </c:pt>
                <c:pt idx="20" formatCode="0.0">
                  <c:v>49.734275764490675</c:v>
                </c:pt>
                <c:pt idx="21" formatCode="0.0">
                  <c:v>52.898083083059447</c:v>
                </c:pt>
                <c:pt idx="22" formatCode="0.0">
                  <c:v>56.396976396222982</c:v>
                </c:pt>
                <c:pt idx="23" formatCode="0.0">
                  <c:v>55.744948824472161</c:v>
                </c:pt>
                <c:pt idx="24" formatCode="0.0">
                  <c:v>55.050208890169451</c:v>
                </c:pt>
                <c:pt idx="25" formatCode="0.0">
                  <c:v>58.372485930795158</c:v>
                </c:pt>
                <c:pt idx="26" formatCode="0.0">
                  <c:v>61.461713830793862</c:v>
                </c:pt>
                <c:pt idx="27" formatCode="0.0">
                  <c:v>62.525217118338318</c:v>
                </c:pt>
              </c:numCache>
            </c:numRef>
          </c:val>
          <c:smooth val="1"/>
        </c:ser>
        <c:marker val="1"/>
        <c:axId val="277794176"/>
        <c:axId val="277800064"/>
      </c:lineChart>
      <c:catAx>
        <c:axId val="277794176"/>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7800064"/>
        <c:crosses val="autoZero"/>
        <c:auto val="1"/>
        <c:lblAlgn val="ctr"/>
        <c:lblOffset val="100"/>
        <c:tickLblSkip val="1"/>
        <c:tickMarkSkip val="1"/>
        <c:noMultiLvlLbl val="1"/>
      </c:catAx>
      <c:valAx>
        <c:axId val="277800064"/>
        <c:scaling>
          <c:orientation val="minMax"/>
          <c:min val="4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Garamond" pitchFamily="18" charset="0"/>
                <a:ea typeface="Times New Roman"/>
                <a:cs typeface="Arial" pitchFamily="34" charset="0"/>
              </a:defRPr>
            </a:pPr>
            <a:endParaRPr lang="lv-LV"/>
          </a:p>
        </c:txPr>
        <c:crossAx val="277794176"/>
        <c:crosses val="autoZero"/>
        <c:crossBetween val="between"/>
      </c:valAx>
      <c:spPr>
        <a:noFill/>
        <a:ln w="6350">
          <a:noFill/>
        </a:ln>
      </c:spPr>
    </c:plotArea>
    <c:legend>
      <c:legendPos val="l"/>
      <c:layout>
        <c:manualLayout>
          <c:xMode val="edge"/>
          <c:yMode val="edge"/>
          <c:x val="0.10418300278710893"/>
          <c:y val="0.62259444444444523"/>
          <c:w val="0.42421561262439367"/>
          <c:h val="0.17576387470533344"/>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3092"/>
        </c:manualLayout>
      </c:layout>
      <c:lineChart>
        <c:grouping val="standard"/>
        <c:ser>
          <c:idx val="2"/>
          <c:order val="0"/>
          <c:tx>
            <c:strRef>
              <c:f>Sheet1!$A$3</c:f>
              <c:strCache>
                <c:ptCount val="1"/>
                <c:pt idx="0">
                  <c:v>Fakts</c:v>
                </c:pt>
              </c:strCache>
            </c:strRef>
          </c:tx>
          <c:spPr>
            <a:ln w="19050">
              <a:solidFill>
                <a:srgbClr val="0070C0"/>
              </a:solidFill>
              <a:prstDash val="solid"/>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Sheet1!$B$3:$AC$3</c:f>
              <c:numCache>
                <c:formatCode>0.0</c:formatCode>
                <c:ptCount val="28"/>
                <c:pt idx="0">
                  <c:v>102.07984314880611</c:v>
                </c:pt>
                <c:pt idx="1">
                  <c:v>102.36381376682191</c:v>
                </c:pt>
                <c:pt idx="2">
                  <c:v>102.16314733334561</c:v>
                </c:pt>
                <c:pt idx="3">
                  <c:v>104.54491062059328</c:v>
                </c:pt>
                <c:pt idx="4">
                  <c:v>107.304534325006</c:v>
                </c:pt>
                <c:pt idx="5">
                  <c:v>104.6401811520829</c:v>
                </c:pt>
                <c:pt idx="6">
                  <c:v>102.53318360058178</c:v>
                </c:pt>
                <c:pt idx="7">
                  <c:v>99.988954141276565</c:v>
                </c:pt>
                <c:pt idx="8">
                  <c:v>99.090097387654296</c:v>
                </c:pt>
                <c:pt idx="9">
                  <c:v>98.904158765809427</c:v>
                </c:pt>
                <c:pt idx="10">
                  <c:v>95.260866363519256</c:v>
                </c:pt>
                <c:pt idx="11">
                  <c:v>87.730812422909153</c:v>
                </c:pt>
                <c:pt idx="12">
                  <c:v>78.457814024558672</c:v>
                </c:pt>
                <c:pt idx="13">
                  <c:v>75.668274452769609</c:v>
                </c:pt>
                <c:pt idx="14">
                  <c:v>77.648704873064545</c:v>
                </c:pt>
                <c:pt idx="15">
                  <c:v>79.695870689813944</c:v>
                </c:pt>
                <c:pt idx="16">
                  <c:v>83.857397963880089</c:v>
                </c:pt>
                <c:pt idx="17">
                  <c:v>88.250888271139019</c:v>
                </c:pt>
                <c:pt idx="18">
                  <c:v>93.125793921095749</c:v>
                </c:pt>
                <c:pt idx="19">
                  <c:v>94.419079879968407</c:v>
                </c:pt>
              </c:numCache>
            </c:numRef>
          </c:val>
          <c:smooth val="1"/>
        </c:ser>
        <c:ser>
          <c:idx val="4"/>
          <c:order val="1"/>
          <c:tx>
            <c:strRef>
              <c:f>Sheet1!$A$4</c:f>
              <c:strCache>
                <c:ptCount val="1"/>
                <c:pt idx="0">
                  <c:v>EM prognoze</c:v>
                </c:pt>
              </c:strCache>
            </c:strRef>
          </c:tx>
          <c:spPr>
            <a:ln w="19050">
              <a:solidFill>
                <a:srgbClr val="0070C0"/>
              </a:solidFill>
              <a:prstDash val="sysDash"/>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Sheet1!$B$4:$AC$4</c:f>
              <c:numCache>
                <c:formatCode>General</c:formatCode>
                <c:ptCount val="28"/>
                <c:pt idx="19" formatCode="0.0">
                  <c:v>94.419079879968407</c:v>
                </c:pt>
                <c:pt idx="20" formatCode="0.0">
                  <c:v>97.290823810050071</c:v>
                </c:pt>
                <c:pt idx="21" formatCode="0.0">
                  <c:v>98.882964670910127</c:v>
                </c:pt>
                <c:pt idx="22" formatCode="0.0">
                  <c:v>100.58865904328475</c:v>
                </c:pt>
                <c:pt idx="23" formatCode="0.0">
                  <c:v>103.0367626732253</c:v>
                </c:pt>
                <c:pt idx="24" formatCode="0.0">
                  <c:v>104.59460052003332</c:v>
                </c:pt>
                <c:pt idx="25" formatCode="0.0">
                  <c:v>106.49155834759036</c:v>
                </c:pt>
                <c:pt idx="26" formatCode="0.0">
                  <c:v>107.52050916567379</c:v>
                </c:pt>
                <c:pt idx="27" formatCode="0.0">
                  <c:v>109.36237059825883</c:v>
                </c:pt>
              </c:numCache>
            </c:numRef>
          </c:val>
          <c:smooth val="1"/>
        </c:ser>
        <c:marker val="1"/>
        <c:axId val="278070400"/>
        <c:axId val="278071936"/>
      </c:lineChart>
      <c:catAx>
        <c:axId val="278070400"/>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071936"/>
        <c:crosses val="autoZero"/>
        <c:auto val="1"/>
        <c:lblAlgn val="ctr"/>
        <c:lblOffset val="100"/>
        <c:tickLblSkip val="1"/>
        <c:tickMarkSkip val="1"/>
        <c:noMultiLvlLbl val="1"/>
      </c:catAx>
      <c:valAx>
        <c:axId val="278071936"/>
        <c:scaling>
          <c:orientation val="minMax"/>
          <c:min val="7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070400"/>
        <c:crosses val="autoZero"/>
        <c:crossBetween val="between"/>
      </c:valAx>
      <c:spPr>
        <a:noFill/>
        <a:ln w="6350">
          <a:noFill/>
        </a:ln>
      </c:spPr>
    </c:plotArea>
    <c:legend>
      <c:legendPos val="l"/>
      <c:layout>
        <c:manualLayout>
          <c:xMode val="edge"/>
          <c:yMode val="edge"/>
          <c:x val="9.4760116116227547E-2"/>
          <c:y val="0.63802059830240565"/>
          <c:w val="0.40536991179989518"/>
          <c:h val="0.18356126536814479"/>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3114"/>
        </c:manualLayout>
      </c:layout>
      <c:lineChart>
        <c:grouping val="standard"/>
        <c:ser>
          <c:idx val="2"/>
          <c:order val="0"/>
          <c:tx>
            <c:strRef>
              <c:f>Sheet1!$A$3</c:f>
              <c:strCache>
                <c:ptCount val="1"/>
                <c:pt idx="0">
                  <c:v>Fakts</c:v>
                </c:pt>
              </c:strCache>
            </c:strRef>
          </c:tx>
          <c:spPr>
            <a:ln w="19050">
              <a:solidFill>
                <a:srgbClr val="0070C0"/>
              </a:solidFill>
              <a:prstDash val="solid"/>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Sheet1!$B$3:$AC$3</c:f>
              <c:numCache>
                <c:formatCode>0.0</c:formatCode>
                <c:ptCount val="28"/>
                <c:pt idx="0">
                  <c:v>100.09906708316998</c:v>
                </c:pt>
                <c:pt idx="1">
                  <c:v>101.84306930901781</c:v>
                </c:pt>
                <c:pt idx="2">
                  <c:v>103.71649108607033</c:v>
                </c:pt>
                <c:pt idx="3">
                  <c:v>104.74215156842158</c:v>
                </c:pt>
                <c:pt idx="4">
                  <c:v>107.32295447551357</c:v>
                </c:pt>
                <c:pt idx="5">
                  <c:v>109.40589259441924</c:v>
                </c:pt>
                <c:pt idx="6">
                  <c:v>110.61324632292484</c:v>
                </c:pt>
                <c:pt idx="7">
                  <c:v>111.6899158140573</c:v>
                </c:pt>
                <c:pt idx="8">
                  <c:v>110.57909979638551</c:v>
                </c:pt>
                <c:pt idx="9">
                  <c:v>110.43028839060251</c:v>
                </c:pt>
                <c:pt idx="10">
                  <c:v>110.25154607884052</c:v>
                </c:pt>
                <c:pt idx="11">
                  <c:v>108.49447542925564</c:v>
                </c:pt>
                <c:pt idx="12">
                  <c:v>94.020563797093743</c:v>
                </c:pt>
                <c:pt idx="13">
                  <c:v>93.511316833394389</c:v>
                </c:pt>
                <c:pt idx="14">
                  <c:v>93.373466041068568</c:v>
                </c:pt>
                <c:pt idx="15">
                  <c:v>95.439120115676616</c:v>
                </c:pt>
                <c:pt idx="16">
                  <c:v>95.944151458815668</c:v>
                </c:pt>
                <c:pt idx="17">
                  <c:v>96.964753196494172</c:v>
                </c:pt>
                <c:pt idx="18">
                  <c:v>97.973551196603694</c:v>
                </c:pt>
                <c:pt idx="19">
                  <c:v>98.392162318253867</c:v>
                </c:pt>
              </c:numCache>
            </c:numRef>
          </c:val>
          <c:smooth val="1"/>
        </c:ser>
        <c:ser>
          <c:idx val="4"/>
          <c:order val="1"/>
          <c:tx>
            <c:strRef>
              <c:f>Sheet1!$A$4</c:f>
              <c:strCache>
                <c:ptCount val="1"/>
                <c:pt idx="0">
                  <c:v>EM prognoze</c:v>
                </c:pt>
              </c:strCache>
            </c:strRef>
          </c:tx>
          <c:spPr>
            <a:ln w="19050">
              <a:solidFill>
                <a:srgbClr val="0070C0"/>
              </a:solidFill>
              <a:prstDash val="sysDash"/>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Sheet1!$B$4:$AC$4</c:f>
              <c:numCache>
                <c:formatCode>General</c:formatCode>
                <c:ptCount val="28"/>
                <c:pt idx="19" formatCode="0.0">
                  <c:v>98.392162318253867</c:v>
                </c:pt>
                <c:pt idx="20" formatCode="0.0">
                  <c:v>98.898581336623025</c:v>
                </c:pt>
                <c:pt idx="21" formatCode="0.0">
                  <c:v>99.887567149989451</c:v>
                </c:pt>
                <c:pt idx="22" formatCode="0.0">
                  <c:v>101.08621795578934</c:v>
                </c:pt>
                <c:pt idx="23" formatCode="0.0">
                  <c:v>102.2992525712588</c:v>
                </c:pt>
                <c:pt idx="24" formatCode="0.0">
                  <c:v>102.41464171244797</c:v>
                </c:pt>
                <c:pt idx="25" formatCode="0.0">
                  <c:v>103.74603205470969</c:v>
                </c:pt>
                <c:pt idx="26" formatCode="0.0">
                  <c:v>105.19847650347556</c:v>
                </c:pt>
                <c:pt idx="27" formatCode="0.0">
                  <c:v>106.04006431550354</c:v>
                </c:pt>
              </c:numCache>
            </c:numRef>
          </c:val>
          <c:smooth val="1"/>
        </c:ser>
        <c:marker val="1"/>
        <c:axId val="278100608"/>
        <c:axId val="278102400"/>
      </c:lineChart>
      <c:catAx>
        <c:axId val="278100608"/>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102400"/>
        <c:crosses val="autoZero"/>
        <c:auto val="1"/>
        <c:lblAlgn val="ctr"/>
        <c:lblOffset val="100"/>
        <c:tickLblSkip val="1"/>
        <c:tickMarkSkip val="1"/>
        <c:noMultiLvlLbl val="1"/>
      </c:catAx>
      <c:valAx>
        <c:axId val="278102400"/>
        <c:scaling>
          <c:orientation val="minMax"/>
          <c:min val="85"/>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100608"/>
        <c:crosses val="autoZero"/>
        <c:crossBetween val="between"/>
      </c:valAx>
      <c:spPr>
        <a:noFill/>
        <a:ln w="6350">
          <a:noFill/>
        </a:ln>
      </c:spPr>
    </c:plotArea>
    <c:legend>
      <c:legendPos val="l"/>
      <c:layout>
        <c:manualLayout>
          <c:xMode val="edge"/>
          <c:yMode val="edge"/>
          <c:x val="0.11831724214685178"/>
          <c:y val="0.61462878543690813"/>
          <c:w val="0.42421561262439367"/>
          <c:h val="0.17576387470533344"/>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3158"/>
        </c:manualLayout>
      </c:layout>
      <c:lineChart>
        <c:grouping val="standard"/>
        <c:ser>
          <c:idx val="2"/>
          <c:order val="0"/>
          <c:tx>
            <c:strRef>
              <c:f>Sheet1!$A$3</c:f>
              <c:strCache>
                <c:ptCount val="1"/>
                <c:pt idx="0">
                  <c:v>Fakts</c:v>
                </c:pt>
              </c:strCache>
            </c:strRef>
          </c:tx>
          <c:spPr>
            <a:ln w="19050">
              <a:solidFill>
                <a:srgbClr val="0070C0"/>
              </a:solidFill>
              <a:prstDash val="solid"/>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Sheet1!$B$3:$AC$3</c:f>
              <c:numCache>
                <c:formatCode>0.0</c:formatCode>
                <c:ptCount val="28"/>
                <c:pt idx="0">
                  <c:v>103.46206068658471</c:v>
                </c:pt>
                <c:pt idx="1">
                  <c:v>108.64786746152456</c:v>
                </c:pt>
                <c:pt idx="2">
                  <c:v>112.86137188743776</c:v>
                </c:pt>
                <c:pt idx="3">
                  <c:v>116.84032330437122</c:v>
                </c:pt>
                <c:pt idx="4">
                  <c:v>123.27756507753361</c:v>
                </c:pt>
                <c:pt idx="5">
                  <c:v>125.04559943590748</c:v>
                </c:pt>
                <c:pt idx="6">
                  <c:v>127.491652243842</c:v>
                </c:pt>
                <c:pt idx="7">
                  <c:v>127.55080039393251</c:v>
                </c:pt>
                <c:pt idx="8">
                  <c:v>123.70850159962238</c:v>
                </c:pt>
                <c:pt idx="9">
                  <c:v>120.25343379777743</c:v>
                </c:pt>
                <c:pt idx="10">
                  <c:v>112.82058005978905</c:v>
                </c:pt>
                <c:pt idx="11">
                  <c:v>104.57713443238164</c:v>
                </c:pt>
                <c:pt idx="12">
                  <c:v>95.748908818610388</c:v>
                </c:pt>
                <c:pt idx="13">
                  <c:v>86.361543795854402</c:v>
                </c:pt>
                <c:pt idx="14">
                  <c:v>78.630618345833128</c:v>
                </c:pt>
                <c:pt idx="15">
                  <c:v>72.698029754724558</c:v>
                </c:pt>
                <c:pt idx="16">
                  <c:v>91.124281044037701</c:v>
                </c:pt>
                <c:pt idx="17">
                  <c:v>86.67768046013181</c:v>
                </c:pt>
                <c:pt idx="18">
                  <c:v>83.394229704609046</c:v>
                </c:pt>
                <c:pt idx="19">
                  <c:v>79.185969942250438</c:v>
                </c:pt>
              </c:numCache>
            </c:numRef>
          </c:val>
          <c:smooth val="1"/>
        </c:ser>
        <c:ser>
          <c:idx val="4"/>
          <c:order val="1"/>
          <c:tx>
            <c:strRef>
              <c:f>Sheet1!$A$4</c:f>
              <c:strCache>
                <c:ptCount val="1"/>
                <c:pt idx="0">
                  <c:v>EM prognoze</c:v>
                </c:pt>
              </c:strCache>
            </c:strRef>
          </c:tx>
          <c:spPr>
            <a:ln w="19050">
              <a:solidFill>
                <a:srgbClr val="0070C0"/>
              </a:solidFill>
              <a:prstDash val="sysDash"/>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Sheet1!$B$4:$AC$4</c:f>
              <c:numCache>
                <c:formatCode>General</c:formatCode>
                <c:ptCount val="28"/>
                <c:pt idx="19" formatCode="0.0">
                  <c:v>79.185969942250438</c:v>
                </c:pt>
                <c:pt idx="20" formatCode="0.0">
                  <c:v>81.217310644079731</c:v>
                </c:pt>
                <c:pt idx="21" formatCode="0.0">
                  <c:v>82.202831079482579</c:v>
                </c:pt>
                <c:pt idx="22" formatCode="0.0">
                  <c:v>84.229287716512488</c:v>
                </c:pt>
                <c:pt idx="23" formatCode="0.0">
                  <c:v>84.029166409817449</c:v>
                </c:pt>
                <c:pt idx="24" formatCode="0.0">
                  <c:v>81.743838483007437</c:v>
                </c:pt>
                <c:pt idx="25" formatCode="0.0">
                  <c:v>85.76971536562364</c:v>
                </c:pt>
                <c:pt idx="26" formatCode="0.0">
                  <c:v>88.088454557007751</c:v>
                </c:pt>
                <c:pt idx="27" formatCode="0.0">
                  <c:v>91.611992739288084</c:v>
                </c:pt>
              </c:numCache>
            </c:numRef>
          </c:val>
          <c:smooth val="1"/>
        </c:ser>
        <c:marker val="1"/>
        <c:axId val="278196608"/>
        <c:axId val="278198144"/>
      </c:lineChart>
      <c:catAx>
        <c:axId val="278196608"/>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a:pPr>
            <a:endParaRPr lang="lv-LV"/>
          </a:p>
        </c:txPr>
        <c:crossAx val="278198144"/>
        <c:crosses val="autoZero"/>
        <c:auto val="1"/>
        <c:lblAlgn val="ctr"/>
        <c:lblOffset val="100"/>
        <c:tickLblSkip val="1"/>
        <c:tickMarkSkip val="1"/>
        <c:noMultiLvlLbl val="1"/>
      </c:catAx>
      <c:valAx>
        <c:axId val="278198144"/>
        <c:scaling>
          <c:orientation val="minMax"/>
          <c:min val="7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a:pPr>
            <a:endParaRPr lang="lv-LV"/>
          </a:p>
        </c:txPr>
        <c:crossAx val="278196608"/>
        <c:crosses val="autoZero"/>
        <c:crossBetween val="between"/>
      </c:valAx>
      <c:spPr>
        <a:noFill/>
        <a:ln w="6350">
          <a:noFill/>
        </a:ln>
      </c:spPr>
    </c:plotArea>
    <c:legend>
      <c:legendPos val="l"/>
      <c:layout>
        <c:manualLayout>
          <c:xMode val="edge"/>
          <c:yMode val="edge"/>
          <c:x val="0.1324515177652264"/>
          <c:y val="0.5596782059047356"/>
          <c:w val="0.38181278576927136"/>
          <c:h val="0.17576387470533344"/>
        </c:manualLayout>
      </c:layout>
      <c:txPr>
        <a:bodyPr/>
        <a:lstStyle/>
        <a:p>
          <a:pPr>
            <a:defRPr lang="lv-LV" sz="750"/>
          </a:pPr>
          <a:endParaRPr lang="lv-LV"/>
        </a:p>
      </c:txPr>
    </c:legend>
    <c:plotVisOnly val="1"/>
    <c:dispBlanksAs val="gap"/>
  </c:chart>
  <c:spPr>
    <a:noFill/>
    <a:ln>
      <a:noFill/>
    </a:ln>
  </c:spPr>
  <c:txPr>
    <a:bodyPr/>
    <a:lstStyle/>
    <a:p>
      <a:pPr>
        <a:defRPr sz="700" b="0" i="0" u="none" strike="noStrike" baseline="0">
          <a:solidFill>
            <a:srgbClr val="000000"/>
          </a:solidFill>
          <a:latin typeface="Arial" pitchFamily="34" charset="0"/>
          <a:ea typeface="Arial"/>
          <a:cs typeface="Arial" pitchFamily="34" charset="0"/>
        </a:defRPr>
      </a:pPr>
      <a:endParaRPr lang="lv-LV"/>
    </a:p>
  </c:txPr>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548384931997225E-2"/>
          <c:y val="2.8737907761530616E-2"/>
          <c:w val="0.89764680515788164"/>
          <c:h val="0.8660476815398318"/>
        </c:manualLayout>
      </c:layout>
      <c:lineChart>
        <c:grouping val="standard"/>
        <c:ser>
          <c:idx val="2"/>
          <c:order val="0"/>
          <c:tx>
            <c:strRef>
              <c:f>Sheet1!$A$3</c:f>
              <c:strCache>
                <c:ptCount val="1"/>
                <c:pt idx="0">
                  <c:v>Fakts</c:v>
                </c:pt>
              </c:strCache>
            </c:strRef>
          </c:tx>
          <c:spPr>
            <a:ln w="19050">
              <a:solidFill>
                <a:srgbClr val="0070C0"/>
              </a:solidFill>
              <a:prstDash val="solid"/>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Sheet1!$B$3:$AC$3</c:f>
              <c:numCache>
                <c:formatCode>0.0</c:formatCode>
                <c:ptCount val="28"/>
                <c:pt idx="0">
                  <c:v>116.622362381534</c:v>
                </c:pt>
                <c:pt idx="1">
                  <c:v>110.74695373641977</c:v>
                </c:pt>
                <c:pt idx="2">
                  <c:v>114.81854505828348</c:v>
                </c:pt>
                <c:pt idx="3">
                  <c:v>118.27345375293068</c:v>
                </c:pt>
                <c:pt idx="4">
                  <c:v>135.55707822870917</c:v>
                </c:pt>
                <c:pt idx="5">
                  <c:v>130.70782287091768</c:v>
                </c:pt>
                <c:pt idx="6">
                  <c:v>132.72710761813582</c:v>
                </c:pt>
                <c:pt idx="7">
                  <c:v>135.82290393950404</c:v>
                </c:pt>
                <c:pt idx="8">
                  <c:v>134.38562890070367</c:v>
                </c:pt>
                <c:pt idx="9">
                  <c:v>137.03645609748068</c:v>
                </c:pt>
                <c:pt idx="10">
                  <c:v>123.7055443648252</c:v>
                </c:pt>
                <c:pt idx="11">
                  <c:v>119.81309645675798</c:v>
                </c:pt>
                <c:pt idx="12">
                  <c:v>106.76039362018302</c:v>
                </c:pt>
                <c:pt idx="13">
                  <c:v>94.233563385398014</c:v>
                </c:pt>
                <c:pt idx="14">
                  <c:v>81.175907274708436</c:v>
                </c:pt>
                <c:pt idx="15">
                  <c:v>72.181587029026218</c:v>
                </c:pt>
                <c:pt idx="16">
                  <c:v>60.789882112076107</c:v>
                </c:pt>
                <c:pt idx="17">
                  <c:v>62.091767658422192</c:v>
                </c:pt>
                <c:pt idx="18">
                  <c:v>70.388501799689465</c:v>
                </c:pt>
                <c:pt idx="19">
                  <c:v>65.785259056236214</c:v>
                </c:pt>
              </c:numCache>
            </c:numRef>
          </c:val>
          <c:smooth val="1"/>
        </c:ser>
        <c:ser>
          <c:idx val="4"/>
          <c:order val="1"/>
          <c:tx>
            <c:strRef>
              <c:f>Sheet1!$A$4</c:f>
              <c:strCache>
                <c:ptCount val="1"/>
                <c:pt idx="0">
                  <c:v>EM prognoze</c:v>
                </c:pt>
              </c:strCache>
            </c:strRef>
          </c:tx>
          <c:spPr>
            <a:ln w="19050">
              <a:solidFill>
                <a:srgbClr val="0070C0"/>
              </a:solidFill>
              <a:prstDash val="sysDash"/>
            </a:ln>
          </c:spPr>
          <c:marker>
            <c:symbol val="none"/>
          </c:marker>
          <c:cat>
            <c:multiLvlStrRef>
              <c:f>Sheet1!$B$1:$AC$2</c:f>
              <c:multiLvlStrCache>
                <c:ptCount val="2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lvl>
                <c:lvl>
                  <c:pt idx="0">
                    <c:v>2006</c:v>
                  </c:pt>
                  <c:pt idx="4">
                    <c:v>2007</c:v>
                  </c:pt>
                  <c:pt idx="8">
                    <c:v>2008</c:v>
                  </c:pt>
                  <c:pt idx="12">
                    <c:v>2009</c:v>
                  </c:pt>
                  <c:pt idx="16">
                    <c:v>2010</c:v>
                  </c:pt>
                  <c:pt idx="20">
                    <c:v>2011</c:v>
                  </c:pt>
                  <c:pt idx="24">
                    <c:v>2012</c:v>
                  </c:pt>
                </c:lvl>
              </c:multiLvlStrCache>
            </c:multiLvlStrRef>
          </c:cat>
          <c:val>
            <c:numRef>
              <c:f>Sheet1!$B$4:$AC$4</c:f>
              <c:numCache>
                <c:formatCode>General</c:formatCode>
                <c:ptCount val="28"/>
                <c:pt idx="19" formatCode="0.0">
                  <c:v>65.785259056236214</c:v>
                </c:pt>
                <c:pt idx="20" formatCode="0.0">
                  <c:v>66.647590106906989</c:v>
                </c:pt>
                <c:pt idx="21" formatCode="0.0">
                  <c:v>65.826653385150721</c:v>
                </c:pt>
                <c:pt idx="22" formatCode="0.0">
                  <c:v>70.599752668850712</c:v>
                </c:pt>
                <c:pt idx="23" formatCode="0.0">
                  <c:v>70.604464340912216</c:v>
                </c:pt>
                <c:pt idx="24" formatCode="0.0">
                  <c:v>71.041220996100407</c:v>
                </c:pt>
                <c:pt idx="25" formatCode="0.0">
                  <c:v>71.515674205668432</c:v>
                </c:pt>
                <c:pt idx="26" formatCode="0.0">
                  <c:v>72.995960349857597</c:v>
                </c:pt>
                <c:pt idx="27" formatCode="0.0">
                  <c:v>73.517830483190991</c:v>
                </c:pt>
              </c:numCache>
            </c:numRef>
          </c:val>
          <c:smooth val="1"/>
        </c:ser>
        <c:marker val="1"/>
        <c:axId val="278558592"/>
        <c:axId val="278560128"/>
      </c:lineChart>
      <c:catAx>
        <c:axId val="278558592"/>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560128"/>
        <c:crosses val="autoZero"/>
        <c:auto val="1"/>
        <c:lblAlgn val="ctr"/>
        <c:lblOffset val="100"/>
        <c:tickLblSkip val="1"/>
        <c:tickMarkSkip val="1"/>
        <c:noMultiLvlLbl val="1"/>
      </c:catAx>
      <c:valAx>
        <c:axId val="278560128"/>
        <c:scaling>
          <c:orientation val="minMax"/>
          <c:min val="5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558592"/>
        <c:crosses val="autoZero"/>
        <c:crossBetween val="between"/>
      </c:valAx>
      <c:spPr>
        <a:noFill/>
        <a:ln w="6350">
          <a:noFill/>
        </a:ln>
      </c:spPr>
    </c:plotArea>
    <c:legend>
      <c:legendPos val="l"/>
      <c:layout>
        <c:manualLayout>
          <c:xMode val="edge"/>
          <c:yMode val="edge"/>
          <c:x val="0.10897535072817288"/>
          <c:y val="0.61475493827160566"/>
          <c:w val="0.42421561262439367"/>
          <c:h val="0.17576387470533344"/>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32143774717895E-2"/>
          <c:y val="3.6529680365296795E-2"/>
          <c:w val="0.93118091381047563"/>
          <c:h val="0.81566484274211482"/>
        </c:manualLayout>
      </c:layout>
      <c:barChart>
        <c:barDir val="col"/>
        <c:grouping val="clustered"/>
        <c:ser>
          <c:idx val="1"/>
          <c:order val="0"/>
          <c:tx>
            <c:strRef>
              <c:f>Sheet1!$A$3</c:f>
              <c:strCache>
                <c:ptCount val="1"/>
                <c:pt idx="0">
                  <c:v>Nodarbinātības līmenis vecuma grupā 15-64 gadi (kreisā ass)</c:v>
                </c:pt>
              </c:strCache>
            </c:strRef>
          </c:tx>
          <c:spPr>
            <a:solidFill>
              <a:sysClr val="window" lastClr="FFFFFF">
                <a:lumMod val="50000"/>
              </a:sysClr>
            </a:solidFill>
            <a:ln w="9525">
              <a:solidFill>
                <a:sysClr val="windowText" lastClr="000000"/>
              </a:solidFill>
              <a:prstDash val="solid"/>
            </a:ln>
          </c:spP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Sheet1!$B$3:$U$3</c:f>
              <c:numCache>
                <c:formatCode>General</c:formatCode>
                <c:ptCount val="20"/>
                <c:pt idx="0">
                  <c:v>66.400000000000006</c:v>
                </c:pt>
                <c:pt idx="1">
                  <c:v>67.599999999999994</c:v>
                </c:pt>
                <c:pt idx="2">
                  <c:v>69</c:v>
                </c:pt>
                <c:pt idx="3">
                  <c:v>70.3</c:v>
                </c:pt>
                <c:pt idx="4">
                  <c:v>69.599999999999994</c:v>
                </c:pt>
                <c:pt idx="5">
                  <c:v>69.400000000000006</c:v>
                </c:pt>
                <c:pt idx="6">
                  <c:v>69</c:v>
                </c:pt>
                <c:pt idx="7">
                  <c:v>66.5</c:v>
                </c:pt>
                <c:pt idx="8">
                  <c:v>64.3</c:v>
                </c:pt>
                <c:pt idx="9">
                  <c:v>61.4</c:v>
                </c:pt>
                <c:pt idx="10">
                  <c:v>59.8</c:v>
                </c:pt>
                <c:pt idx="11">
                  <c:v>58.4</c:v>
                </c:pt>
                <c:pt idx="12">
                  <c:v>57.70819883796031</c:v>
                </c:pt>
                <c:pt idx="13">
                  <c:v>58.934796642995479</c:v>
                </c:pt>
                <c:pt idx="14">
                  <c:v>60.587045540670793</c:v>
                </c:pt>
                <c:pt idx="15">
                  <c:v>60.070586974527622</c:v>
                </c:pt>
                <c:pt idx="16">
                  <c:v>60.527761881381196</c:v>
                </c:pt>
                <c:pt idx="17">
                  <c:v>61.664981666697173</c:v>
                </c:pt>
                <c:pt idx="18">
                  <c:v>62.989743501997886</c:v>
                </c:pt>
                <c:pt idx="19">
                  <c:v>62.565808687669644</c:v>
                </c:pt>
              </c:numCache>
            </c:numRef>
          </c:val>
        </c:ser>
        <c:ser>
          <c:idx val="0"/>
          <c:order val="1"/>
          <c:tx>
            <c:strRef>
              <c:f>Sheet1!#REF!</c:f>
              <c:strCache>
                <c:ptCount val="1"/>
                <c:pt idx="0">
                  <c:v>#REF!</c:v>
                </c:pt>
              </c:strCache>
            </c:strRef>
          </c:tx>
          <c:spPr>
            <a:solidFill>
              <a:sysClr val="window" lastClr="FFFFFF"/>
            </a:solidFill>
            <a:ln w="3175">
              <a:solidFill>
                <a:sysClr val="windowText" lastClr="000000"/>
              </a:solidFill>
            </a:ln>
          </c:spP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Sheet1!#REF!</c:f>
              <c:numCache>
                <c:formatCode>General</c:formatCode>
                <c:ptCount val="1"/>
                <c:pt idx="0">
                  <c:v>1</c:v>
                </c:pt>
              </c:numCache>
            </c:numRef>
          </c:val>
        </c:ser>
        <c:gapWidth val="25"/>
        <c:overlap val="20"/>
        <c:axId val="278716800"/>
        <c:axId val="278718336"/>
      </c:barChart>
      <c:lineChart>
        <c:grouping val="standard"/>
        <c:ser>
          <c:idx val="2"/>
          <c:order val="2"/>
          <c:tx>
            <c:strRef>
              <c:f>Sheet1!$A$4</c:f>
              <c:strCache>
                <c:ptCount val="1"/>
                <c:pt idx="0">
                  <c:v>Ekonomiskās aktivitātes līmenis vecuma grupā 15-74 gadi  (kreisā ass)</c:v>
                </c:pt>
              </c:strCache>
            </c:strRef>
          </c:tx>
          <c:spPr>
            <a:ln w="28575">
              <a:solidFill>
                <a:sysClr val="windowText" lastClr="00000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Sheet1!$B$4:$U$4</c:f>
              <c:numCache>
                <c:formatCode>General</c:formatCode>
                <c:ptCount val="20"/>
                <c:pt idx="0">
                  <c:v>64.5</c:v>
                </c:pt>
                <c:pt idx="1">
                  <c:v>65.3</c:v>
                </c:pt>
                <c:pt idx="2">
                  <c:v>66.599999999999994</c:v>
                </c:pt>
                <c:pt idx="3">
                  <c:v>67.3</c:v>
                </c:pt>
                <c:pt idx="4">
                  <c:v>67.8</c:v>
                </c:pt>
                <c:pt idx="5">
                  <c:v>67.8</c:v>
                </c:pt>
                <c:pt idx="6">
                  <c:v>67.900000000000006</c:v>
                </c:pt>
                <c:pt idx="7">
                  <c:v>67</c:v>
                </c:pt>
                <c:pt idx="8">
                  <c:v>68</c:v>
                </c:pt>
                <c:pt idx="9">
                  <c:v>67.099999999999994</c:v>
                </c:pt>
                <c:pt idx="10">
                  <c:v>65.400000000000006</c:v>
                </c:pt>
                <c:pt idx="11">
                  <c:v>65</c:v>
                </c:pt>
                <c:pt idx="12">
                  <c:v>65</c:v>
                </c:pt>
                <c:pt idx="13">
                  <c:v>65.529106498195006</c:v>
                </c:pt>
                <c:pt idx="14" formatCode="0.00">
                  <c:v>66.018552205930064</c:v>
                </c:pt>
                <c:pt idx="15">
                  <c:v>64.551974662052601</c:v>
                </c:pt>
              </c:numCache>
            </c:numRef>
          </c:val>
        </c:ser>
        <c:ser>
          <c:idx val="3"/>
          <c:order val="3"/>
          <c:tx>
            <c:strRef>
              <c:f>Sheet1!$A$5</c:f>
              <c:strCache>
                <c:ptCount val="1"/>
                <c:pt idx="0">
                  <c:v>p2</c:v>
                </c:pt>
              </c:strCache>
            </c:strRef>
          </c:tx>
          <c:spPr>
            <a:ln w="28575">
              <a:solidFill>
                <a:sysClr val="windowText" lastClr="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Sheet1!$B$5:$U$5</c:f>
              <c:numCache>
                <c:formatCode>General</c:formatCode>
                <c:ptCount val="20"/>
                <c:pt idx="15">
                  <c:v>64.551974662052601</c:v>
                </c:pt>
                <c:pt idx="16">
                  <c:v>65.143878429416318</c:v>
                </c:pt>
                <c:pt idx="17">
                  <c:v>65.645724686115514</c:v>
                </c:pt>
                <c:pt idx="18">
                  <c:v>66.065030211934058</c:v>
                </c:pt>
                <c:pt idx="19">
                  <c:v>65.489419203916327</c:v>
                </c:pt>
              </c:numCache>
            </c:numRef>
          </c:val>
        </c:ser>
        <c:marker val="1"/>
        <c:axId val="278716800"/>
        <c:axId val="278718336"/>
      </c:lineChart>
      <c:lineChart>
        <c:grouping val="standard"/>
        <c:ser>
          <c:idx val="4"/>
          <c:order val="4"/>
          <c:tx>
            <c:strRef>
              <c:f>Sheet1!$A$6</c:f>
              <c:strCache>
                <c:ptCount val="1"/>
                <c:pt idx="0">
                  <c:v>Bezdarba līmenis vecuma grupā 15-74 gadi (labā ass)</c:v>
                </c:pt>
              </c:strCache>
            </c:strRef>
          </c:tx>
          <c:spPr>
            <a:ln w="38100">
              <a:solidFill>
                <a:srgbClr val="0070C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Sheet1!$B$6:$U$6</c:f>
              <c:numCache>
                <c:formatCode>General</c:formatCode>
                <c:ptCount val="20"/>
                <c:pt idx="0">
                  <c:v>6.9</c:v>
                </c:pt>
                <c:pt idx="1">
                  <c:v>6</c:v>
                </c:pt>
                <c:pt idx="2">
                  <c:v>5.9</c:v>
                </c:pt>
                <c:pt idx="3">
                  <c:v>5.3</c:v>
                </c:pt>
                <c:pt idx="4">
                  <c:v>6.5</c:v>
                </c:pt>
                <c:pt idx="5">
                  <c:v>6.3</c:v>
                </c:pt>
                <c:pt idx="6">
                  <c:v>7.2</c:v>
                </c:pt>
                <c:pt idx="7">
                  <c:v>9.8000000000000007</c:v>
                </c:pt>
                <c:pt idx="8">
                  <c:v>13.9</c:v>
                </c:pt>
                <c:pt idx="9">
                  <c:v>16.7</c:v>
                </c:pt>
                <c:pt idx="10">
                  <c:v>18.399999999999999</c:v>
                </c:pt>
                <c:pt idx="11">
                  <c:v>19.7</c:v>
                </c:pt>
                <c:pt idx="12">
                  <c:v>20.399999999999999</c:v>
                </c:pt>
                <c:pt idx="13">
                  <c:v>19.449554038888987</c:v>
                </c:pt>
                <c:pt idx="14" formatCode="0.0">
                  <c:v>17.946404831448589</c:v>
                </c:pt>
                <c:pt idx="15">
                  <c:v>16.897023339492101</c:v>
                </c:pt>
              </c:numCache>
            </c:numRef>
          </c:val>
        </c:ser>
        <c:ser>
          <c:idx val="5"/>
          <c:order val="5"/>
          <c:tx>
            <c:strRef>
              <c:f>Sheet1!$A$7</c:f>
              <c:strCache>
                <c:ptCount val="1"/>
                <c:pt idx="0">
                  <c:v>p3</c:v>
                </c:pt>
              </c:strCache>
            </c:strRef>
          </c:tx>
          <c:spPr>
            <a:ln w="38100">
              <a:solidFill>
                <a:srgbClr val="0070C0"/>
              </a:solidFill>
              <a:prstDash val="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Sheet1!$B$7:$U$7</c:f>
              <c:numCache>
                <c:formatCode>General</c:formatCode>
                <c:ptCount val="20"/>
                <c:pt idx="14" formatCode="0.0">
                  <c:v>17.946404831448589</c:v>
                </c:pt>
                <c:pt idx="15">
                  <c:v>16.897023339492101</c:v>
                </c:pt>
                <c:pt idx="16" formatCode="0.0">
                  <c:v>17.025386047119689</c:v>
                </c:pt>
                <c:pt idx="17" formatCode="0.0">
                  <c:v>16.112665293638091</c:v>
                </c:pt>
                <c:pt idx="18" formatCode="0.0">
                  <c:v>14.854355273042676</c:v>
                </c:pt>
                <c:pt idx="19" formatCode="0.0">
                  <c:v>14.684063983588743</c:v>
                </c:pt>
              </c:numCache>
            </c:numRef>
          </c:val>
        </c:ser>
        <c:marker val="1"/>
        <c:axId val="278840448"/>
        <c:axId val="278719872"/>
      </c:lineChart>
      <c:catAx>
        <c:axId val="278716800"/>
        <c:scaling>
          <c:orientation val="minMax"/>
        </c:scaling>
        <c:axPos val="b"/>
        <c:numFmt formatCode="General" sourceLinked="1"/>
        <c:majorTickMark val="none"/>
        <c:minorTickMark val="cross"/>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8718336"/>
        <c:crosses val="autoZero"/>
        <c:auto val="1"/>
        <c:lblAlgn val="ctr"/>
        <c:lblOffset val="0"/>
        <c:tickLblSkip val="1"/>
        <c:tickMarkSkip val="1"/>
        <c:noMultiLvlLbl val="1"/>
      </c:catAx>
      <c:valAx>
        <c:axId val="278718336"/>
        <c:scaling>
          <c:orientation val="minMax"/>
          <c:max val="90"/>
          <c:min val="40"/>
        </c:scaling>
        <c:axPos val="l"/>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78716800"/>
        <c:crosses val="autoZero"/>
        <c:crossBetween val="between"/>
      </c:valAx>
      <c:valAx>
        <c:axId val="278719872"/>
        <c:scaling>
          <c:orientation val="minMax"/>
          <c:max val="25"/>
        </c:scaling>
        <c:axPos val="r"/>
        <c:numFmt formatCode="General" sourceLinked="1"/>
        <c:tickLblPos val="nextTo"/>
        <c:txPr>
          <a:bodyPr/>
          <a:lstStyle/>
          <a:p>
            <a:pPr>
              <a:defRPr lang="lv-LV" b="0"/>
            </a:pPr>
            <a:endParaRPr lang="lv-LV"/>
          </a:p>
        </c:txPr>
        <c:crossAx val="278840448"/>
        <c:crosses val="max"/>
        <c:crossBetween val="between"/>
      </c:valAx>
      <c:catAx>
        <c:axId val="278840448"/>
        <c:scaling>
          <c:orientation val="minMax"/>
        </c:scaling>
        <c:delete val="1"/>
        <c:axPos val="b"/>
        <c:tickLblPos val="none"/>
        <c:crossAx val="278719872"/>
        <c:crosses val="autoZero"/>
        <c:auto val="1"/>
        <c:lblAlgn val="ctr"/>
        <c:lblOffset val="100"/>
      </c:catAx>
      <c:spPr>
        <a:noFill/>
        <a:ln w="6350">
          <a:solidFill>
            <a:sysClr val="window" lastClr="FFFFFF">
              <a:lumMod val="75000"/>
            </a:sysClr>
          </a:solidFill>
        </a:ln>
      </c:spPr>
    </c:plotArea>
    <c:legend>
      <c:legendPos val="b"/>
      <c:legendEntry>
        <c:idx val="1"/>
        <c:delete val="1"/>
      </c:legendEntry>
      <c:legendEntry>
        <c:idx val="3"/>
        <c:delete val="1"/>
      </c:legendEntry>
      <c:legendEntry>
        <c:idx val="5"/>
        <c:delete val="1"/>
      </c:legendEntry>
      <c:layout>
        <c:manualLayout>
          <c:xMode val="edge"/>
          <c:yMode val="edge"/>
          <c:x val="4.5607156248326113E-2"/>
          <c:y val="5.1726055429511988E-2"/>
          <c:w val="0.59475119181530856"/>
          <c:h val="0.17978757847619806"/>
        </c:manualLayout>
      </c:layout>
      <c:spPr>
        <a:no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43276595944424E-2"/>
          <c:y val="2.3584324861358277E-2"/>
          <c:w val="0.91692665367644965"/>
          <c:h val="0.8729695134262086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Sheet1!$B$1:$V$2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2006</c:v>
                  </c:pt>
                  <c:pt idx="4">
                    <c:v>2007</c:v>
                  </c:pt>
                  <c:pt idx="8">
                    <c:v>2008</c:v>
                  </c:pt>
                  <c:pt idx="12">
                    <c:v>2009</c:v>
                  </c:pt>
                  <c:pt idx="16">
                    <c:v>2010</c:v>
                  </c:pt>
                  <c:pt idx="20">
                    <c:v>2011</c:v>
                  </c:pt>
                </c:lvl>
              </c:multiLvlStrCache>
            </c:multiLvlStrRef>
          </c:cat>
          <c:val>
            <c:numRef>
              <c:f>Sheet1!$B$3:$V$3</c:f>
              <c:numCache>
                <c:formatCode>General</c:formatCode>
                <c:ptCount val="21"/>
                <c:pt idx="0">
                  <c:v>81.7</c:v>
                </c:pt>
                <c:pt idx="1">
                  <c:v>81.900000000000006</c:v>
                </c:pt>
                <c:pt idx="2">
                  <c:v>83.1</c:v>
                </c:pt>
                <c:pt idx="3">
                  <c:v>83.5</c:v>
                </c:pt>
                <c:pt idx="4">
                  <c:v>84.1</c:v>
                </c:pt>
                <c:pt idx="5">
                  <c:v>84.5</c:v>
                </c:pt>
                <c:pt idx="6">
                  <c:v>83.8</c:v>
                </c:pt>
                <c:pt idx="7">
                  <c:v>83.8</c:v>
                </c:pt>
                <c:pt idx="8">
                  <c:v>83.7</c:v>
                </c:pt>
                <c:pt idx="9">
                  <c:v>83.8</c:v>
                </c:pt>
                <c:pt idx="10">
                  <c:v>83.4</c:v>
                </c:pt>
                <c:pt idx="11">
                  <c:v>80.900000000000006</c:v>
                </c:pt>
                <c:pt idx="12">
                  <c:v>73.5</c:v>
                </c:pt>
                <c:pt idx="13">
                  <c:v>69.8</c:v>
                </c:pt>
                <c:pt idx="14">
                  <c:v>71</c:v>
                </c:pt>
                <c:pt idx="15">
                  <c:v>72.900000000000006</c:v>
                </c:pt>
                <c:pt idx="16">
                  <c:v>73</c:v>
                </c:pt>
                <c:pt idx="17">
                  <c:v>76.099999999999994</c:v>
                </c:pt>
                <c:pt idx="18">
                  <c:v>77.900000000000006</c:v>
                </c:pt>
                <c:pt idx="19">
                  <c:v>78.900000000000006</c:v>
                </c:pt>
                <c:pt idx="20">
                  <c:v>78.900000000000006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Sheet1!$B$1:$V$2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2006</c:v>
                  </c:pt>
                  <c:pt idx="4">
                    <c:v>2007</c:v>
                  </c:pt>
                  <c:pt idx="8">
                    <c:v>2008</c:v>
                  </c:pt>
                  <c:pt idx="12">
                    <c:v>2009</c:v>
                  </c:pt>
                  <c:pt idx="16">
                    <c:v>2010</c:v>
                  </c:pt>
                  <c:pt idx="20">
                    <c:v>2011</c:v>
                  </c:pt>
                </c:lvl>
              </c:multiLvlStrCache>
            </c:multiLvlStrRef>
          </c:cat>
          <c:val>
            <c:numRef>
              <c:f>Sheet1!$B$4:$V$4</c:f>
              <c:numCache>
                <c:formatCode>General</c:formatCode>
                <c:ptCount val="21"/>
                <c:pt idx="0">
                  <c:v>79.400000000000006</c:v>
                </c:pt>
                <c:pt idx="1">
                  <c:v>79.099999999999994</c:v>
                </c:pt>
                <c:pt idx="2">
                  <c:v>78.5</c:v>
                </c:pt>
                <c:pt idx="3">
                  <c:v>78</c:v>
                </c:pt>
                <c:pt idx="4">
                  <c:v>78.400000000000006</c:v>
                </c:pt>
                <c:pt idx="5">
                  <c:v>77.599999999999994</c:v>
                </c:pt>
                <c:pt idx="6">
                  <c:v>77.2</c:v>
                </c:pt>
                <c:pt idx="7">
                  <c:v>74.900000000000006</c:v>
                </c:pt>
                <c:pt idx="8">
                  <c:v>74.3</c:v>
                </c:pt>
                <c:pt idx="9">
                  <c:v>72.099999999999994</c:v>
                </c:pt>
                <c:pt idx="10">
                  <c:v>70.8</c:v>
                </c:pt>
                <c:pt idx="11">
                  <c:v>67.8</c:v>
                </c:pt>
                <c:pt idx="12">
                  <c:v>58.2</c:v>
                </c:pt>
                <c:pt idx="13">
                  <c:v>56.8</c:v>
                </c:pt>
                <c:pt idx="14">
                  <c:v>58.7</c:v>
                </c:pt>
                <c:pt idx="15">
                  <c:v>60.3</c:v>
                </c:pt>
                <c:pt idx="16">
                  <c:v>59.9</c:v>
                </c:pt>
                <c:pt idx="17">
                  <c:v>66.7</c:v>
                </c:pt>
                <c:pt idx="18">
                  <c:v>70.2</c:v>
                </c:pt>
                <c:pt idx="19">
                  <c:v>72.2</c:v>
                </c:pt>
                <c:pt idx="20">
                  <c:v>69.7</c:v>
                </c:pt>
              </c:numCache>
            </c:numRef>
          </c:val>
          <c:smooth val="1"/>
        </c:ser>
        <c:ser>
          <c:idx val="2"/>
          <c:order val="2"/>
          <c:tx>
            <c:strRef>
              <c:f>Sheet1!$A$5</c:f>
              <c:strCache>
                <c:ptCount val="1"/>
                <c:pt idx="0">
                  <c:v>LV</c:v>
                </c:pt>
              </c:strCache>
            </c:strRef>
          </c:tx>
          <c:spPr>
            <a:ln w="31750">
              <a:solidFill>
                <a:srgbClr val="0070C0"/>
              </a:solidFill>
              <a:prstDash val="solid"/>
            </a:ln>
          </c:spPr>
          <c:marker>
            <c:symbol val="none"/>
          </c:marker>
          <c:cat>
            <c:multiLvlStrRef>
              <c:f>Sheet1!$B$1:$V$2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2006</c:v>
                  </c:pt>
                  <c:pt idx="4">
                    <c:v>2007</c:v>
                  </c:pt>
                  <c:pt idx="8">
                    <c:v>2008</c:v>
                  </c:pt>
                  <c:pt idx="12">
                    <c:v>2009</c:v>
                  </c:pt>
                  <c:pt idx="16">
                    <c:v>2010</c:v>
                  </c:pt>
                  <c:pt idx="20">
                    <c:v>2011</c:v>
                  </c:pt>
                </c:lvl>
              </c:multiLvlStrCache>
            </c:multiLvlStrRef>
          </c:cat>
          <c:val>
            <c:numRef>
              <c:f>Sheet1!$B$5:$V$5</c:f>
              <c:numCache>
                <c:formatCode>General</c:formatCode>
                <c:ptCount val="21"/>
                <c:pt idx="0">
                  <c:v>74.599999999999994</c:v>
                </c:pt>
                <c:pt idx="1">
                  <c:v>74.400000000000006</c:v>
                </c:pt>
                <c:pt idx="2">
                  <c:v>71.400000000000006</c:v>
                </c:pt>
                <c:pt idx="3">
                  <c:v>73.7</c:v>
                </c:pt>
                <c:pt idx="4">
                  <c:v>71.5</c:v>
                </c:pt>
                <c:pt idx="5">
                  <c:v>73.599999999999994</c:v>
                </c:pt>
                <c:pt idx="6">
                  <c:v>71.8</c:v>
                </c:pt>
                <c:pt idx="7">
                  <c:v>73.7</c:v>
                </c:pt>
                <c:pt idx="8">
                  <c:v>71.7</c:v>
                </c:pt>
                <c:pt idx="9">
                  <c:v>68</c:v>
                </c:pt>
                <c:pt idx="10">
                  <c:v>67.099999999999994</c:v>
                </c:pt>
                <c:pt idx="11">
                  <c:v>64.8</c:v>
                </c:pt>
                <c:pt idx="12">
                  <c:v>59.3</c:v>
                </c:pt>
                <c:pt idx="13">
                  <c:v>53.8</c:v>
                </c:pt>
                <c:pt idx="14">
                  <c:v>54.5</c:v>
                </c:pt>
                <c:pt idx="15">
                  <c:v>54.8</c:v>
                </c:pt>
                <c:pt idx="16">
                  <c:v>58</c:v>
                </c:pt>
                <c:pt idx="17">
                  <c:v>60.3</c:v>
                </c:pt>
                <c:pt idx="18">
                  <c:v>65.7</c:v>
                </c:pt>
                <c:pt idx="19">
                  <c:v>66.7</c:v>
                </c:pt>
                <c:pt idx="20">
                  <c:v>65.099999999999994</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Sheet1!$B$1:$V$2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2006</c:v>
                  </c:pt>
                  <c:pt idx="4">
                    <c:v>2007</c:v>
                  </c:pt>
                  <c:pt idx="8">
                    <c:v>2008</c:v>
                  </c:pt>
                  <c:pt idx="12">
                    <c:v>2009</c:v>
                  </c:pt>
                  <c:pt idx="16">
                    <c:v>2010</c:v>
                  </c:pt>
                  <c:pt idx="20">
                    <c:v>2011</c:v>
                  </c:pt>
                </c:lvl>
              </c:multiLvlStrCache>
            </c:multiLvlStrRef>
          </c:cat>
          <c:val>
            <c:numRef>
              <c:f>Sheet1!$B$6:$V$6</c:f>
              <c:numCache>
                <c:formatCode>General</c:formatCode>
                <c:ptCount val="21"/>
                <c:pt idx="0">
                  <c:v>72.2</c:v>
                </c:pt>
                <c:pt idx="1">
                  <c:v>73.099999999999994</c:v>
                </c:pt>
                <c:pt idx="2">
                  <c:v>73.400000000000006</c:v>
                </c:pt>
                <c:pt idx="3">
                  <c:v>73.400000000000006</c:v>
                </c:pt>
                <c:pt idx="4">
                  <c:v>75</c:v>
                </c:pt>
                <c:pt idx="5">
                  <c:v>73.8</c:v>
                </c:pt>
                <c:pt idx="6">
                  <c:v>73.400000000000006</c:v>
                </c:pt>
                <c:pt idx="7">
                  <c:v>72.400000000000006</c:v>
                </c:pt>
                <c:pt idx="8">
                  <c:v>72.8</c:v>
                </c:pt>
                <c:pt idx="9">
                  <c:v>70.900000000000006</c:v>
                </c:pt>
                <c:pt idx="10">
                  <c:v>71.099999999999994</c:v>
                </c:pt>
                <c:pt idx="11">
                  <c:v>70.2</c:v>
                </c:pt>
                <c:pt idx="12">
                  <c:v>63.9</c:v>
                </c:pt>
                <c:pt idx="13">
                  <c:v>59.6</c:v>
                </c:pt>
                <c:pt idx="14">
                  <c:v>61</c:v>
                </c:pt>
                <c:pt idx="15">
                  <c:v>61.5</c:v>
                </c:pt>
                <c:pt idx="16">
                  <c:v>61.7</c:v>
                </c:pt>
                <c:pt idx="17">
                  <c:v>62.5</c:v>
                </c:pt>
                <c:pt idx="18">
                  <c:v>66.5</c:v>
                </c:pt>
                <c:pt idx="19">
                  <c:v>67.7</c:v>
                </c:pt>
                <c:pt idx="20">
                  <c:v>69.099999999999994</c:v>
                </c:pt>
              </c:numCache>
            </c:numRef>
          </c:val>
          <c:smooth val="1"/>
        </c:ser>
        <c:marker val="1"/>
        <c:axId val="147780352"/>
        <c:axId val="147781888"/>
      </c:lineChart>
      <c:catAx>
        <c:axId val="147780352"/>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7781888"/>
        <c:crosses val="autoZero"/>
        <c:lblAlgn val="ctr"/>
        <c:lblOffset val="0"/>
        <c:tickLblSkip val="1"/>
        <c:tickMarkSkip val="1"/>
        <c:noMultiLvlLbl val="1"/>
      </c:catAx>
      <c:valAx>
        <c:axId val="147781888"/>
        <c:scaling>
          <c:orientation val="minMax"/>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7780352"/>
        <c:crosses val="autoZero"/>
        <c:crossBetween val="between"/>
      </c:valAx>
      <c:spPr>
        <a:noFill/>
        <a:ln w="6350">
          <a:solidFill>
            <a:sysClr val="window" lastClr="FFFFFF">
              <a:lumMod val="75000"/>
            </a:sysClr>
          </a:solidFill>
        </a:ln>
      </c:spPr>
    </c:plotArea>
    <c:legend>
      <c:legendPos val="b"/>
      <c:layout>
        <c:manualLayout>
          <c:xMode val="edge"/>
          <c:yMode val="edge"/>
          <c:x val="9.1224539424584694E-2"/>
          <c:y val="0.57420807876193858"/>
          <c:w val="0.30540414077633266"/>
          <c:h val="0.22103694730466383"/>
        </c:manualLayout>
      </c:layout>
      <c:spPr>
        <a:solidFill>
          <a:sysClr val="window" lastClr="FFFFFF"/>
        </a:solidFill>
      </c:spPr>
      <c:txPr>
        <a:bodyPr/>
        <a:lstStyle/>
        <a:p>
          <a:pPr>
            <a:defRPr lang="lv-LV" sz="10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2094465337501768E-2"/>
          <c:y val="6.2566115410074535E-2"/>
          <c:w val="0.89816063611574271"/>
          <c:h val="0.83065453024358682"/>
        </c:manualLayout>
      </c:layout>
      <c:lineChart>
        <c:grouping val="standard"/>
        <c:ser>
          <c:idx val="0"/>
          <c:order val="0"/>
          <c:tx>
            <c:strRef>
              <c:f>Sheet1!$B$1</c:f>
              <c:strCache>
                <c:ptCount val="1"/>
                <c:pt idx="0">
                  <c:v>2008</c:v>
                </c:pt>
              </c:strCache>
            </c:strRef>
          </c:tx>
          <c:spPr>
            <a:ln w="12700">
              <a:solidFill>
                <a:srgbClr val="000000"/>
              </a:solidFill>
              <a:prstDash val="sys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Sheet1!$B$2:$B$14</c:f>
              <c:numCache>
                <c:formatCode>0.0</c:formatCode>
                <c:ptCount val="13"/>
                <c:pt idx="0" formatCode="General">
                  <c:v>100</c:v>
                </c:pt>
                <c:pt idx="1">
                  <c:v>102.84853808507968</c:v>
                </c:pt>
                <c:pt idx="2">
                  <c:v>104.19751537206675</c:v>
                </c:pt>
                <c:pt idx="3">
                  <c:v>105.73472204793576</c:v>
                </c:pt>
                <c:pt idx="4">
                  <c:v>107.36604341824572</c:v>
                </c:pt>
                <c:pt idx="5">
                  <c:v>108.3699334922826</c:v>
                </c:pt>
                <c:pt idx="6">
                  <c:v>109.11030242188471</c:v>
                </c:pt>
                <c:pt idx="7">
                  <c:v>109.44284100890953</c:v>
                </c:pt>
                <c:pt idx="8">
                  <c:v>108.96599322374212</c:v>
                </c:pt>
                <c:pt idx="9">
                  <c:v>110.15811268666071</c:v>
                </c:pt>
                <c:pt idx="10">
                  <c:v>111.46944409587152</c:v>
                </c:pt>
                <c:pt idx="11">
                  <c:v>111.06788806625666</c:v>
                </c:pt>
                <c:pt idx="12">
                  <c:v>110.53457146442456</c:v>
                </c:pt>
              </c:numCache>
            </c:numRef>
          </c:val>
          <c:smooth val="1"/>
        </c:ser>
        <c:ser>
          <c:idx val="2"/>
          <c:order val="1"/>
          <c:tx>
            <c:strRef>
              <c:f>Sheet1!$C$1</c:f>
              <c:strCache>
                <c:ptCount val="1"/>
                <c:pt idx="0">
                  <c:v>2009</c:v>
                </c:pt>
              </c:strCache>
            </c:strRef>
          </c:tx>
          <c:spPr>
            <a:ln w="12700">
              <a:solidFill>
                <a:srgbClr val="000000"/>
              </a:solidFill>
              <a:prstDash val="lg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Sheet1!$C$2:$C$14</c:f>
              <c:numCache>
                <c:formatCode>0.0</c:formatCode>
                <c:ptCount val="13"/>
                <c:pt idx="0" formatCode="General">
                  <c:v>100</c:v>
                </c:pt>
                <c:pt idx="1">
                  <c:v>102.19674178350439</c:v>
                </c:pt>
                <c:pt idx="2">
                  <c:v>103.2979508429358</c:v>
                </c:pt>
                <c:pt idx="3">
                  <c:v>103.54203326332522</c:v>
                </c:pt>
                <c:pt idx="4">
                  <c:v>103.1446897882729</c:v>
                </c:pt>
                <c:pt idx="5">
                  <c:v>102.61679059998865</c:v>
                </c:pt>
                <c:pt idx="6">
                  <c:v>102.05483339955725</c:v>
                </c:pt>
                <c:pt idx="7">
                  <c:v>101.44178918090482</c:v>
                </c:pt>
                <c:pt idx="8">
                  <c:v>100.39734347505252</c:v>
                </c:pt>
                <c:pt idx="9">
                  <c:v>100.17029006073678</c:v>
                </c:pt>
                <c:pt idx="10">
                  <c:v>99.977294658568496</c:v>
                </c:pt>
                <c:pt idx="11">
                  <c:v>99.307487086337076</c:v>
                </c:pt>
                <c:pt idx="12">
                  <c:v>98.830674916274049</c:v>
                </c:pt>
              </c:numCache>
            </c:numRef>
          </c:val>
          <c:smooth val="1"/>
        </c:ser>
        <c:ser>
          <c:idx val="4"/>
          <c:order val="2"/>
          <c:tx>
            <c:strRef>
              <c:f>Sheet1!$D$1</c:f>
              <c:strCache>
                <c:ptCount val="1"/>
                <c:pt idx="0">
                  <c:v>2010</c:v>
                </c:pt>
              </c:strCache>
            </c:strRef>
          </c:tx>
          <c:spPr>
            <a:ln w="15875">
              <a:solidFill>
                <a:schemeClr val="tx1"/>
              </a:solidFill>
              <a:prstDash val="solid"/>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Sheet1!$D$2:$D$14</c:f>
              <c:numCache>
                <c:formatCode>0.0</c:formatCode>
                <c:ptCount val="13"/>
                <c:pt idx="0" formatCode="General">
                  <c:v>100</c:v>
                </c:pt>
                <c:pt idx="1">
                  <c:v>100.1780483602319</c:v>
                </c:pt>
                <c:pt idx="2">
                  <c:v>100.15507437826643</c:v>
                </c:pt>
                <c:pt idx="3">
                  <c:v>100.63752799954052</c:v>
                </c:pt>
                <c:pt idx="4">
                  <c:v>101.51628280971799</c:v>
                </c:pt>
                <c:pt idx="5">
                  <c:v>101.4358738728389</c:v>
                </c:pt>
                <c:pt idx="6">
                  <c:v>101.84366205272528</c:v>
                </c:pt>
                <c:pt idx="7">
                  <c:v>102.04468439492284</c:v>
                </c:pt>
                <c:pt idx="8">
                  <c:v>101.32674745850306</c:v>
                </c:pt>
                <c:pt idx="9">
                  <c:v>101.78048360232036</c:v>
                </c:pt>
                <c:pt idx="10">
                  <c:v>102.16529780024121</c:v>
                </c:pt>
                <c:pt idx="11">
                  <c:v>102.40078111538664</c:v>
                </c:pt>
                <c:pt idx="12">
                  <c:v>102.54436850267071</c:v>
                </c:pt>
              </c:numCache>
            </c:numRef>
          </c:val>
          <c:smooth val="1"/>
        </c:ser>
        <c:ser>
          <c:idx val="5"/>
          <c:order val="3"/>
          <c:tx>
            <c:strRef>
              <c:f>Sheet1!$E$1</c:f>
              <c:strCache>
                <c:ptCount val="1"/>
              </c:strCache>
            </c:strRef>
          </c:tx>
          <c:spPr>
            <a:ln w="28575">
              <a:solidFill>
                <a:srgbClr val="0070C0"/>
              </a:solidFill>
              <a:prstDash val="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Sheet1!$E$2:$E$14</c:f>
              <c:numCache>
                <c:formatCode>0.0</c:formatCode>
                <c:ptCount val="13"/>
                <c:pt idx="0" formatCode="General">
                  <c:v>100</c:v>
                </c:pt>
                <c:pt idx="1">
                  <c:v>101.28822672790412</c:v>
                </c:pt>
                <c:pt idx="2">
                  <c:v>101.56827601657874</c:v>
                </c:pt>
                <c:pt idx="3">
                  <c:v>102.29080318135992</c:v>
                </c:pt>
                <c:pt idx="4">
                  <c:v>103.00683880362918</c:v>
                </c:pt>
                <c:pt idx="5">
                  <c:v>102.87719698936071</c:v>
                </c:pt>
                <c:pt idx="6">
                  <c:v>102.86703349312998</c:v>
                </c:pt>
                <c:pt idx="7">
                  <c:v>102.74421703574171</c:v>
                </c:pt>
                <c:pt idx="8">
                  <c:v>101.92042641408206</c:v>
                </c:pt>
                <c:pt idx="9">
                  <c:v>102.36112368604799</c:v>
                </c:pt>
                <c:pt idx="10">
                  <c:v>102.75207383339539</c:v>
                </c:pt>
                <c:pt idx="11">
                  <c:v>102.65370061989745</c:v>
                </c:pt>
                <c:pt idx="12">
                  <c:v>102.5628968035744</c:v>
                </c:pt>
              </c:numCache>
            </c:numRef>
          </c:val>
        </c:ser>
        <c:ser>
          <c:idx val="1"/>
          <c:order val="4"/>
          <c:tx>
            <c:strRef>
              <c:f>Sheet1!$F$1</c:f>
              <c:strCache>
                <c:ptCount val="1"/>
                <c:pt idx="0">
                  <c:v>2011</c:v>
                </c:pt>
              </c:strCache>
            </c:strRef>
          </c:tx>
          <c:spPr>
            <a:ln>
              <a:solidFill>
                <a:srgbClr val="0070C0"/>
              </a:solidFill>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Sheet1!$F$2:$F$14</c:f>
              <c:numCache>
                <c:formatCode>0.0</c:formatCode>
                <c:ptCount val="13"/>
                <c:pt idx="0" formatCode="General">
                  <c:v>100</c:v>
                </c:pt>
                <c:pt idx="1">
                  <c:v>101.28822672790412</c:v>
                </c:pt>
                <c:pt idx="2">
                  <c:v>101.56827601657874</c:v>
                </c:pt>
                <c:pt idx="3">
                  <c:v>102.29080318135992</c:v>
                </c:pt>
              </c:numCache>
            </c:numRef>
          </c:val>
        </c:ser>
        <c:marker val="1"/>
        <c:axId val="278958848"/>
        <c:axId val="278960384"/>
      </c:lineChart>
      <c:catAx>
        <c:axId val="278958848"/>
        <c:scaling>
          <c:orientation val="minMax"/>
        </c:scaling>
        <c:axPos val="b"/>
        <c:majorGridlines>
          <c:spPr>
            <a:ln w="3175">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960384"/>
        <c:crosses val="autoZero"/>
        <c:auto val="1"/>
        <c:lblAlgn val="ctr"/>
        <c:lblOffset val="100"/>
        <c:tickLblSkip val="1"/>
        <c:tickMarkSkip val="1"/>
      </c:catAx>
      <c:valAx>
        <c:axId val="278960384"/>
        <c:scaling>
          <c:orientation val="minMax"/>
          <c:max val="112"/>
          <c:min val="98"/>
        </c:scaling>
        <c:axPos val="l"/>
        <c:majorGridlines>
          <c:spPr>
            <a:ln w="3175">
              <a:solidFill>
                <a:schemeClr val="bg1">
                  <a:lumMod val="85000"/>
                </a:schemeClr>
              </a:solidFill>
            </a:ln>
          </c:spPr>
        </c:majorGridlines>
        <c:numFmt formatCode="0" sourceLinked="0"/>
        <c:majorTickMark val="cross"/>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958848"/>
        <c:crosses val="autoZero"/>
        <c:crossBetween val="between"/>
      </c:valAx>
      <c:spPr>
        <a:noFill/>
        <a:ln w="6350">
          <a:noFill/>
        </a:ln>
      </c:spPr>
    </c:plotArea>
    <c:legend>
      <c:legendPos val="r"/>
      <c:legendEntry>
        <c:idx val="3"/>
        <c:delete val="1"/>
      </c:legendEntry>
      <c:layout>
        <c:manualLayout>
          <c:xMode val="edge"/>
          <c:yMode val="edge"/>
          <c:x val="0.12708047288971236"/>
          <c:y val="5.5991522895973714E-2"/>
          <c:w val="0.23368859349987781"/>
          <c:h val="0.28893094796846042"/>
        </c:manualLayout>
      </c:layout>
      <c:txPr>
        <a:bodyPr/>
        <a:lstStyle/>
        <a:p>
          <a:pPr>
            <a:defRPr lang="lv-LV" sz="9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62179475938704E-2"/>
          <c:y val="3.0441400304414216E-2"/>
          <c:w val="0.90188705852559881"/>
          <c:h val="0.84075413711585578"/>
        </c:manualLayout>
      </c:layout>
      <c:barChart>
        <c:barDir val="col"/>
        <c:grouping val="stacked"/>
        <c:ser>
          <c:idx val="1"/>
          <c:order val="1"/>
          <c:tx>
            <c:strRef>
              <c:f>Sheet1!$D$1</c:f>
              <c:strCache>
                <c:ptCount val="1"/>
                <c:pt idx="0">
                  <c:v>Producer price index in manufacturing</c:v>
                </c:pt>
              </c:strCache>
            </c:strRef>
          </c:tx>
          <c:cat>
            <c:multiLvlStrRef>
              <c:f>Sheet1!$A$2:$B$73</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Sheet1!$D$2:$D$73</c:f>
            </c:numRef>
          </c:val>
        </c:ser>
        <c:ser>
          <c:idx val="2"/>
          <c:order val="2"/>
          <c:tx>
            <c:strRef>
              <c:f>Sheet1!$E$1</c:f>
              <c:strCache>
                <c:ptCount val="1"/>
              </c:strCache>
            </c:strRef>
          </c:tx>
          <c:spPr>
            <a:solidFill>
              <a:srgbClr val="0070C0"/>
            </a:solidFill>
            <a:ln w="9525">
              <a:solidFill>
                <a:sysClr val="windowText" lastClr="000000"/>
              </a:solidFill>
              <a:prstDash val="solid"/>
            </a:ln>
          </c:spPr>
          <c:cat>
            <c:multiLvlStrRef>
              <c:f>Sheet1!$A$2:$B$73</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Sheet1!$E$2:$E$73</c:f>
              <c:numCache>
                <c:formatCode>General</c:formatCode>
                <c:ptCount val="36"/>
                <c:pt idx="27" formatCode="0.0">
                  <c:v>4.0500198019801843</c:v>
                </c:pt>
                <c:pt idx="28" formatCode="0.0">
                  <c:v>4.0014424465231073</c:v>
                </c:pt>
                <c:pt idx="29" formatCode="0.0">
                  <c:v>3.5747809602043219</c:v>
                </c:pt>
                <c:pt idx="30" formatCode="0.0">
                  <c:v>3.2473265580081749</c:v>
                </c:pt>
                <c:pt idx="31" formatCode="0.0">
                  <c:v>3.1451815665469609</c:v>
                </c:pt>
                <c:pt idx="32" formatCode="0.0">
                  <c:v>3.1293664178487148</c:v>
                </c:pt>
                <c:pt idx="33" formatCode="0.0">
                  <c:v>3.1333216899844594</c:v>
                </c:pt>
                <c:pt idx="34" formatCode="0.0">
                  <c:v>2.7976426534101617</c:v>
                </c:pt>
                <c:pt idx="35" formatCode="0.0">
                  <c:v>2.5628968035746027</c:v>
                </c:pt>
              </c:numCache>
            </c:numRef>
          </c:val>
        </c:ser>
        <c:ser>
          <c:idx val="0"/>
          <c:order val="0"/>
          <c:tx>
            <c:strRef>
              <c:f>Sheet1!$C$1</c:f>
              <c:strCache>
                <c:ptCount val="1"/>
                <c:pt idx="0">
                  <c:v>Consumer price index</c:v>
                </c:pt>
              </c:strCache>
            </c:strRef>
          </c:tx>
          <c:spPr>
            <a:solidFill>
              <a:sysClr val="window" lastClr="FFFFFF">
                <a:lumMod val="85000"/>
              </a:sysClr>
            </a:solidFill>
            <a:ln w="3175">
              <a:solidFill>
                <a:sysClr val="windowText" lastClr="000000"/>
              </a:solidFill>
            </a:ln>
          </c:spPr>
          <c:cat>
            <c:multiLvlStrRef>
              <c:f>Sheet1!$A$2:$B$73</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Sheet1!$C$2:$C$73</c:f>
              <c:numCache>
                <c:formatCode>0.0</c:formatCode>
                <c:ptCount val="36"/>
                <c:pt idx="0">
                  <c:v>9.8340653977549977</c:v>
                </c:pt>
                <c:pt idx="1">
                  <c:v>9.5802974649244437</c:v>
                </c:pt>
                <c:pt idx="2">
                  <c:v>8.2423451222406889</c:v>
                </c:pt>
                <c:pt idx="3">
                  <c:v>6.1886395511921535</c:v>
                </c:pt>
                <c:pt idx="4">
                  <c:v>4.6665122742010245</c:v>
                </c:pt>
                <c:pt idx="5">
                  <c:v>3.3870040253019056</c:v>
                </c:pt>
                <c:pt idx="6">
                  <c:v>2.4537063578512885</c:v>
                </c:pt>
                <c:pt idx="7">
                  <c:v>1.8425749985604796</c:v>
                </c:pt>
                <c:pt idx="8">
                  <c:v>0.51261605057810378</c:v>
                </c:pt>
                <c:pt idx="9">
                  <c:v>-0.86119554204661664</c:v>
                </c:pt>
                <c:pt idx="10">
                  <c:v>-1.1693593944187073</c:v>
                </c:pt>
                <c:pt idx="11">
                  <c:v>-1.2</c:v>
                </c:pt>
                <c:pt idx="12">
                  <c:v>-3.1215285492112792</c:v>
                </c:pt>
                <c:pt idx="13">
                  <c:v>-4.176283108033866</c:v>
                </c:pt>
                <c:pt idx="14">
                  <c:v>-3.9416698645907613</c:v>
                </c:pt>
                <c:pt idx="15">
                  <c:v>-2.7296241263551781</c:v>
                </c:pt>
                <c:pt idx="16">
                  <c:v>-2.3066710919349589</c:v>
                </c:pt>
                <c:pt idx="17">
                  <c:v>-1.3738250180766438</c:v>
                </c:pt>
                <c:pt idx="18">
                  <c:v>-0.58194840803535897</c:v>
                </c:pt>
                <c:pt idx="19">
                  <c:v>-0.25442415333294893</c:v>
                </c:pt>
                <c:pt idx="20">
                  <c:v>0.41933473111576852</c:v>
                </c:pt>
                <c:pt idx="21">
                  <c:v>0.99358428433542656</c:v>
                </c:pt>
                <c:pt idx="22">
                  <c:v>1.9091168905401616</c:v>
                </c:pt>
                <c:pt idx="23">
                  <c:v>2.5443685026707215</c:v>
                </c:pt>
                <c:pt idx="24">
                  <c:v>3.6807705538355759</c:v>
                </c:pt>
                <c:pt idx="25">
                  <c:v>3.9912834040600953</c:v>
                </c:pt>
                <c:pt idx="26">
                  <c:v>4.2289692957425089</c:v>
                </c:pt>
              </c:numCache>
            </c:numRef>
          </c:val>
        </c:ser>
        <c:gapWidth val="30"/>
        <c:overlap val="100"/>
        <c:axId val="279057536"/>
        <c:axId val="279051648"/>
      </c:barChart>
      <c:valAx>
        <c:axId val="279051648"/>
        <c:scaling>
          <c:orientation val="minMax"/>
          <c:min val="-5"/>
        </c:scaling>
        <c:axPos val="l"/>
        <c:majorGridlines>
          <c:spPr>
            <a:ln w="3175">
              <a:solidFill>
                <a:sysClr val="window" lastClr="FFFFFF">
                  <a:lumMod val="85000"/>
                </a:sysClr>
              </a:solidFill>
            </a:ln>
          </c:spPr>
        </c:majorGridlines>
        <c:numFmt formatCode="0" sourceLinked="0"/>
        <c:majorTickMark val="cross"/>
        <c:tickLblPos val="nextTo"/>
        <c:spPr>
          <a:ln w="6350">
            <a:solidFill>
              <a:sysClr val="windowText" lastClr="000000"/>
            </a:solidFill>
          </a:ln>
        </c:spPr>
        <c:txPr>
          <a:bodyPr/>
          <a:lstStyle/>
          <a:p>
            <a:pPr>
              <a:defRPr lang="lv-LV" sz="600" b="0">
                <a:latin typeface="Arial" pitchFamily="34" charset="0"/>
                <a:cs typeface="Arial" pitchFamily="34" charset="0"/>
              </a:defRPr>
            </a:pPr>
            <a:endParaRPr lang="lv-LV"/>
          </a:p>
        </c:txPr>
        <c:crossAx val="279057536"/>
        <c:crosses val="autoZero"/>
        <c:crossBetween val="between"/>
      </c:valAx>
      <c:catAx>
        <c:axId val="279057536"/>
        <c:scaling>
          <c:orientation val="minMax"/>
        </c:scaling>
        <c:axPos val="b"/>
        <c:majorGridlines>
          <c:spPr>
            <a:ln w="3175">
              <a:solidFill>
                <a:sysClr val="window" lastClr="FFFFFF">
                  <a:lumMod val="85000"/>
                </a:sysClr>
              </a:solidFill>
            </a:ln>
          </c:spPr>
        </c:majorGridlines>
        <c:majorTickMark val="none"/>
        <c:tickLblPos val="low"/>
        <c:spPr>
          <a:ln w="6350">
            <a:solidFill>
              <a:sysClr val="windowText" lastClr="000000"/>
            </a:solidFill>
          </a:ln>
        </c:spPr>
        <c:txPr>
          <a:bodyPr rot="0"/>
          <a:lstStyle/>
          <a:p>
            <a:pPr>
              <a:defRPr lang="lv-LV" sz="600" b="0">
                <a:latin typeface="Arial" pitchFamily="34" charset="0"/>
                <a:cs typeface="Arial" pitchFamily="34" charset="0"/>
              </a:defRPr>
            </a:pPr>
            <a:endParaRPr lang="lv-LV"/>
          </a:p>
        </c:txPr>
        <c:crossAx val="279051648"/>
        <c:crosses val="autoZero"/>
        <c:auto val="1"/>
        <c:lblAlgn val="ctr"/>
        <c:lblOffset val="0"/>
        <c:tickLblSkip val="2"/>
        <c:noMultiLvlLbl val="1"/>
      </c:catAx>
    </c:plotArea>
    <c:plotVisOnly val="1"/>
    <c:dispBlanksAs val="gap"/>
  </c:chart>
  <c:spPr>
    <a:noFill/>
    <a:ln>
      <a:noFill/>
    </a:ln>
  </c:spPr>
  <c:txPr>
    <a:bodyPr/>
    <a:lstStyle/>
    <a:p>
      <a:pPr>
        <a:defRPr sz="1400" b="0" i="0" u="none" strike="noStrike" baseline="0">
          <a:solidFill>
            <a:srgbClr val="000000"/>
          </a:solidFill>
          <a:latin typeface="Calibri" pitchFamily="34" charset="0"/>
          <a:ea typeface="Arial"/>
          <a:cs typeface="Times New Roman" pitchFamily="18" charset="0"/>
        </a:defRPr>
      </a:pPr>
      <a:endParaRPr lang="lv-LV"/>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Sheet1!$B$3:$U$3</c:f>
              <c:numCache>
                <c:formatCode>0.000</c:formatCode>
                <c:ptCount val="12"/>
                <c:pt idx="0">
                  <c:v>0.34620247829385675</c:v>
                </c:pt>
                <c:pt idx="1">
                  <c:v>0.42556309135058334</c:v>
                </c:pt>
                <c:pt idx="2">
                  <c:v>0.53279727308482594</c:v>
                </c:pt>
                <c:pt idx="3">
                  <c:v>9.5876394147140248E-2</c:v>
                </c:pt>
                <c:pt idx="4">
                  <c:v>-0.13318722604884137</c:v>
                </c:pt>
                <c:pt idx="5">
                  <c:v>-0.23685060644327616</c:v>
                </c:pt>
                <c:pt idx="6">
                  <c:v>-0.29302922309337132</c:v>
                </c:pt>
                <c:pt idx="7">
                  <c:v>-3.806411453470282E-2</c:v>
                </c:pt>
                <c:pt idx="8">
                  <c:v>0.23845987141515559</c:v>
                </c:pt>
                <c:pt idx="9">
                  <c:v>0.66466558916339835</c:v>
                </c:pt>
                <c:pt idx="10">
                  <c:v>0.4828809936685915</c:v>
                </c:pt>
                <c:pt idx="11">
                  <c:v>0.44358883100915841</c:v>
                </c:pt>
              </c:numCache>
            </c:numRef>
          </c:val>
        </c:ser>
        <c:ser>
          <c:idx val="1"/>
          <c:order val="1"/>
          <c:tx>
            <c:strRef>
              <c:f>Sheet1!$A$4</c:f>
              <c:strCache>
                <c:ptCount val="1"/>
                <c:pt idx="0">
                  <c:v>LV Pavisam</c:v>
                </c:pt>
              </c:strCache>
            </c:strRef>
          </c:tx>
          <c:spPr>
            <a:solidFill>
              <a:srgbClr val="0070C0"/>
            </a:solidFill>
            <a:ln>
              <a:solidFill>
                <a:schemeClr val="tx1"/>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Sheet1!$B$4:$U$4</c:f>
              <c:numCache>
                <c:formatCode>0.000</c:formatCode>
                <c:ptCount val="12"/>
                <c:pt idx="0">
                  <c:v>0.25574510080360913</c:v>
                </c:pt>
                <c:pt idx="1">
                  <c:v>0.34151101198773381</c:v>
                </c:pt>
                <c:pt idx="2">
                  <c:v>0.39066589124745943</c:v>
                </c:pt>
                <c:pt idx="3">
                  <c:v>3.8339683176258355E-2</c:v>
                </c:pt>
                <c:pt idx="4">
                  <c:v>-0.20126492271995797</c:v>
                </c:pt>
                <c:pt idx="5">
                  <c:v>-0.26354253255749527</c:v>
                </c:pt>
                <c:pt idx="6">
                  <c:v>-0.31144798745426283</c:v>
                </c:pt>
                <c:pt idx="7">
                  <c:v>-8.064578424935305E-2</c:v>
                </c:pt>
                <c:pt idx="8">
                  <c:v>0.20685939183807389</c:v>
                </c:pt>
                <c:pt idx="9">
                  <c:v>0.54338522315759774</c:v>
                </c:pt>
                <c:pt idx="10">
                  <c:v>0.47773053952829225</c:v>
                </c:pt>
                <c:pt idx="11">
                  <c:v>0.44359954627567966</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Sheet1!$B$5:$U$5</c:f>
              <c:numCache>
                <c:formatCode>0.000</c:formatCode>
                <c:ptCount val="12"/>
                <c:pt idx="0">
                  <c:v>2.1029429286309801E-2</c:v>
                </c:pt>
                <c:pt idx="1">
                  <c:v>0.12700075664978669</c:v>
                </c:pt>
                <c:pt idx="2">
                  <c:v>2.8657982429566926E-2</c:v>
                </c:pt>
                <c:pt idx="3">
                  <c:v>-0.14509920047379438</c:v>
                </c:pt>
                <c:pt idx="4">
                  <c:v>-0.43427271136005879</c:v>
                </c:pt>
                <c:pt idx="5">
                  <c:v>-0.34973919330682235</c:v>
                </c:pt>
                <c:pt idx="6">
                  <c:v>-0.38119919896336435</c:v>
                </c:pt>
                <c:pt idx="7">
                  <c:v>-0.25472809144440717</c:v>
                </c:pt>
                <c:pt idx="8">
                  <c:v>4.1357260726072577E-2</c:v>
                </c:pt>
                <c:pt idx="9">
                  <c:v>8.3790008736400065E-2</c:v>
                </c:pt>
                <c:pt idx="10">
                  <c:v>0.45526365886160275</c:v>
                </c:pt>
                <c:pt idx="11">
                  <c:v>0.44376278118609402</c:v>
                </c:pt>
              </c:numCache>
            </c:numRef>
          </c:val>
        </c:ser>
        <c:axId val="160250112"/>
        <c:axId val="160252288"/>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Sheet1!$B$6:$U$6</c:f>
              <c:numCache>
                <c:formatCode>0.000</c:formatCode>
                <c:ptCount val="12"/>
                <c:pt idx="0">
                  <c:v>3.3036225365933342E-2</c:v>
                </c:pt>
                <c:pt idx="1">
                  <c:v>6.2831497348022113E-3</c:v>
                </c:pt>
                <c:pt idx="2">
                  <c:v>-9.2502863183861785E-3</c:v>
                </c:pt>
                <c:pt idx="3">
                  <c:v>-0.22207289113763928</c:v>
                </c:pt>
                <c:pt idx="4">
                  <c:v>-0.29961212696905154</c:v>
                </c:pt>
                <c:pt idx="5">
                  <c:v>-0.29078819331819789</c:v>
                </c:pt>
                <c:pt idx="6">
                  <c:v>-0.21403165569980431</c:v>
                </c:pt>
                <c:pt idx="7">
                  <c:v>-3.4247967479675186E-2</c:v>
                </c:pt>
                <c:pt idx="8">
                  <c:v>0.13856238698010914</c:v>
                </c:pt>
                <c:pt idx="9">
                  <c:v>0.21472673222044394</c:v>
                </c:pt>
                <c:pt idx="10">
                  <c:v>0.1628012218576762</c:v>
                </c:pt>
                <c:pt idx="11">
                  <c:v>0.17320846048616356</c:v>
                </c:pt>
              </c:numCache>
            </c:numRef>
          </c:val>
        </c:ser>
        <c:marker val="1"/>
        <c:axId val="160250112"/>
        <c:axId val="160252288"/>
      </c:lineChart>
      <c:catAx>
        <c:axId val="160250112"/>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800">
                <a:latin typeface="Arial" pitchFamily="34" charset="0"/>
                <a:cs typeface="Arial" pitchFamily="34" charset="0"/>
              </a:defRPr>
            </a:pPr>
            <a:endParaRPr lang="lv-LV"/>
          </a:p>
        </c:txPr>
        <c:crossAx val="160252288"/>
        <c:crosses val="autoZero"/>
        <c:auto val="1"/>
        <c:lblAlgn val="ctr"/>
        <c:lblOffset val="0"/>
        <c:tickLblSkip val="1"/>
        <c:tickMarkSkip val="1"/>
        <c:noMultiLvlLbl val="1"/>
      </c:catAx>
      <c:valAx>
        <c:axId val="160252288"/>
        <c:scaling>
          <c:orientation val="minMax"/>
          <c:min val="-0.5"/>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800">
                <a:latin typeface="Arial" pitchFamily="34" charset="0"/>
                <a:cs typeface="Arial" pitchFamily="34" charset="0"/>
              </a:defRPr>
            </a:pPr>
            <a:endParaRPr lang="lv-LV"/>
          </a:p>
        </c:txPr>
        <c:crossAx val="160250112"/>
        <c:crosses val="autoZero"/>
        <c:crossBetween val="between"/>
        <c:majorUnit val="0.25"/>
      </c:valAx>
    </c:plotArea>
    <c:legend>
      <c:legendPos val="b"/>
      <c:layout>
        <c:manualLayout>
          <c:xMode val="edge"/>
          <c:yMode val="edge"/>
          <c:x val="0.3042015207240098"/>
          <c:y val="9.2416256172719799E-2"/>
          <c:w val="0.45617892647386582"/>
          <c:h val="0.18071753593395626"/>
        </c:manualLayout>
      </c:layout>
      <c:spPr>
        <a:solidFill>
          <a:schemeClr val="bg1"/>
        </a:solidFill>
      </c:spPr>
      <c:txPr>
        <a:bodyPr/>
        <a:lstStyle/>
        <a:p>
          <a:pPr>
            <a:defRPr lang="lv-LV" sz="900">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0.00</c:formatCode>
                <c:ptCount val="12"/>
                <c:pt idx="0">
                  <c:v>-5.8376054241772883E-2</c:v>
                </c:pt>
                <c:pt idx="1">
                  <c:v>-4.2126197794250662E-2</c:v>
                </c:pt>
                <c:pt idx="2">
                  <c:v>1.492109038737444E-2</c:v>
                </c:pt>
                <c:pt idx="3">
                  <c:v>-7.0942950044339412E-2</c:v>
                </c:pt>
                <c:pt idx="4">
                  <c:v>-0.42325254654021771</c:v>
                </c:pt>
                <c:pt idx="5">
                  <c:v>-0.32823707059267637</c:v>
                </c:pt>
                <c:pt idx="6">
                  <c:v>-0.31005560267646792</c:v>
                </c:pt>
                <c:pt idx="7">
                  <c:v>-0.27266942411708561</c:v>
                </c:pt>
                <c:pt idx="8">
                  <c:v>0.15864799025578541</c:v>
                </c:pt>
                <c:pt idx="9">
                  <c:v>0.16858668165214954</c:v>
                </c:pt>
                <c:pt idx="10">
                  <c:v>0.26116650730774726</c:v>
                </c:pt>
                <c:pt idx="11">
                  <c:v>0.25123942840478086</c:v>
                </c:pt>
              </c:numCache>
            </c:numRef>
          </c:val>
        </c:ser>
        <c:ser>
          <c:idx val="1"/>
          <c:order val="1"/>
          <c:tx>
            <c:strRef>
              <c:f>Sheet1!$A$4</c:f>
              <c:strCache>
                <c:ptCount val="1"/>
                <c:pt idx="0">
                  <c:v>LV Pavisam</c:v>
                </c:pt>
              </c:strCache>
            </c:strRef>
          </c:tx>
          <c:spPr>
            <a:solidFill>
              <a:srgbClr val="0070C0"/>
            </a:solidFill>
            <a:ln>
              <a:solidFill>
                <a:schemeClr val="tx1"/>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Sheet1!$B$4:$M$4</c:f>
              <c:numCache>
                <c:formatCode>0.00</c:formatCode>
                <c:ptCount val="12"/>
                <c:pt idx="0">
                  <c:v>-3.971176941553245E-2</c:v>
                </c:pt>
                <c:pt idx="1">
                  <c:v>4.5229190223536903E-3</c:v>
                </c:pt>
                <c:pt idx="2">
                  <c:v>-1.0771180304127445E-2</c:v>
                </c:pt>
                <c:pt idx="3">
                  <c:v>-9.9409976756660245E-2</c:v>
                </c:pt>
                <c:pt idx="4">
                  <c:v>-0.46348174087043531</c:v>
                </c:pt>
                <c:pt idx="5">
                  <c:v>-0.41631310070135941</c:v>
                </c:pt>
                <c:pt idx="6">
                  <c:v>-0.34385579650471232</c:v>
                </c:pt>
                <c:pt idx="7">
                  <c:v>-0.32271193170538032</c:v>
                </c:pt>
                <c:pt idx="8">
                  <c:v>9.7435897435897548E-2</c:v>
                </c:pt>
                <c:pt idx="9">
                  <c:v>0.15086782376502075</c:v>
                </c:pt>
                <c:pt idx="10">
                  <c:v>0.20331892344164021</c:v>
                </c:pt>
                <c:pt idx="11">
                  <c:v>0.23772534075919788</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Sheet1!$B$5:$M$5</c:f>
              <c:numCache>
                <c:formatCode>0.00</c:formatCode>
                <c:ptCount val="12"/>
                <c:pt idx="0">
                  <c:v>-5.8805790108562572E-3</c:v>
                </c:pt>
                <c:pt idx="1">
                  <c:v>8.7396727685080194E-2</c:v>
                </c:pt>
                <c:pt idx="2">
                  <c:v>-5.3588987217305893E-2</c:v>
                </c:pt>
                <c:pt idx="3">
                  <c:v>-0.14257665005286221</c:v>
                </c:pt>
                <c:pt idx="4">
                  <c:v>-0.5317761261944487</c:v>
                </c:pt>
                <c:pt idx="5">
                  <c:v>-0.55351955307262557</c:v>
                </c:pt>
                <c:pt idx="6">
                  <c:v>-0.40493506493506498</c:v>
                </c:pt>
                <c:pt idx="7">
                  <c:v>-0.40558393517703162</c:v>
                </c:pt>
                <c:pt idx="8">
                  <c:v>-3.3689666342727631E-2</c:v>
                </c:pt>
                <c:pt idx="9">
                  <c:v>0.10593927260593985</c:v>
                </c:pt>
                <c:pt idx="10">
                  <c:v>8.0605266986760279E-2</c:v>
                </c:pt>
                <c:pt idx="11">
                  <c:v>0.21084605126685441</c:v>
                </c:pt>
              </c:numCache>
            </c:numRef>
          </c:val>
        </c:ser>
        <c:axId val="147515264"/>
        <c:axId val="160202752"/>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Sheet1!$B$6:$M$6</c:f>
              <c:numCache>
                <c:formatCode>0.00</c:formatCode>
                <c:ptCount val="12"/>
                <c:pt idx="0">
                  <c:v>-3.4317574996073581E-2</c:v>
                </c:pt>
                <c:pt idx="1">
                  <c:v>-1.1742304030466572E-2</c:v>
                </c:pt>
                <c:pt idx="2">
                  <c:v>-4.612511671335167E-2</c:v>
                </c:pt>
                <c:pt idx="3">
                  <c:v>-0.1273439983049052</c:v>
                </c:pt>
                <c:pt idx="4">
                  <c:v>-0.18874522241197164</c:v>
                </c:pt>
                <c:pt idx="5">
                  <c:v>-0.2032755298651252</c:v>
                </c:pt>
                <c:pt idx="6">
                  <c:v>-0.13596319498825371</c:v>
                </c:pt>
                <c:pt idx="7">
                  <c:v>-0.10052203472137958</c:v>
                </c:pt>
                <c:pt idx="8">
                  <c:v>-2.957097032878921E-2</c:v>
                </c:pt>
                <c:pt idx="9">
                  <c:v>3.6678758565094678E-2</c:v>
                </c:pt>
                <c:pt idx="10">
                  <c:v>2.9115214682225291E-2</c:v>
                </c:pt>
                <c:pt idx="11">
                  <c:v>0.10730193008503176</c:v>
                </c:pt>
              </c:numCache>
            </c:numRef>
          </c:val>
        </c:ser>
        <c:marker val="1"/>
        <c:axId val="147515264"/>
        <c:axId val="160202752"/>
      </c:lineChart>
      <c:catAx>
        <c:axId val="147515264"/>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60202752"/>
        <c:crosses val="autoZero"/>
        <c:auto val="1"/>
        <c:lblAlgn val="ctr"/>
        <c:lblOffset val="0"/>
        <c:tickLblSkip val="1"/>
        <c:tickMarkSkip val="1"/>
        <c:noMultiLvlLbl val="1"/>
      </c:catAx>
      <c:valAx>
        <c:axId val="160202752"/>
        <c:scaling>
          <c:orientation val="minMax"/>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47515264"/>
        <c:crosses val="autoZero"/>
        <c:crossBetween val="between"/>
      </c:valAx>
    </c:plotArea>
    <c:legend>
      <c:legendPos val="b"/>
      <c:layout>
        <c:manualLayout>
          <c:xMode val="edge"/>
          <c:yMode val="edge"/>
          <c:x val="0.11361899862825788"/>
          <c:y val="3.4770955908167742E-2"/>
          <c:w val="0.6957832647462211"/>
          <c:h val="0.18457998094887329"/>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3.386079429155113E-2"/>
          <c:w val="0.92690756726289381"/>
          <c:h val="0.78831389579642408"/>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0.00</c:formatCode>
                <c:ptCount val="12"/>
                <c:pt idx="0">
                  <c:v>0.36663636999231103</c:v>
                </c:pt>
                <c:pt idx="1">
                  <c:v>7.7940027642569479E-2</c:v>
                </c:pt>
                <c:pt idx="2">
                  <c:v>0.72108888160052564</c:v>
                </c:pt>
                <c:pt idx="3">
                  <c:v>1.2893452990423369</c:v>
                </c:pt>
                <c:pt idx="4">
                  <c:v>0.68394126976006553</c:v>
                </c:pt>
                <c:pt idx="5">
                  <c:v>-4.1810681235366645E-2</c:v>
                </c:pt>
                <c:pt idx="6">
                  <c:v>-6.0865919658510514E-2</c:v>
                </c:pt>
                <c:pt idx="7">
                  <c:v>-0.15937911076032718</c:v>
                </c:pt>
                <c:pt idx="8">
                  <c:v>-0.48547818689999073</c:v>
                </c:pt>
                <c:pt idx="9">
                  <c:v>0.50948336048405529</c:v>
                </c:pt>
                <c:pt idx="10">
                  <c:v>-0.20003246621484516</c:v>
                </c:pt>
                <c:pt idx="11">
                  <c:v>-0.27018652979469437</c:v>
                </c:pt>
              </c:numCache>
            </c:numRef>
          </c:val>
        </c:ser>
        <c:ser>
          <c:idx val="1"/>
          <c:order val="1"/>
          <c:tx>
            <c:strRef>
              <c:f>Sheet1!$A$4</c:f>
              <c:strCache>
                <c:ptCount val="1"/>
                <c:pt idx="0">
                  <c:v>LV Pavisam</c:v>
                </c:pt>
              </c:strCache>
            </c:strRef>
          </c:tx>
          <c:spPr>
            <a:solidFill>
              <a:srgbClr val="0070C0"/>
            </a:solidFill>
            <a:ln>
              <a:solidFill>
                <a:schemeClr val="tx1"/>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Sheet1!$B$4:$M$4</c:f>
              <c:numCache>
                <c:formatCode>0.00</c:formatCode>
                <c:ptCount val="12"/>
                <c:pt idx="0">
                  <c:v>0.132190860215053</c:v>
                </c:pt>
                <c:pt idx="1">
                  <c:v>-2.1382339343504202E-3</c:v>
                </c:pt>
                <c:pt idx="2">
                  <c:v>0.492980015178348</c:v>
                </c:pt>
                <c:pt idx="3">
                  <c:v>0.71449670529425058</c:v>
                </c:pt>
                <c:pt idx="4">
                  <c:v>0.53594111711283965</c:v>
                </c:pt>
                <c:pt idx="5">
                  <c:v>-0.13129090172004398</c:v>
                </c:pt>
                <c:pt idx="6">
                  <c:v>-0.13182530605328935</c:v>
                </c:pt>
                <c:pt idx="7">
                  <c:v>-0.12096613875820085</c:v>
                </c:pt>
                <c:pt idx="8">
                  <c:v>-0.38464213943422482</c:v>
                </c:pt>
                <c:pt idx="9">
                  <c:v>0.74660000000000348</c:v>
                </c:pt>
                <c:pt idx="10">
                  <c:v>3.1275920956330992E-2</c:v>
                </c:pt>
                <c:pt idx="11">
                  <c:v>-0.15841845388413747</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Sheet1!$B$5:$M$5</c:f>
              <c:numCache>
                <c:formatCode>0.00</c:formatCode>
                <c:ptCount val="12"/>
                <c:pt idx="0">
                  <c:v>-0.17678347934918648</c:v>
                </c:pt>
                <c:pt idx="1">
                  <c:v>-0.12043775944794866</c:v>
                </c:pt>
                <c:pt idx="2">
                  <c:v>0.1057142857142862</c:v>
                </c:pt>
                <c:pt idx="3">
                  <c:v>-0.16948789372187781</c:v>
                </c:pt>
                <c:pt idx="4">
                  <c:v>1.9308247814519241E-2</c:v>
                </c:pt>
                <c:pt idx="5">
                  <c:v>-0.26288691388293262</c:v>
                </c:pt>
                <c:pt idx="6">
                  <c:v>-0.29963164550002724</c:v>
                </c:pt>
                <c:pt idx="7">
                  <c:v>8.8041795665634734E-2</c:v>
                </c:pt>
                <c:pt idx="8">
                  <c:v>7.9797151167126934E-2</c:v>
                </c:pt>
                <c:pt idx="9">
                  <c:v>1.2025611175785778</c:v>
                </c:pt>
                <c:pt idx="10">
                  <c:v>0.83962634429704053</c:v>
                </c:pt>
                <c:pt idx="11">
                  <c:v>0.23759558954294963</c:v>
                </c:pt>
              </c:numCache>
            </c:numRef>
          </c:val>
        </c:ser>
        <c:axId val="161023488"/>
        <c:axId val="161025408"/>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Sheet1!$B$6:$M$6</c:f>
              <c:numCache>
                <c:formatCode>0.00</c:formatCode>
                <c:ptCount val="12"/>
                <c:pt idx="0">
                  <c:v>4.7026516776795806E-2</c:v>
                </c:pt>
                <c:pt idx="1">
                  <c:v>5.6864267840193793E-2</c:v>
                </c:pt>
                <c:pt idx="2">
                  <c:v>6.4587973273942084E-2</c:v>
                </c:pt>
                <c:pt idx="3">
                  <c:v>-7.8906250000000094E-2</c:v>
                </c:pt>
                <c:pt idx="4">
                  <c:v>-0.15498729612326997</c:v>
                </c:pt>
                <c:pt idx="5">
                  <c:v>-0.15578053559764948</c:v>
                </c:pt>
                <c:pt idx="6">
                  <c:v>-0.12635983263598327</c:v>
                </c:pt>
                <c:pt idx="7">
                  <c:v>1.1309018942606841E-3</c:v>
                </c:pt>
                <c:pt idx="8">
                  <c:v>0.13084384093113499</c:v>
                </c:pt>
                <c:pt idx="9">
                  <c:v>0.16847195357833641</c:v>
                </c:pt>
                <c:pt idx="10">
                  <c:v>0.13419540229885052</c:v>
                </c:pt>
                <c:pt idx="11">
                  <c:v>0.1007248423232615</c:v>
                </c:pt>
              </c:numCache>
            </c:numRef>
          </c:val>
        </c:ser>
        <c:marker val="1"/>
        <c:axId val="161023488"/>
        <c:axId val="161025408"/>
      </c:lineChart>
      <c:catAx>
        <c:axId val="161023488"/>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61025408"/>
        <c:crosses val="autoZero"/>
        <c:auto val="1"/>
        <c:lblAlgn val="ctr"/>
        <c:lblOffset val="0"/>
        <c:tickLblSkip val="1"/>
        <c:tickMarkSkip val="1"/>
        <c:noMultiLvlLbl val="1"/>
      </c:catAx>
      <c:valAx>
        <c:axId val="161025408"/>
        <c:scaling>
          <c:orientation val="minMax"/>
          <c:max val="1.5"/>
          <c:min val="-0.5"/>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61023488"/>
        <c:crosses val="autoZero"/>
        <c:crossBetween val="between"/>
        <c:majorUnit val="0.5"/>
      </c:valAx>
    </c:plotArea>
    <c:legend>
      <c:legendPos val="b"/>
      <c:layout>
        <c:manualLayout>
          <c:xMode val="edge"/>
          <c:yMode val="edge"/>
          <c:x val="0.44026508916323726"/>
          <c:y val="7.683446584641751E-2"/>
          <c:w val="0.34736076817559391"/>
          <c:h val="0.29394510678832175"/>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0.00</c:formatCode>
                <c:ptCount val="12"/>
                <c:pt idx="0">
                  <c:v>0.38134549361847314</c:v>
                </c:pt>
                <c:pt idx="1">
                  <c:v>0.57139119286218965</c:v>
                </c:pt>
                <c:pt idx="2">
                  <c:v>0.68866181106642299</c:v>
                </c:pt>
                <c:pt idx="3">
                  <c:v>3.7843923443086257E-2</c:v>
                </c:pt>
                <c:pt idx="4">
                  <c:v>-9.2946042346513047E-2</c:v>
                </c:pt>
                <c:pt idx="5">
                  <c:v>-0.22123982216893956</c:v>
                </c:pt>
                <c:pt idx="6">
                  <c:v>-0.31970194412256991</c:v>
                </c:pt>
                <c:pt idx="7">
                  <c:v>5.0965838804833984E-2</c:v>
                </c:pt>
                <c:pt idx="8">
                  <c:v>0.35901190152481993</c:v>
                </c:pt>
                <c:pt idx="9">
                  <c:v>0.75749412016249762</c:v>
                </c:pt>
                <c:pt idx="10">
                  <c:v>0.60987438196399424</c:v>
                </c:pt>
                <c:pt idx="11">
                  <c:v>0.56987124929830246</c:v>
                </c:pt>
              </c:numCache>
            </c:numRef>
          </c:val>
        </c:ser>
        <c:ser>
          <c:idx val="1"/>
          <c:order val="1"/>
          <c:tx>
            <c:strRef>
              <c:f>Sheet1!$A$4</c:f>
              <c:strCache>
                <c:ptCount val="1"/>
                <c:pt idx="0">
                  <c:v>LV Pavisam</c:v>
                </c:pt>
              </c:strCache>
            </c:strRef>
          </c:tx>
          <c:spPr>
            <a:solidFill>
              <a:srgbClr val="0070C0"/>
            </a:solidFill>
            <a:ln>
              <a:solidFill>
                <a:schemeClr val="tx1"/>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Sheet1!$B$4:$M$4</c:f>
              <c:numCache>
                <c:formatCode>0.00</c:formatCode>
                <c:ptCount val="12"/>
                <c:pt idx="0">
                  <c:v>0.29392092514455703</c:v>
                </c:pt>
                <c:pt idx="1">
                  <c:v>0.42205369702158912</c:v>
                </c:pt>
                <c:pt idx="2">
                  <c:v>0.5095030841970094</c:v>
                </c:pt>
                <c:pt idx="3">
                  <c:v>5.3598774885144388E-3</c:v>
                </c:pt>
                <c:pt idx="4">
                  <c:v>-0.14290200246382839</c:v>
                </c:pt>
                <c:pt idx="5">
                  <c:v>-0.1978754515740582</c:v>
                </c:pt>
                <c:pt idx="6">
                  <c:v>-0.32215976269991276</c:v>
                </c:pt>
                <c:pt idx="7">
                  <c:v>2.333980296292738E-3</c:v>
                </c:pt>
                <c:pt idx="8">
                  <c:v>0.31699687174139873</c:v>
                </c:pt>
                <c:pt idx="9">
                  <c:v>0.58844029810733856</c:v>
                </c:pt>
                <c:pt idx="10">
                  <c:v>0.57922761490911601</c:v>
                </c:pt>
                <c:pt idx="11">
                  <c:v>0.57573900681405965</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Sheet1!$B$5:$M$5</c:f>
              <c:numCache>
                <c:formatCode>0.00</c:formatCode>
                <c:ptCount val="12"/>
                <c:pt idx="0">
                  <c:v>-1.1714969693883493E-3</c:v>
                </c:pt>
                <c:pt idx="1">
                  <c:v>-3.598864006704218E-2</c:v>
                </c:pt>
                <c:pt idx="2">
                  <c:v>8.1584013200111105E-3</c:v>
                </c:pt>
                <c:pt idx="3">
                  <c:v>-0.13965941434704998</c:v>
                </c:pt>
                <c:pt idx="4">
                  <c:v>-0.39301376848546887</c:v>
                </c:pt>
                <c:pt idx="5">
                  <c:v>-8.7221095334685708E-2</c:v>
                </c:pt>
                <c:pt idx="6">
                  <c:v>-0.36406619385342992</c:v>
                </c:pt>
                <c:pt idx="7">
                  <c:v>-0.26281260513625887</c:v>
                </c:pt>
                <c:pt idx="8">
                  <c:v>-6.3009325380156689E-3</c:v>
                </c:pt>
                <c:pt idx="9">
                  <c:v>-0.19222222222222229</c:v>
                </c:pt>
                <c:pt idx="10">
                  <c:v>0.39977123248498736</c:v>
                </c:pt>
                <c:pt idx="11">
                  <c:v>0.58218605004944057</c:v>
                </c:pt>
              </c:numCache>
            </c:numRef>
          </c:val>
        </c:ser>
        <c:axId val="148980864"/>
        <c:axId val="148982784"/>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Sheet1!$B$6:$M$6</c:f>
              <c:numCache>
                <c:formatCode>0.00</c:formatCode>
                <c:ptCount val="12"/>
                <c:pt idx="0">
                  <c:v>1.9017669961066023E-2</c:v>
                </c:pt>
                <c:pt idx="1">
                  <c:v>5.4843785120251724E-2</c:v>
                </c:pt>
                <c:pt idx="2">
                  <c:v>3.4063462979928356E-2</c:v>
                </c:pt>
                <c:pt idx="3">
                  <c:v>-0.21027162035591618</c:v>
                </c:pt>
                <c:pt idx="4">
                  <c:v>-0.38141072740631887</c:v>
                </c:pt>
                <c:pt idx="5">
                  <c:v>-0.38589388450884526</c:v>
                </c:pt>
                <c:pt idx="6">
                  <c:v>-0.29824420103092786</c:v>
                </c:pt>
                <c:pt idx="7">
                  <c:v>-9.7647756473611458E-2</c:v>
                </c:pt>
                <c:pt idx="8">
                  <c:v>0.20394346121867221</c:v>
                </c:pt>
                <c:pt idx="9">
                  <c:v>0.31413370344668068</c:v>
                </c:pt>
                <c:pt idx="10">
                  <c:v>0.22127854929415749</c:v>
                </c:pt>
                <c:pt idx="11">
                  <c:v>0.24841182913472173</c:v>
                </c:pt>
              </c:numCache>
            </c:numRef>
          </c:val>
        </c:ser>
        <c:marker val="1"/>
        <c:axId val="148980864"/>
        <c:axId val="148982784"/>
      </c:lineChart>
      <c:catAx>
        <c:axId val="148980864"/>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48982784"/>
        <c:crosses val="autoZero"/>
        <c:auto val="1"/>
        <c:lblAlgn val="ctr"/>
        <c:lblOffset val="0"/>
        <c:tickLblSkip val="1"/>
        <c:tickMarkSkip val="1"/>
        <c:noMultiLvlLbl val="1"/>
      </c:catAx>
      <c:valAx>
        <c:axId val="148982784"/>
        <c:scaling>
          <c:orientation val="minMax"/>
          <c:max val="0.8"/>
          <c:min val="-0.60000000000000064"/>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48980864"/>
        <c:crosses val="autoZero"/>
        <c:crossBetween val="between"/>
        <c:majorUnit val="0.2"/>
      </c:valAx>
    </c:plotArea>
    <c:legend>
      <c:legendPos val="b"/>
      <c:layout>
        <c:manualLayout>
          <c:xMode val="edge"/>
          <c:yMode val="edge"/>
          <c:x val="0.31831721536351393"/>
          <c:y val="6.8421763858767304E-2"/>
          <c:w val="0.36478189300412339"/>
          <c:h val="0.31918321275127148"/>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6838283828385165"/>
          <c:h val="0.7533800000000000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Sheet1!$B$4:$M$4</c:f>
              <c:numCache>
                <c:formatCode>0.000</c:formatCode>
                <c:ptCount val="12"/>
                <c:pt idx="0">
                  <c:v>-2.2000000000000016E-2</c:v>
                </c:pt>
                <c:pt idx="1">
                  <c:v>-2.6000000000000002E-2</c:v>
                </c:pt>
                <c:pt idx="2">
                  <c:v>-4.5000000000000012E-2</c:v>
                </c:pt>
                <c:pt idx="3">
                  <c:v>-0.10700000000000012</c:v>
                </c:pt>
                <c:pt idx="4">
                  <c:v>-0.14600000000000021</c:v>
                </c:pt>
                <c:pt idx="5">
                  <c:v>-0.16600000000000001</c:v>
                </c:pt>
                <c:pt idx="6">
                  <c:v>-0.15400000000000041</c:v>
                </c:pt>
                <c:pt idx="7">
                  <c:v>-8.8000000000000064E-2</c:v>
                </c:pt>
                <c:pt idx="8">
                  <c:v>-2.6000000000000002E-2</c:v>
                </c:pt>
                <c:pt idx="9">
                  <c:v>3.1000000000000052E-2</c:v>
                </c:pt>
                <c:pt idx="10">
                  <c:v>0.05</c:v>
                </c:pt>
                <c:pt idx="11">
                  <c:v>6.7000000000000004E-2</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Sheet1!$B$5:$M$5</c:f>
              <c:numCache>
                <c:formatCode>0.000</c:formatCode>
                <c:ptCount val="12"/>
                <c:pt idx="0">
                  <c:v>8.0000000000000227E-3</c:v>
                </c:pt>
                <c:pt idx="1">
                  <c:v>-1.4999999999999998E-2</c:v>
                </c:pt>
                <c:pt idx="2">
                  <c:v>-4.7000000000000014E-2</c:v>
                </c:pt>
                <c:pt idx="3">
                  <c:v>-0.10099999999999998</c:v>
                </c:pt>
                <c:pt idx="4">
                  <c:v>-0.17800000000000021</c:v>
                </c:pt>
                <c:pt idx="5">
                  <c:v>-0.18100000000000024</c:v>
                </c:pt>
                <c:pt idx="6">
                  <c:v>-0.191</c:v>
                </c:pt>
                <c:pt idx="7">
                  <c:v>-0.16800000000000001</c:v>
                </c:pt>
                <c:pt idx="8">
                  <c:v>-6.1000000000000013E-2</c:v>
                </c:pt>
                <c:pt idx="9">
                  <c:v>-2.6000000000000002E-2</c:v>
                </c:pt>
                <c:pt idx="10">
                  <c:v>2.8000000000000001E-2</c:v>
                </c:pt>
                <c:pt idx="11">
                  <c:v>3.6000000000000011E-2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Sheet1!$B$6:$M$6</c:f>
              <c:numCache>
                <c:formatCode>0.000</c:formatCode>
                <c:ptCount val="12"/>
                <c:pt idx="0">
                  <c:v>7.3000000000000009E-2</c:v>
                </c:pt>
                <c:pt idx="1">
                  <c:v>5.7000000000000023E-2</c:v>
                </c:pt>
                <c:pt idx="2">
                  <c:v>1.9000000000000086E-2</c:v>
                </c:pt>
                <c:pt idx="3">
                  <c:v>-2.3E-2</c:v>
                </c:pt>
                <c:pt idx="4">
                  <c:v>-0.14000000000000001</c:v>
                </c:pt>
                <c:pt idx="5">
                  <c:v>-0.15900000000000067</c:v>
                </c:pt>
                <c:pt idx="6">
                  <c:v>-0.14500000000000021</c:v>
                </c:pt>
                <c:pt idx="7">
                  <c:v>-0.14500000000000021</c:v>
                </c:pt>
                <c:pt idx="8">
                  <c:v>-2.0000000000000011E-2</c:v>
                </c:pt>
                <c:pt idx="9">
                  <c:v>1.1000000000000062E-2</c:v>
                </c:pt>
                <c:pt idx="10">
                  <c:v>1.2E-2</c:v>
                </c:pt>
                <c:pt idx="11">
                  <c:v>4.8000000000000001E-2</c:v>
                </c:pt>
              </c:numCache>
            </c:numRef>
          </c:val>
        </c:ser>
        <c:gapWidth val="75"/>
        <c:overlap val="-25"/>
        <c:axId val="139212672"/>
        <c:axId val="139215232"/>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0.000</c:formatCode>
                <c:ptCount val="12"/>
                <c:pt idx="0">
                  <c:v>1.8000000000000023E-2</c:v>
                </c:pt>
                <c:pt idx="1">
                  <c:v>1.7000000000000001E-2</c:v>
                </c:pt>
                <c:pt idx="2">
                  <c:v>6.0000000000000114E-3</c:v>
                </c:pt>
                <c:pt idx="3">
                  <c:v>-1.9000000000000086E-2</c:v>
                </c:pt>
                <c:pt idx="4">
                  <c:v>-5.4000000000000034E-2</c:v>
                </c:pt>
                <c:pt idx="5">
                  <c:v>-5.5999999999999994E-2</c:v>
                </c:pt>
                <c:pt idx="6">
                  <c:v>-4.0000000000000022E-2</c:v>
                </c:pt>
                <c:pt idx="7">
                  <c:v>-1.9000000000000086E-2</c:v>
                </c:pt>
                <c:pt idx="8">
                  <c:v>7.0000000000000114E-3</c:v>
                </c:pt>
                <c:pt idx="9">
                  <c:v>2.4E-2</c:v>
                </c:pt>
                <c:pt idx="10">
                  <c:v>2.1000000000000012E-2</c:v>
                </c:pt>
                <c:pt idx="11">
                  <c:v>1.9000000000000086E-2</c:v>
                </c:pt>
              </c:numCache>
            </c:numRef>
          </c:val>
        </c:ser>
        <c:marker val="1"/>
        <c:axId val="139212672"/>
        <c:axId val="139215232"/>
      </c:lineChart>
      <c:catAx>
        <c:axId val="139212672"/>
        <c:scaling>
          <c:orientation val="minMax"/>
        </c:scaling>
        <c:axPos val="b"/>
        <c:majorGridlines>
          <c:spPr>
            <a:ln w="3175">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39215232"/>
        <c:crosses val="autoZero"/>
        <c:auto val="1"/>
        <c:lblAlgn val="ctr"/>
        <c:lblOffset val="0"/>
        <c:tickLblSkip val="1"/>
        <c:tickMarkSkip val="1"/>
        <c:noMultiLvlLbl val="1"/>
      </c:catAx>
      <c:valAx>
        <c:axId val="139215232"/>
        <c:scaling>
          <c:orientation val="minMax"/>
          <c:min val="-0.2"/>
        </c:scaling>
        <c:axPos val="l"/>
        <c:majorGridlines>
          <c:spPr>
            <a:ln w="3175">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39212672"/>
        <c:crosses val="autoZero"/>
        <c:crossBetween val="between"/>
      </c:valAx>
      <c:spPr>
        <a:noFill/>
        <a:ln w="6350">
          <a:solidFill>
            <a:sysClr val="window" lastClr="FFFFFF">
              <a:lumMod val="75000"/>
            </a:sysClr>
          </a:solidFill>
        </a:ln>
      </c:spPr>
    </c:plotArea>
    <c:legend>
      <c:legendPos val="b"/>
      <c:layout>
        <c:manualLayout>
          <c:xMode val="edge"/>
          <c:yMode val="edge"/>
          <c:x val="0.30291381894095143"/>
          <c:y val="5.6931816856226523E-2"/>
          <c:w val="0.45946241868283288"/>
          <c:h val="0.15045505978420012"/>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0.00</c:formatCode>
                <c:ptCount val="12"/>
                <c:pt idx="0">
                  <c:v>-0.15177739315670463</c:v>
                </c:pt>
                <c:pt idx="1">
                  <c:v>0.26957627792352457</c:v>
                </c:pt>
                <c:pt idx="2">
                  <c:v>0.19910646548090721</c:v>
                </c:pt>
                <c:pt idx="3">
                  <c:v>-0.10327127863326482</c:v>
                </c:pt>
                <c:pt idx="4">
                  <c:v>-7.7067964212839846E-2</c:v>
                </c:pt>
                <c:pt idx="5">
                  <c:v>-0.31646837820914536</c:v>
                </c:pt>
                <c:pt idx="6">
                  <c:v>-0.22896309314587096</c:v>
                </c:pt>
                <c:pt idx="7">
                  <c:v>3.6992738146091497E-2</c:v>
                </c:pt>
                <c:pt idx="8">
                  <c:v>8.5204081632653167E-2</c:v>
                </c:pt>
                <c:pt idx="9">
                  <c:v>0.53774276291681944</c:v>
                </c:pt>
                <c:pt idx="10">
                  <c:v>0.43481035740335588</c:v>
                </c:pt>
                <c:pt idx="11">
                  <c:v>0.42799472730268862</c:v>
                </c:pt>
              </c:numCache>
            </c:numRef>
          </c:val>
        </c:ser>
        <c:ser>
          <c:idx val="1"/>
          <c:order val="1"/>
          <c:tx>
            <c:strRef>
              <c:f>Sheet1!$A$4</c:f>
              <c:strCache>
                <c:ptCount val="1"/>
                <c:pt idx="0">
                  <c:v>LV Pavisam</c:v>
                </c:pt>
              </c:strCache>
            </c:strRef>
          </c:tx>
          <c:spPr>
            <a:solidFill>
              <a:srgbClr val="0070C0"/>
            </a:solidFill>
            <a:ln>
              <a:solidFill>
                <a:schemeClr val="tx1"/>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Sheet1!$B$4:$M$4</c:f>
              <c:numCache>
                <c:formatCode>0.00</c:formatCode>
                <c:ptCount val="12"/>
                <c:pt idx="0">
                  <c:v>-4.1428111933097492E-2</c:v>
                </c:pt>
                <c:pt idx="1">
                  <c:v>0.43010262257696685</c:v>
                </c:pt>
                <c:pt idx="2">
                  <c:v>0.14593381007816444</c:v>
                </c:pt>
                <c:pt idx="3">
                  <c:v>-0.13959158793050908</c:v>
                </c:pt>
                <c:pt idx="4">
                  <c:v>-0.30038252466277654</c:v>
                </c:pt>
                <c:pt idx="5">
                  <c:v>-0.49141551055121457</c:v>
                </c:pt>
                <c:pt idx="6">
                  <c:v>-0.28205500326536537</c:v>
                </c:pt>
                <c:pt idx="7">
                  <c:v>-1.390364860077942E-2</c:v>
                </c:pt>
                <c:pt idx="8">
                  <c:v>0.12268585131894492</c:v>
                </c:pt>
                <c:pt idx="9">
                  <c:v>0.59051003344481612</c:v>
                </c:pt>
                <c:pt idx="10">
                  <c:v>0.52092177077016366</c:v>
                </c:pt>
                <c:pt idx="11">
                  <c:v>0.42074539739559946</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Sheet1!$B$5:$M$5</c:f>
              <c:numCache>
                <c:formatCode>0.00</c:formatCode>
                <c:ptCount val="12"/>
                <c:pt idx="0">
                  <c:v>0.14793956787783738</c:v>
                </c:pt>
                <c:pt idx="1">
                  <c:v>0.38538881785424101</c:v>
                </c:pt>
                <c:pt idx="2">
                  <c:v>-8.6277839461824893E-2</c:v>
                </c:pt>
                <c:pt idx="3">
                  <c:v>-0.12168897749928799</c:v>
                </c:pt>
                <c:pt idx="4">
                  <c:v>-0.5546488041888834</c:v>
                </c:pt>
                <c:pt idx="5">
                  <c:v>-0.6294416243654879</c:v>
                </c:pt>
                <c:pt idx="6">
                  <c:v>-0.22022873481057903</c:v>
                </c:pt>
                <c:pt idx="7">
                  <c:v>-4.8236724766923332E-2</c:v>
                </c:pt>
                <c:pt idx="8">
                  <c:v>4.5016417752357041E-2</c:v>
                </c:pt>
                <c:pt idx="9">
                  <c:v>0.52428393524283856</c:v>
                </c:pt>
                <c:pt idx="10">
                  <c:v>0.60858007150059856</c:v>
                </c:pt>
                <c:pt idx="11">
                  <c:v>0.27521294718909844</c:v>
                </c:pt>
              </c:numCache>
            </c:numRef>
          </c:val>
        </c:ser>
        <c:axId val="163468032"/>
        <c:axId val="163469952"/>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Sheet1!$B$6:$M$6</c:f>
              <c:numCache>
                <c:formatCode>0.00</c:formatCode>
                <c:ptCount val="12"/>
                <c:pt idx="0">
                  <c:v>-1.8843120070113989E-2</c:v>
                </c:pt>
                <c:pt idx="1">
                  <c:v>-8.248162094316001E-3</c:v>
                </c:pt>
                <c:pt idx="2">
                  <c:v>-5.9717998341167165E-2</c:v>
                </c:pt>
                <c:pt idx="3">
                  <c:v>-0.13425386790883367</c:v>
                </c:pt>
                <c:pt idx="4">
                  <c:v>-0.2571683787405093</c:v>
                </c:pt>
                <c:pt idx="5">
                  <c:v>-0.27083709998192018</c:v>
                </c:pt>
                <c:pt idx="6">
                  <c:v>-0.18396550034303641</c:v>
                </c:pt>
                <c:pt idx="7">
                  <c:v>-7.8016910069177714E-2</c:v>
                </c:pt>
                <c:pt idx="8">
                  <c:v>8.8504088504089334E-2</c:v>
                </c:pt>
                <c:pt idx="9">
                  <c:v>0.19774361517480799</c:v>
                </c:pt>
                <c:pt idx="10">
                  <c:v>0.13800144126831621</c:v>
                </c:pt>
                <c:pt idx="11">
                  <c:v>9.5664860358484344E-2</c:v>
                </c:pt>
              </c:numCache>
            </c:numRef>
          </c:val>
        </c:ser>
        <c:marker val="1"/>
        <c:axId val="163468032"/>
        <c:axId val="163469952"/>
      </c:lineChart>
      <c:catAx>
        <c:axId val="163468032"/>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63469952"/>
        <c:crosses val="autoZero"/>
        <c:auto val="1"/>
        <c:lblAlgn val="ctr"/>
        <c:lblOffset val="0"/>
        <c:tickLblSkip val="1"/>
        <c:tickMarkSkip val="1"/>
        <c:noMultiLvlLbl val="1"/>
      </c:catAx>
      <c:valAx>
        <c:axId val="163469952"/>
        <c:scaling>
          <c:orientation val="minMax"/>
          <c:min val="-0.8"/>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63468032"/>
        <c:crosses val="autoZero"/>
        <c:crossBetween val="between"/>
      </c:valAx>
    </c:plotArea>
    <c:legend>
      <c:legendPos val="b"/>
      <c:layout>
        <c:manualLayout>
          <c:xMode val="edge"/>
          <c:yMode val="edge"/>
          <c:x val="0.32702777777778069"/>
          <c:y val="6.8421763858767304E-2"/>
          <c:w val="0.36478189300412489"/>
          <c:h val="0.30235780877597673"/>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0.00</c:formatCode>
                <c:ptCount val="12"/>
                <c:pt idx="0">
                  <c:v>0.37986696950032706</c:v>
                </c:pt>
                <c:pt idx="1">
                  <c:v>0.6556053811659196</c:v>
                </c:pt>
                <c:pt idx="2">
                  <c:v>0.48398895275061804</c:v>
                </c:pt>
                <c:pt idx="3">
                  <c:v>-2.9730130486358329E-2</c:v>
                </c:pt>
                <c:pt idx="4">
                  <c:v>-0.5937334665804479</c:v>
                </c:pt>
                <c:pt idx="5">
                  <c:v>-0.60947092813289994</c:v>
                </c:pt>
                <c:pt idx="6">
                  <c:v>-0.60731351541672951</c:v>
                </c:pt>
                <c:pt idx="7">
                  <c:v>-0.35042408496982019</c:v>
                </c:pt>
                <c:pt idx="8">
                  <c:v>0.29749674432065043</c:v>
                </c:pt>
                <c:pt idx="9">
                  <c:v>0.18830193041266999</c:v>
                </c:pt>
                <c:pt idx="10">
                  <c:v>0.32470859485077674</c:v>
                </c:pt>
                <c:pt idx="11">
                  <c:v>4.7406187507352163E-2</c:v>
                </c:pt>
              </c:numCache>
            </c:numRef>
          </c:val>
        </c:ser>
        <c:ser>
          <c:idx val="1"/>
          <c:order val="1"/>
          <c:tx>
            <c:strRef>
              <c:f>Sheet1!$A$4</c:f>
              <c:strCache>
                <c:ptCount val="1"/>
                <c:pt idx="0">
                  <c:v>LV Pavisam</c:v>
                </c:pt>
              </c:strCache>
            </c:strRef>
          </c:tx>
          <c:spPr>
            <a:solidFill>
              <a:srgbClr val="0070C0"/>
            </a:solidFill>
            <a:ln>
              <a:solidFill>
                <a:schemeClr val="tx1"/>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Sheet1!$B$4:$M$4</c:f>
              <c:numCache>
                <c:formatCode>0.00</c:formatCode>
                <c:ptCount val="12"/>
                <c:pt idx="0">
                  <c:v>0.20779981588417543</c:v>
                </c:pt>
                <c:pt idx="1">
                  <c:v>0.5935368626177302</c:v>
                </c:pt>
                <c:pt idx="2">
                  <c:v>0.33662694222356537</c:v>
                </c:pt>
                <c:pt idx="3">
                  <c:v>-0.10121457489878539</c:v>
                </c:pt>
                <c:pt idx="4">
                  <c:v>-0.53478381374722828</c:v>
                </c:pt>
                <c:pt idx="5">
                  <c:v>-0.62463059207174165</c:v>
                </c:pt>
                <c:pt idx="6">
                  <c:v>-0.61661305795384325</c:v>
                </c:pt>
                <c:pt idx="7">
                  <c:v>-0.37551975051975195</c:v>
                </c:pt>
                <c:pt idx="8">
                  <c:v>0.13166517724158422</c:v>
                </c:pt>
                <c:pt idx="9">
                  <c:v>0.24433283561829791</c:v>
                </c:pt>
                <c:pt idx="10">
                  <c:v>0.50750662349131559</c:v>
                </c:pt>
                <c:pt idx="11">
                  <c:v>0.38507421278957088</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Sheet1!$B$5:$M$5</c:f>
              <c:numCache>
                <c:formatCode>0.00</c:formatCode>
                <c:ptCount val="12"/>
                <c:pt idx="0">
                  <c:v>-0.2504754142895953</c:v>
                </c:pt>
                <c:pt idx="1">
                  <c:v>0.39075286415712102</c:v>
                </c:pt>
                <c:pt idx="2">
                  <c:v>-2.8153762858689646E-2</c:v>
                </c:pt>
                <c:pt idx="3">
                  <c:v>-0.30479391473553874</c:v>
                </c:pt>
                <c:pt idx="4">
                  <c:v>-0.24562039386251094</c:v>
                </c:pt>
                <c:pt idx="5">
                  <c:v>-0.6835098558399525</c:v>
                </c:pt>
                <c:pt idx="6">
                  <c:v>-0.65165141265420667</c:v>
                </c:pt>
                <c:pt idx="7">
                  <c:v>-0.47531806615776362</c:v>
                </c:pt>
                <c:pt idx="8">
                  <c:v>-0.30685458039718383</c:v>
                </c:pt>
                <c:pt idx="9">
                  <c:v>0.51313037415756357</c:v>
                </c:pt>
                <c:pt idx="10">
                  <c:v>1.2853552661640393</c:v>
                </c:pt>
                <c:pt idx="11">
                  <c:v>2.0472841901066952</c:v>
                </c:pt>
              </c:numCache>
            </c:numRef>
          </c:val>
        </c:ser>
        <c:axId val="160792960"/>
        <c:axId val="160794880"/>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Sheet1!$B$6:$M$6</c:f>
              <c:numCache>
                <c:formatCode>0.00</c:formatCode>
                <c:ptCount val="12"/>
                <c:pt idx="0">
                  <c:v>5.0970502827448992E-2</c:v>
                </c:pt>
                <c:pt idx="1">
                  <c:v>4.6340340647537087E-2</c:v>
                </c:pt>
                <c:pt idx="2">
                  <c:v>-5.9315286624204058E-2</c:v>
                </c:pt>
                <c:pt idx="3">
                  <c:v>-0.24288144368020192</c:v>
                </c:pt>
                <c:pt idx="4">
                  <c:v>-0.36268450519886858</c:v>
                </c:pt>
                <c:pt idx="5">
                  <c:v>-0.41157061152661806</c:v>
                </c:pt>
                <c:pt idx="6">
                  <c:v>-0.31172238679644754</c:v>
                </c:pt>
                <c:pt idx="7">
                  <c:v>-8.5278890299893245E-2</c:v>
                </c:pt>
                <c:pt idx="8">
                  <c:v>0.14010268111808322</c:v>
                </c:pt>
                <c:pt idx="9">
                  <c:v>0.38080996884735496</c:v>
                </c:pt>
                <c:pt idx="10">
                  <c:v>0.30336940482046476</c:v>
                </c:pt>
                <c:pt idx="11">
                  <c:v>0.27477573686458778</c:v>
                </c:pt>
              </c:numCache>
            </c:numRef>
          </c:val>
        </c:ser>
        <c:marker val="1"/>
        <c:axId val="160792960"/>
        <c:axId val="160794880"/>
      </c:lineChart>
      <c:catAx>
        <c:axId val="160792960"/>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60794880"/>
        <c:crosses val="autoZero"/>
        <c:auto val="1"/>
        <c:lblAlgn val="ctr"/>
        <c:lblOffset val="0"/>
        <c:tickLblSkip val="1"/>
        <c:tickMarkSkip val="1"/>
        <c:noMultiLvlLbl val="1"/>
      </c:catAx>
      <c:valAx>
        <c:axId val="160794880"/>
        <c:scaling>
          <c:orientation val="minMax"/>
          <c:max val="2.5"/>
          <c:min val="-1"/>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60792960"/>
        <c:crosses val="autoZero"/>
        <c:crossBetween val="between"/>
        <c:majorUnit val="0.5"/>
      </c:valAx>
    </c:plotArea>
    <c:legend>
      <c:legendPos val="b"/>
      <c:layout>
        <c:manualLayout>
          <c:xMode val="edge"/>
          <c:yMode val="edge"/>
          <c:x val="0.38364643347050781"/>
          <c:y val="0.10207257180936685"/>
          <c:w val="0.36913717421124831"/>
          <c:h val="0.32759591473892141"/>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0.00</c:formatCode>
                <c:ptCount val="12"/>
                <c:pt idx="0">
                  <c:v>0.86516328249274821</c:v>
                </c:pt>
                <c:pt idx="1">
                  <c:v>-1.4565914707892813E-2</c:v>
                </c:pt>
                <c:pt idx="2">
                  <c:v>0.30203185063151972</c:v>
                </c:pt>
                <c:pt idx="3">
                  <c:v>9.2152481549190993E-2</c:v>
                </c:pt>
                <c:pt idx="4">
                  <c:v>-0.44885365976019664</c:v>
                </c:pt>
                <c:pt idx="5">
                  <c:v>-0.38810032017075941</c:v>
                </c:pt>
                <c:pt idx="6">
                  <c:v>-0.37463095740194008</c:v>
                </c:pt>
                <c:pt idx="7">
                  <c:v>-0.40402975821450732</c:v>
                </c:pt>
                <c:pt idx="8">
                  <c:v>-6.2807209175314033E-3</c:v>
                </c:pt>
                <c:pt idx="9">
                  <c:v>0.18705851574082191</c:v>
                </c:pt>
                <c:pt idx="10">
                  <c:v>0.34994098802900198</c:v>
                </c:pt>
                <c:pt idx="11">
                  <c:v>0.30614792468532204</c:v>
                </c:pt>
              </c:numCache>
            </c:numRef>
          </c:val>
        </c:ser>
        <c:ser>
          <c:idx val="1"/>
          <c:order val="1"/>
          <c:tx>
            <c:strRef>
              <c:f>Sheet1!$A$4</c:f>
              <c:strCache>
                <c:ptCount val="1"/>
                <c:pt idx="0">
                  <c:v>LV Pavisam</c:v>
                </c:pt>
              </c:strCache>
            </c:strRef>
          </c:tx>
          <c:spPr>
            <a:solidFill>
              <a:srgbClr val="0070C0"/>
            </a:solidFill>
            <a:ln>
              <a:solidFill>
                <a:schemeClr val="tx1"/>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Sheet1!$B$4:$M$4</c:f>
              <c:numCache>
                <c:formatCode>0.00</c:formatCode>
                <c:ptCount val="12"/>
                <c:pt idx="0">
                  <c:v>0.68585603294954889</c:v>
                </c:pt>
                <c:pt idx="1">
                  <c:v>0.19922860109776044</c:v>
                </c:pt>
                <c:pt idx="2">
                  <c:v>0.32485875706214962</c:v>
                </c:pt>
                <c:pt idx="3">
                  <c:v>0.10671328671328742</c:v>
                </c:pt>
                <c:pt idx="4">
                  <c:v>-0.45402554136590911</c:v>
                </c:pt>
                <c:pt idx="5">
                  <c:v>-0.53377041068778286</c:v>
                </c:pt>
                <c:pt idx="6">
                  <c:v>-0.42813405499972668</c:v>
                </c:pt>
                <c:pt idx="7">
                  <c:v>-0.44275243270567421</c:v>
                </c:pt>
                <c:pt idx="8">
                  <c:v>-2.2271941421743387E-2</c:v>
                </c:pt>
                <c:pt idx="9">
                  <c:v>0.25126028124170868</c:v>
                </c:pt>
                <c:pt idx="10">
                  <c:v>0.31175908221797388</c:v>
                </c:pt>
                <c:pt idx="11">
                  <c:v>0.24231772309785704</c:v>
                </c:pt>
              </c:numCache>
            </c:numRef>
          </c:val>
        </c:ser>
        <c:ser>
          <c:idx val="2"/>
          <c:order val="2"/>
          <c:tx>
            <c:strRef>
              <c:f>Sheet1!$A$5</c:f>
              <c:strCache>
                <c:ptCount val="1"/>
                <c:pt idx="0">
                  <c:v>LV Iekšējais tirgus</c:v>
                </c:pt>
              </c:strCache>
            </c:strRef>
          </c:tx>
          <c:spPr>
            <a:solidFill>
              <a:schemeClr val="bg1">
                <a:lumMod val="95000"/>
              </a:schemeClr>
            </a:solidFill>
            <a:ln w="3175">
              <a:solidFill>
                <a:schemeClr val="tx1"/>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Sheet1!$B$5:$M$5</c:f>
              <c:numCache>
                <c:formatCode>0.00</c:formatCode>
                <c:ptCount val="12"/>
                <c:pt idx="0">
                  <c:v>-8.4905660377359964E-3</c:v>
                </c:pt>
                <c:pt idx="1">
                  <c:v>0.93251366120218548</c:v>
                </c:pt>
                <c:pt idx="2">
                  <c:v>0.54696710401216675</c:v>
                </c:pt>
                <c:pt idx="3">
                  <c:v>0.22270011947431301</c:v>
                </c:pt>
                <c:pt idx="4">
                  <c:v>-0.47773549000951476</c:v>
                </c:pt>
                <c:pt idx="5">
                  <c:v>-0.77235361838783589</c:v>
                </c:pt>
                <c:pt idx="6">
                  <c:v>-0.69172146764182085</c:v>
                </c:pt>
                <c:pt idx="7">
                  <c:v>-0.61390137450329341</c:v>
                </c:pt>
                <c:pt idx="8">
                  <c:v>-0.14556385498269334</c:v>
                </c:pt>
                <c:pt idx="9">
                  <c:v>0.55771448851033623</c:v>
                </c:pt>
                <c:pt idx="10">
                  <c:v>-5.1036682615629894E-2</c:v>
                </c:pt>
                <c:pt idx="11">
                  <c:v>-0.18710983634216424</c:v>
                </c:pt>
              </c:numCache>
            </c:numRef>
          </c:val>
        </c:ser>
        <c:axId val="166367232"/>
        <c:axId val="166369152"/>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Sheet1!$B$6:$M$6</c:f>
              <c:numCache>
                <c:formatCode>0.00</c:formatCode>
                <c:ptCount val="12"/>
                <c:pt idx="0">
                  <c:v>5.9389092146686327E-2</c:v>
                </c:pt>
                <c:pt idx="1">
                  <c:v>-9.1565703634669621E-2</c:v>
                </c:pt>
                <c:pt idx="2">
                  <c:v>-5.9085428067897294E-2</c:v>
                </c:pt>
                <c:pt idx="3">
                  <c:v>-0.3739541651509668</c:v>
                </c:pt>
                <c:pt idx="4">
                  <c:v>-0.35033330656172179</c:v>
                </c:pt>
                <c:pt idx="5">
                  <c:v>-0.28297854150636931</c:v>
                </c:pt>
                <c:pt idx="6">
                  <c:v>-0.1821766561514197</c:v>
                </c:pt>
                <c:pt idx="7">
                  <c:v>6.2289366647298117E-2</c:v>
                </c:pt>
                <c:pt idx="8">
                  <c:v>0.15861045864754644</c:v>
                </c:pt>
                <c:pt idx="9">
                  <c:v>0.16966734231548841</c:v>
                </c:pt>
                <c:pt idx="10">
                  <c:v>0.11282545805207336</c:v>
                </c:pt>
                <c:pt idx="11">
                  <c:v>0.19056995952302824</c:v>
                </c:pt>
              </c:numCache>
            </c:numRef>
          </c:val>
        </c:ser>
        <c:marker val="1"/>
        <c:axId val="166367232"/>
        <c:axId val="166369152"/>
      </c:lineChart>
      <c:catAx>
        <c:axId val="166367232"/>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66369152"/>
        <c:crosses val="autoZero"/>
        <c:auto val="1"/>
        <c:lblAlgn val="ctr"/>
        <c:lblOffset val="0"/>
        <c:tickLblSkip val="1"/>
        <c:tickMarkSkip val="1"/>
        <c:noMultiLvlLbl val="1"/>
      </c:catAx>
      <c:valAx>
        <c:axId val="166369152"/>
        <c:scaling>
          <c:orientation val="minMax"/>
          <c:max val="1"/>
          <c:min val="-0.8"/>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66367232"/>
        <c:crosses val="autoZero"/>
        <c:crossBetween val="between"/>
        <c:majorUnit val="0.30000000000000032"/>
      </c:valAx>
    </c:plotArea>
    <c:legend>
      <c:legendPos val="b"/>
      <c:layout>
        <c:manualLayout>
          <c:xMode val="edge"/>
          <c:yMode val="edge"/>
          <c:x val="0.29654080932785509"/>
          <c:y val="4.3183657895817913E-2"/>
          <c:w val="0.6957832647462211"/>
          <c:h val="0.17616727896122344"/>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634"/>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100.07</c:v>
                </c:pt>
                <c:pt idx="1">
                  <c:v>106.3</c:v>
                </c:pt>
                <c:pt idx="2">
                  <c:v>103.35</c:v>
                </c:pt>
                <c:pt idx="3">
                  <c:v>114.92</c:v>
                </c:pt>
                <c:pt idx="4">
                  <c:v>109.09</c:v>
                </c:pt>
                <c:pt idx="5">
                  <c:v>106.3</c:v>
                </c:pt>
                <c:pt idx="6">
                  <c:v>104.5</c:v>
                </c:pt>
                <c:pt idx="7">
                  <c:v>100.54</c:v>
                </c:pt>
                <c:pt idx="8">
                  <c:v>104.27</c:v>
                </c:pt>
                <c:pt idx="9">
                  <c:v>108.27</c:v>
                </c:pt>
                <c:pt idx="10">
                  <c:v>91.6</c:v>
                </c:pt>
                <c:pt idx="11">
                  <c:v>86.63</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72.77</c:v>
                </c:pt>
                <c:pt idx="1">
                  <c:v>72.569999999999993</c:v>
                </c:pt>
                <c:pt idx="2">
                  <c:v>78.709999999999994</c:v>
                </c:pt>
                <c:pt idx="3">
                  <c:v>84.4</c:v>
                </c:pt>
                <c:pt idx="4">
                  <c:v>81.45</c:v>
                </c:pt>
                <c:pt idx="5">
                  <c:v>85.52</c:v>
                </c:pt>
                <c:pt idx="6">
                  <c:v>83.07</c:v>
                </c:pt>
                <c:pt idx="7">
                  <c:v>85.179999999999978</c:v>
                </c:pt>
                <c:pt idx="8">
                  <c:v>85.79</c:v>
                </c:pt>
                <c:pt idx="9">
                  <c:v>88.27</c:v>
                </c:pt>
                <c:pt idx="10">
                  <c:v>87.4</c:v>
                </c:pt>
                <c:pt idx="11">
                  <c:v>80.7</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71.290000000000006</c:v>
                </c:pt>
                <c:pt idx="1">
                  <c:v>73.569999999999993</c:v>
                </c:pt>
                <c:pt idx="2">
                  <c:v>88.23</c:v>
                </c:pt>
                <c:pt idx="3">
                  <c:v>95.61</c:v>
                </c:pt>
                <c:pt idx="4">
                  <c:v>95.78</c:v>
                </c:pt>
                <c:pt idx="5">
                  <c:v>98.679999999999978</c:v>
                </c:pt>
                <c:pt idx="6">
                  <c:v>100.88</c:v>
                </c:pt>
                <c:pt idx="7">
                  <c:v>106.91000000000012</c:v>
                </c:pt>
                <c:pt idx="8">
                  <c:v>105.74000000000002</c:v>
                </c:pt>
                <c:pt idx="9">
                  <c:v>109.74000000000002</c:v>
                </c:pt>
                <c:pt idx="10">
                  <c:v>104.13</c:v>
                </c:pt>
                <c:pt idx="11">
                  <c:v>98.16</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81.31</c:v>
                </c:pt>
                <c:pt idx="1">
                  <c:v>83.35</c:v>
                </c:pt>
              </c:numCache>
            </c:numRef>
          </c:val>
        </c:ser>
        <c:marker val="1"/>
        <c:axId val="161086848"/>
        <c:axId val="166397056"/>
      </c:lineChart>
      <c:catAx>
        <c:axId val="16108684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397056"/>
        <c:crosses val="autoZero"/>
        <c:auto val="1"/>
        <c:lblAlgn val="ctr"/>
        <c:lblOffset val="0"/>
        <c:tickMarkSkip val="1"/>
      </c:catAx>
      <c:valAx>
        <c:axId val="166397056"/>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086848"/>
        <c:crosses val="autoZero"/>
        <c:crossBetween val="between"/>
        <c:majorUnit val="10"/>
      </c:valAx>
      <c:spPr>
        <a:noFill/>
        <a:ln w="6350">
          <a:solidFill>
            <a:sysClr val="window" lastClr="FFFFFF">
              <a:lumMod val="85000"/>
            </a:sysClr>
          </a:solidFill>
        </a:ln>
      </c:spPr>
    </c:plotArea>
    <c:legend>
      <c:legendPos val="b"/>
      <c:layout>
        <c:manualLayout>
          <c:xMode val="edge"/>
          <c:yMode val="edge"/>
          <c:x val="0.33393081067972086"/>
          <c:y val="0.71563368055555565"/>
          <c:w val="0.60874119783541902"/>
          <c:h val="0.1304299768518518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Sheet1!$A$14:$B$51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Sheet1!$C$14:$C$51</c:f>
              <c:numCache>
                <c:formatCode>0.0</c:formatCode>
                <c:ptCount val="38"/>
                <c:pt idx="0">
                  <c:v>106.60287081339675</c:v>
                </c:pt>
                <c:pt idx="1">
                  <c:v>107.65550239234416</c:v>
                </c:pt>
                <c:pt idx="2">
                  <c:v>106.50717703349258</c:v>
                </c:pt>
                <c:pt idx="3">
                  <c:v>104.4019138755983</c:v>
                </c:pt>
                <c:pt idx="4">
                  <c:v>101.81818181818144</c:v>
                </c:pt>
                <c:pt idx="5">
                  <c:v>100.00000000000001</c:v>
                </c:pt>
                <c:pt idx="6">
                  <c:v>97.511961722488053</c:v>
                </c:pt>
                <c:pt idx="7">
                  <c:v>94.258373205741549</c:v>
                </c:pt>
                <c:pt idx="8">
                  <c:v>93.971291866028679</c:v>
                </c:pt>
                <c:pt idx="9">
                  <c:v>92.918660287081337</c:v>
                </c:pt>
                <c:pt idx="10">
                  <c:v>89.473684210526258</c:v>
                </c:pt>
                <c:pt idx="11">
                  <c:v>85.071770334927905</c:v>
                </c:pt>
                <c:pt idx="12">
                  <c:v>80</c:v>
                </c:pt>
                <c:pt idx="13">
                  <c:v>79.330143540669852</c:v>
                </c:pt>
                <c:pt idx="14">
                  <c:v>76.650717703349258</c:v>
                </c:pt>
                <c:pt idx="15">
                  <c:v>80.574162679425854</c:v>
                </c:pt>
                <c:pt idx="16">
                  <c:v>78.181818181818201</c:v>
                </c:pt>
                <c:pt idx="17">
                  <c:v>80.38277511961688</c:v>
                </c:pt>
                <c:pt idx="18">
                  <c:v>77.129186602870789</c:v>
                </c:pt>
                <c:pt idx="19">
                  <c:v>79.138755980861248</c:v>
                </c:pt>
                <c:pt idx="20">
                  <c:v>77.129186602870789</c:v>
                </c:pt>
                <c:pt idx="21">
                  <c:v>77.033492822966167</c:v>
                </c:pt>
                <c:pt idx="22">
                  <c:v>82.966507177033478</c:v>
                </c:pt>
                <c:pt idx="23">
                  <c:v>79.234449760765727</c:v>
                </c:pt>
                <c:pt idx="24">
                  <c:v>80.765550239234443</c:v>
                </c:pt>
                <c:pt idx="25">
                  <c:v>80.66985645933012</c:v>
                </c:pt>
                <c:pt idx="26">
                  <c:v>86.602870813396635</c:v>
                </c:pt>
                <c:pt idx="27">
                  <c:v>89.377990430621637</c:v>
                </c:pt>
                <c:pt idx="28">
                  <c:v>90.047846889952126</c:v>
                </c:pt>
                <c:pt idx="29">
                  <c:v>90.622009569377994</c:v>
                </c:pt>
                <c:pt idx="30">
                  <c:v>95.598086124401547</c:v>
                </c:pt>
                <c:pt idx="31">
                  <c:v>96.363636363636289</c:v>
                </c:pt>
                <c:pt idx="32">
                  <c:v>94.832535885167474</c:v>
                </c:pt>
                <c:pt idx="33">
                  <c:v>97.511961722488039</c:v>
                </c:pt>
                <c:pt idx="34">
                  <c:v>96.076555023923419</c:v>
                </c:pt>
                <c:pt idx="35">
                  <c:v>93.971291866028679</c:v>
                </c:pt>
                <c:pt idx="36">
                  <c:v>90.334928229665096</c:v>
                </c:pt>
                <c:pt idx="37" formatCode="General">
                  <c:v>91.67464114832535</c:v>
                </c:pt>
              </c:numCache>
            </c:numRef>
          </c:val>
        </c:ser>
        <c:marker val="1"/>
        <c:axId val="166621568"/>
        <c:axId val="166623104"/>
      </c:lineChart>
      <c:catAx>
        <c:axId val="16662156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623104"/>
        <c:crosses val="autoZero"/>
        <c:auto val="1"/>
        <c:lblAlgn val="ctr"/>
        <c:lblOffset val="0"/>
        <c:tickLblSkip val="2"/>
        <c:tickMarkSkip val="1"/>
        <c:noMultiLvlLbl val="1"/>
      </c:catAx>
      <c:valAx>
        <c:axId val="166623104"/>
        <c:scaling>
          <c:orientation val="minMax"/>
          <c:max val="115"/>
          <c:min val="7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621568"/>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22336324884587"/>
          <c:y val="4.7330555555555563E-2"/>
          <c:w val="0.8075809613525875"/>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149.1028</c:v>
                </c:pt>
                <c:pt idx="1">
                  <c:v>147.54510000000002</c:v>
                </c:pt>
                <c:pt idx="2">
                  <c:v>143.74799999999999</c:v>
                </c:pt>
                <c:pt idx="3">
                  <c:v>168.441</c:v>
                </c:pt>
                <c:pt idx="4">
                  <c:v>163.62290000000004</c:v>
                </c:pt>
                <c:pt idx="5">
                  <c:v>162.13999999999999</c:v>
                </c:pt>
                <c:pt idx="6">
                  <c:v>166.48780000000036</c:v>
                </c:pt>
                <c:pt idx="7">
                  <c:v>155.4992</c:v>
                </c:pt>
                <c:pt idx="8">
                  <c:v>161.71549999999996</c:v>
                </c:pt>
                <c:pt idx="9">
                  <c:v>157.49479999999997</c:v>
                </c:pt>
                <c:pt idx="10">
                  <c:v>132.55950000000001</c:v>
                </c:pt>
                <c:pt idx="11">
                  <c:v>137.09030000000001</c:v>
                </c:pt>
                <c:pt idx="12">
                  <c:v>97.546500000000023</c:v>
                </c:pt>
                <c:pt idx="13">
                  <c:v>100.00470000000001</c:v>
                </c:pt>
                <c:pt idx="14">
                  <c:v>105.94550000000002</c:v>
                </c:pt>
                <c:pt idx="15">
                  <c:v>110.53689999999999</c:v>
                </c:pt>
                <c:pt idx="16">
                  <c:v>111.65459999999999</c:v>
                </c:pt>
                <c:pt idx="17">
                  <c:v>116.93849999999999</c:v>
                </c:pt>
                <c:pt idx="18">
                  <c:v>112.5368</c:v>
                </c:pt>
                <c:pt idx="19">
                  <c:v>106.65860000000001</c:v>
                </c:pt>
                <c:pt idx="20">
                  <c:v>108.09120000000021</c:v>
                </c:pt>
                <c:pt idx="21">
                  <c:v>104.898</c:v>
                </c:pt>
                <c:pt idx="22">
                  <c:v>98.236100000000022</c:v>
                </c:pt>
                <c:pt idx="23">
                  <c:v>101.1189</c:v>
                </c:pt>
                <c:pt idx="24">
                  <c:v>84.143500000000003</c:v>
                </c:pt>
                <c:pt idx="25">
                  <c:v>85.210499999999996</c:v>
                </c:pt>
                <c:pt idx="26">
                  <c:v>100.25890000000001</c:v>
                </c:pt>
                <c:pt idx="27">
                  <c:v>101.55889999999997</c:v>
                </c:pt>
                <c:pt idx="28">
                  <c:v>109.80029999999999</c:v>
                </c:pt>
                <c:pt idx="29">
                  <c:v>113.99860000000012</c:v>
                </c:pt>
                <c:pt idx="30">
                  <c:v>117.71890000000006</c:v>
                </c:pt>
                <c:pt idx="31">
                  <c:v>118.85679999999995</c:v>
                </c:pt>
                <c:pt idx="32">
                  <c:v>122.57760000000002</c:v>
                </c:pt>
                <c:pt idx="33">
                  <c:v>126.12169999999999</c:v>
                </c:pt>
                <c:pt idx="34">
                  <c:v>118.51439999999999</c:v>
                </c:pt>
                <c:pt idx="35">
                  <c:v>116.41540000000003</c:v>
                </c:pt>
                <c:pt idx="36">
                  <c:v>95.863799999999998</c:v>
                </c:pt>
                <c:pt idx="37">
                  <c:v>95.316000000000031</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141.91399999999999</c:v>
                </c:pt>
                <c:pt idx="1">
                  <c:v>158.66589999999999</c:v>
                </c:pt>
                <c:pt idx="2">
                  <c:v>159.82980000000001</c:v>
                </c:pt>
                <c:pt idx="3">
                  <c:v>181.82570000000001</c:v>
                </c:pt>
                <c:pt idx="4">
                  <c:v>168.72240000000039</c:v>
                </c:pt>
                <c:pt idx="5">
                  <c:v>164.29679999999999</c:v>
                </c:pt>
                <c:pt idx="6">
                  <c:v>161.5395</c:v>
                </c:pt>
                <c:pt idx="7">
                  <c:v>177.68170000000001</c:v>
                </c:pt>
                <c:pt idx="8">
                  <c:v>184.37810000000007</c:v>
                </c:pt>
                <c:pt idx="9">
                  <c:v>164.16200000000001</c:v>
                </c:pt>
                <c:pt idx="10">
                  <c:v>139.3494</c:v>
                </c:pt>
                <c:pt idx="11">
                  <c:v>121.62769999999999</c:v>
                </c:pt>
                <c:pt idx="12">
                  <c:v>114.2842000000002</c:v>
                </c:pt>
                <c:pt idx="13">
                  <c:v>111.70689999999999</c:v>
                </c:pt>
                <c:pt idx="14">
                  <c:v>125.3968</c:v>
                </c:pt>
                <c:pt idx="15">
                  <c:v>122.23950000000002</c:v>
                </c:pt>
                <c:pt idx="16">
                  <c:v>118.12329999999999</c:v>
                </c:pt>
                <c:pt idx="17">
                  <c:v>124.62910000000001</c:v>
                </c:pt>
                <c:pt idx="18">
                  <c:v>115.1935</c:v>
                </c:pt>
                <c:pt idx="19">
                  <c:v>119.93720000000023</c:v>
                </c:pt>
                <c:pt idx="20">
                  <c:v>140.53030000000001</c:v>
                </c:pt>
                <c:pt idx="21">
                  <c:v>146.94150000000002</c:v>
                </c:pt>
                <c:pt idx="22">
                  <c:v>133.36110000000039</c:v>
                </c:pt>
                <c:pt idx="23">
                  <c:v>130.01009999999999</c:v>
                </c:pt>
                <c:pt idx="24">
                  <c:v>111.35310000000001</c:v>
                </c:pt>
                <c:pt idx="25">
                  <c:v>130.4949</c:v>
                </c:pt>
                <c:pt idx="26">
                  <c:v>152.67099999999999</c:v>
                </c:pt>
                <c:pt idx="27">
                  <c:v>163.42260000000007</c:v>
                </c:pt>
                <c:pt idx="28">
                  <c:v>162.73979999999995</c:v>
                </c:pt>
                <c:pt idx="29">
                  <c:v>160.36830000000049</c:v>
                </c:pt>
                <c:pt idx="30">
                  <c:v>171.38150000000007</c:v>
                </c:pt>
                <c:pt idx="31">
                  <c:v>177.71619999999999</c:v>
                </c:pt>
                <c:pt idx="32">
                  <c:v>187.5514000000004</c:v>
                </c:pt>
                <c:pt idx="33">
                  <c:v>177.2225</c:v>
                </c:pt>
                <c:pt idx="34">
                  <c:v>164.49379999999999</c:v>
                </c:pt>
                <c:pt idx="35">
                  <c:v>163.0573000000004</c:v>
                </c:pt>
                <c:pt idx="36">
                  <c:v>173.0538</c:v>
                </c:pt>
                <c:pt idx="37">
                  <c:v>176.92320000000001</c:v>
                </c:pt>
              </c:numCache>
            </c:numRef>
          </c:val>
        </c:ser>
        <c:gapWidth val="0"/>
        <c:overlap val="100"/>
        <c:axId val="166282752"/>
        <c:axId val="166284288"/>
      </c:barChart>
      <c:catAx>
        <c:axId val="16628275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284288"/>
        <c:crosses val="autoZero"/>
        <c:auto val="1"/>
        <c:lblAlgn val="ctr"/>
        <c:lblOffset val="0"/>
        <c:tickLblSkip val="3"/>
        <c:tickMarkSkip val="1"/>
        <c:noMultiLvlLbl val="1"/>
      </c:catAx>
      <c:valAx>
        <c:axId val="16628428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282752"/>
        <c:crosses val="autoZero"/>
        <c:crossBetween val="between"/>
      </c:valAx>
      <c:spPr>
        <a:noFill/>
        <a:ln w="6350">
          <a:solidFill>
            <a:sysClr val="window" lastClr="FFFFFF">
              <a:lumMod val="85000"/>
            </a:sysClr>
          </a:solidFill>
        </a:ln>
      </c:spPr>
    </c:plotArea>
    <c:legend>
      <c:legendPos val="b"/>
      <c:layout>
        <c:manualLayout>
          <c:xMode val="edge"/>
          <c:yMode val="edge"/>
          <c:x val="0.37965647918557455"/>
          <c:y val="7.3845231892516502E-2"/>
          <c:w val="0.35673227969348681"/>
          <c:h val="0.17263831018518541"/>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144"/>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0.20617477375357338</c:v>
                </c:pt>
                <c:pt idx="1">
                  <c:v>5.9947544356648894</c:v>
                </c:pt>
                <c:pt idx="2">
                  <c:v>-11.366372432826267</c:v>
                </c:pt>
                <c:pt idx="3">
                  <c:v>13.656943888868945</c:v>
                </c:pt>
                <c:pt idx="4">
                  <c:v>-7.4741557628291284</c:v>
                </c:pt>
                <c:pt idx="5">
                  <c:v>-6.4337344584478871</c:v>
                </c:pt>
                <c:pt idx="6">
                  <c:v>-3.3903870283092772</c:v>
                </c:pt>
                <c:pt idx="7">
                  <c:v>-8.1840256815852488</c:v>
                </c:pt>
                <c:pt idx="8">
                  <c:v>4.9957013231071894</c:v>
                </c:pt>
                <c:pt idx="9">
                  <c:v>-7.1661386620647676</c:v>
                </c:pt>
                <c:pt idx="10">
                  <c:v>-17.127714117710397</c:v>
                </c:pt>
                <c:pt idx="11">
                  <c:v>-10.509232689758303</c:v>
                </c:pt>
                <c:pt idx="12">
                  <c:v>-26.701922434141089</c:v>
                </c:pt>
                <c:pt idx="13">
                  <c:v>-28.270027768554201</c:v>
                </c:pt>
                <c:pt idx="14">
                  <c:v>-18.852891501968116</c:v>
                </c:pt>
                <c:pt idx="15">
                  <c:v>-28.267854669425901</c:v>
                </c:pt>
                <c:pt idx="16">
                  <c:v>-24.694622500069066</c:v>
                </c:pt>
                <c:pt idx="17">
                  <c:v>-17.116496572679182</c:v>
                </c:pt>
                <c:pt idx="18">
                  <c:v>-21.90390105208121</c:v>
                </c:pt>
                <c:pt idx="19">
                  <c:v>-22.21838811196449</c:v>
                </c:pt>
                <c:pt idx="20">
                  <c:v>-18.911300176679926</c:v>
                </c:pt>
                <c:pt idx="21">
                  <c:v>-14.650960238401249</c:v>
                </c:pt>
                <c:pt idx="22">
                  <c:v>-7.3725512179611545</c:v>
                </c:pt>
                <c:pt idx="23">
                  <c:v>-4.0762662404327834</c:v>
                </c:pt>
                <c:pt idx="24">
                  <c:v>-3.2187215593082792</c:v>
                </c:pt>
                <c:pt idx="25">
                  <c:v>4.7663154269926906</c:v>
                </c:pt>
                <c:pt idx="26">
                  <c:v>8.7687048535383525</c:v>
                </c:pt>
                <c:pt idx="27">
                  <c:v>11.515023866795971</c:v>
                </c:pt>
                <c:pt idx="28">
                  <c:v>14.114085655319485</c:v>
                </c:pt>
                <c:pt idx="29">
                  <c:v>7.6983092150116903</c:v>
                </c:pt>
                <c:pt idx="30">
                  <c:v>20.608581961684635</c:v>
                </c:pt>
                <c:pt idx="31">
                  <c:v>23.263205067384192</c:v>
                </c:pt>
                <c:pt idx="32">
                  <c:v>16.512533429366073</c:v>
                </c:pt>
                <c:pt idx="33">
                  <c:v>13.243131909738461</c:v>
                </c:pt>
                <c:pt idx="34">
                  <c:v>13.255179845460002</c:v>
                </c:pt>
                <c:pt idx="35">
                  <c:v>12.618066785260545</c:v>
                </c:pt>
                <c:pt idx="36">
                  <c:v>28.364483450809431</c:v>
                </c:pt>
                <c:pt idx="37">
                  <c:v>16.221673873883915</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10.855290191239311</c:v>
                </c:pt>
                <c:pt idx="1">
                  <c:v>11.702882663511602</c:v>
                </c:pt>
                <c:pt idx="2">
                  <c:v>8.7742853830579151</c:v>
                </c:pt>
                <c:pt idx="3">
                  <c:v>9.548467112172613</c:v>
                </c:pt>
                <c:pt idx="4">
                  <c:v>7.6798464169899319</c:v>
                </c:pt>
                <c:pt idx="5">
                  <c:v>8.9635225371859644</c:v>
                </c:pt>
                <c:pt idx="6">
                  <c:v>9.0440631320486915</c:v>
                </c:pt>
                <c:pt idx="7">
                  <c:v>9.8007142210849363</c:v>
                </c:pt>
                <c:pt idx="8">
                  <c:v>10.10586330224541</c:v>
                </c:pt>
                <c:pt idx="9">
                  <c:v>4.6772552703442054</c:v>
                </c:pt>
                <c:pt idx="10">
                  <c:v>2.8885938649590632</c:v>
                </c:pt>
                <c:pt idx="11">
                  <c:v>2.3931480857248371</c:v>
                </c:pt>
                <c:pt idx="12">
                  <c:v>-0.50822488381440678</c:v>
                </c:pt>
                <c:pt idx="13">
                  <c:v>-2.5908492084322603</c:v>
                </c:pt>
                <c:pt idx="14">
                  <c:v>-4.9418326181750416</c:v>
                </c:pt>
                <c:pt idx="15">
                  <c:v>-5.2752426332865934</c:v>
                </c:pt>
                <c:pt idx="16">
                  <c:v>-6.1670746564725567</c:v>
                </c:pt>
                <c:pt idx="17">
                  <c:v>-8.8821653428891665</c:v>
                </c:pt>
                <c:pt idx="18">
                  <c:v>-8.6719077296878559</c:v>
                </c:pt>
                <c:pt idx="19">
                  <c:v>-9.7717709877918111</c:v>
                </c:pt>
                <c:pt idx="20">
                  <c:v>-9.2522081921543986</c:v>
                </c:pt>
                <c:pt idx="21">
                  <c:v>-7.0545656513048405</c:v>
                </c:pt>
                <c:pt idx="22">
                  <c:v>-7.4528921566396784</c:v>
                </c:pt>
                <c:pt idx="23">
                  <c:v>-6.5874680184900853</c:v>
                </c:pt>
                <c:pt idx="24">
                  <c:v>-4.4922004175345513</c:v>
                </c:pt>
                <c:pt idx="25">
                  <c:v>-2.8798812401082747</c:v>
                </c:pt>
                <c:pt idx="26">
                  <c:v>0.56274901373970743</c:v>
                </c:pt>
                <c:pt idx="27">
                  <c:v>2.3201845134350094</c:v>
                </c:pt>
                <c:pt idx="28">
                  <c:v>4.4961462251181104</c:v>
                </c:pt>
                <c:pt idx="29">
                  <c:v>5.8793808394492775</c:v>
                </c:pt>
                <c:pt idx="30">
                  <c:v>6.3400059073868755</c:v>
                </c:pt>
                <c:pt idx="31">
                  <c:v>7.6187442008723085</c:v>
                </c:pt>
                <c:pt idx="32">
                  <c:v>8.226879694599468</c:v>
                </c:pt>
                <c:pt idx="33">
                  <c:v>7.2082666992962734</c:v>
                </c:pt>
                <c:pt idx="34">
                  <c:v>8.9432750581398679</c:v>
                </c:pt>
                <c:pt idx="35">
                  <c:v>8.2982613258807785</c:v>
                </c:pt>
                <c:pt idx="36">
                  <c:v>9.1916684208854864</c:v>
                </c:pt>
                <c:pt idx="37">
                  <c:v>9.9871275747584907</c:v>
                </c:pt>
              </c:numCache>
            </c:numRef>
          </c:val>
        </c:ser>
        <c:gapWidth val="48"/>
        <c:overlap val="100"/>
        <c:axId val="166924288"/>
        <c:axId val="166926208"/>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11.061464964992851</c:v>
                </c:pt>
                <c:pt idx="1">
                  <c:v>17.69763709917649</c:v>
                </c:pt>
                <c:pt idx="2">
                  <c:v>-2.5920870497683239</c:v>
                </c:pt>
                <c:pt idx="3">
                  <c:v>23.205411001041526</c:v>
                </c:pt>
                <c:pt idx="4">
                  <c:v>0.20569065416080434</c:v>
                </c:pt>
                <c:pt idx="5">
                  <c:v>2.5297880787380231</c:v>
                </c:pt>
                <c:pt idx="6">
                  <c:v>5.6536761037394143</c:v>
                </c:pt>
                <c:pt idx="7">
                  <c:v>1.6166885394996515</c:v>
                </c:pt>
                <c:pt idx="8">
                  <c:v>15.101564625352593</c:v>
                </c:pt>
                <c:pt idx="9">
                  <c:v>-2.4888833917205488</c:v>
                </c:pt>
                <c:pt idx="10">
                  <c:v>-14.239120252751333</c:v>
                </c:pt>
                <c:pt idx="11">
                  <c:v>-8.116084604033432</c:v>
                </c:pt>
                <c:pt idx="12">
                  <c:v>-27.210147317955517</c:v>
                </c:pt>
                <c:pt idx="13">
                  <c:v>-30.860876976986461</c:v>
                </c:pt>
                <c:pt idx="14">
                  <c:v>-23.794724120143126</c:v>
                </c:pt>
                <c:pt idx="15">
                  <c:v>-33.54309730271234</c:v>
                </c:pt>
                <c:pt idx="16">
                  <c:v>-30.861697156541709</c:v>
                </c:pt>
                <c:pt idx="17">
                  <c:v>-25.998661915568285</c:v>
                </c:pt>
                <c:pt idx="18">
                  <c:v>-30.575808781769069</c:v>
                </c:pt>
                <c:pt idx="19">
                  <c:v>-31.990159099756326</c:v>
                </c:pt>
                <c:pt idx="20">
                  <c:v>-28.163508368834332</c:v>
                </c:pt>
                <c:pt idx="21">
                  <c:v>-21.705525889705985</c:v>
                </c:pt>
                <c:pt idx="22">
                  <c:v>-14.825443374600866</c:v>
                </c:pt>
                <c:pt idx="23">
                  <c:v>-10.663734258922902</c:v>
                </c:pt>
                <c:pt idx="24">
                  <c:v>-7.7109219768428261</c:v>
                </c:pt>
                <c:pt idx="25">
                  <c:v>1.886434186884415</c:v>
                </c:pt>
                <c:pt idx="26">
                  <c:v>9.3314538672780447</c:v>
                </c:pt>
                <c:pt idx="27">
                  <c:v>13.835208380230981</c:v>
                </c:pt>
                <c:pt idx="28">
                  <c:v>18.610231880437592</c:v>
                </c:pt>
                <c:pt idx="29">
                  <c:v>13.577690054461002</c:v>
                </c:pt>
                <c:pt idx="30">
                  <c:v>26.948587869071407</c:v>
                </c:pt>
                <c:pt idx="31">
                  <c:v>30.88194926825653</c:v>
                </c:pt>
                <c:pt idx="32">
                  <c:v>24.739413123965527</c:v>
                </c:pt>
                <c:pt idx="33">
                  <c:v>20.45139860903473</c:v>
                </c:pt>
                <c:pt idx="34">
                  <c:v>22.198454903599867</c:v>
                </c:pt>
                <c:pt idx="35">
                  <c:v>20.916328111141411</c:v>
                </c:pt>
                <c:pt idx="36">
                  <c:v>37.556151871694894</c:v>
                </c:pt>
                <c:pt idx="37">
                  <c:v>26.208801448642539</c:v>
                </c:pt>
              </c:numCache>
            </c:numRef>
          </c:val>
        </c:ser>
        <c:marker val="1"/>
        <c:axId val="166924288"/>
        <c:axId val="166926208"/>
      </c:lineChart>
      <c:catAx>
        <c:axId val="16692428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926208"/>
        <c:crosses val="autoZero"/>
        <c:auto val="1"/>
        <c:lblAlgn val="ctr"/>
        <c:lblOffset val="0"/>
        <c:tickLblSkip val="2"/>
        <c:tickMarkSkip val="1"/>
        <c:noMultiLvlLbl val="1"/>
      </c:catAx>
      <c:valAx>
        <c:axId val="16692620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924288"/>
        <c:crosses val="autoZero"/>
        <c:crossBetween val="between"/>
      </c:valAx>
      <c:spPr>
        <a:noFill/>
        <a:ln w="6350">
          <a:solidFill>
            <a:sysClr val="window" lastClr="FFFFFF">
              <a:lumMod val="85000"/>
            </a:sysClr>
          </a:solidFill>
        </a:ln>
      </c:spPr>
    </c:plotArea>
    <c:legend>
      <c:legendPos val="b"/>
      <c:layout>
        <c:manualLayout>
          <c:xMode val="edge"/>
          <c:yMode val="edge"/>
          <c:x val="0.29167801472633276"/>
          <c:y val="7.4626157407407412E-2"/>
          <c:w val="0.52206321839080461"/>
          <c:h val="0.1577368072893373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8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102.37452779276848</c:v>
                </c:pt>
                <c:pt idx="1">
                  <c:v>103.74681982884917</c:v>
                </c:pt>
                <c:pt idx="2">
                  <c:v>104.06290956749665</c:v>
                </c:pt>
                <c:pt idx="3">
                  <c:v>104.66425102150951</c:v>
                </c:pt>
                <c:pt idx="4">
                  <c:v>105.58939171999056</c:v>
                </c:pt>
                <c:pt idx="5">
                  <c:v>107.15442140158817</c:v>
                </c:pt>
                <c:pt idx="6">
                  <c:v>107.61699175082875</c:v>
                </c:pt>
                <c:pt idx="7">
                  <c:v>109.33621154883971</c:v>
                </c:pt>
                <c:pt idx="8">
                  <c:v>108.20291419320021</c:v>
                </c:pt>
                <c:pt idx="9">
                  <c:v>105.6048107316321</c:v>
                </c:pt>
                <c:pt idx="10">
                  <c:v>103.89330043944175</c:v>
                </c:pt>
                <c:pt idx="11">
                  <c:v>102.76771258962303</c:v>
                </c:pt>
                <c:pt idx="12">
                  <c:v>102.18179014725121</c:v>
                </c:pt>
                <c:pt idx="13">
                  <c:v>100.1696091280547</c:v>
                </c:pt>
                <c:pt idx="14">
                  <c:v>98.319327731092443</c:v>
                </c:pt>
                <c:pt idx="15">
                  <c:v>97.309382468583436</c:v>
                </c:pt>
                <c:pt idx="16">
                  <c:v>97.26312543365971</c:v>
                </c:pt>
                <c:pt idx="17">
                  <c:v>96.122118572199099</c:v>
                </c:pt>
                <c:pt idx="18">
                  <c:v>96.083571043095958</c:v>
                </c:pt>
                <c:pt idx="19">
                  <c:v>96.106699560558184</c:v>
                </c:pt>
                <c:pt idx="20">
                  <c:v>96.422789299205931</c:v>
                </c:pt>
                <c:pt idx="21">
                  <c:v>97.355639503507788</c:v>
                </c:pt>
                <c:pt idx="22">
                  <c:v>95.852285868475818</c:v>
                </c:pt>
                <c:pt idx="23">
                  <c:v>96.345694240999194</c:v>
                </c:pt>
                <c:pt idx="24">
                  <c:v>97.309382468583436</c:v>
                </c:pt>
                <c:pt idx="25">
                  <c:v>97.463572584997323</c:v>
                </c:pt>
                <c:pt idx="26">
                  <c:v>98.41955130676125</c:v>
                </c:pt>
                <c:pt idx="27">
                  <c:v>99.113406830621855</c:v>
                </c:pt>
                <c:pt idx="28">
                  <c:v>100.9174311926604</c:v>
                </c:pt>
                <c:pt idx="29">
                  <c:v>101.14100686146023</c:v>
                </c:pt>
                <c:pt idx="30">
                  <c:v>101.07933081489432</c:v>
                </c:pt>
                <c:pt idx="31">
                  <c:v>101.81173386785908</c:v>
                </c:pt>
                <c:pt idx="32">
                  <c:v>102.84480764782981</c:v>
                </c:pt>
                <c:pt idx="33">
                  <c:v>103.13776886901556</c:v>
                </c:pt>
                <c:pt idx="34">
                  <c:v>103.04525479916776</c:v>
                </c:pt>
                <c:pt idx="35">
                  <c:v>103.11464035155348</c:v>
                </c:pt>
                <c:pt idx="36">
                  <c:v>104.30961375375846</c:v>
                </c:pt>
                <c:pt idx="37" formatCode="General">
                  <c:v>105.65877727237647</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102.66993901532055</c:v>
                </c:pt>
                <c:pt idx="1">
                  <c:v>103.93425554068126</c:v>
                </c:pt>
                <c:pt idx="2">
                  <c:v>103.27234865387437</c:v>
                </c:pt>
                <c:pt idx="3">
                  <c:v>104.28380187416325</c:v>
                </c:pt>
                <c:pt idx="4">
                  <c:v>104.30611334225793</c:v>
                </c:pt>
                <c:pt idx="5">
                  <c:v>105.33987803064073</c:v>
                </c:pt>
                <c:pt idx="6">
                  <c:v>104.93083444890679</c:v>
                </c:pt>
                <c:pt idx="7">
                  <c:v>106.62650602409622</c:v>
                </c:pt>
                <c:pt idx="8">
                  <c:v>106.34389409489813</c:v>
                </c:pt>
                <c:pt idx="9">
                  <c:v>105.13163766175816</c:v>
                </c:pt>
                <c:pt idx="10">
                  <c:v>104.46229361892034</c:v>
                </c:pt>
                <c:pt idx="11">
                  <c:v>103.37646883831603</c:v>
                </c:pt>
                <c:pt idx="12">
                  <c:v>102.86330507214041</c:v>
                </c:pt>
                <c:pt idx="13">
                  <c:v>100.80321285140558</c:v>
                </c:pt>
                <c:pt idx="14">
                  <c:v>99.970251375873872</c:v>
                </c:pt>
                <c:pt idx="15">
                  <c:v>98.668749070355489</c:v>
                </c:pt>
                <c:pt idx="16">
                  <c:v>97.813476126728787</c:v>
                </c:pt>
                <c:pt idx="17">
                  <c:v>97.106946303733125</c:v>
                </c:pt>
                <c:pt idx="18">
                  <c:v>96.586345381526058</c:v>
                </c:pt>
                <c:pt idx="19">
                  <c:v>96.452476572958147</c:v>
                </c:pt>
                <c:pt idx="20">
                  <c:v>96.21448757994942</c:v>
                </c:pt>
                <c:pt idx="21">
                  <c:v>96.638405473746758</c:v>
                </c:pt>
                <c:pt idx="22">
                  <c:v>95.455897664732987</c:v>
                </c:pt>
                <c:pt idx="23">
                  <c:v>96.177301799791408</c:v>
                </c:pt>
                <c:pt idx="24">
                  <c:v>95.67157518964747</c:v>
                </c:pt>
                <c:pt idx="25">
                  <c:v>95.500520600922428</c:v>
                </c:pt>
                <c:pt idx="26">
                  <c:v>95.693886657742084</c:v>
                </c:pt>
                <c:pt idx="27">
                  <c:v>96.050870147255367</c:v>
                </c:pt>
                <c:pt idx="28">
                  <c:v>96.831771530566286</c:v>
                </c:pt>
                <c:pt idx="29">
                  <c:v>97.173880708017251</c:v>
                </c:pt>
                <c:pt idx="30">
                  <c:v>97.322623828647963</c:v>
                </c:pt>
                <c:pt idx="31">
                  <c:v>97.999405027517497</c:v>
                </c:pt>
                <c:pt idx="32">
                  <c:v>99.271158708909709</c:v>
                </c:pt>
                <c:pt idx="33">
                  <c:v>99.449650453666521</c:v>
                </c:pt>
                <c:pt idx="34">
                  <c:v>99.843819723338029</c:v>
                </c:pt>
                <c:pt idx="35">
                  <c:v>99.985125687937227</c:v>
                </c:pt>
                <c:pt idx="36">
                  <c:v>101.69567157518932</c:v>
                </c:pt>
                <c:pt idx="37" formatCode="General">
                  <c:v>102.15677524914452</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102.02805611222398</c:v>
                </c:pt>
                <c:pt idx="1">
                  <c:v>103.52705410821643</c:v>
                </c:pt>
                <c:pt idx="2">
                  <c:v>105.01803607214407</c:v>
                </c:pt>
                <c:pt idx="3">
                  <c:v>105.13026052104232</c:v>
                </c:pt>
                <c:pt idx="4">
                  <c:v>107.14228456913848</c:v>
                </c:pt>
                <c:pt idx="5">
                  <c:v>109.33867735470909</c:v>
                </c:pt>
                <c:pt idx="6">
                  <c:v>110.86172344689382</c:v>
                </c:pt>
                <c:pt idx="7">
                  <c:v>112.60921843687375</c:v>
                </c:pt>
                <c:pt idx="8">
                  <c:v>110.45290581162304</c:v>
                </c:pt>
                <c:pt idx="9">
                  <c:v>106.18036072144291</c:v>
                </c:pt>
                <c:pt idx="10">
                  <c:v>103.21442885771546</c:v>
                </c:pt>
                <c:pt idx="11">
                  <c:v>102.04408817635255</c:v>
                </c:pt>
                <c:pt idx="12">
                  <c:v>101.37875751502962</c:v>
                </c:pt>
                <c:pt idx="13">
                  <c:v>99.414829659319153</c:v>
                </c:pt>
                <c:pt idx="14">
                  <c:v>96.480961923847957</c:v>
                </c:pt>
                <c:pt idx="15">
                  <c:v>95.783567134268552</c:v>
                </c:pt>
                <c:pt idx="16">
                  <c:v>96.601202404809655</c:v>
                </c:pt>
                <c:pt idx="17">
                  <c:v>95.006012024048133</c:v>
                </c:pt>
                <c:pt idx="18">
                  <c:v>95.470941883767551</c:v>
                </c:pt>
                <c:pt idx="19">
                  <c:v>95.66332665330664</c:v>
                </c:pt>
                <c:pt idx="20">
                  <c:v>96.561122244488999</c:v>
                </c:pt>
                <c:pt idx="21">
                  <c:v>98.044088176352659</c:v>
                </c:pt>
                <c:pt idx="22">
                  <c:v>96.200400801603251</c:v>
                </c:pt>
                <c:pt idx="23">
                  <c:v>96.440881763527102</c:v>
                </c:pt>
                <c:pt idx="24">
                  <c:v>98.84569138276558</c:v>
                </c:pt>
                <c:pt idx="25">
                  <c:v>99.334669338677614</c:v>
                </c:pt>
                <c:pt idx="26">
                  <c:v>101.03406813627258</c:v>
                </c:pt>
                <c:pt idx="27">
                  <c:v>102.06012024048101</c:v>
                </c:pt>
                <c:pt idx="28">
                  <c:v>104.86573146292564</c:v>
                </c:pt>
                <c:pt idx="29">
                  <c:v>104.97795591182371</c:v>
                </c:pt>
                <c:pt idx="30">
                  <c:v>104.70541082164335</c:v>
                </c:pt>
                <c:pt idx="31">
                  <c:v>105.4829659318638</c:v>
                </c:pt>
                <c:pt idx="32">
                  <c:v>106.29258517034076</c:v>
                </c:pt>
                <c:pt idx="33">
                  <c:v>106.69338677354718</c:v>
                </c:pt>
                <c:pt idx="34">
                  <c:v>106.11623246492994</c:v>
                </c:pt>
                <c:pt idx="35">
                  <c:v>106.12424849699386</c:v>
                </c:pt>
                <c:pt idx="36">
                  <c:v>106.89378757515017</c:v>
                </c:pt>
                <c:pt idx="37" formatCode="General">
                  <c:v>108.99398797595198</c:v>
                </c:pt>
              </c:numCache>
            </c:numRef>
          </c:val>
        </c:ser>
        <c:marker val="1"/>
        <c:axId val="166869632"/>
        <c:axId val="166900096"/>
      </c:lineChart>
      <c:catAx>
        <c:axId val="16686963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66900096"/>
        <c:crosses val="autoZero"/>
        <c:auto val="1"/>
        <c:lblAlgn val="ctr"/>
        <c:lblOffset val="0"/>
        <c:tickLblSkip val="2"/>
        <c:tickMarkSkip val="1"/>
        <c:noMultiLvlLbl val="1"/>
      </c:catAx>
      <c:valAx>
        <c:axId val="166900096"/>
        <c:scaling>
          <c:orientation val="minMax"/>
          <c:max val="114"/>
          <c:min val="94"/>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869632"/>
        <c:crosses val="autoZero"/>
        <c:crossBetween val="between"/>
      </c:valAx>
      <c:spPr>
        <a:noFill/>
        <a:ln w="6350">
          <a:solidFill>
            <a:sysClr val="window" lastClr="FFFFFF">
              <a:lumMod val="85000"/>
            </a:sysClr>
          </a:solidFill>
        </a:ln>
      </c:spPr>
    </c:plotArea>
    <c:legend>
      <c:legendPos val="b"/>
      <c:layout>
        <c:manualLayout>
          <c:xMode val="edge"/>
          <c:yMode val="edge"/>
          <c:x val="0.38484062714996675"/>
          <c:y val="7.4365162037037094E-2"/>
          <c:w val="0.45080477616355408"/>
          <c:h val="0.2053368055555555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668"/>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102.3</c:v>
                </c:pt>
                <c:pt idx="1">
                  <c:v>97.75</c:v>
                </c:pt>
                <c:pt idx="2">
                  <c:v>100.74000000000002</c:v>
                </c:pt>
                <c:pt idx="3">
                  <c:v>114.58</c:v>
                </c:pt>
                <c:pt idx="4">
                  <c:v>111.66999999999999</c:v>
                </c:pt>
                <c:pt idx="5">
                  <c:v>108.07</c:v>
                </c:pt>
                <c:pt idx="6">
                  <c:v>107.34</c:v>
                </c:pt>
                <c:pt idx="7">
                  <c:v>107.08</c:v>
                </c:pt>
                <c:pt idx="8">
                  <c:v>105.1</c:v>
                </c:pt>
                <c:pt idx="9">
                  <c:v>110.03</c:v>
                </c:pt>
                <c:pt idx="10">
                  <c:v>96.990000000000023</c:v>
                </c:pt>
                <c:pt idx="11">
                  <c:v>100.66999999999999</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82.7</c:v>
                </c:pt>
                <c:pt idx="1">
                  <c:v>78.319999999999993</c:v>
                </c:pt>
                <c:pt idx="2">
                  <c:v>90.04</c:v>
                </c:pt>
                <c:pt idx="3">
                  <c:v>94.149999999999991</c:v>
                </c:pt>
                <c:pt idx="4">
                  <c:v>92.56</c:v>
                </c:pt>
                <c:pt idx="5">
                  <c:v>97.53</c:v>
                </c:pt>
                <c:pt idx="6">
                  <c:v>91.9</c:v>
                </c:pt>
                <c:pt idx="7">
                  <c:v>90.25</c:v>
                </c:pt>
                <c:pt idx="8">
                  <c:v>86.35</c:v>
                </c:pt>
                <c:pt idx="9">
                  <c:v>84.16</c:v>
                </c:pt>
                <c:pt idx="10">
                  <c:v>84.54</c:v>
                </c:pt>
                <c:pt idx="11">
                  <c:v>86.47</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73.290000000000006</c:v>
                </c:pt>
                <c:pt idx="1">
                  <c:v>73.430000000000007</c:v>
                </c:pt>
                <c:pt idx="2">
                  <c:v>88.63</c:v>
                </c:pt>
                <c:pt idx="3">
                  <c:v>91.69</c:v>
                </c:pt>
                <c:pt idx="4">
                  <c:v>91.43</c:v>
                </c:pt>
                <c:pt idx="5">
                  <c:v>93.740000000000023</c:v>
                </c:pt>
                <c:pt idx="6">
                  <c:v>92.92</c:v>
                </c:pt>
                <c:pt idx="7">
                  <c:v>95.7</c:v>
                </c:pt>
                <c:pt idx="8">
                  <c:v>88.22</c:v>
                </c:pt>
                <c:pt idx="9">
                  <c:v>88.11999999999999</c:v>
                </c:pt>
                <c:pt idx="10">
                  <c:v>89.55</c:v>
                </c:pt>
                <c:pt idx="11">
                  <c:v>91.36</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75.61</c:v>
                </c:pt>
                <c:pt idx="1">
                  <c:v>72.86</c:v>
                </c:pt>
              </c:numCache>
            </c:numRef>
          </c:val>
        </c:ser>
        <c:marker val="1"/>
        <c:axId val="167131008"/>
        <c:axId val="167132544"/>
      </c:lineChart>
      <c:catAx>
        <c:axId val="16713100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7132544"/>
        <c:crosses val="autoZero"/>
        <c:auto val="1"/>
        <c:lblAlgn val="ctr"/>
        <c:lblOffset val="0"/>
        <c:tickMarkSkip val="1"/>
      </c:catAx>
      <c:valAx>
        <c:axId val="167132544"/>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7131008"/>
        <c:crosses val="autoZero"/>
        <c:crossBetween val="between"/>
        <c:majorUnit val="10"/>
      </c:valAx>
      <c:spPr>
        <a:noFill/>
        <a:ln w="6350">
          <a:solidFill>
            <a:sysClr val="window" lastClr="FFFFFF">
              <a:lumMod val="85000"/>
            </a:sysClr>
          </a:solidFill>
        </a:ln>
      </c:spPr>
    </c:plotArea>
    <c:legend>
      <c:legendPos val="b"/>
      <c:layout>
        <c:manualLayout>
          <c:xMode val="edge"/>
          <c:yMode val="edge"/>
          <c:x val="0.39504191644427805"/>
          <c:y val="0.63478877314815196"/>
          <c:w val="0.35818544316576684"/>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Sheet1!$A$2:$B$35</c:f>
              <c:multiLvlStrCache>
                <c:ptCount val="3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lvl>
                <c:lvl>
                  <c:pt idx="0">
                    <c:v>2008</c:v>
                  </c:pt>
                  <c:pt idx="12">
                    <c:v>2009</c:v>
                  </c:pt>
                  <c:pt idx="24">
                    <c:v>2010</c:v>
                  </c:pt>
                </c:lvl>
              </c:multiLvlStrCache>
            </c:multiLvlStrRef>
          </c:cat>
          <c:val>
            <c:numRef>
              <c:f>Sheet1!$C$2:$C$35</c:f>
              <c:numCache>
                <c:formatCode>0.0</c:formatCode>
                <c:ptCount val="34"/>
                <c:pt idx="0">
                  <c:v>107.3137914464198</c:v>
                </c:pt>
                <c:pt idx="1">
                  <c:v>103.51753964440179</c:v>
                </c:pt>
                <c:pt idx="2">
                  <c:v>98.222008649687652</c:v>
                </c:pt>
                <c:pt idx="3">
                  <c:v>104.03652090341183</c:v>
                </c:pt>
                <c:pt idx="4">
                  <c:v>100.11532916866891</c:v>
                </c:pt>
                <c:pt idx="5">
                  <c:v>96.030754444978427</c:v>
                </c:pt>
                <c:pt idx="6">
                  <c:v>96.059586737145608</c:v>
                </c:pt>
                <c:pt idx="7">
                  <c:v>95.502162421912772</c:v>
                </c:pt>
                <c:pt idx="8">
                  <c:v>97.318596828447852</c:v>
                </c:pt>
                <c:pt idx="9">
                  <c:v>95.790485343584464</c:v>
                </c:pt>
                <c:pt idx="10">
                  <c:v>90.802498798654042</c:v>
                </c:pt>
                <c:pt idx="11">
                  <c:v>91.196540124939858</c:v>
                </c:pt>
                <c:pt idx="12">
                  <c:v>88.563190773666449</c:v>
                </c:pt>
                <c:pt idx="13">
                  <c:v>85.872176838058124</c:v>
                </c:pt>
                <c:pt idx="14">
                  <c:v>87.179240749639519</c:v>
                </c:pt>
                <c:pt idx="15">
                  <c:v>85.353195579048503</c:v>
                </c:pt>
                <c:pt idx="16">
                  <c:v>84.353676117250828</c:v>
                </c:pt>
                <c:pt idx="17">
                  <c:v>83.930802498798613</c:v>
                </c:pt>
                <c:pt idx="18">
                  <c:v>80.701585776069152</c:v>
                </c:pt>
                <c:pt idx="19">
                  <c:v>79.951946179721219</c:v>
                </c:pt>
                <c:pt idx="20">
                  <c:v>79.432964920711342</c:v>
                </c:pt>
                <c:pt idx="21">
                  <c:v>74.512253724171259</c:v>
                </c:pt>
                <c:pt idx="22">
                  <c:v>77.789524267179431</c:v>
                </c:pt>
                <c:pt idx="23">
                  <c:v>77.299375300336308</c:v>
                </c:pt>
                <c:pt idx="24">
                  <c:v>78.087457952907201</c:v>
                </c:pt>
                <c:pt idx="25">
                  <c:v>78.318116290245243</c:v>
                </c:pt>
                <c:pt idx="26">
                  <c:v>82.373858721768258</c:v>
                </c:pt>
                <c:pt idx="27">
                  <c:v>79.836617011052311</c:v>
                </c:pt>
                <c:pt idx="28">
                  <c:v>78.346948582412239</c:v>
                </c:pt>
                <c:pt idx="29">
                  <c:v>78.193176357520016</c:v>
                </c:pt>
                <c:pt idx="30">
                  <c:v>81.412782316193599</c:v>
                </c:pt>
                <c:pt idx="31">
                  <c:v>80.451705910619808</c:v>
                </c:pt>
                <c:pt idx="32">
                  <c:v>79.096588178760058</c:v>
                </c:pt>
                <c:pt idx="33">
                  <c:v>80.6535319557902</c:v>
                </c:pt>
              </c:numCache>
            </c:numRef>
          </c:val>
        </c:ser>
        <c:marker val="1"/>
        <c:axId val="166898304"/>
        <c:axId val="167104896"/>
      </c:lineChart>
      <c:catAx>
        <c:axId val="16689830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7104896"/>
        <c:crosses val="autoZero"/>
        <c:auto val="1"/>
        <c:lblAlgn val="ctr"/>
        <c:lblOffset val="0"/>
        <c:tickLblSkip val="2"/>
        <c:tickMarkSkip val="1"/>
        <c:noMultiLvlLbl val="1"/>
      </c:catAx>
      <c:valAx>
        <c:axId val="167104896"/>
        <c:scaling>
          <c:orientation val="minMax"/>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89830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7254631492232E-2"/>
          <c:y val="3.4089330065378856E-2"/>
          <c:w val="0.90694542156476965"/>
          <c:h val="0.80983469115375262"/>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Sheet1!$B$3:$BL$3</c:f>
              <c:numCache>
                <c:formatCode>General</c:formatCode>
                <c:ptCount val="39"/>
                <c:pt idx="0">
                  <c:v>105.6</c:v>
                </c:pt>
                <c:pt idx="1">
                  <c:v>102.7</c:v>
                </c:pt>
                <c:pt idx="2">
                  <c:v>104.2</c:v>
                </c:pt>
                <c:pt idx="3">
                  <c:v>101.6</c:v>
                </c:pt>
                <c:pt idx="4">
                  <c:v>99.9</c:v>
                </c:pt>
                <c:pt idx="5">
                  <c:v>97</c:v>
                </c:pt>
                <c:pt idx="6">
                  <c:v>93.7</c:v>
                </c:pt>
                <c:pt idx="7">
                  <c:v>92.1</c:v>
                </c:pt>
                <c:pt idx="8">
                  <c:v>90</c:v>
                </c:pt>
                <c:pt idx="9">
                  <c:v>83.7</c:v>
                </c:pt>
                <c:pt idx="10">
                  <c:v>78.599999999999994</c:v>
                </c:pt>
                <c:pt idx="11">
                  <c:v>72.3</c:v>
                </c:pt>
                <c:pt idx="12">
                  <c:v>70.599999999999994</c:v>
                </c:pt>
                <c:pt idx="13">
                  <c:v>68.099999999999994</c:v>
                </c:pt>
                <c:pt idx="14">
                  <c:v>66.900000000000006</c:v>
                </c:pt>
                <c:pt idx="15">
                  <c:v>70.5</c:v>
                </c:pt>
                <c:pt idx="16">
                  <c:v>74.099999999999994</c:v>
                </c:pt>
                <c:pt idx="17">
                  <c:v>77.2</c:v>
                </c:pt>
                <c:pt idx="18">
                  <c:v>79.8</c:v>
                </c:pt>
                <c:pt idx="19">
                  <c:v>84.7</c:v>
                </c:pt>
                <c:pt idx="20">
                  <c:v>87</c:v>
                </c:pt>
                <c:pt idx="21" formatCode="0.0">
                  <c:v>90.1</c:v>
                </c:pt>
                <c:pt idx="22" formatCode="0.0">
                  <c:v>92</c:v>
                </c:pt>
                <c:pt idx="23" formatCode="0.0">
                  <c:v>94.7</c:v>
                </c:pt>
                <c:pt idx="24" formatCode="0.0">
                  <c:v>96.3</c:v>
                </c:pt>
                <c:pt idx="25" formatCode="0.0">
                  <c:v>97.9</c:v>
                </c:pt>
                <c:pt idx="26" formatCode="0.0">
                  <c:v>99.9</c:v>
                </c:pt>
                <c:pt idx="27" formatCode="0.0">
                  <c:v>101.1</c:v>
                </c:pt>
                <c:pt idx="28" formatCode="0.0">
                  <c:v>100</c:v>
                </c:pt>
                <c:pt idx="29" formatCode="0.0">
                  <c:v>100.1</c:v>
                </c:pt>
                <c:pt idx="30" formatCode="0.0">
                  <c:v>102.1</c:v>
                </c:pt>
                <c:pt idx="31" formatCode="0.0">
                  <c:v>103.2</c:v>
                </c:pt>
                <c:pt idx="32" formatCode="0.0">
                  <c:v>103.6</c:v>
                </c:pt>
                <c:pt idx="33" formatCode="0.0">
                  <c:v>104</c:v>
                </c:pt>
                <c:pt idx="34" formatCode="0.0">
                  <c:v>105.2</c:v>
                </c:pt>
                <c:pt idx="35">
                  <c:v>106.3</c:v>
                </c:pt>
                <c:pt idx="36">
                  <c:v>105.8</c:v>
                </c:pt>
                <c:pt idx="37">
                  <c:v>107.2</c:v>
                </c:pt>
                <c:pt idx="38">
                  <c:v>107.4</c:v>
                </c:pt>
              </c:numCache>
            </c:numRef>
          </c:val>
        </c:ser>
        <c:ser>
          <c:idx val="0"/>
          <c:order val="1"/>
          <c:tx>
            <c:strRef>
              <c:f>Sheet1!$A$4</c:f>
              <c:strCache>
                <c:ptCount val="1"/>
                <c:pt idx="0">
                  <c:v>EE</c:v>
                </c:pt>
              </c:strCache>
            </c:strRef>
          </c:tx>
          <c:spPr>
            <a:ln w="15875">
              <a:solidFill>
                <a:sysClr val="windowText" lastClr="000000"/>
              </a:solidFill>
              <a:prstDash val="sysDot"/>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Sheet1!$B$4:$BL$4</c:f>
              <c:numCache>
                <c:formatCode>General</c:formatCode>
                <c:ptCount val="39"/>
                <c:pt idx="0">
                  <c:v>99.8</c:v>
                </c:pt>
                <c:pt idx="1">
                  <c:v>99.7</c:v>
                </c:pt>
                <c:pt idx="2">
                  <c:v>99</c:v>
                </c:pt>
                <c:pt idx="3">
                  <c:v>95.8</c:v>
                </c:pt>
                <c:pt idx="4">
                  <c:v>95.4</c:v>
                </c:pt>
                <c:pt idx="5">
                  <c:v>94.9</c:v>
                </c:pt>
                <c:pt idx="6">
                  <c:v>93.2</c:v>
                </c:pt>
                <c:pt idx="7">
                  <c:v>93</c:v>
                </c:pt>
                <c:pt idx="8">
                  <c:v>89.3</c:v>
                </c:pt>
                <c:pt idx="9">
                  <c:v>85.4</c:v>
                </c:pt>
                <c:pt idx="10">
                  <c:v>81.099999999999994</c:v>
                </c:pt>
                <c:pt idx="11">
                  <c:v>77.2</c:v>
                </c:pt>
                <c:pt idx="12">
                  <c:v>77.099999999999994</c:v>
                </c:pt>
                <c:pt idx="13">
                  <c:v>73.099999999999994</c:v>
                </c:pt>
                <c:pt idx="14">
                  <c:v>71.7</c:v>
                </c:pt>
                <c:pt idx="15">
                  <c:v>73.900000000000006</c:v>
                </c:pt>
                <c:pt idx="16">
                  <c:v>78.400000000000006</c:v>
                </c:pt>
                <c:pt idx="17">
                  <c:v>78.099999999999994</c:v>
                </c:pt>
                <c:pt idx="18">
                  <c:v>79.5</c:v>
                </c:pt>
                <c:pt idx="19">
                  <c:v>83</c:v>
                </c:pt>
                <c:pt idx="20">
                  <c:v>86.8</c:v>
                </c:pt>
                <c:pt idx="21" formatCode="0.0">
                  <c:v>89.2</c:v>
                </c:pt>
                <c:pt idx="22" formatCode="0.0">
                  <c:v>91.8</c:v>
                </c:pt>
                <c:pt idx="23" formatCode="0.0">
                  <c:v>93.2</c:v>
                </c:pt>
                <c:pt idx="24" formatCode="0.0">
                  <c:v>94.6</c:v>
                </c:pt>
                <c:pt idx="25" formatCode="0.0">
                  <c:v>96.3</c:v>
                </c:pt>
                <c:pt idx="26" formatCode="0.0">
                  <c:v>96.9</c:v>
                </c:pt>
                <c:pt idx="27" formatCode="0.0">
                  <c:v>100.2</c:v>
                </c:pt>
                <c:pt idx="28" formatCode="0.0">
                  <c:v>103.1</c:v>
                </c:pt>
                <c:pt idx="29" formatCode="0.0">
                  <c:v>103.1</c:v>
                </c:pt>
                <c:pt idx="30" formatCode="0.0">
                  <c:v>104</c:v>
                </c:pt>
                <c:pt idx="31" formatCode="0.0">
                  <c:v>106.4</c:v>
                </c:pt>
                <c:pt idx="32" formatCode="0.0">
                  <c:v>104.8</c:v>
                </c:pt>
                <c:pt idx="33" formatCode="0.0">
                  <c:v>108</c:v>
                </c:pt>
                <c:pt idx="34" formatCode="0.0">
                  <c:v>107.8</c:v>
                </c:pt>
                <c:pt idx="35">
                  <c:v>109</c:v>
                </c:pt>
                <c:pt idx="36">
                  <c:v>110.1</c:v>
                </c:pt>
                <c:pt idx="37">
                  <c:v>110.3</c:v>
                </c:pt>
                <c:pt idx="38">
                  <c:v>110.8</c:v>
                </c:pt>
              </c:numCache>
            </c:numRef>
          </c:val>
        </c:ser>
        <c:ser>
          <c:idx val="2"/>
          <c:order val="2"/>
          <c:tx>
            <c:strRef>
              <c:f>Sheet1!$A$5</c:f>
              <c:strCache>
                <c:ptCount val="1"/>
                <c:pt idx="0">
                  <c:v>LV</c:v>
                </c:pt>
              </c:strCache>
            </c:strRef>
          </c:tx>
          <c:spPr>
            <a:ln w="38100">
              <a:solidFill>
                <a:srgbClr val="0070C0"/>
              </a:solidFill>
              <a:prstDash val="solid"/>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Sheet1!$B$5:$BL$5</c:f>
              <c:numCache>
                <c:formatCode>General</c:formatCode>
                <c:ptCount val="39"/>
                <c:pt idx="0">
                  <c:v>105.6</c:v>
                </c:pt>
                <c:pt idx="1">
                  <c:v>105.4</c:v>
                </c:pt>
                <c:pt idx="2">
                  <c:v>103.2</c:v>
                </c:pt>
                <c:pt idx="3">
                  <c:v>100.5</c:v>
                </c:pt>
                <c:pt idx="4">
                  <c:v>97.8</c:v>
                </c:pt>
                <c:pt idx="5">
                  <c:v>96.6</c:v>
                </c:pt>
                <c:pt idx="6">
                  <c:v>96</c:v>
                </c:pt>
                <c:pt idx="7">
                  <c:v>95.8</c:v>
                </c:pt>
                <c:pt idx="8">
                  <c:v>93.3</c:v>
                </c:pt>
                <c:pt idx="9">
                  <c:v>90.4</c:v>
                </c:pt>
                <c:pt idx="10">
                  <c:v>87.7</c:v>
                </c:pt>
                <c:pt idx="11">
                  <c:v>82.6</c:v>
                </c:pt>
                <c:pt idx="12">
                  <c:v>77.599999999999994</c:v>
                </c:pt>
                <c:pt idx="13">
                  <c:v>74.599999999999994</c:v>
                </c:pt>
                <c:pt idx="14">
                  <c:v>74.400000000000006</c:v>
                </c:pt>
                <c:pt idx="15">
                  <c:v>79.099999999999994</c:v>
                </c:pt>
                <c:pt idx="16">
                  <c:v>80.400000000000006</c:v>
                </c:pt>
                <c:pt idx="17">
                  <c:v>78.8</c:v>
                </c:pt>
                <c:pt idx="18">
                  <c:v>77.8</c:v>
                </c:pt>
                <c:pt idx="19">
                  <c:v>77.599999999999994</c:v>
                </c:pt>
                <c:pt idx="20">
                  <c:v>79.599999999999994</c:v>
                </c:pt>
                <c:pt idx="21" formatCode="0.0">
                  <c:v>81.2</c:v>
                </c:pt>
                <c:pt idx="22" formatCode="0.0">
                  <c:v>82</c:v>
                </c:pt>
                <c:pt idx="23" formatCode="0.0">
                  <c:v>84.1</c:v>
                </c:pt>
                <c:pt idx="24" formatCode="0.0">
                  <c:v>86.3</c:v>
                </c:pt>
                <c:pt idx="25" formatCode="0.0">
                  <c:v>89.1</c:v>
                </c:pt>
                <c:pt idx="26" formatCode="0.0">
                  <c:v>92.9</c:v>
                </c:pt>
                <c:pt idx="27" formatCode="0.0">
                  <c:v>95.3</c:v>
                </c:pt>
                <c:pt idx="28" formatCode="0.0">
                  <c:v>97</c:v>
                </c:pt>
                <c:pt idx="29" formatCode="0.0">
                  <c:v>98.4</c:v>
                </c:pt>
                <c:pt idx="30" formatCode="0.0">
                  <c:v>98.9</c:v>
                </c:pt>
                <c:pt idx="31" formatCode="0.0">
                  <c:v>99.6</c:v>
                </c:pt>
                <c:pt idx="32" formatCode="0.0">
                  <c:v>99.7</c:v>
                </c:pt>
                <c:pt idx="33" formatCode="0.0">
                  <c:v>101.3</c:v>
                </c:pt>
                <c:pt idx="34" formatCode="0.0">
                  <c:v>101.6</c:v>
                </c:pt>
                <c:pt idx="35">
                  <c:v>101.7</c:v>
                </c:pt>
                <c:pt idx="36">
                  <c:v>101.9</c:v>
                </c:pt>
                <c:pt idx="37">
                  <c:v>102.9</c:v>
                </c:pt>
                <c:pt idx="38">
                  <c:v>102.9</c:v>
                </c:pt>
              </c:numCache>
            </c:numRef>
          </c:val>
        </c:ser>
        <c:ser>
          <c:idx val="3"/>
          <c:order val="3"/>
          <c:tx>
            <c:strRef>
              <c:f>Sheet1!$A$6</c:f>
              <c:strCache>
                <c:ptCount val="1"/>
                <c:pt idx="0">
                  <c:v>LT</c:v>
                </c:pt>
              </c:strCache>
            </c:strRef>
          </c:tx>
          <c:spPr>
            <a:ln w="15875">
              <a:solidFill>
                <a:srgbClr val="000000"/>
              </a:solidFill>
              <a:prstDash val="dash"/>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Sheet1!$B$6:$BL$6</c:f>
              <c:numCache>
                <c:formatCode>General</c:formatCode>
                <c:ptCount val="39"/>
                <c:pt idx="0">
                  <c:v>112.4</c:v>
                </c:pt>
                <c:pt idx="1">
                  <c:v>110.2</c:v>
                </c:pt>
                <c:pt idx="2">
                  <c:v>107.1</c:v>
                </c:pt>
                <c:pt idx="3">
                  <c:v>104.1</c:v>
                </c:pt>
                <c:pt idx="4">
                  <c:v>106.2</c:v>
                </c:pt>
                <c:pt idx="5">
                  <c:v>103.5</c:v>
                </c:pt>
                <c:pt idx="6">
                  <c:v>100</c:v>
                </c:pt>
                <c:pt idx="7">
                  <c:v>100.8</c:v>
                </c:pt>
                <c:pt idx="8">
                  <c:v>97.7</c:v>
                </c:pt>
                <c:pt idx="9">
                  <c:v>94.7</c:v>
                </c:pt>
                <c:pt idx="10">
                  <c:v>88.8</c:v>
                </c:pt>
                <c:pt idx="11">
                  <c:v>81.7</c:v>
                </c:pt>
                <c:pt idx="12">
                  <c:v>78.900000000000006</c:v>
                </c:pt>
                <c:pt idx="13">
                  <c:v>77</c:v>
                </c:pt>
                <c:pt idx="14">
                  <c:v>73.8</c:v>
                </c:pt>
                <c:pt idx="15">
                  <c:v>72.2</c:v>
                </c:pt>
                <c:pt idx="16">
                  <c:v>75.8</c:v>
                </c:pt>
                <c:pt idx="17">
                  <c:v>78.2</c:v>
                </c:pt>
                <c:pt idx="18">
                  <c:v>77.5</c:v>
                </c:pt>
                <c:pt idx="19">
                  <c:v>79.5</c:v>
                </c:pt>
                <c:pt idx="20">
                  <c:v>79.2</c:v>
                </c:pt>
                <c:pt idx="21" formatCode="0.0">
                  <c:v>81</c:v>
                </c:pt>
                <c:pt idx="22" formatCode="0.0">
                  <c:v>82.5</c:v>
                </c:pt>
                <c:pt idx="23" formatCode="0.0">
                  <c:v>85.3</c:v>
                </c:pt>
                <c:pt idx="24" formatCode="0.0">
                  <c:v>91.3</c:v>
                </c:pt>
                <c:pt idx="25" formatCode="0.0">
                  <c:v>90</c:v>
                </c:pt>
                <c:pt idx="26" formatCode="0.0">
                  <c:v>92.3</c:v>
                </c:pt>
                <c:pt idx="27" formatCode="0.0">
                  <c:v>94.8</c:v>
                </c:pt>
                <c:pt idx="28" formatCode="0.0">
                  <c:v>95.8</c:v>
                </c:pt>
                <c:pt idx="29" formatCode="0.0">
                  <c:v>95.6</c:v>
                </c:pt>
                <c:pt idx="30" formatCode="0.0">
                  <c:v>96.4</c:v>
                </c:pt>
                <c:pt idx="31" formatCode="0.0">
                  <c:v>99.3</c:v>
                </c:pt>
                <c:pt idx="32" formatCode="0.0">
                  <c:v>99.9</c:v>
                </c:pt>
                <c:pt idx="33" formatCode="0.0">
                  <c:v>102.4</c:v>
                </c:pt>
                <c:pt idx="34" formatCode="0.0">
                  <c:v>104.2</c:v>
                </c:pt>
                <c:pt idx="35">
                  <c:v>107.2</c:v>
                </c:pt>
                <c:pt idx="36">
                  <c:v>105.5</c:v>
                </c:pt>
                <c:pt idx="37">
                  <c:v>104.9</c:v>
                </c:pt>
                <c:pt idx="38">
                  <c:v>106.6</c:v>
                </c:pt>
              </c:numCache>
            </c:numRef>
          </c:val>
        </c:ser>
        <c:marker val="1"/>
        <c:axId val="146107008"/>
        <c:axId val="146423808"/>
      </c:lineChart>
      <c:catAx>
        <c:axId val="146107008"/>
        <c:scaling>
          <c:orientation val="minMax"/>
        </c:scaling>
        <c:axPos val="b"/>
        <c:majorGridlines>
          <c:spPr>
            <a:ln w="3175">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6423808"/>
        <c:crosses val="autoZero"/>
        <c:lblAlgn val="ctr"/>
        <c:lblOffset val="0"/>
        <c:tickLblSkip val="1"/>
        <c:tickMarkSkip val="1"/>
        <c:noMultiLvlLbl val="1"/>
      </c:catAx>
      <c:valAx>
        <c:axId val="146423808"/>
        <c:scaling>
          <c:orientation val="minMax"/>
          <c:max val="115"/>
          <c:min val="65"/>
        </c:scaling>
        <c:axPos val="l"/>
        <c:majorGridlines>
          <c:spPr>
            <a:ln w="3175">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6107008"/>
        <c:crosses val="autoZero"/>
        <c:crossBetween val="midCat"/>
      </c:valAx>
      <c:spPr>
        <a:noFill/>
        <a:ln w="6350">
          <a:solidFill>
            <a:sysClr val="window" lastClr="FFFFFF">
              <a:lumMod val="75000"/>
            </a:sysClr>
          </a:solidFill>
        </a:ln>
      </c:spPr>
    </c:plotArea>
    <c:legend>
      <c:legendPos val="b"/>
      <c:layout>
        <c:manualLayout>
          <c:xMode val="edge"/>
          <c:yMode val="edge"/>
          <c:x val="0.41059547405656327"/>
          <c:y val="6.5553125478020127E-2"/>
          <c:w val="0.24925188760182737"/>
          <c:h val="0.20880911539858266"/>
        </c:manualLayout>
      </c:layout>
      <c:spPr>
        <a:solidFill>
          <a:sysClr val="window" lastClr="FFFFFF"/>
        </a:solidFill>
      </c:spPr>
      <c:txPr>
        <a:bodyPr/>
        <a:lstStyle/>
        <a:p>
          <a:pPr>
            <a:defRPr lang="lv-LV" sz="8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9515737916316"/>
          <c:y val="4.7330555555555563E-2"/>
          <c:w val="0.8235500244330729"/>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67.127799999999979</c:v>
                </c:pt>
                <c:pt idx="1">
                  <c:v>62.480700000000006</c:v>
                </c:pt>
                <c:pt idx="2">
                  <c:v>64.190600000000003</c:v>
                </c:pt>
                <c:pt idx="3">
                  <c:v>68.974199999999996</c:v>
                </c:pt>
                <c:pt idx="4">
                  <c:v>71.381599999999992</c:v>
                </c:pt>
                <c:pt idx="5">
                  <c:v>70.761200000000244</c:v>
                </c:pt>
                <c:pt idx="6">
                  <c:v>73.903999999999996</c:v>
                </c:pt>
                <c:pt idx="7">
                  <c:v>69.714500000000228</c:v>
                </c:pt>
                <c:pt idx="8">
                  <c:v>71.494400000000027</c:v>
                </c:pt>
                <c:pt idx="9">
                  <c:v>69.093600000000023</c:v>
                </c:pt>
                <c:pt idx="10">
                  <c:v>62.69080000000001</c:v>
                </c:pt>
                <c:pt idx="11">
                  <c:v>67.048699999999997</c:v>
                </c:pt>
                <c:pt idx="12">
                  <c:v>55.339000000000006</c:v>
                </c:pt>
                <c:pt idx="13">
                  <c:v>53.496700000000011</c:v>
                </c:pt>
                <c:pt idx="14">
                  <c:v>56.313199999999995</c:v>
                </c:pt>
                <c:pt idx="15">
                  <c:v>58.694900000000011</c:v>
                </c:pt>
                <c:pt idx="16">
                  <c:v>59.062400000000011</c:v>
                </c:pt>
                <c:pt idx="17">
                  <c:v>61.715800000000002</c:v>
                </c:pt>
                <c:pt idx="18">
                  <c:v>57.728500000000139</c:v>
                </c:pt>
                <c:pt idx="19">
                  <c:v>53.177800000000005</c:v>
                </c:pt>
                <c:pt idx="20">
                  <c:v>52.369100000000003</c:v>
                </c:pt>
                <c:pt idx="21">
                  <c:v>51.626100000000108</c:v>
                </c:pt>
                <c:pt idx="22">
                  <c:v>50.497300000000003</c:v>
                </c:pt>
                <c:pt idx="23">
                  <c:v>53.416100000000007</c:v>
                </c:pt>
                <c:pt idx="24">
                  <c:v>45.27640000000001</c:v>
                </c:pt>
                <c:pt idx="25">
                  <c:v>44.881299999999996</c:v>
                </c:pt>
                <c:pt idx="26">
                  <c:v>52.894100000000002</c:v>
                </c:pt>
                <c:pt idx="27">
                  <c:v>52.249500000000012</c:v>
                </c:pt>
                <c:pt idx="28">
                  <c:v>53.518800000000006</c:v>
                </c:pt>
                <c:pt idx="29">
                  <c:v>56.236200000000011</c:v>
                </c:pt>
                <c:pt idx="30">
                  <c:v>57.388300000000001</c:v>
                </c:pt>
                <c:pt idx="31">
                  <c:v>54.452200000000005</c:v>
                </c:pt>
                <c:pt idx="32">
                  <c:v>53.864200000000004</c:v>
                </c:pt>
                <c:pt idx="33">
                  <c:v>53.950499999999991</c:v>
                </c:pt>
                <c:pt idx="34">
                  <c:v>55.713800000000006</c:v>
                </c:pt>
                <c:pt idx="35">
                  <c:v>56.084500000000006</c:v>
                </c:pt>
                <c:pt idx="36">
                  <c:v>49.717300000000002</c:v>
                </c:pt>
                <c:pt idx="37">
                  <c:v>47.614699999999992</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18.840599999999938</c:v>
                </c:pt>
                <c:pt idx="1">
                  <c:v>20.6326</c:v>
                </c:pt>
                <c:pt idx="2">
                  <c:v>21.362199999999934</c:v>
                </c:pt>
                <c:pt idx="3">
                  <c:v>21.991999999999987</c:v>
                </c:pt>
                <c:pt idx="4">
                  <c:v>22.007300000000001</c:v>
                </c:pt>
                <c:pt idx="5">
                  <c:v>23.061400000000003</c:v>
                </c:pt>
                <c:pt idx="6">
                  <c:v>22.380400000000002</c:v>
                </c:pt>
                <c:pt idx="7">
                  <c:v>21.446299999999923</c:v>
                </c:pt>
                <c:pt idx="8">
                  <c:v>23.241199999999989</c:v>
                </c:pt>
                <c:pt idx="9">
                  <c:v>24.700699999999934</c:v>
                </c:pt>
                <c:pt idx="10">
                  <c:v>19.182299999999927</c:v>
                </c:pt>
                <c:pt idx="11">
                  <c:v>21.9648</c:v>
                </c:pt>
                <c:pt idx="12">
                  <c:v>13.4199</c:v>
                </c:pt>
                <c:pt idx="13">
                  <c:v>13.825000000000006</c:v>
                </c:pt>
                <c:pt idx="14">
                  <c:v>17.831299999999999</c:v>
                </c:pt>
                <c:pt idx="15">
                  <c:v>18.120900000000031</c:v>
                </c:pt>
                <c:pt idx="16">
                  <c:v>16.5488</c:v>
                </c:pt>
                <c:pt idx="17">
                  <c:v>18.294499999999989</c:v>
                </c:pt>
                <c:pt idx="18">
                  <c:v>17.598099999999945</c:v>
                </c:pt>
                <c:pt idx="19">
                  <c:v>16.788599999999896</c:v>
                </c:pt>
                <c:pt idx="20">
                  <c:v>19.392799999999927</c:v>
                </c:pt>
                <c:pt idx="21">
                  <c:v>18.640799999999945</c:v>
                </c:pt>
                <c:pt idx="22">
                  <c:v>19.770299999999946</c:v>
                </c:pt>
                <c:pt idx="23">
                  <c:v>17.32</c:v>
                </c:pt>
                <c:pt idx="24">
                  <c:v>14.1187</c:v>
                </c:pt>
                <c:pt idx="25">
                  <c:v>15.9709</c:v>
                </c:pt>
                <c:pt idx="26">
                  <c:v>18.553799999999946</c:v>
                </c:pt>
                <c:pt idx="27">
                  <c:v>19.253299999999989</c:v>
                </c:pt>
                <c:pt idx="28">
                  <c:v>19.173299999999987</c:v>
                </c:pt>
                <c:pt idx="29">
                  <c:v>20.625599999999945</c:v>
                </c:pt>
                <c:pt idx="30">
                  <c:v>19.725499999999919</c:v>
                </c:pt>
                <c:pt idx="31">
                  <c:v>21.869299999999949</c:v>
                </c:pt>
                <c:pt idx="32">
                  <c:v>23.1553</c:v>
                </c:pt>
                <c:pt idx="33">
                  <c:v>23.41569999999993</c:v>
                </c:pt>
                <c:pt idx="34">
                  <c:v>22.528299999999927</c:v>
                </c:pt>
                <c:pt idx="35">
                  <c:v>22.816800000000057</c:v>
                </c:pt>
                <c:pt idx="36">
                  <c:v>18.960399999999918</c:v>
                </c:pt>
                <c:pt idx="37">
                  <c:v>20.018999999999988</c:v>
                </c:pt>
              </c:numCache>
            </c:numRef>
          </c:val>
        </c:ser>
        <c:gapWidth val="0"/>
        <c:overlap val="100"/>
        <c:axId val="167440384"/>
        <c:axId val="167441920"/>
      </c:barChart>
      <c:catAx>
        <c:axId val="16744038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7441920"/>
        <c:crosses val="autoZero"/>
        <c:auto val="1"/>
        <c:lblAlgn val="ctr"/>
        <c:lblOffset val="0"/>
        <c:tickLblSkip val="3"/>
        <c:tickMarkSkip val="1"/>
        <c:noMultiLvlLbl val="1"/>
      </c:catAx>
      <c:valAx>
        <c:axId val="167441920"/>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7440384"/>
        <c:crosses val="autoZero"/>
        <c:crossBetween val="between"/>
      </c:valAx>
      <c:spPr>
        <a:noFill/>
        <a:ln w="6350">
          <a:solidFill>
            <a:sysClr val="window" lastClr="FFFFFF">
              <a:lumMod val="85000"/>
            </a:sysClr>
          </a:solidFill>
        </a:ln>
      </c:spPr>
    </c:plotArea>
    <c:legend>
      <c:legendPos val="b"/>
      <c:layout>
        <c:manualLayout>
          <c:xMode val="edge"/>
          <c:yMode val="edge"/>
          <c:x val="0.54490692871975355"/>
          <c:y val="7.3834220163866121E-2"/>
          <c:w val="0.35673227969348681"/>
          <c:h val="0.13589057465377344"/>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178"/>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3.8227250961041435</c:v>
                </c:pt>
                <c:pt idx="1">
                  <c:v>2.2789635391530965</c:v>
                </c:pt>
                <c:pt idx="2">
                  <c:v>-8.1053744151718519</c:v>
                </c:pt>
                <c:pt idx="3">
                  <c:v>-0.24874214000499337</c:v>
                </c:pt>
                <c:pt idx="4">
                  <c:v>-10.420722319865177</c:v>
                </c:pt>
                <c:pt idx="5">
                  <c:v>-9.2026597743939504</c:v>
                </c:pt>
                <c:pt idx="6">
                  <c:v>-6.5034004936109024</c:v>
                </c:pt>
                <c:pt idx="7">
                  <c:v>-14.851045013004349</c:v>
                </c:pt>
                <c:pt idx="8">
                  <c:v>0.69941668483135944</c:v>
                </c:pt>
                <c:pt idx="9">
                  <c:v>-7.7246551016172145</c:v>
                </c:pt>
                <c:pt idx="10">
                  <c:v>-15.868778684726308</c:v>
                </c:pt>
                <c:pt idx="11">
                  <c:v>-4.0276920772607445</c:v>
                </c:pt>
                <c:pt idx="12">
                  <c:v>-24.293854072751202</c:v>
                </c:pt>
                <c:pt idx="13">
                  <c:v>-20.284408000381212</c:v>
                </c:pt>
                <c:pt idx="14">
                  <c:v>-13.800317746360719</c:v>
                </c:pt>
                <c:pt idx="15">
                  <c:v>-14.782477767969922</c:v>
                </c:pt>
                <c:pt idx="16">
                  <c:v>-17.351877576197268</c:v>
                </c:pt>
                <c:pt idx="17">
                  <c:v>-11.130099978977071</c:v>
                </c:pt>
                <c:pt idx="18">
                  <c:v>-17.693256787490593</c:v>
                </c:pt>
                <c:pt idx="19">
                  <c:v>-18.81018080276128</c:v>
                </c:pt>
                <c:pt idx="20">
                  <c:v>-19.6087261810051</c:v>
                </c:pt>
                <c:pt idx="21">
                  <c:v>-20.851180605178641</c:v>
                </c:pt>
                <c:pt idx="22">
                  <c:v>-8.1680364961444205</c:v>
                </c:pt>
                <c:pt idx="23">
                  <c:v>-15.873273325205957</c:v>
                </c:pt>
                <c:pt idx="24">
                  <c:v>-8.8674642162845778</c:v>
                </c:pt>
                <c:pt idx="25">
                  <c:v>-5.6754971703959285</c:v>
                </c:pt>
                <c:pt idx="26">
                  <c:v>-1.7195117663955979</c:v>
                </c:pt>
                <c:pt idx="27">
                  <c:v>-5.7307169342537234</c:v>
                </c:pt>
                <c:pt idx="28">
                  <c:v>-3.3872689436298833</c:v>
                </c:pt>
                <c:pt idx="29">
                  <c:v>-4.4054947410748104</c:v>
                </c:pt>
                <c:pt idx="30">
                  <c:v>1.0705649775729822</c:v>
                </c:pt>
                <c:pt idx="31">
                  <c:v>6.8227393827491394</c:v>
                </c:pt>
                <c:pt idx="32">
                  <c:v>2.8955209498205079</c:v>
                </c:pt>
                <c:pt idx="33">
                  <c:v>4.8173650497903475</c:v>
                </c:pt>
                <c:pt idx="34">
                  <c:v>4.057778299012611</c:v>
                </c:pt>
                <c:pt idx="35">
                  <c:v>5.3910963443614577</c:v>
                </c:pt>
                <c:pt idx="36">
                  <c:v>8.5135743112694211</c:v>
                </c:pt>
                <c:pt idx="37">
                  <c:v>2.5136593425637557</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23.017166253629</c:v>
                </c:pt>
                <c:pt idx="1">
                  <c:v>23.867403541154829</c:v>
                </c:pt>
                <c:pt idx="2">
                  <c:v>19.745298833958589</c:v>
                </c:pt>
                <c:pt idx="3">
                  <c:v>22.18963647314256</c:v>
                </c:pt>
                <c:pt idx="4">
                  <c:v>19.313313945099551</c:v>
                </c:pt>
                <c:pt idx="5">
                  <c:v>19.096072443059633</c:v>
                </c:pt>
                <c:pt idx="6">
                  <c:v>19.651241581510327</c:v>
                </c:pt>
                <c:pt idx="7">
                  <c:v>16.944525355478127</c:v>
                </c:pt>
                <c:pt idx="8">
                  <c:v>17.1258023665781</c:v>
                </c:pt>
                <c:pt idx="9">
                  <c:v>11.991866629069079</c:v>
                </c:pt>
                <c:pt idx="10">
                  <c:v>8.1626921614722097</c:v>
                </c:pt>
                <c:pt idx="11">
                  <c:v>7.2996401289074324</c:v>
                </c:pt>
                <c:pt idx="12">
                  <c:v>4.2754519622082654</c:v>
                </c:pt>
                <c:pt idx="13">
                  <c:v>1.2843201684698755</c:v>
                </c:pt>
                <c:pt idx="14">
                  <c:v>0.46551163831982562</c:v>
                </c:pt>
                <c:pt idx="15">
                  <c:v>-0.77319016143684394</c:v>
                </c:pt>
                <c:pt idx="16">
                  <c:v>-1.6843247990314858</c:v>
                </c:pt>
                <c:pt idx="17">
                  <c:v>-3.5916195214418138</c:v>
                </c:pt>
                <c:pt idx="18">
                  <c:v>-4.0733014503964142</c:v>
                </c:pt>
                <c:pt idx="19">
                  <c:v>-4.4392860733520934</c:v>
                </c:pt>
                <c:pt idx="20">
                  <c:v>-4.6416084344931736</c:v>
                </c:pt>
                <c:pt idx="21">
                  <c:v>-4.2328596829838911</c:v>
                </c:pt>
                <c:pt idx="22">
                  <c:v>-6.0069489386321084</c:v>
                </c:pt>
                <c:pt idx="23">
                  <c:v>-4.6600165690235302</c:v>
                </c:pt>
                <c:pt idx="24">
                  <c:v>-4.7508455588863816</c:v>
                </c:pt>
                <c:pt idx="25">
                  <c:v>-3.9343314584117257</c:v>
                </c:pt>
                <c:pt idx="26">
                  <c:v>-1.9174404013309361</c:v>
                </c:pt>
                <c:pt idx="27">
                  <c:v>-1.1858288805395738</c:v>
                </c:pt>
                <c:pt idx="28">
                  <c:v>-0.47340249128977696</c:v>
                </c:pt>
                <c:pt idx="29">
                  <c:v>0.47037638756282446</c:v>
                </c:pt>
                <c:pt idx="30">
                  <c:v>1.302036467334915</c:v>
                </c:pt>
                <c:pt idx="31">
                  <c:v>2.2603347785626142</c:v>
                </c:pt>
                <c:pt idx="32">
                  <c:v>4.4309294368052576</c:v>
                </c:pt>
                <c:pt idx="33">
                  <c:v>5.2859695216792772</c:v>
                </c:pt>
                <c:pt idx="34">
                  <c:v>7.2909798768749843</c:v>
                </c:pt>
                <c:pt idx="35">
                  <c:v>6.1520902322238955</c:v>
                </c:pt>
                <c:pt idx="36">
                  <c:v>7.1149876408108037</c:v>
                </c:pt>
                <c:pt idx="37">
                  <c:v>8.6305556570582667</c:v>
                </c:pt>
              </c:numCache>
            </c:numRef>
          </c:val>
        </c:ser>
        <c:gapWidth val="48"/>
        <c:overlap val="100"/>
        <c:axId val="167405824"/>
        <c:axId val="167465344"/>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26.839891349733151</c:v>
                </c:pt>
                <c:pt idx="1">
                  <c:v>26.146367080307929</c:v>
                </c:pt>
                <c:pt idx="2">
                  <c:v>11.639924418786734</c:v>
                </c:pt>
                <c:pt idx="3">
                  <c:v>21.940894333137589</c:v>
                </c:pt>
                <c:pt idx="4">
                  <c:v>8.892591625234374</c:v>
                </c:pt>
                <c:pt idx="5">
                  <c:v>9.8934126686657073</c:v>
                </c:pt>
                <c:pt idx="6">
                  <c:v>13.14784108789941</c:v>
                </c:pt>
                <c:pt idx="7">
                  <c:v>2.0934803424738249</c:v>
                </c:pt>
                <c:pt idx="8">
                  <c:v>17.825219051409462</c:v>
                </c:pt>
                <c:pt idx="9">
                  <c:v>4.2672115274518605</c:v>
                </c:pt>
                <c:pt idx="10">
                  <c:v>-7.7060865232541014</c:v>
                </c:pt>
                <c:pt idx="11">
                  <c:v>3.2719480516466746</c:v>
                </c:pt>
                <c:pt idx="12">
                  <c:v>-20.018402110542926</c:v>
                </c:pt>
                <c:pt idx="13">
                  <c:v>-19.000087831911323</c:v>
                </c:pt>
                <c:pt idx="14">
                  <c:v>-13.334806108040894</c:v>
                </c:pt>
                <c:pt idx="15">
                  <c:v>-15.555667929406784</c:v>
                </c:pt>
                <c:pt idx="16">
                  <c:v>-19.036202375228729</c:v>
                </c:pt>
                <c:pt idx="17">
                  <c:v>-14.721719500418859</c:v>
                </c:pt>
                <c:pt idx="18">
                  <c:v>-21.766558237886926</c:v>
                </c:pt>
                <c:pt idx="19">
                  <c:v>-23.24946687611337</c:v>
                </c:pt>
                <c:pt idx="20">
                  <c:v>-24.250334615498303</c:v>
                </c:pt>
                <c:pt idx="21">
                  <c:v>-25.084040288162452</c:v>
                </c:pt>
                <c:pt idx="22">
                  <c:v>-14.174985434776517</c:v>
                </c:pt>
                <c:pt idx="23">
                  <c:v>-20.533289894229512</c:v>
                </c:pt>
                <c:pt idx="24">
                  <c:v>-13.618309775170918</c:v>
                </c:pt>
                <c:pt idx="25">
                  <c:v>-9.6098286288076498</c:v>
                </c:pt>
                <c:pt idx="26">
                  <c:v>-3.636952167726534</c:v>
                </c:pt>
                <c:pt idx="27">
                  <c:v>-6.9165458147932952</c:v>
                </c:pt>
                <c:pt idx="28">
                  <c:v>-3.8606714349196585</c:v>
                </c:pt>
                <c:pt idx="29">
                  <c:v>-3.9351183535119807</c:v>
                </c:pt>
                <c:pt idx="30">
                  <c:v>2.3726014449079003</c:v>
                </c:pt>
                <c:pt idx="31">
                  <c:v>9.0830741613117159</c:v>
                </c:pt>
                <c:pt idx="32">
                  <c:v>7.3264503866257655</c:v>
                </c:pt>
                <c:pt idx="33">
                  <c:v>10.103334571469674</c:v>
                </c:pt>
                <c:pt idx="34">
                  <c:v>11.34875817588761</c:v>
                </c:pt>
                <c:pt idx="35">
                  <c:v>11.543186576585391</c:v>
                </c:pt>
                <c:pt idx="36">
                  <c:v>15.628561952080219</c:v>
                </c:pt>
                <c:pt idx="37">
                  <c:v>11.144214999622021</c:v>
                </c:pt>
              </c:numCache>
            </c:numRef>
          </c:val>
        </c:ser>
        <c:marker val="1"/>
        <c:axId val="167405824"/>
        <c:axId val="167465344"/>
      </c:lineChart>
      <c:catAx>
        <c:axId val="16740582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7465344"/>
        <c:crosses val="autoZero"/>
        <c:auto val="1"/>
        <c:lblAlgn val="ctr"/>
        <c:lblOffset val="0"/>
        <c:tickLblSkip val="2"/>
        <c:tickMarkSkip val="1"/>
        <c:noMultiLvlLbl val="1"/>
      </c:catAx>
      <c:valAx>
        <c:axId val="167465344"/>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7405824"/>
        <c:crosses val="autoZero"/>
        <c:crossBetween val="between"/>
      </c:valAx>
      <c:spPr>
        <a:noFill/>
        <a:ln w="6350">
          <a:solidFill>
            <a:sysClr val="window" lastClr="FFFFFF">
              <a:lumMod val="85000"/>
            </a:sysClr>
          </a:solidFill>
        </a:ln>
      </c:spPr>
    </c:plotArea>
    <c:legend>
      <c:legendPos val="b"/>
      <c:layout>
        <c:manualLayout>
          <c:xMode val="edge"/>
          <c:yMode val="edge"/>
          <c:x val="0.33445578876152332"/>
          <c:y val="8.1975694444444441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81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102.63650662871696</c:v>
                </c:pt>
                <c:pt idx="1">
                  <c:v>105.2954834843834</c:v>
                </c:pt>
                <c:pt idx="2">
                  <c:v>104.67380720545243</c:v>
                </c:pt>
                <c:pt idx="3">
                  <c:v>105.34791401393154</c:v>
                </c:pt>
                <c:pt idx="4">
                  <c:v>105.8572391581155</c:v>
                </c:pt>
                <c:pt idx="5">
                  <c:v>106.7335780091379</c:v>
                </c:pt>
                <c:pt idx="6">
                  <c:v>107.46011534716521</c:v>
                </c:pt>
                <c:pt idx="7">
                  <c:v>108.35143434948665</c:v>
                </c:pt>
                <c:pt idx="8">
                  <c:v>108.54617631638054</c:v>
                </c:pt>
                <c:pt idx="9">
                  <c:v>108.15669238259277</c:v>
                </c:pt>
                <c:pt idx="10">
                  <c:v>107.93199011310014</c:v>
                </c:pt>
                <c:pt idx="11">
                  <c:v>107.60242678451053</c:v>
                </c:pt>
                <c:pt idx="12">
                  <c:v>108.45629540858364</c:v>
                </c:pt>
                <c:pt idx="13">
                  <c:v>107.10808179162576</c:v>
                </c:pt>
                <c:pt idx="14">
                  <c:v>105.25054303048432</c:v>
                </c:pt>
                <c:pt idx="15">
                  <c:v>104.38918433076147</c:v>
                </c:pt>
                <c:pt idx="16">
                  <c:v>103.65515691708441</c:v>
                </c:pt>
                <c:pt idx="17">
                  <c:v>102.38184405662457</c:v>
                </c:pt>
                <c:pt idx="18">
                  <c:v>102.12718148453298</c:v>
                </c:pt>
                <c:pt idx="19">
                  <c:v>102.43427458617352</c:v>
                </c:pt>
                <c:pt idx="20">
                  <c:v>102.15714178713206</c:v>
                </c:pt>
                <c:pt idx="21">
                  <c:v>102.30694330012734</c:v>
                </c:pt>
                <c:pt idx="22">
                  <c:v>100.68908695977831</c:v>
                </c:pt>
                <c:pt idx="23">
                  <c:v>101.6702868698974</c:v>
                </c:pt>
                <c:pt idx="24">
                  <c:v>103.040970713804</c:v>
                </c:pt>
                <c:pt idx="25">
                  <c:v>102.54662572092012</c:v>
                </c:pt>
                <c:pt idx="26">
                  <c:v>103.23571268069809</c:v>
                </c:pt>
                <c:pt idx="27">
                  <c:v>102.96606995730677</c:v>
                </c:pt>
                <c:pt idx="28">
                  <c:v>103.15332184855033</c:v>
                </c:pt>
                <c:pt idx="29">
                  <c:v>102.79379821736201</c:v>
                </c:pt>
                <c:pt idx="30">
                  <c:v>103.5053554040894</c:v>
                </c:pt>
                <c:pt idx="31">
                  <c:v>104.29181334731506</c:v>
                </c:pt>
                <c:pt idx="32">
                  <c:v>106.19429256235485</c:v>
                </c:pt>
                <c:pt idx="33">
                  <c:v>107.06314133772732</c:v>
                </c:pt>
                <c:pt idx="34">
                  <c:v>107.60242678451053</c:v>
                </c:pt>
                <c:pt idx="35">
                  <c:v>107.29533368287019</c:v>
                </c:pt>
                <c:pt idx="36">
                  <c:v>109.35510448655531</c:v>
                </c:pt>
                <c:pt idx="37" formatCode="General">
                  <c:v>110.76323870871094</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103.05400372439479</c:v>
                </c:pt>
                <c:pt idx="1">
                  <c:v>104.09683426443203</c:v>
                </c:pt>
                <c:pt idx="2">
                  <c:v>103.88081936685288</c:v>
                </c:pt>
                <c:pt idx="3">
                  <c:v>104.88640595903165</c:v>
                </c:pt>
                <c:pt idx="4">
                  <c:v>105.78770949720672</c:v>
                </c:pt>
                <c:pt idx="5">
                  <c:v>106.59217877094952</c:v>
                </c:pt>
                <c:pt idx="6">
                  <c:v>107.27001862197392</c:v>
                </c:pt>
                <c:pt idx="7">
                  <c:v>107.7765363128488</c:v>
                </c:pt>
                <c:pt idx="8">
                  <c:v>108.17132216014895</c:v>
                </c:pt>
                <c:pt idx="9">
                  <c:v>107.33705772811919</c:v>
                </c:pt>
                <c:pt idx="10">
                  <c:v>106.64432029795157</c:v>
                </c:pt>
                <c:pt idx="11">
                  <c:v>106.81564245810056</c:v>
                </c:pt>
                <c:pt idx="12">
                  <c:v>107.91806331471136</c:v>
                </c:pt>
                <c:pt idx="13">
                  <c:v>105.98882681564244</c:v>
                </c:pt>
                <c:pt idx="14">
                  <c:v>104.40968342644319</c:v>
                </c:pt>
                <c:pt idx="15">
                  <c:v>103.40409683426441</c:v>
                </c:pt>
                <c:pt idx="16">
                  <c:v>103.53072625698304</c:v>
                </c:pt>
                <c:pt idx="17">
                  <c:v>102.00372439478581</c:v>
                </c:pt>
                <c:pt idx="18">
                  <c:v>101.51955307262568</c:v>
                </c:pt>
                <c:pt idx="19">
                  <c:v>101.2141527001862</c:v>
                </c:pt>
                <c:pt idx="20">
                  <c:v>100.38733705772776</c:v>
                </c:pt>
                <c:pt idx="21">
                  <c:v>100.21601489757913</c:v>
                </c:pt>
                <c:pt idx="22">
                  <c:v>98.919925512104285</c:v>
                </c:pt>
                <c:pt idx="23">
                  <c:v>99.888268156424047</c:v>
                </c:pt>
                <c:pt idx="24">
                  <c:v>99.821229050279427</c:v>
                </c:pt>
                <c:pt idx="25">
                  <c:v>99.061452513966458</c:v>
                </c:pt>
                <c:pt idx="26">
                  <c:v>99.597765363128502</c:v>
                </c:pt>
                <c:pt idx="27">
                  <c:v>99.664804469273989</c:v>
                </c:pt>
                <c:pt idx="28">
                  <c:v>99.627560521415262</c:v>
                </c:pt>
                <c:pt idx="29">
                  <c:v>99.739292364990675</c:v>
                </c:pt>
                <c:pt idx="30">
                  <c:v>100.096834264432</c:v>
                </c:pt>
                <c:pt idx="31">
                  <c:v>100.71508379888266</c:v>
                </c:pt>
                <c:pt idx="32">
                  <c:v>102.44320297951603</c:v>
                </c:pt>
                <c:pt idx="33">
                  <c:v>103.34450651769085</c:v>
                </c:pt>
                <c:pt idx="34">
                  <c:v>104.05959031657316</c:v>
                </c:pt>
                <c:pt idx="35">
                  <c:v>104.73743016759775</c:v>
                </c:pt>
                <c:pt idx="36">
                  <c:v>106.73370577281185</c:v>
                </c:pt>
                <c:pt idx="37" formatCode="General">
                  <c:v>107.51582867783981</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101.21802679658931</c:v>
                </c:pt>
                <c:pt idx="1">
                  <c:v>109.32551766138856</c:v>
                </c:pt>
                <c:pt idx="2">
                  <c:v>107.3233861144939</c:v>
                </c:pt>
                <c:pt idx="3">
                  <c:v>106.87423873325181</c:v>
                </c:pt>
                <c:pt idx="4">
                  <c:v>106.07490864799024</c:v>
                </c:pt>
                <c:pt idx="5">
                  <c:v>107.20158343483574</c:v>
                </c:pt>
                <c:pt idx="6">
                  <c:v>108.07704019488391</c:v>
                </c:pt>
                <c:pt idx="7">
                  <c:v>110.2694884287454</c:v>
                </c:pt>
                <c:pt idx="8">
                  <c:v>109.80511571254546</c:v>
                </c:pt>
                <c:pt idx="9">
                  <c:v>110.92417783191229</c:v>
                </c:pt>
                <c:pt idx="10">
                  <c:v>112.24878197320338</c:v>
                </c:pt>
                <c:pt idx="11">
                  <c:v>110.24665042630954</c:v>
                </c:pt>
                <c:pt idx="12">
                  <c:v>110.2771010962239</c:v>
                </c:pt>
                <c:pt idx="13">
                  <c:v>110.83282582216805</c:v>
                </c:pt>
                <c:pt idx="14">
                  <c:v>108.05420219244805</c:v>
                </c:pt>
                <c:pt idx="15">
                  <c:v>107.68118148599272</c:v>
                </c:pt>
                <c:pt idx="16">
                  <c:v>104.1184531059683</c:v>
                </c:pt>
                <c:pt idx="17">
                  <c:v>103.69214372716195</c:v>
                </c:pt>
                <c:pt idx="18">
                  <c:v>104.20219244823382</c:v>
                </c:pt>
                <c:pt idx="19">
                  <c:v>106.47076735688135</c:v>
                </c:pt>
                <c:pt idx="20">
                  <c:v>107.97046285018249</c:v>
                </c:pt>
                <c:pt idx="21">
                  <c:v>109.19610231425062</c:v>
                </c:pt>
                <c:pt idx="22">
                  <c:v>106.49360535931822</c:v>
                </c:pt>
                <c:pt idx="23">
                  <c:v>107.53654080389765</c:v>
                </c:pt>
                <c:pt idx="24">
                  <c:v>113.54293544457975</c:v>
                </c:pt>
                <c:pt idx="25">
                  <c:v>113.92356881851379</c:v>
                </c:pt>
                <c:pt idx="26">
                  <c:v>115.09591961023139</c:v>
                </c:pt>
                <c:pt idx="27">
                  <c:v>113.75609013398267</c:v>
                </c:pt>
                <c:pt idx="28">
                  <c:v>114.65438489646736</c:v>
                </c:pt>
                <c:pt idx="29">
                  <c:v>112.77405602923272</c:v>
                </c:pt>
                <c:pt idx="30">
                  <c:v>114.63915956151052</c:v>
                </c:pt>
                <c:pt idx="31">
                  <c:v>115.96376370280146</c:v>
                </c:pt>
                <c:pt idx="32">
                  <c:v>118.40742996345919</c:v>
                </c:pt>
                <c:pt idx="33">
                  <c:v>119.18392204628501</c:v>
                </c:pt>
                <c:pt idx="34">
                  <c:v>119.15347137636992</c:v>
                </c:pt>
                <c:pt idx="35">
                  <c:v>115.67448233861104</c:v>
                </c:pt>
                <c:pt idx="36">
                  <c:v>117.95066991473833</c:v>
                </c:pt>
                <c:pt idx="37" formatCode="General">
                  <c:v>121.44488428745433</c:v>
                </c:pt>
              </c:numCache>
            </c:numRef>
          </c:val>
        </c:ser>
        <c:marker val="1"/>
        <c:axId val="167552128"/>
        <c:axId val="167553664"/>
      </c:lineChart>
      <c:catAx>
        <c:axId val="16755212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67553664"/>
        <c:crosses val="autoZero"/>
        <c:auto val="1"/>
        <c:lblAlgn val="ctr"/>
        <c:lblOffset val="0"/>
        <c:tickLblSkip val="2"/>
        <c:tickMarkSkip val="1"/>
        <c:noMultiLvlLbl val="1"/>
      </c:catAx>
      <c:valAx>
        <c:axId val="167553664"/>
        <c:scaling>
          <c:orientation val="minMax"/>
          <c:max val="120"/>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7552128"/>
        <c:crosses val="autoZero"/>
        <c:crossBetween val="between"/>
        <c:majorUnit val="5"/>
      </c:valAx>
      <c:spPr>
        <a:noFill/>
        <a:ln w="6350">
          <a:solidFill>
            <a:sysClr val="window" lastClr="FFFFFF">
              <a:lumMod val="85000"/>
            </a:sysClr>
          </a:solidFill>
        </a:ln>
      </c:spPr>
    </c:plotArea>
    <c:legend>
      <c:legendPos val="b"/>
      <c:layout>
        <c:manualLayout>
          <c:xMode val="edge"/>
          <c:yMode val="edge"/>
          <c:x val="0.14704522529590044"/>
          <c:y val="5.9666087962963861E-2"/>
          <c:w val="0.45080477616355424"/>
          <c:h val="0.1832881944444498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646"/>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95.34</c:v>
                </c:pt>
                <c:pt idx="1">
                  <c:v>107.96000000000002</c:v>
                </c:pt>
                <c:pt idx="2">
                  <c:v>97.960000000000022</c:v>
                </c:pt>
                <c:pt idx="3">
                  <c:v>103.89</c:v>
                </c:pt>
                <c:pt idx="4">
                  <c:v>92.69</c:v>
                </c:pt>
                <c:pt idx="5">
                  <c:v>87.95</c:v>
                </c:pt>
                <c:pt idx="6">
                  <c:v>87.960000000000022</c:v>
                </c:pt>
                <c:pt idx="7">
                  <c:v>81.55</c:v>
                </c:pt>
                <c:pt idx="8">
                  <c:v>89.42</c:v>
                </c:pt>
                <c:pt idx="9">
                  <c:v>101.25</c:v>
                </c:pt>
                <c:pt idx="10">
                  <c:v>82.940000000000026</c:v>
                </c:pt>
                <c:pt idx="11">
                  <c:v>71.540000000000006</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62.37</c:v>
                </c:pt>
                <c:pt idx="1">
                  <c:v>56.160000000000011</c:v>
                </c:pt>
                <c:pt idx="2">
                  <c:v>54.32</c:v>
                </c:pt>
                <c:pt idx="3">
                  <c:v>56.93</c:v>
                </c:pt>
                <c:pt idx="4">
                  <c:v>51.82</c:v>
                </c:pt>
                <c:pt idx="5">
                  <c:v>58.33</c:v>
                </c:pt>
                <c:pt idx="6">
                  <c:v>56.27</c:v>
                </c:pt>
                <c:pt idx="7">
                  <c:v>55.18</c:v>
                </c:pt>
                <c:pt idx="8">
                  <c:v>55.67</c:v>
                </c:pt>
                <c:pt idx="9">
                  <c:v>56.1</c:v>
                </c:pt>
                <c:pt idx="10">
                  <c:v>58.7</c:v>
                </c:pt>
                <c:pt idx="11">
                  <c:v>53.3</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53.47</c:v>
                </c:pt>
                <c:pt idx="1">
                  <c:v>55.08</c:v>
                </c:pt>
                <c:pt idx="2">
                  <c:v>64.440000000000026</c:v>
                </c:pt>
                <c:pt idx="3" formatCode="General">
                  <c:v>62.160000000000011</c:v>
                </c:pt>
                <c:pt idx="4">
                  <c:v>63.96</c:v>
                </c:pt>
                <c:pt idx="5">
                  <c:v>64.47</c:v>
                </c:pt>
                <c:pt idx="6">
                  <c:v>71.59</c:v>
                </c:pt>
                <c:pt idx="7">
                  <c:v>72.36999999999999</c:v>
                </c:pt>
                <c:pt idx="8">
                  <c:v>75.28</c:v>
                </c:pt>
                <c:pt idx="9">
                  <c:v>77.06</c:v>
                </c:pt>
                <c:pt idx="10">
                  <c:v>73.319999999999993</c:v>
                </c:pt>
                <c:pt idx="11">
                  <c:v>72.83</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71.83</c:v>
                </c:pt>
                <c:pt idx="1">
                  <c:v>82.6</c:v>
                </c:pt>
              </c:numCache>
            </c:numRef>
          </c:val>
        </c:ser>
        <c:marker val="1"/>
        <c:axId val="166953344"/>
        <c:axId val="166954880"/>
      </c:lineChart>
      <c:catAx>
        <c:axId val="16695334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954880"/>
        <c:crosses val="autoZero"/>
        <c:auto val="1"/>
        <c:lblAlgn val="ctr"/>
        <c:lblOffset val="0"/>
        <c:tickMarkSkip val="1"/>
      </c:catAx>
      <c:valAx>
        <c:axId val="166954880"/>
        <c:scaling>
          <c:orientation val="minMax"/>
          <c:max val="11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6953344"/>
        <c:crosses val="autoZero"/>
        <c:crossBetween val="between"/>
      </c:valAx>
      <c:spPr>
        <a:noFill/>
        <a:ln w="6350">
          <a:solidFill>
            <a:sysClr val="window" lastClr="FFFFFF">
              <a:lumMod val="85000"/>
            </a:sysClr>
          </a:solidFill>
        </a:ln>
      </c:spPr>
    </c:plotArea>
    <c:legend>
      <c:legendPos val="b"/>
      <c:layout>
        <c:manualLayout>
          <c:xMode val="edge"/>
          <c:yMode val="edge"/>
          <c:x val="0.26670859433870581"/>
          <c:y val="0.34080729166666757"/>
          <c:w val="0.30318566901262894"/>
          <c:h val="0.2259739583333333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Sheet1!$A$2:$B$37</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Sheet1!$C$2:$C$37</c:f>
              <c:numCache>
                <c:formatCode>0.0</c:formatCode>
                <c:ptCount val="36"/>
                <c:pt idx="0">
                  <c:v>99.641388039236318</c:v>
                </c:pt>
                <c:pt idx="1">
                  <c:v>112.73072460710902</c:v>
                </c:pt>
                <c:pt idx="2">
                  <c:v>103.93418415778925</c:v>
                </c:pt>
                <c:pt idx="3">
                  <c:v>106.10695074359241</c:v>
                </c:pt>
                <c:pt idx="4">
                  <c:v>100.73831874274865</c:v>
                </c:pt>
                <c:pt idx="5">
                  <c:v>94.504799071827847</c:v>
                </c:pt>
                <c:pt idx="6">
                  <c:v>100.64339204725238</c:v>
                </c:pt>
                <c:pt idx="7">
                  <c:v>87.311465035333825</c:v>
                </c:pt>
                <c:pt idx="8">
                  <c:v>93.144183103048192</c:v>
                </c:pt>
                <c:pt idx="9">
                  <c:v>101.91962873114667</c:v>
                </c:pt>
                <c:pt idx="10">
                  <c:v>90.633899377702718</c:v>
                </c:pt>
                <c:pt idx="11">
                  <c:v>78.15631262525045</c:v>
                </c:pt>
                <c:pt idx="12">
                  <c:v>68.051893260204594</c:v>
                </c:pt>
                <c:pt idx="13">
                  <c:v>59.149878704777962</c:v>
                </c:pt>
                <c:pt idx="14">
                  <c:v>55.395000527370506</c:v>
                </c:pt>
                <c:pt idx="15">
                  <c:v>63.231726611116947</c:v>
                </c:pt>
                <c:pt idx="16">
                  <c:v>58.221706571036776</c:v>
                </c:pt>
                <c:pt idx="17">
                  <c:v>64.613437401117991</c:v>
                </c:pt>
                <c:pt idx="18">
                  <c:v>64.518510705621708</c:v>
                </c:pt>
                <c:pt idx="19">
                  <c:v>60.130787891572574</c:v>
                </c:pt>
                <c:pt idx="20">
                  <c:v>57.451745596455993</c:v>
                </c:pt>
                <c:pt idx="21">
                  <c:v>57.662693808670042</c:v>
                </c:pt>
                <c:pt idx="22">
                  <c:v>62.050416622719091</c:v>
                </c:pt>
                <c:pt idx="23">
                  <c:v>60.267904229511629</c:v>
                </c:pt>
                <c:pt idx="24">
                  <c:v>50.490454593397125</c:v>
                </c:pt>
                <c:pt idx="25">
                  <c:v>54.709418837675429</c:v>
                </c:pt>
                <c:pt idx="26">
                  <c:v>64.212635797911602</c:v>
                </c:pt>
                <c:pt idx="27">
                  <c:v>63.885666068979994</c:v>
                </c:pt>
                <c:pt idx="28">
                  <c:v>68.558168969517965</c:v>
                </c:pt>
                <c:pt idx="29">
                  <c:v>70.203565024786386</c:v>
                </c:pt>
                <c:pt idx="30">
                  <c:v>81.331083219069669</c:v>
                </c:pt>
                <c:pt idx="31">
                  <c:v>77.934817002425859</c:v>
                </c:pt>
                <c:pt idx="32">
                  <c:v>79.211053686320341</c:v>
                </c:pt>
                <c:pt idx="33">
                  <c:v>77.544562809830197</c:v>
                </c:pt>
                <c:pt idx="34">
                  <c:v>78.525471996624262</c:v>
                </c:pt>
                <c:pt idx="35">
                  <c:v>80.898639384031171</c:v>
                </c:pt>
              </c:numCache>
            </c:numRef>
          </c:val>
        </c:ser>
        <c:marker val="1"/>
        <c:axId val="184480896"/>
        <c:axId val="184482432"/>
      </c:lineChart>
      <c:catAx>
        <c:axId val="18448089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482432"/>
        <c:crosses val="autoZero"/>
        <c:auto val="1"/>
        <c:lblAlgn val="ctr"/>
        <c:lblOffset val="0"/>
        <c:tickLblSkip val="2"/>
        <c:tickMarkSkip val="1"/>
        <c:noMultiLvlLbl val="1"/>
      </c:catAx>
      <c:valAx>
        <c:axId val="184482432"/>
        <c:scaling>
          <c:orientation val="minMax"/>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48089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3.4395999999999987</c:v>
                </c:pt>
                <c:pt idx="1">
                  <c:v>3.9051000000000031</c:v>
                </c:pt>
                <c:pt idx="2">
                  <c:v>3.609</c:v>
                </c:pt>
                <c:pt idx="3">
                  <c:v>4.0974999999999975</c:v>
                </c:pt>
                <c:pt idx="4">
                  <c:v>3.777099999999999</c:v>
                </c:pt>
                <c:pt idx="5">
                  <c:v>3.3353999999999977</c:v>
                </c:pt>
                <c:pt idx="6">
                  <c:v>3.1296000000000017</c:v>
                </c:pt>
                <c:pt idx="7">
                  <c:v>2.6887999999999992</c:v>
                </c:pt>
                <c:pt idx="8">
                  <c:v>3.4339999999999993</c:v>
                </c:pt>
                <c:pt idx="9">
                  <c:v>3.252399999999998</c:v>
                </c:pt>
                <c:pt idx="10">
                  <c:v>3.1232000000000006</c:v>
                </c:pt>
                <c:pt idx="11">
                  <c:v>2.6597999999999997</c:v>
                </c:pt>
                <c:pt idx="12">
                  <c:v>1.682199999999999</c:v>
                </c:pt>
                <c:pt idx="13">
                  <c:v>1.7307000000000006</c:v>
                </c:pt>
                <c:pt idx="14">
                  <c:v>1.9517999999999978</c:v>
                </c:pt>
                <c:pt idx="15">
                  <c:v>1.9179999999999962</c:v>
                </c:pt>
                <c:pt idx="16">
                  <c:v>1.6600000000000021</c:v>
                </c:pt>
                <c:pt idx="17">
                  <c:v>1.8365000000000009</c:v>
                </c:pt>
                <c:pt idx="18">
                  <c:v>1.7883000000000013</c:v>
                </c:pt>
                <c:pt idx="19">
                  <c:v>1.6910000000000007</c:v>
                </c:pt>
                <c:pt idx="20">
                  <c:v>2.0484999999999989</c:v>
                </c:pt>
                <c:pt idx="21">
                  <c:v>2.0329999999999977</c:v>
                </c:pt>
                <c:pt idx="22">
                  <c:v>1.9107000000000003</c:v>
                </c:pt>
                <c:pt idx="23">
                  <c:v>2.0097999999999994</c:v>
                </c:pt>
                <c:pt idx="24">
                  <c:v>1.4273999999999956</c:v>
                </c:pt>
                <c:pt idx="25">
                  <c:v>1.5687999999999978</c:v>
                </c:pt>
                <c:pt idx="26">
                  <c:v>2.0387000000000022</c:v>
                </c:pt>
                <c:pt idx="27">
                  <c:v>1.9087000000000021</c:v>
                </c:pt>
                <c:pt idx="28">
                  <c:v>2.3796999999999935</c:v>
                </c:pt>
                <c:pt idx="29">
                  <c:v>2.0526999999999953</c:v>
                </c:pt>
                <c:pt idx="30">
                  <c:v>2.1321000000000008</c:v>
                </c:pt>
                <c:pt idx="31">
                  <c:v>2.0872000000000011</c:v>
                </c:pt>
                <c:pt idx="32">
                  <c:v>2.3241000000000014</c:v>
                </c:pt>
                <c:pt idx="33">
                  <c:v>2.7125999999999983</c:v>
                </c:pt>
                <c:pt idx="34">
                  <c:v>2.4407999999999994</c:v>
                </c:pt>
                <c:pt idx="35">
                  <c:v>2.4277000000000015</c:v>
                </c:pt>
                <c:pt idx="36">
                  <c:v>1.8526999999999978</c:v>
                </c:pt>
                <c:pt idx="37">
                  <c:v>1.8921000000000021</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10.764000000000001</c:v>
                </c:pt>
                <c:pt idx="1">
                  <c:v>12.4963</c:v>
                </c:pt>
                <c:pt idx="2">
                  <c:v>12.1381</c:v>
                </c:pt>
                <c:pt idx="3">
                  <c:v>11.873900000000004</c:v>
                </c:pt>
                <c:pt idx="4">
                  <c:v>11.016500000000002</c:v>
                </c:pt>
                <c:pt idx="5">
                  <c:v>10.964800000000002</c:v>
                </c:pt>
                <c:pt idx="6">
                  <c:v>10.838900000000001</c:v>
                </c:pt>
                <c:pt idx="7">
                  <c:v>10.6646</c:v>
                </c:pt>
                <c:pt idx="8">
                  <c:v>12.433300000000001</c:v>
                </c:pt>
                <c:pt idx="9">
                  <c:v>13.563700000000004</c:v>
                </c:pt>
                <c:pt idx="10">
                  <c:v>9.9465000000000003</c:v>
                </c:pt>
                <c:pt idx="11">
                  <c:v>7.2677999999999985</c:v>
                </c:pt>
                <c:pt idx="12">
                  <c:v>7.8006000000000002</c:v>
                </c:pt>
                <c:pt idx="13">
                  <c:v>8.0269000000000013</c:v>
                </c:pt>
                <c:pt idx="14">
                  <c:v>7.2811000000000003</c:v>
                </c:pt>
                <c:pt idx="15">
                  <c:v>8.3861000000000008</c:v>
                </c:pt>
                <c:pt idx="16">
                  <c:v>7.8256999999999985</c:v>
                </c:pt>
                <c:pt idx="17">
                  <c:v>8.3250000000000028</c:v>
                </c:pt>
                <c:pt idx="18">
                  <c:v>8.8718000000000021</c:v>
                </c:pt>
                <c:pt idx="19">
                  <c:v>7.7051999999999996</c:v>
                </c:pt>
                <c:pt idx="20">
                  <c:v>8.2981999999999996</c:v>
                </c:pt>
                <c:pt idx="21">
                  <c:v>8.4250000000000007</c:v>
                </c:pt>
                <c:pt idx="22">
                  <c:v>7.6341999999999945</c:v>
                </c:pt>
                <c:pt idx="23">
                  <c:v>6.3683000000000005</c:v>
                </c:pt>
                <c:pt idx="24">
                  <c:v>7.1791999999999998</c:v>
                </c:pt>
                <c:pt idx="25">
                  <c:v>8.0998000000000001</c:v>
                </c:pt>
                <c:pt idx="26">
                  <c:v>9.3984000000000005</c:v>
                </c:pt>
                <c:pt idx="27">
                  <c:v>8.968300000000001</c:v>
                </c:pt>
                <c:pt idx="28">
                  <c:v>9.2949000000000002</c:v>
                </c:pt>
                <c:pt idx="29">
                  <c:v>9.3545000000000247</c:v>
                </c:pt>
                <c:pt idx="30">
                  <c:v>10.684800000000001</c:v>
                </c:pt>
                <c:pt idx="31">
                  <c:v>10.081800000000001</c:v>
                </c:pt>
                <c:pt idx="32">
                  <c:v>10.683</c:v>
                </c:pt>
                <c:pt idx="33">
                  <c:v>10.415700000000006</c:v>
                </c:pt>
                <c:pt idx="34">
                  <c:v>10.053100000000002</c:v>
                </c:pt>
                <c:pt idx="35">
                  <c:v>8.8685000000000027</c:v>
                </c:pt>
                <c:pt idx="36">
                  <c:v>9.2871000000000006</c:v>
                </c:pt>
                <c:pt idx="37">
                  <c:v>11.261900000000001</c:v>
                </c:pt>
              </c:numCache>
            </c:numRef>
          </c:val>
        </c:ser>
        <c:gapWidth val="0"/>
        <c:overlap val="100"/>
        <c:axId val="184469760"/>
        <c:axId val="185352192"/>
      </c:barChart>
      <c:catAx>
        <c:axId val="18446976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352192"/>
        <c:crosses val="autoZero"/>
        <c:auto val="1"/>
        <c:lblAlgn val="ctr"/>
        <c:lblOffset val="0"/>
        <c:tickLblSkip val="3"/>
        <c:tickMarkSkip val="1"/>
        <c:noMultiLvlLbl val="1"/>
      </c:catAx>
      <c:valAx>
        <c:axId val="18535219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469760"/>
        <c:crosses val="autoZero"/>
        <c:crossBetween val="between"/>
      </c:valAx>
      <c:spPr>
        <a:noFill/>
        <a:ln w="6350">
          <a:solidFill>
            <a:sysClr val="window" lastClr="FFFFFF">
              <a:lumMod val="85000"/>
            </a:sysClr>
          </a:solidFill>
        </a:ln>
      </c:spPr>
    </c:plotArea>
    <c:legend>
      <c:legendPos val="b"/>
      <c:layout>
        <c:manualLayout>
          <c:xMode val="edge"/>
          <c:yMode val="edge"/>
          <c:x val="0.55232454035956913"/>
          <c:y val="7.3834490740740971E-2"/>
          <c:w val="0.35673227969348681"/>
          <c:h val="0.13589057465377349"/>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133"/>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-12.373260982415944</c:v>
                </c:pt>
                <c:pt idx="1">
                  <c:v>0.8871020203707185</c:v>
                </c:pt>
                <c:pt idx="2">
                  <c:v>-18.259989600266287</c:v>
                </c:pt>
                <c:pt idx="3">
                  <c:v>0.38992966905104476</c:v>
                </c:pt>
                <c:pt idx="4">
                  <c:v>-13.055751885427986</c:v>
                </c:pt>
                <c:pt idx="5">
                  <c:v>-16.739011707506535</c:v>
                </c:pt>
                <c:pt idx="6">
                  <c:v>-7.845433366202316E-2</c:v>
                </c:pt>
                <c:pt idx="7">
                  <c:v>-22.155437287602126</c:v>
                </c:pt>
                <c:pt idx="8">
                  <c:v>-4.8523193789860937</c:v>
                </c:pt>
                <c:pt idx="9">
                  <c:v>-3.3392655821914303</c:v>
                </c:pt>
                <c:pt idx="10">
                  <c:v>-25.492992411487478</c:v>
                </c:pt>
                <c:pt idx="11">
                  <c:v>-24.441049066704629</c:v>
                </c:pt>
                <c:pt idx="12">
                  <c:v>-36.816500870987703</c:v>
                </c:pt>
                <c:pt idx="13">
                  <c:v>-42.324361247900555</c:v>
                </c:pt>
                <c:pt idx="14">
                  <c:v>-43.598644341680732</c:v>
                </c:pt>
                <c:pt idx="15">
                  <c:v>-37.27868232815829</c:v>
                </c:pt>
                <c:pt idx="16">
                  <c:v>-37.641354159155405</c:v>
                </c:pt>
                <c:pt idx="17">
                  <c:v>-29.346604985203513</c:v>
                </c:pt>
                <c:pt idx="18">
                  <c:v>-25.975900218151089</c:v>
                </c:pt>
                <c:pt idx="19">
                  <c:v>-30.240206015859286</c:v>
                </c:pt>
                <c:pt idx="20">
                  <c:v>-36.070751132450653</c:v>
                </c:pt>
                <c:pt idx="21">
                  <c:v>-37.426012941068663</c:v>
                </c:pt>
                <c:pt idx="22">
                  <c:v>-25.056156435975581</c:v>
                </c:pt>
                <c:pt idx="23">
                  <c:v>-11.585577527250972</c:v>
                </c:pt>
                <c:pt idx="24">
                  <c:v>-6.0124359763839204</c:v>
                </c:pt>
                <c:pt idx="25">
                  <c:v>-5.0069778865139796</c:v>
                </c:pt>
                <c:pt idx="26">
                  <c:v>25.555387775163716</c:v>
                </c:pt>
                <c:pt idx="27">
                  <c:v>8.8836625498637218</c:v>
                </c:pt>
                <c:pt idx="28">
                  <c:v>26.781720946715268</c:v>
                </c:pt>
                <c:pt idx="29">
                  <c:v>13.286567011784102</c:v>
                </c:pt>
                <c:pt idx="30">
                  <c:v>19.757753711210643</c:v>
                </c:pt>
                <c:pt idx="31">
                  <c:v>30.356844521065142</c:v>
                </c:pt>
                <c:pt idx="32">
                  <c:v>29.424211518671786</c:v>
                </c:pt>
                <c:pt idx="33">
                  <c:v>25.860017827627626</c:v>
                </c:pt>
                <c:pt idx="34">
                  <c:v>31.969413180939569</c:v>
                </c:pt>
                <c:pt idx="35">
                  <c:v>32.525414410317694</c:v>
                </c:pt>
                <c:pt idx="36">
                  <c:v>25.575807578195526</c:v>
                </c:pt>
                <c:pt idx="37">
                  <c:v>42.079659915283955</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3.5482211837203192</c:v>
                </c:pt>
                <c:pt idx="1">
                  <c:v>3.4886695943882922</c:v>
                </c:pt>
                <c:pt idx="2">
                  <c:v>3.4089059821497747</c:v>
                </c:pt>
                <c:pt idx="3">
                  <c:v>4.5359651120494817</c:v>
                </c:pt>
                <c:pt idx="4">
                  <c:v>4.2279446624524706</c:v>
                </c:pt>
                <c:pt idx="5">
                  <c:v>5.3531798613832065</c:v>
                </c:pt>
                <c:pt idx="6">
                  <c:v>4.677721985279887</c:v>
                </c:pt>
                <c:pt idx="7">
                  <c:v>5.8369894201550485</c:v>
                </c:pt>
                <c:pt idx="8">
                  <c:v>5.3577825618839645</c:v>
                </c:pt>
                <c:pt idx="9">
                  <c:v>5.2636712893423434</c:v>
                </c:pt>
                <c:pt idx="10">
                  <c:v>4.902541218797964</c:v>
                </c:pt>
                <c:pt idx="11">
                  <c:v>4.6867751306419336</c:v>
                </c:pt>
                <c:pt idx="12">
                  <c:v>3.5798566399476601</c:v>
                </c:pt>
                <c:pt idx="13">
                  <c:v>1.8168435969683121</c:v>
                </c:pt>
                <c:pt idx="14">
                  <c:v>2.231027447141416</c:v>
                </c:pt>
                <c:pt idx="15">
                  <c:v>1.7946295838777289</c:v>
                </c:pt>
                <c:pt idx="16">
                  <c:v>1.7616494219717713</c:v>
                </c:pt>
                <c:pt idx="17">
                  <c:v>0.40505172021420338</c:v>
                </c:pt>
                <c:pt idx="18">
                  <c:v>2.29118102854593</c:v>
                </c:pt>
                <c:pt idx="19">
                  <c:v>0.6058057882019483</c:v>
                </c:pt>
                <c:pt idx="20">
                  <c:v>1.2784424220840549</c:v>
                </c:pt>
                <c:pt idx="21">
                  <c:v>-0.38358619309446834</c:v>
                </c:pt>
                <c:pt idx="22">
                  <c:v>-1.9130930494755063</c:v>
                </c:pt>
                <c:pt idx="23">
                  <c:v>-4.0224244067511981</c:v>
                </c:pt>
                <c:pt idx="24">
                  <c:v>-3.2274509768366082</c:v>
                </c:pt>
                <c:pt idx="25">
                  <c:v>4.094868351382388</c:v>
                </c:pt>
                <c:pt idx="26">
                  <c:v>-1.6820652004580841</c:v>
                </c:pt>
                <c:pt idx="27">
                  <c:v>-3.3237398006667789</c:v>
                </c:pt>
                <c:pt idx="28">
                  <c:v>-3.7059331819747592</c:v>
                </c:pt>
                <c:pt idx="29">
                  <c:v>-1.0275501343545841</c:v>
                </c:pt>
                <c:pt idx="30">
                  <c:v>0.47470189427154708</c:v>
                </c:pt>
                <c:pt idx="31">
                  <c:v>-0.84704268628087498</c:v>
                </c:pt>
                <c:pt idx="32">
                  <c:v>-3.7116654895030639</c:v>
                </c:pt>
                <c:pt idx="33">
                  <c:v>-0.32645500490819757</c:v>
                </c:pt>
                <c:pt idx="34">
                  <c:v>-1.0733325514935643</c:v>
                </c:pt>
                <c:pt idx="35">
                  <c:v>2.3046783314734043</c:v>
                </c:pt>
                <c:pt idx="36">
                  <c:v>3.8574180858297167</c:v>
                </c:pt>
                <c:pt idx="37">
                  <c:v>-6.0310075767861475</c:v>
                </c:pt>
              </c:numCache>
            </c:numRef>
          </c:val>
        </c:ser>
        <c:gapWidth val="48"/>
        <c:overlap val="100"/>
        <c:axId val="191079168"/>
        <c:axId val="191081088"/>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-8.825039798695661</c:v>
                </c:pt>
                <c:pt idx="1">
                  <c:v>4.3757716147590173</c:v>
                </c:pt>
                <c:pt idx="2">
                  <c:v>-14.851083618116522</c:v>
                </c:pt>
                <c:pt idx="3">
                  <c:v>4.9258947811005314</c:v>
                </c:pt>
                <c:pt idx="4">
                  <c:v>-8.8278072229754656</c:v>
                </c:pt>
                <c:pt idx="5">
                  <c:v>-11.385831846123361</c:v>
                </c:pt>
                <c:pt idx="6">
                  <c:v>4.5992676516178514</c:v>
                </c:pt>
                <c:pt idx="7">
                  <c:v>-16.318447867447077</c:v>
                </c:pt>
                <c:pt idx="8">
                  <c:v>0.50546318289785219</c:v>
                </c:pt>
                <c:pt idx="9">
                  <c:v>1.9244057071509104</c:v>
                </c:pt>
                <c:pt idx="10">
                  <c:v>-20.590451192689535</c:v>
                </c:pt>
                <c:pt idx="11">
                  <c:v>-19.754273936062717</c:v>
                </c:pt>
                <c:pt idx="12">
                  <c:v>-33.236644231040025</c:v>
                </c:pt>
                <c:pt idx="13">
                  <c:v>-40.507517650932144</c:v>
                </c:pt>
                <c:pt idx="14">
                  <c:v>-41.367616894539317</c:v>
                </c:pt>
                <c:pt idx="15">
                  <c:v>-35.48405274428039</c:v>
                </c:pt>
                <c:pt idx="16">
                  <c:v>-35.879704737183644</c:v>
                </c:pt>
                <c:pt idx="17">
                  <c:v>-28.941553264989256</c:v>
                </c:pt>
                <c:pt idx="18">
                  <c:v>-23.684719189605186</c:v>
                </c:pt>
                <c:pt idx="19">
                  <c:v>-29.634400227657391</c:v>
                </c:pt>
                <c:pt idx="20">
                  <c:v>-34.792308710366612</c:v>
                </c:pt>
                <c:pt idx="21">
                  <c:v>-37.809599134163086</c:v>
                </c:pt>
                <c:pt idx="22">
                  <c:v>-26.969249485451019</c:v>
                </c:pt>
                <c:pt idx="23">
                  <c:v>-15.608001934002168</c:v>
                </c:pt>
                <c:pt idx="24">
                  <c:v>-9.2398869532205516</c:v>
                </c:pt>
                <c:pt idx="25">
                  <c:v>-0.91210953513159165</c:v>
                </c:pt>
                <c:pt idx="26">
                  <c:v>23.873322574705611</c:v>
                </c:pt>
                <c:pt idx="27">
                  <c:v>5.5599227491969145</c:v>
                </c:pt>
                <c:pt idx="28">
                  <c:v>23.075787764740596</c:v>
                </c:pt>
                <c:pt idx="29">
                  <c:v>12.259016877429552</c:v>
                </c:pt>
                <c:pt idx="30">
                  <c:v>20.23245560548213</c:v>
                </c:pt>
                <c:pt idx="31">
                  <c:v>29.50980183478427</c:v>
                </c:pt>
                <c:pt idx="32">
                  <c:v>25.712546029168671</c:v>
                </c:pt>
                <c:pt idx="33">
                  <c:v>25.533562822719432</c:v>
                </c:pt>
                <c:pt idx="34">
                  <c:v>30.896080629446146</c:v>
                </c:pt>
                <c:pt idx="35">
                  <c:v>34.830092741791105</c:v>
                </c:pt>
                <c:pt idx="36">
                  <c:v>29.433225664025226</c:v>
                </c:pt>
                <c:pt idx="37">
                  <c:v>36.048652338497959</c:v>
                </c:pt>
              </c:numCache>
            </c:numRef>
          </c:val>
        </c:ser>
        <c:marker val="1"/>
        <c:axId val="191079168"/>
        <c:axId val="191081088"/>
      </c:lineChart>
      <c:catAx>
        <c:axId val="19107916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1081088"/>
        <c:crosses val="autoZero"/>
        <c:auto val="1"/>
        <c:lblAlgn val="ctr"/>
        <c:lblOffset val="0"/>
        <c:tickLblSkip val="2"/>
        <c:tickMarkSkip val="1"/>
        <c:noMultiLvlLbl val="1"/>
      </c:catAx>
      <c:valAx>
        <c:axId val="191081088"/>
        <c:scaling>
          <c:orientation val="minMax"/>
          <c:max val="45"/>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1079168"/>
        <c:crosses val="autoZero"/>
        <c:crossBetween val="between"/>
        <c:majorUnit val="15"/>
      </c:valAx>
      <c:spPr>
        <a:noFill/>
        <a:ln w="6350">
          <a:solidFill>
            <a:sysClr val="window" lastClr="FFFFFF">
              <a:lumMod val="85000"/>
            </a:sysClr>
          </a:solidFill>
        </a:ln>
      </c:spPr>
    </c:plotArea>
    <c:legend>
      <c:legendPos val="b"/>
      <c:layout>
        <c:manualLayout>
          <c:xMode val="edge"/>
          <c:yMode val="edge"/>
          <c:x val="0.12667802916202719"/>
          <c:y val="8.1975694444444441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796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100.27713212944751</c:v>
                </c:pt>
                <c:pt idx="1">
                  <c:v>101.15322724834634</c:v>
                </c:pt>
                <c:pt idx="2">
                  <c:v>100.96549258001072</c:v>
                </c:pt>
                <c:pt idx="3">
                  <c:v>101.75219023779724</c:v>
                </c:pt>
                <c:pt idx="4">
                  <c:v>101.91310566779923</c:v>
                </c:pt>
                <c:pt idx="5">
                  <c:v>102.67298408725156</c:v>
                </c:pt>
                <c:pt idx="6">
                  <c:v>101.96674414446628</c:v>
                </c:pt>
                <c:pt idx="7">
                  <c:v>104.48775254782764</c:v>
                </c:pt>
                <c:pt idx="8">
                  <c:v>104.72018594671911</c:v>
                </c:pt>
                <c:pt idx="9">
                  <c:v>105.03307706061148</c:v>
                </c:pt>
                <c:pt idx="10">
                  <c:v>107.00876095118898</c:v>
                </c:pt>
                <c:pt idx="11">
                  <c:v>106.23100303951369</c:v>
                </c:pt>
                <c:pt idx="12">
                  <c:v>106.36509923118165</c:v>
                </c:pt>
                <c:pt idx="13">
                  <c:v>104.44305381727159</c:v>
                </c:pt>
                <c:pt idx="14">
                  <c:v>105.1850527445017</c:v>
                </c:pt>
                <c:pt idx="15">
                  <c:v>105.23869122116929</c:v>
                </c:pt>
                <c:pt idx="16">
                  <c:v>105.28338995172534</c:v>
                </c:pt>
                <c:pt idx="17">
                  <c:v>103.62953692115121</c:v>
                </c:pt>
                <c:pt idx="18">
                  <c:v>105.4174861433935</c:v>
                </c:pt>
                <c:pt idx="19">
                  <c:v>105.63204005006234</c:v>
                </c:pt>
                <c:pt idx="20">
                  <c:v>106.70480958340779</c:v>
                </c:pt>
                <c:pt idx="21">
                  <c:v>104.57715000893971</c:v>
                </c:pt>
                <c:pt idx="22">
                  <c:v>104.45199356338297</c:v>
                </c:pt>
                <c:pt idx="23">
                  <c:v>101.48399785446067</c:v>
                </c:pt>
                <c:pt idx="24">
                  <c:v>101.9041659216881</c:v>
                </c:pt>
                <c:pt idx="25">
                  <c:v>107.78651886286404</c:v>
                </c:pt>
                <c:pt idx="26">
                  <c:v>103.14679063114602</c:v>
                </c:pt>
                <c:pt idx="27">
                  <c:v>101.0638297872342</c:v>
                </c:pt>
                <c:pt idx="28">
                  <c:v>101.57339531557275</c:v>
                </c:pt>
                <c:pt idx="29">
                  <c:v>101.90416592168808</c:v>
                </c:pt>
                <c:pt idx="30">
                  <c:v>104.62184873949541</c:v>
                </c:pt>
                <c:pt idx="31">
                  <c:v>103.94242803504376</c:v>
                </c:pt>
                <c:pt idx="32">
                  <c:v>102.91435723225455</c:v>
                </c:pt>
                <c:pt idx="33">
                  <c:v>103.65635615948443</c:v>
                </c:pt>
                <c:pt idx="34">
                  <c:v>103.09315215447856</c:v>
                </c:pt>
                <c:pt idx="35">
                  <c:v>103.25406758448055</c:v>
                </c:pt>
                <c:pt idx="36">
                  <c:v>104.86322188449843</c:v>
                </c:pt>
                <c:pt idx="37">
                  <c:v>103.10209190058957</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100.49213463397486</c:v>
                </c:pt>
                <c:pt idx="1">
                  <c:v>103.29554442393886</c:v>
                </c:pt>
                <c:pt idx="2">
                  <c:v>100.72062571403463</c:v>
                </c:pt>
                <c:pt idx="3">
                  <c:v>102.38158010369943</c:v>
                </c:pt>
                <c:pt idx="4">
                  <c:v>102.52218999912118</c:v>
                </c:pt>
                <c:pt idx="5">
                  <c:v>103.20766323930086</c:v>
                </c:pt>
                <c:pt idx="6">
                  <c:v>103.87556024255176</c:v>
                </c:pt>
                <c:pt idx="7">
                  <c:v>105.65076017224708</c:v>
                </c:pt>
                <c:pt idx="8">
                  <c:v>107.10958783724374</c:v>
                </c:pt>
                <c:pt idx="9">
                  <c:v>106.49441954477584</c:v>
                </c:pt>
                <c:pt idx="10">
                  <c:v>107.91809473591741</c:v>
                </c:pt>
                <c:pt idx="11">
                  <c:v>106.46805518938397</c:v>
                </c:pt>
                <c:pt idx="12">
                  <c:v>108.75296598998156</c:v>
                </c:pt>
                <c:pt idx="13">
                  <c:v>106.62624132173298</c:v>
                </c:pt>
                <c:pt idx="14">
                  <c:v>107.36444327269531</c:v>
                </c:pt>
                <c:pt idx="15">
                  <c:v>109.86026891642462</c:v>
                </c:pt>
                <c:pt idx="16">
                  <c:v>108.42780560681959</c:v>
                </c:pt>
                <c:pt idx="17">
                  <c:v>106.49441954477581</c:v>
                </c:pt>
                <c:pt idx="18">
                  <c:v>109.03418578082432</c:v>
                </c:pt>
                <c:pt idx="19">
                  <c:v>109.25388874241987</c:v>
                </c:pt>
                <c:pt idx="20">
                  <c:v>109.57904912558215</c:v>
                </c:pt>
                <c:pt idx="21">
                  <c:v>109.63177783636482</c:v>
                </c:pt>
                <c:pt idx="22">
                  <c:v>106.71412250637142</c:v>
                </c:pt>
                <c:pt idx="23">
                  <c:v>96.308990245188483</c:v>
                </c:pt>
                <c:pt idx="24">
                  <c:v>95.131382371034007</c:v>
                </c:pt>
                <c:pt idx="25">
                  <c:v>93.268301256700596</c:v>
                </c:pt>
                <c:pt idx="26">
                  <c:v>93.25072501977327</c:v>
                </c:pt>
                <c:pt idx="27">
                  <c:v>93.031022058177427</c:v>
                </c:pt>
                <c:pt idx="28">
                  <c:v>92.538887424202471</c:v>
                </c:pt>
                <c:pt idx="29">
                  <c:v>94.173477458475759</c:v>
                </c:pt>
                <c:pt idx="30">
                  <c:v>93.751647772211982</c:v>
                </c:pt>
                <c:pt idx="31">
                  <c:v>94.946831883293783</c:v>
                </c:pt>
                <c:pt idx="32">
                  <c:v>93.619825995254416</c:v>
                </c:pt>
                <c:pt idx="33">
                  <c:v>93.321029967483952</c:v>
                </c:pt>
                <c:pt idx="34">
                  <c:v>94.261358643114505</c:v>
                </c:pt>
                <c:pt idx="35">
                  <c:v>92.477370594955588</c:v>
                </c:pt>
                <c:pt idx="36">
                  <c:v>94.006503207663229</c:v>
                </c:pt>
                <c:pt idx="37">
                  <c:v>94.032867563054424</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100.17995321216449</c:v>
                </c:pt>
                <c:pt idx="1">
                  <c:v>100.16195789094834</c:v>
                </c:pt>
                <c:pt idx="2">
                  <c:v>101.0707216123805</c:v>
                </c:pt>
                <c:pt idx="3">
                  <c:v>101.45762101853519</c:v>
                </c:pt>
                <c:pt idx="4">
                  <c:v>101.61957890948324</c:v>
                </c:pt>
                <c:pt idx="5">
                  <c:v>102.42037070361705</c:v>
                </c:pt>
                <c:pt idx="6">
                  <c:v>101.0797192729888</c:v>
                </c:pt>
                <c:pt idx="7">
                  <c:v>103.94097534640973</c:v>
                </c:pt>
                <c:pt idx="8">
                  <c:v>103.59906424329679</c:v>
                </c:pt>
                <c:pt idx="9">
                  <c:v>104.35486773438905</c:v>
                </c:pt>
                <c:pt idx="10">
                  <c:v>106.57728990462478</c:v>
                </c:pt>
                <c:pt idx="11">
                  <c:v>106.11840921360418</c:v>
                </c:pt>
                <c:pt idx="12">
                  <c:v>105.55155659528522</c:v>
                </c:pt>
                <c:pt idx="13">
                  <c:v>103.70703617059543</c:v>
                </c:pt>
                <c:pt idx="14">
                  <c:v>104.4358466798632</c:v>
                </c:pt>
                <c:pt idx="15">
                  <c:v>103.69803850998717</c:v>
                </c:pt>
                <c:pt idx="16">
                  <c:v>104.21990282526542</c:v>
                </c:pt>
                <c:pt idx="17">
                  <c:v>102.65430987943108</c:v>
                </c:pt>
                <c:pt idx="18">
                  <c:v>104.20190750404893</c:v>
                </c:pt>
                <c:pt idx="19">
                  <c:v>104.4088536980387</c:v>
                </c:pt>
                <c:pt idx="20">
                  <c:v>105.73150980745005</c:v>
                </c:pt>
                <c:pt idx="21">
                  <c:v>102.88824905524562</c:v>
                </c:pt>
                <c:pt idx="22">
                  <c:v>103.67104552816268</c:v>
                </c:pt>
                <c:pt idx="23">
                  <c:v>103.14018355227641</c:v>
                </c:pt>
                <c:pt idx="24">
                  <c:v>104.0399496131006</c:v>
                </c:pt>
                <c:pt idx="25">
                  <c:v>112.25481374842542</c:v>
                </c:pt>
                <c:pt idx="26">
                  <c:v>106.22638114090317</c:v>
                </c:pt>
                <c:pt idx="27">
                  <c:v>103.58106892208028</c:v>
                </c:pt>
                <c:pt idx="28">
                  <c:v>104.39085837682165</c:v>
                </c:pt>
                <c:pt idx="29">
                  <c:v>104.32787475256394</c:v>
                </c:pt>
                <c:pt idx="30">
                  <c:v>107.99892028072733</c:v>
                </c:pt>
                <c:pt idx="31">
                  <c:v>106.75724311678941</c:v>
                </c:pt>
                <c:pt idx="32">
                  <c:v>105.81248875292383</c:v>
                </c:pt>
                <c:pt idx="33">
                  <c:v>106.86521504408853</c:v>
                </c:pt>
                <c:pt idx="34">
                  <c:v>105.85747705596545</c:v>
                </c:pt>
                <c:pt idx="35">
                  <c:v>106.59528522584129</c:v>
                </c:pt>
                <c:pt idx="36">
                  <c:v>108.23285945654131</c:v>
                </c:pt>
                <c:pt idx="37">
                  <c:v>106.03743026813029</c:v>
                </c:pt>
              </c:numCache>
            </c:numRef>
          </c:val>
        </c:ser>
        <c:marker val="1"/>
        <c:axId val="185376128"/>
        <c:axId val="191071360"/>
      </c:lineChart>
      <c:catAx>
        <c:axId val="18537612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91071360"/>
        <c:crosses val="autoZero"/>
        <c:auto val="1"/>
        <c:lblAlgn val="ctr"/>
        <c:lblOffset val="0"/>
        <c:tickLblSkip val="2"/>
        <c:tickMarkSkip val="1"/>
        <c:noMultiLvlLbl val="1"/>
      </c:catAx>
      <c:valAx>
        <c:axId val="191071360"/>
        <c:scaling>
          <c:orientation val="minMax"/>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376128"/>
        <c:crosses val="autoZero"/>
        <c:crossBetween val="between"/>
      </c:valAx>
      <c:spPr>
        <a:noFill/>
        <a:ln w="6350">
          <a:solidFill>
            <a:sysClr val="window" lastClr="FFFFFF">
              <a:lumMod val="85000"/>
            </a:sysClr>
          </a:solidFill>
        </a:ln>
      </c:spPr>
    </c:plotArea>
    <c:legend>
      <c:legendPos val="b"/>
      <c:layout>
        <c:manualLayout>
          <c:xMode val="edge"/>
          <c:yMode val="edge"/>
          <c:x val="0.15314254329215821"/>
          <c:y val="0.61823090277777781"/>
          <c:w val="0.45080477616355402"/>
          <c:h val="0.1979872685185185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646"/>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93.28</c:v>
                </c:pt>
                <c:pt idx="1">
                  <c:v>90.22</c:v>
                </c:pt>
                <c:pt idx="2">
                  <c:v>87.33</c:v>
                </c:pt>
                <c:pt idx="3">
                  <c:v>90.669999999999987</c:v>
                </c:pt>
                <c:pt idx="4">
                  <c:v>85.42</c:v>
                </c:pt>
                <c:pt idx="5">
                  <c:v>81.34</c:v>
                </c:pt>
                <c:pt idx="6">
                  <c:v>81.569999999999993</c:v>
                </c:pt>
                <c:pt idx="7">
                  <c:v>73.06</c:v>
                </c:pt>
                <c:pt idx="8">
                  <c:v>77.8</c:v>
                </c:pt>
                <c:pt idx="9">
                  <c:v>81.02</c:v>
                </c:pt>
                <c:pt idx="10">
                  <c:v>65.52</c:v>
                </c:pt>
                <c:pt idx="11">
                  <c:v>57.63</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61.160000000000011</c:v>
                </c:pt>
                <c:pt idx="1">
                  <c:v>64.400000000000006</c:v>
                </c:pt>
                <c:pt idx="2">
                  <c:v>77.410000000000025</c:v>
                </c:pt>
                <c:pt idx="3">
                  <c:v>79.19</c:v>
                </c:pt>
                <c:pt idx="4">
                  <c:v>79.06</c:v>
                </c:pt>
                <c:pt idx="5">
                  <c:v>82.3</c:v>
                </c:pt>
                <c:pt idx="6">
                  <c:v>90.22</c:v>
                </c:pt>
                <c:pt idx="7">
                  <c:v>89.02</c:v>
                </c:pt>
                <c:pt idx="8">
                  <c:v>89.149999999999991</c:v>
                </c:pt>
                <c:pt idx="9">
                  <c:v>94.26</c:v>
                </c:pt>
                <c:pt idx="10">
                  <c:v>93.31</c:v>
                </c:pt>
                <c:pt idx="11">
                  <c:v>80.86</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91.51</c:v>
                </c:pt>
                <c:pt idx="1">
                  <c:v>93.08</c:v>
                </c:pt>
                <c:pt idx="2">
                  <c:v>118.55</c:v>
                </c:pt>
                <c:pt idx="3" formatCode="General">
                  <c:v>112.08</c:v>
                </c:pt>
                <c:pt idx="4">
                  <c:v>107.78</c:v>
                </c:pt>
                <c:pt idx="5">
                  <c:v>113.02</c:v>
                </c:pt>
                <c:pt idx="6">
                  <c:v>119.51</c:v>
                </c:pt>
                <c:pt idx="7">
                  <c:v>116.07</c:v>
                </c:pt>
                <c:pt idx="8">
                  <c:v>115.04</c:v>
                </c:pt>
                <c:pt idx="9">
                  <c:v>115.14</c:v>
                </c:pt>
                <c:pt idx="10">
                  <c:v>106.56</c:v>
                </c:pt>
                <c:pt idx="11">
                  <c:v>95.53</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108.39</c:v>
                </c:pt>
                <c:pt idx="1">
                  <c:v>106.64</c:v>
                </c:pt>
              </c:numCache>
            </c:numRef>
          </c:val>
        </c:ser>
        <c:marker val="1"/>
        <c:axId val="203303552"/>
        <c:axId val="203305344"/>
      </c:lineChart>
      <c:catAx>
        <c:axId val="20330355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03305344"/>
        <c:crosses val="autoZero"/>
        <c:auto val="1"/>
        <c:lblAlgn val="ctr"/>
        <c:lblOffset val="0"/>
        <c:tickMarkSkip val="1"/>
      </c:catAx>
      <c:valAx>
        <c:axId val="203305344"/>
        <c:scaling>
          <c:orientation val="minMax"/>
          <c:max val="12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03303552"/>
        <c:crosses val="autoZero"/>
        <c:crossBetween val="between"/>
        <c:majorUnit val="10"/>
      </c:valAx>
      <c:spPr>
        <a:noFill/>
        <a:ln w="6350">
          <a:solidFill>
            <a:sysClr val="window" lastClr="FFFFFF">
              <a:lumMod val="85000"/>
            </a:sysClr>
          </a:solidFill>
        </a:ln>
      </c:spPr>
    </c:plotArea>
    <c:legend>
      <c:legendPos val="b"/>
      <c:layout>
        <c:manualLayout>
          <c:xMode val="edge"/>
          <c:yMode val="edge"/>
          <c:x val="0.31559747895035506"/>
          <c:y val="0.60539062500000063"/>
          <c:w val="0.35818544316576673"/>
          <c:h val="0.2259739583333333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Sheet1!$A$2:$B$39</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Sheet1!$C$2:$C$39</c:f>
              <c:numCache>
                <c:formatCode>0.0</c:formatCode>
                <c:ptCount val="38"/>
                <c:pt idx="0">
                  <c:v>111.25975473801559</c:v>
                </c:pt>
                <c:pt idx="1">
                  <c:v>101.67224080267523</c:v>
                </c:pt>
                <c:pt idx="2">
                  <c:v>95.540691192865083</c:v>
                </c:pt>
                <c:pt idx="3">
                  <c:v>92.084726867335547</c:v>
                </c:pt>
                <c:pt idx="4">
                  <c:v>89.855072463767797</c:v>
                </c:pt>
                <c:pt idx="5">
                  <c:v>88.740245261984427</c:v>
                </c:pt>
                <c:pt idx="6">
                  <c:v>85.50724637681158</c:v>
                </c:pt>
                <c:pt idx="7">
                  <c:v>82.05128205128203</c:v>
                </c:pt>
                <c:pt idx="8">
                  <c:v>84.726867335562858</c:v>
                </c:pt>
                <c:pt idx="9">
                  <c:v>85.284280936454493</c:v>
                </c:pt>
                <c:pt idx="10">
                  <c:v>78.483835005574079</c:v>
                </c:pt>
                <c:pt idx="11">
                  <c:v>76.142697881828298</c:v>
                </c:pt>
                <c:pt idx="12">
                  <c:v>74.804905239687812</c:v>
                </c:pt>
                <c:pt idx="13">
                  <c:v>78.372352285395678</c:v>
                </c:pt>
                <c:pt idx="14">
                  <c:v>79.041248606465984</c:v>
                </c:pt>
                <c:pt idx="15">
                  <c:v>84.726867335562858</c:v>
                </c:pt>
                <c:pt idx="16">
                  <c:v>85.730211817168311</c:v>
                </c:pt>
                <c:pt idx="17">
                  <c:v>89.743589743589709</c:v>
                </c:pt>
                <c:pt idx="18">
                  <c:v>93.645484949832763</c:v>
                </c:pt>
                <c:pt idx="19">
                  <c:v>98.996655518394633</c:v>
                </c:pt>
                <c:pt idx="20">
                  <c:v>97.101449275362327</c:v>
                </c:pt>
                <c:pt idx="21">
                  <c:v>101.00334448160532</c:v>
                </c:pt>
                <c:pt idx="22">
                  <c:v>109.47603121516143</c:v>
                </c:pt>
                <c:pt idx="23">
                  <c:v>107.46934225195091</c:v>
                </c:pt>
                <c:pt idx="24">
                  <c:v>113.48940914158301</c:v>
                </c:pt>
                <c:pt idx="25">
                  <c:v>113.26644370122629</c:v>
                </c:pt>
                <c:pt idx="26">
                  <c:v>120.73578595317724</c:v>
                </c:pt>
                <c:pt idx="27">
                  <c:v>116.9453734671128</c:v>
                </c:pt>
                <c:pt idx="28">
                  <c:v>115.273132664437</c:v>
                </c:pt>
                <c:pt idx="29">
                  <c:v>120.73578595317723</c:v>
                </c:pt>
                <c:pt idx="30">
                  <c:v>125.97547380156051</c:v>
                </c:pt>
                <c:pt idx="31">
                  <c:v>125.86399108138239</c:v>
                </c:pt>
                <c:pt idx="32">
                  <c:v>125.30657748049045</c:v>
                </c:pt>
                <c:pt idx="33">
                  <c:v>126.08695652173907</c:v>
                </c:pt>
                <c:pt idx="34">
                  <c:v>123.07692307692304</c:v>
                </c:pt>
                <c:pt idx="35">
                  <c:v>125.08361204013373</c:v>
                </c:pt>
                <c:pt idx="36" formatCode="General">
                  <c:v>131.32664437012261</c:v>
                </c:pt>
                <c:pt idx="37" formatCode="General">
                  <c:v>129.87736900780413</c:v>
                </c:pt>
              </c:numCache>
            </c:numRef>
          </c:val>
        </c:ser>
        <c:marker val="1"/>
        <c:axId val="203312512"/>
        <c:axId val="191984768"/>
      </c:lineChart>
      <c:catAx>
        <c:axId val="20331251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1984768"/>
        <c:crosses val="autoZero"/>
        <c:auto val="1"/>
        <c:lblAlgn val="ctr"/>
        <c:lblOffset val="0"/>
        <c:tickLblSkip val="2"/>
        <c:tickMarkSkip val="1"/>
        <c:noMultiLvlLbl val="1"/>
      </c:catAx>
      <c:valAx>
        <c:axId val="191984768"/>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03312512"/>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626207729468589E-2"/>
          <c:y val="2.7980535279805412E-2"/>
          <c:w val="0.92332991143320065"/>
          <c:h val="0.77654815174534886"/>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Sheet1!$B$3:$BK$3</c:f>
              <c:numCache>
                <c:formatCode>0.0</c:formatCode>
                <c:ptCount val="38"/>
                <c:pt idx="0">
                  <c:v>100.31969910672308</c:v>
                </c:pt>
                <c:pt idx="1">
                  <c:v>101.88998589562765</c:v>
                </c:pt>
                <c:pt idx="2">
                  <c:v>99.755524212505819</c:v>
                </c:pt>
                <c:pt idx="3">
                  <c:v>99.934179595674692</c:v>
                </c:pt>
                <c:pt idx="4">
                  <c:v>100.77103902209677</c:v>
                </c:pt>
                <c:pt idx="5">
                  <c:v>99.501645510108162</c:v>
                </c:pt>
                <c:pt idx="6">
                  <c:v>99.379407616360908</c:v>
                </c:pt>
                <c:pt idx="7">
                  <c:v>99.445228020686443</c:v>
                </c:pt>
                <c:pt idx="8">
                  <c:v>99.783732957216671</c:v>
                </c:pt>
                <c:pt idx="9">
                  <c:v>98.881053126469084</c:v>
                </c:pt>
                <c:pt idx="10">
                  <c:v>99.097320169252527</c:v>
                </c:pt>
                <c:pt idx="11">
                  <c:v>98.504936530324358</c:v>
                </c:pt>
                <c:pt idx="12">
                  <c:v>98.946873530794548</c:v>
                </c:pt>
                <c:pt idx="13">
                  <c:v>98.157028678890455</c:v>
                </c:pt>
                <c:pt idx="14">
                  <c:v>97.545839210155151</c:v>
                </c:pt>
                <c:pt idx="15">
                  <c:v>98.504936530324358</c:v>
                </c:pt>
                <c:pt idx="16">
                  <c:v>97.60225669957687</c:v>
                </c:pt>
                <c:pt idx="17">
                  <c:v>97.799717912552708</c:v>
                </c:pt>
                <c:pt idx="18">
                  <c:v>97.959567465914546</c:v>
                </c:pt>
                <c:pt idx="19">
                  <c:v>97.733897508227543</c:v>
                </c:pt>
                <c:pt idx="20">
                  <c:v>97.574047954865989</c:v>
                </c:pt>
                <c:pt idx="21">
                  <c:v>98.044193700047231</c:v>
                </c:pt>
                <c:pt idx="22">
                  <c:v>97.762106252938409</c:v>
                </c:pt>
                <c:pt idx="23">
                  <c:v>98.420310296191758</c:v>
                </c:pt>
                <c:pt idx="24">
                  <c:v>97.724494593323911</c:v>
                </c:pt>
                <c:pt idx="25">
                  <c:v>98.363892806769925</c:v>
                </c:pt>
                <c:pt idx="26">
                  <c:v>98.843441466854628</c:v>
                </c:pt>
                <c:pt idx="27">
                  <c:v>97.978373295721539</c:v>
                </c:pt>
                <c:pt idx="28">
                  <c:v>98.589562764456886</c:v>
                </c:pt>
                <c:pt idx="29">
                  <c:v>98.899858956276418</c:v>
                </c:pt>
                <c:pt idx="30">
                  <c:v>99.097320169252527</c:v>
                </c:pt>
                <c:pt idx="31">
                  <c:v>99.106723084156101</c:v>
                </c:pt>
                <c:pt idx="32">
                  <c:v>99.003291020216295</c:v>
                </c:pt>
                <c:pt idx="33">
                  <c:v>99.078514339445178</c:v>
                </c:pt>
                <c:pt idx="34">
                  <c:v>99.097320169252527</c:v>
                </c:pt>
                <c:pt idx="35">
                  <c:v>98.881053126469084</c:v>
                </c:pt>
                <c:pt idx="36">
                  <c:v>99.304184297132124</c:v>
                </c:pt>
                <c:pt idx="37">
                  <c:v>99.163140573577778</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Sheet1!$B$4:$BK$4</c:f>
              <c:numCache>
                <c:formatCode>0.0</c:formatCode>
                <c:ptCount val="38"/>
                <c:pt idx="0">
                  <c:v>98.672566371681199</c:v>
                </c:pt>
                <c:pt idx="1">
                  <c:v>103.15074763503205</c:v>
                </c:pt>
                <c:pt idx="2">
                  <c:v>97.909673481843342</c:v>
                </c:pt>
                <c:pt idx="3">
                  <c:v>98.245346353371886</c:v>
                </c:pt>
                <c:pt idx="4">
                  <c:v>97.268843454379024</c:v>
                </c:pt>
                <c:pt idx="5">
                  <c:v>94.491913335367897</c:v>
                </c:pt>
                <c:pt idx="6">
                  <c:v>96.849252364967967</c:v>
                </c:pt>
                <c:pt idx="7">
                  <c:v>96.055843759536089</c:v>
                </c:pt>
                <c:pt idx="8">
                  <c:v>94.087580103753268</c:v>
                </c:pt>
                <c:pt idx="9">
                  <c:v>91.905706438815983</c:v>
                </c:pt>
                <c:pt idx="10">
                  <c:v>91.57003356728714</c:v>
                </c:pt>
                <c:pt idx="11">
                  <c:v>86.740921574610923</c:v>
                </c:pt>
                <c:pt idx="12">
                  <c:v>85.611840097650258</c:v>
                </c:pt>
                <c:pt idx="13">
                  <c:v>81.400671345743064</c:v>
                </c:pt>
                <c:pt idx="14">
                  <c:v>81.690570643881486</c:v>
                </c:pt>
                <c:pt idx="15">
                  <c:v>81.179432407689674</c:v>
                </c:pt>
                <c:pt idx="16">
                  <c:v>79.295086969789409</c:v>
                </c:pt>
                <c:pt idx="17">
                  <c:v>80.439426304546828</c:v>
                </c:pt>
                <c:pt idx="18">
                  <c:v>76.777540433323153</c:v>
                </c:pt>
                <c:pt idx="19">
                  <c:v>76.174855050350814</c:v>
                </c:pt>
                <c:pt idx="20">
                  <c:v>74.191333536771253</c:v>
                </c:pt>
                <c:pt idx="21">
                  <c:v>74.938968568812967</c:v>
                </c:pt>
                <c:pt idx="22">
                  <c:v>72.619774183704436</c:v>
                </c:pt>
                <c:pt idx="23">
                  <c:v>73.169057064388156</c:v>
                </c:pt>
                <c:pt idx="24">
                  <c:v>77.960024412572466</c:v>
                </c:pt>
                <c:pt idx="25">
                  <c:v>75.350930729325583</c:v>
                </c:pt>
                <c:pt idx="26">
                  <c:v>76.098565761367269</c:v>
                </c:pt>
                <c:pt idx="27">
                  <c:v>76.327433628318687</c:v>
                </c:pt>
                <c:pt idx="28">
                  <c:v>77.586206896551545</c:v>
                </c:pt>
                <c:pt idx="29">
                  <c:v>77.502288678669458</c:v>
                </c:pt>
                <c:pt idx="30">
                  <c:v>78.371986573084925</c:v>
                </c:pt>
                <c:pt idx="31">
                  <c:v>78.05920048825142</c:v>
                </c:pt>
                <c:pt idx="32">
                  <c:v>77.853219407995127</c:v>
                </c:pt>
                <c:pt idx="33">
                  <c:v>77.906621910283803</c:v>
                </c:pt>
                <c:pt idx="34">
                  <c:v>78.471162648764107</c:v>
                </c:pt>
                <c:pt idx="35">
                  <c:v>78.486420506560819</c:v>
                </c:pt>
                <c:pt idx="36">
                  <c:v>75.259383582545013</c:v>
                </c:pt>
                <c:pt idx="37">
                  <c:v>76.487641135184589</c:v>
                </c:pt>
              </c:numCache>
            </c:numRef>
          </c:val>
          <c:smooth val="1"/>
        </c:ser>
        <c:ser>
          <c:idx val="2"/>
          <c:order val="2"/>
          <c:tx>
            <c:strRef>
              <c:f>Sheet1!$A$5</c:f>
              <c:strCache>
                <c:ptCount val="1"/>
                <c:pt idx="0">
                  <c:v>LV</c:v>
                </c:pt>
              </c:strCache>
            </c:strRef>
          </c:tx>
          <c:spPr>
            <a:ln w="31750">
              <a:solidFill>
                <a:srgbClr val="0070C0"/>
              </a:solidFill>
              <a:prstDash val="solid"/>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Sheet1!$B$5:$BK$5</c:f>
              <c:numCache>
                <c:formatCode>0.0</c:formatCode>
                <c:ptCount val="38"/>
                <c:pt idx="0">
                  <c:v>99.570656599304172</c:v>
                </c:pt>
                <c:pt idx="1">
                  <c:v>101.05115108446219</c:v>
                </c:pt>
                <c:pt idx="2">
                  <c:v>98.519505514841953</c:v>
                </c:pt>
                <c:pt idx="3">
                  <c:v>101.78399585461544</c:v>
                </c:pt>
                <c:pt idx="4">
                  <c:v>98.600932711525473</c:v>
                </c:pt>
                <c:pt idx="5">
                  <c:v>96.624472573839427</c:v>
                </c:pt>
                <c:pt idx="6">
                  <c:v>96.476423125323862</c:v>
                </c:pt>
                <c:pt idx="7">
                  <c:v>93.944777555703581</c:v>
                </c:pt>
                <c:pt idx="8">
                  <c:v>93.559848989562482</c:v>
                </c:pt>
                <c:pt idx="9">
                  <c:v>90.125101783995788</c:v>
                </c:pt>
                <c:pt idx="10">
                  <c:v>89.991857280331729</c:v>
                </c:pt>
                <c:pt idx="11">
                  <c:v>87.859945221704038</c:v>
                </c:pt>
                <c:pt idx="12">
                  <c:v>80.279813457694758</c:v>
                </c:pt>
                <c:pt idx="13">
                  <c:v>75.460803908505426</c:v>
                </c:pt>
                <c:pt idx="14">
                  <c:v>72.477607520911974</c:v>
                </c:pt>
                <c:pt idx="15">
                  <c:v>72.381375379376678</c:v>
                </c:pt>
                <c:pt idx="16">
                  <c:v>72.551632245169884</c:v>
                </c:pt>
                <c:pt idx="17">
                  <c:v>70.456732548671141</c:v>
                </c:pt>
                <c:pt idx="18">
                  <c:v>69.427788881486237</c:v>
                </c:pt>
                <c:pt idx="19">
                  <c:v>66.859130949737207</c:v>
                </c:pt>
                <c:pt idx="20">
                  <c:v>65.622918054630077</c:v>
                </c:pt>
                <c:pt idx="21">
                  <c:v>65.356429047301802</c:v>
                </c:pt>
                <c:pt idx="22">
                  <c:v>63.690872751499008</c:v>
                </c:pt>
                <c:pt idx="23">
                  <c:v>62.735953808572162</c:v>
                </c:pt>
                <c:pt idx="24">
                  <c:v>66.104078762306528</c:v>
                </c:pt>
                <c:pt idx="25">
                  <c:v>65.134354874528015</c:v>
                </c:pt>
                <c:pt idx="26">
                  <c:v>67.021985343104618</c:v>
                </c:pt>
                <c:pt idx="27">
                  <c:v>67.799244947812767</c:v>
                </c:pt>
                <c:pt idx="28">
                  <c:v>68.2433932933601</c:v>
                </c:pt>
                <c:pt idx="29">
                  <c:v>68.139758679398938</c:v>
                </c:pt>
                <c:pt idx="30">
                  <c:v>68.117551262121552</c:v>
                </c:pt>
                <c:pt idx="31">
                  <c:v>68.6949441113332</c:v>
                </c:pt>
                <c:pt idx="32">
                  <c:v>69.494411133318536</c:v>
                </c:pt>
                <c:pt idx="33">
                  <c:v>68.931823228958621</c:v>
                </c:pt>
                <c:pt idx="34">
                  <c:v>68.835591087423055</c:v>
                </c:pt>
                <c:pt idx="35">
                  <c:v>67.658597971722457</c:v>
                </c:pt>
                <c:pt idx="36">
                  <c:v>66.585239469982994</c:v>
                </c:pt>
                <c:pt idx="37">
                  <c:v>67.614183137167814</c:v>
                </c:pt>
              </c:numCache>
            </c:numRef>
          </c:val>
          <c:smooth val="1"/>
        </c:ser>
        <c:ser>
          <c:idx val="3"/>
          <c:order val="3"/>
          <c:tx>
            <c:strRef>
              <c:f>Sheet1!$A$6</c:f>
              <c:strCache>
                <c:ptCount val="1"/>
                <c:pt idx="0">
                  <c:v>LT</c:v>
                </c:pt>
              </c:strCache>
            </c:strRef>
          </c:tx>
          <c:spPr>
            <a:ln w="22225">
              <a:solidFill>
                <a:sysClr val="windowText" lastClr="000000"/>
              </a:solidFill>
              <a:prstDash val="dash"/>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Sheet1!$B$6:$BK$6</c:f>
              <c:numCache>
                <c:formatCode>0.0</c:formatCode>
                <c:ptCount val="38"/>
                <c:pt idx="0">
                  <c:v>104.49223416965351</c:v>
                </c:pt>
                <c:pt idx="1">
                  <c:v>105.51174830744721</c:v>
                </c:pt>
                <c:pt idx="2">
                  <c:v>103.47272003185965</c:v>
                </c:pt>
                <c:pt idx="3">
                  <c:v>104.13381123058527</c:v>
                </c:pt>
                <c:pt idx="4">
                  <c:v>101.8000796495421</c:v>
                </c:pt>
                <c:pt idx="5">
                  <c:v>100.12743926722418</c:v>
                </c:pt>
                <c:pt idx="6">
                  <c:v>99.322978892871092</c:v>
                </c:pt>
                <c:pt idx="7">
                  <c:v>98.383114297092774</c:v>
                </c:pt>
                <c:pt idx="8">
                  <c:v>98.622062923138159</c:v>
                </c:pt>
                <c:pt idx="9">
                  <c:v>98.016726403823156</c:v>
                </c:pt>
                <c:pt idx="10">
                  <c:v>98.032656312226024</c:v>
                </c:pt>
                <c:pt idx="11">
                  <c:v>96.861808044603649</c:v>
                </c:pt>
                <c:pt idx="12">
                  <c:v>87.248108323377124</c:v>
                </c:pt>
                <c:pt idx="13">
                  <c:v>86.921545201115237</c:v>
                </c:pt>
                <c:pt idx="14">
                  <c:v>82.293906810035779</c:v>
                </c:pt>
                <c:pt idx="15">
                  <c:v>83.162086818000589</c:v>
                </c:pt>
                <c:pt idx="16">
                  <c:v>81.545201115093548</c:v>
                </c:pt>
                <c:pt idx="17">
                  <c:v>80.135404221425688</c:v>
                </c:pt>
                <c:pt idx="18">
                  <c:v>79.832735961768179</c:v>
                </c:pt>
                <c:pt idx="19">
                  <c:v>78.725607327757743</c:v>
                </c:pt>
                <c:pt idx="20">
                  <c:v>73.643966547192321</c:v>
                </c:pt>
                <c:pt idx="21">
                  <c:v>73.986459577857403</c:v>
                </c:pt>
                <c:pt idx="22">
                  <c:v>71.469534050179192</c:v>
                </c:pt>
                <c:pt idx="23">
                  <c:v>71.485463958582216</c:v>
                </c:pt>
                <c:pt idx="24">
                  <c:v>73.022700119474052</c:v>
                </c:pt>
                <c:pt idx="25">
                  <c:v>72.720031859816686</c:v>
                </c:pt>
                <c:pt idx="26">
                  <c:v>74.082039028275574</c:v>
                </c:pt>
                <c:pt idx="27">
                  <c:v>73.189964157706058</c:v>
                </c:pt>
                <c:pt idx="28">
                  <c:v>73.333333333333258</c:v>
                </c:pt>
                <c:pt idx="29">
                  <c:v>73.86698526483471</c:v>
                </c:pt>
                <c:pt idx="30">
                  <c:v>73.341298287534812</c:v>
                </c:pt>
                <c:pt idx="31">
                  <c:v>73.914774990043796</c:v>
                </c:pt>
                <c:pt idx="32">
                  <c:v>73.699721226602918</c:v>
                </c:pt>
                <c:pt idx="33">
                  <c:v>74.066109119872536</c:v>
                </c:pt>
                <c:pt idx="34">
                  <c:v>74.583831142970737</c:v>
                </c:pt>
                <c:pt idx="35">
                  <c:v>72.791716447630407</c:v>
                </c:pt>
                <c:pt idx="36">
                  <c:v>75.810434090003952</c:v>
                </c:pt>
                <c:pt idx="37">
                  <c:v>77.443249701314386</c:v>
                </c:pt>
              </c:numCache>
            </c:numRef>
          </c:val>
        </c:ser>
        <c:marker val="1"/>
        <c:axId val="146671872"/>
        <c:axId val="146750464"/>
      </c:lineChart>
      <c:catAx>
        <c:axId val="146671872"/>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6750464"/>
        <c:crosses val="autoZero"/>
        <c:auto val="1"/>
        <c:lblAlgn val="ctr"/>
        <c:lblOffset val="0"/>
        <c:tickLblSkip val="1"/>
        <c:tickMarkSkip val="1"/>
        <c:noMultiLvlLbl val="1"/>
      </c:catAx>
      <c:valAx>
        <c:axId val="146750464"/>
        <c:scaling>
          <c:orientation val="minMax"/>
          <c:max val="11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6671872"/>
        <c:crosses val="autoZero"/>
        <c:crossBetween val="between"/>
        <c:majorUnit val="10"/>
      </c:valAx>
      <c:spPr>
        <a:noFill/>
        <a:ln w="6350">
          <a:solidFill>
            <a:sysClr val="window" lastClr="FFFFFF">
              <a:lumMod val="85000"/>
            </a:sysClr>
          </a:solidFill>
        </a:ln>
      </c:spPr>
    </c:plotArea>
    <c:legend>
      <c:legendPos val="b"/>
      <c:layout>
        <c:manualLayout>
          <c:xMode val="edge"/>
          <c:yMode val="edge"/>
          <c:x val="8.7853462157812576E-2"/>
          <c:y val="0.59790997490952402"/>
          <c:w val="0.29294987922706289"/>
          <c:h val="0.16650317388740804"/>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22.2014</c:v>
                </c:pt>
                <c:pt idx="1">
                  <c:v>21.052999999999987</c:v>
                </c:pt>
                <c:pt idx="2">
                  <c:v>19.256999999999987</c:v>
                </c:pt>
                <c:pt idx="3">
                  <c:v>21.741500000000002</c:v>
                </c:pt>
                <c:pt idx="4">
                  <c:v>20.348999999999986</c:v>
                </c:pt>
                <c:pt idx="5">
                  <c:v>19.167500000000004</c:v>
                </c:pt>
                <c:pt idx="6">
                  <c:v>19.823099999999986</c:v>
                </c:pt>
                <c:pt idx="7">
                  <c:v>17.600500000000004</c:v>
                </c:pt>
                <c:pt idx="8">
                  <c:v>17.339700000000008</c:v>
                </c:pt>
                <c:pt idx="9">
                  <c:v>18.090600000000002</c:v>
                </c:pt>
                <c:pt idx="10">
                  <c:v>13.783200000000001</c:v>
                </c:pt>
                <c:pt idx="11">
                  <c:v>11.415600000000024</c:v>
                </c:pt>
                <c:pt idx="12">
                  <c:v>9.641299999999994</c:v>
                </c:pt>
                <c:pt idx="13">
                  <c:v>11.433200000000001</c:v>
                </c:pt>
                <c:pt idx="14">
                  <c:v>13.300900000000002</c:v>
                </c:pt>
                <c:pt idx="15">
                  <c:v>11.929300000000005</c:v>
                </c:pt>
                <c:pt idx="16">
                  <c:v>11.478600000000004</c:v>
                </c:pt>
                <c:pt idx="17">
                  <c:v>11.172900000000006</c:v>
                </c:pt>
                <c:pt idx="18">
                  <c:v>13.676600000000002</c:v>
                </c:pt>
                <c:pt idx="19">
                  <c:v>13.087200000000001</c:v>
                </c:pt>
                <c:pt idx="20">
                  <c:v>13.0471</c:v>
                </c:pt>
                <c:pt idx="21">
                  <c:v>13.3611</c:v>
                </c:pt>
                <c:pt idx="22">
                  <c:v>13.2377</c:v>
                </c:pt>
                <c:pt idx="23">
                  <c:v>11.443300000000001</c:v>
                </c:pt>
                <c:pt idx="24">
                  <c:v>11.862400000000035</c:v>
                </c:pt>
                <c:pt idx="25">
                  <c:v>13.121299999999998</c:v>
                </c:pt>
                <c:pt idx="26">
                  <c:v>15.673800000000007</c:v>
                </c:pt>
                <c:pt idx="27">
                  <c:v>14.851600000000023</c:v>
                </c:pt>
                <c:pt idx="28">
                  <c:v>15.919800000000002</c:v>
                </c:pt>
                <c:pt idx="29">
                  <c:v>16.163299999999989</c:v>
                </c:pt>
                <c:pt idx="30">
                  <c:v>17.521199999999986</c:v>
                </c:pt>
                <c:pt idx="31">
                  <c:v>16.983499999999896</c:v>
                </c:pt>
                <c:pt idx="32">
                  <c:v>18.410700000000006</c:v>
                </c:pt>
                <c:pt idx="33">
                  <c:v>19.063399999999927</c:v>
                </c:pt>
                <c:pt idx="34">
                  <c:v>17.198599999999946</c:v>
                </c:pt>
                <c:pt idx="35">
                  <c:v>14.686100000000001</c:v>
                </c:pt>
                <c:pt idx="36">
                  <c:v>14.676400000000006</c:v>
                </c:pt>
                <c:pt idx="37">
                  <c:v>15.969200000000004</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39.833600000000004</c:v>
                </c:pt>
                <c:pt idx="1">
                  <c:v>40.816600000000001</c:v>
                </c:pt>
                <c:pt idx="2">
                  <c:v>39.707500000000003</c:v>
                </c:pt>
                <c:pt idx="3">
                  <c:v>40.16320000000001</c:v>
                </c:pt>
                <c:pt idx="4">
                  <c:v>34.8797</c:v>
                </c:pt>
                <c:pt idx="5">
                  <c:v>34.054199999999994</c:v>
                </c:pt>
                <c:pt idx="6">
                  <c:v>33.493400000000001</c:v>
                </c:pt>
                <c:pt idx="7">
                  <c:v>32.848400000000005</c:v>
                </c:pt>
                <c:pt idx="8">
                  <c:v>34.671700000000001</c:v>
                </c:pt>
                <c:pt idx="9">
                  <c:v>33.099700000000013</c:v>
                </c:pt>
                <c:pt idx="10">
                  <c:v>29.888699999999918</c:v>
                </c:pt>
                <c:pt idx="11">
                  <c:v>23.436700000000002</c:v>
                </c:pt>
                <c:pt idx="12">
                  <c:v>25.914900000000031</c:v>
                </c:pt>
                <c:pt idx="13">
                  <c:v>27.1432</c:v>
                </c:pt>
                <c:pt idx="14">
                  <c:v>29.636900000000058</c:v>
                </c:pt>
                <c:pt idx="15">
                  <c:v>30.525499999999923</c:v>
                </c:pt>
                <c:pt idx="16">
                  <c:v>31.005699999999923</c:v>
                </c:pt>
                <c:pt idx="17">
                  <c:v>32.5259000000001</c:v>
                </c:pt>
                <c:pt idx="18">
                  <c:v>32.805</c:v>
                </c:pt>
                <c:pt idx="19">
                  <c:v>35.787800000000004</c:v>
                </c:pt>
                <c:pt idx="20">
                  <c:v>35.105900000000013</c:v>
                </c:pt>
                <c:pt idx="21">
                  <c:v>40.411899999999996</c:v>
                </c:pt>
                <c:pt idx="22">
                  <c:v>38.5501</c:v>
                </c:pt>
                <c:pt idx="23">
                  <c:v>33.910899999999998</c:v>
                </c:pt>
                <c:pt idx="24">
                  <c:v>36.224800000000002</c:v>
                </c:pt>
                <c:pt idx="25">
                  <c:v>37.508400000000002</c:v>
                </c:pt>
                <c:pt idx="26">
                  <c:v>47.023500000000013</c:v>
                </c:pt>
                <c:pt idx="27">
                  <c:v>51.911899999999996</c:v>
                </c:pt>
                <c:pt idx="28">
                  <c:v>47.9696</c:v>
                </c:pt>
                <c:pt idx="29">
                  <c:v>49.969800000000006</c:v>
                </c:pt>
                <c:pt idx="30">
                  <c:v>54.430300000000003</c:v>
                </c:pt>
                <c:pt idx="31">
                  <c:v>52.237700000000011</c:v>
                </c:pt>
                <c:pt idx="32">
                  <c:v>50.997400000000006</c:v>
                </c:pt>
                <c:pt idx="33">
                  <c:v>52.438100000000013</c:v>
                </c:pt>
                <c:pt idx="34">
                  <c:v>46.973400000000005</c:v>
                </c:pt>
                <c:pt idx="35">
                  <c:v>41.893000000000001</c:v>
                </c:pt>
                <c:pt idx="36">
                  <c:v>48.696600000000011</c:v>
                </c:pt>
                <c:pt idx="37">
                  <c:v>46.5623000000001</c:v>
                </c:pt>
              </c:numCache>
            </c:numRef>
          </c:val>
        </c:ser>
        <c:gapWidth val="0"/>
        <c:overlap val="100"/>
        <c:axId val="205816576"/>
        <c:axId val="205818112"/>
      </c:barChart>
      <c:catAx>
        <c:axId val="20581657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05818112"/>
        <c:crosses val="autoZero"/>
        <c:auto val="1"/>
        <c:lblAlgn val="ctr"/>
        <c:lblOffset val="0"/>
        <c:tickLblSkip val="3"/>
        <c:tickMarkSkip val="1"/>
        <c:noMultiLvlLbl val="1"/>
      </c:catAx>
      <c:valAx>
        <c:axId val="20581811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05816576"/>
        <c:crosses val="autoZero"/>
        <c:crossBetween val="between"/>
      </c:valAx>
      <c:spPr>
        <a:noFill/>
        <a:ln w="6350">
          <a:solidFill>
            <a:sysClr val="window" lastClr="FFFFFF">
              <a:lumMod val="85000"/>
            </a:sysClr>
          </a:solidFill>
        </a:ln>
      </c:spPr>
    </c:plotArea>
    <c:legend>
      <c:legendPos val="b"/>
      <c:layout>
        <c:manualLayout>
          <c:xMode val="edge"/>
          <c:yMode val="edge"/>
          <c:x val="0.26439717782140382"/>
          <c:y val="8.8533564814814808E-2"/>
          <c:w val="0.35673227969348681"/>
          <c:h val="0.13589057465377349"/>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83325137067744E-2"/>
          <c:y val="4.7330555555555563E-2"/>
          <c:w val="0.83999861417335409"/>
          <c:h val="0.83998425196852133"/>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6.8247094484704265</c:v>
                </c:pt>
                <c:pt idx="1">
                  <c:v>7.9048802937125231</c:v>
                </c:pt>
                <c:pt idx="2">
                  <c:v>-5.5578709066889607</c:v>
                </c:pt>
                <c:pt idx="3">
                  <c:v>6.8003211386132874</c:v>
                </c:pt>
                <c:pt idx="4">
                  <c:v>-12.183126000338831</c:v>
                </c:pt>
                <c:pt idx="5">
                  <c:v>-9.7034860545570343</c:v>
                </c:pt>
                <c:pt idx="6">
                  <c:v>-6.4603282826957411</c:v>
                </c:pt>
                <c:pt idx="7">
                  <c:v>-6.0068442535375786</c:v>
                </c:pt>
                <c:pt idx="8">
                  <c:v>-2.3107629096283984</c:v>
                </c:pt>
                <c:pt idx="9">
                  <c:v>-4.3779153904835475</c:v>
                </c:pt>
                <c:pt idx="10">
                  <c:v>-20.489773399832139</c:v>
                </c:pt>
                <c:pt idx="11">
                  <c:v>-16.893917410184915</c:v>
                </c:pt>
                <c:pt idx="12">
                  <c:v>-33.873609085836705</c:v>
                </c:pt>
                <c:pt idx="13">
                  <c:v>-26.726924599842192</c:v>
                </c:pt>
                <c:pt idx="14">
                  <c:v>-11.838959903668709</c:v>
                </c:pt>
                <c:pt idx="15">
                  <c:v>-16.32527318472426</c:v>
                </c:pt>
                <c:pt idx="16">
                  <c:v>-6.4027758895774065</c:v>
                </c:pt>
                <c:pt idx="17">
                  <c:v>-1.0008660444195954</c:v>
                </c:pt>
                <c:pt idx="18">
                  <c:v>3.3856340974163452</c:v>
                </c:pt>
                <c:pt idx="19">
                  <c:v>10.727724572108727</c:v>
                </c:pt>
                <c:pt idx="20">
                  <c:v>7.4143493454368814</c:v>
                </c:pt>
                <c:pt idx="21">
                  <c:v>18.205141674247272</c:v>
                </c:pt>
                <c:pt idx="22">
                  <c:v>32.888174790782394</c:v>
                </c:pt>
                <c:pt idx="23">
                  <c:v>43.633563835684697</c:v>
                </c:pt>
                <c:pt idx="24">
                  <c:v>39.037436728552009</c:v>
                </c:pt>
                <c:pt idx="25">
                  <c:v>28.664215923837233</c:v>
                </c:pt>
                <c:pt idx="26">
                  <c:v>37.676056800343787</c:v>
                </c:pt>
                <c:pt idx="27">
                  <c:v>42.384064966043958</c:v>
                </c:pt>
                <c:pt idx="28">
                  <c:v>31.263260514633938</c:v>
                </c:pt>
                <c:pt idx="29">
                  <c:v>32.365483848303505</c:v>
                </c:pt>
                <c:pt idx="30">
                  <c:v>35.213777097680094</c:v>
                </c:pt>
                <c:pt idx="31">
                  <c:v>24.569687829071789</c:v>
                </c:pt>
                <c:pt idx="32">
                  <c:v>24.285016744849848</c:v>
                </c:pt>
                <c:pt idx="33">
                  <c:v>17.964778975209526</c:v>
                </c:pt>
                <c:pt idx="34">
                  <c:v>10.649413829908356</c:v>
                </c:pt>
                <c:pt idx="35">
                  <c:v>13.149954875391259</c:v>
                </c:pt>
                <c:pt idx="36">
                  <c:v>22.859890089687191</c:v>
                </c:pt>
                <c:pt idx="37">
                  <c:v>12.772647842290112</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3.5230991598504482</c:v>
                </c:pt>
                <c:pt idx="1">
                  <c:v>-0.47242322269411835</c:v>
                </c:pt>
                <c:pt idx="2">
                  <c:v>-3.1279306332687753</c:v>
                </c:pt>
                <c:pt idx="3">
                  <c:v>-7.0590808642570755</c:v>
                </c:pt>
                <c:pt idx="4">
                  <c:v>-6.2168373578262255</c:v>
                </c:pt>
                <c:pt idx="5">
                  <c:v>-7.3581718489558181</c:v>
                </c:pt>
                <c:pt idx="6">
                  <c:v>-9.1230900216419002</c:v>
                </c:pt>
                <c:pt idx="7">
                  <c:v>-11.454576913447619</c:v>
                </c:pt>
                <c:pt idx="8">
                  <c:v>-9.5822580061106493</c:v>
                </c:pt>
                <c:pt idx="9">
                  <c:v>-11.06047591652171</c:v>
                </c:pt>
                <c:pt idx="10">
                  <c:v>-8.2912561399961699</c:v>
                </c:pt>
                <c:pt idx="11">
                  <c:v>-7.1564479303019652</c:v>
                </c:pt>
                <c:pt idx="12">
                  <c:v>-8.8100372428485727</c:v>
                </c:pt>
                <c:pt idx="13">
                  <c:v>-10.921936876553326</c:v>
                </c:pt>
                <c:pt idx="14">
                  <c:v>-15.341292621155519</c:v>
                </c:pt>
                <c:pt idx="15">
                  <c:v>-15.093827465145548</c:v>
                </c:pt>
                <c:pt idx="16">
                  <c:v>-16.672907586586227</c:v>
                </c:pt>
                <c:pt idx="17">
                  <c:v>-16.892023510028984</c:v>
                </c:pt>
                <c:pt idx="18">
                  <c:v>-16.205117746943159</c:v>
                </c:pt>
                <c:pt idx="19">
                  <c:v>-13.847515092813833</c:v>
                </c:pt>
                <c:pt idx="20">
                  <c:v>-14.832723009672037</c:v>
                </c:pt>
                <c:pt idx="21">
                  <c:v>-13.159849890452374</c:v>
                </c:pt>
                <c:pt idx="22">
                  <c:v>-14.304371475607223</c:v>
                </c:pt>
                <c:pt idx="23">
                  <c:v>-13.500975742502872</c:v>
                </c:pt>
                <c:pt idx="24">
                  <c:v>-3.7946380042788777</c:v>
                </c:pt>
                <c:pt idx="25">
                  <c:v>2.5810532044380921</c:v>
                </c:pt>
                <c:pt idx="26">
                  <c:v>8.3428356440758193</c:v>
                </c:pt>
                <c:pt idx="27">
                  <c:v>14.87377160367231</c:v>
                </c:pt>
                <c:pt idx="28">
                  <c:v>19.120292939230126</c:v>
                </c:pt>
                <c:pt idx="29">
                  <c:v>18.972996842241681</c:v>
                </c:pt>
                <c:pt idx="30">
                  <c:v>19.581883981112352</c:v>
                </c:pt>
                <c:pt idx="31">
                  <c:v>17.059365879368087</c:v>
                </c:pt>
                <c:pt idx="32">
                  <c:v>19.855742917061011</c:v>
                </c:pt>
                <c:pt idx="33">
                  <c:v>15.004369110260818</c:v>
                </c:pt>
                <c:pt idx="34">
                  <c:v>13.263940280519209</c:v>
                </c:pt>
                <c:pt idx="35">
                  <c:v>11.599461937164152</c:v>
                </c:pt>
                <c:pt idx="36">
                  <c:v>8.927778978172908</c:v>
                </c:pt>
                <c:pt idx="37">
                  <c:v>10.734898123812735</c:v>
                </c:pt>
              </c:numCache>
            </c:numRef>
          </c:val>
        </c:ser>
        <c:gapWidth val="48"/>
        <c:overlap val="100"/>
        <c:axId val="192007168"/>
        <c:axId val="213996672"/>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10.347808608320868</c:v>
                </c:pt>
                <c:pt idx="1">
                  <c:v>7.4324570710184048</c:v>
                </c:pt>
                <c:pt idx="2">
                  <c:v>-8.6858015399577528</c:v>
                </c:pt>
                <c:pt idx="3">
                  <c:v>-0.25875972564379879</c:v>
                </c:pt>
                <c:pt idx="4">
                  <c:v>-18.399963358165067</c:v>
                </c:pt>
                <c:pt idx="5">
                  <c:v>-17.061657903512828</c:v>
                </c:pt>
                <c:pt idx="6">
                  <c:v>-15.58341830433765</c:v>
                </c:pt>
                <c:pt idx="7">
                  <c:v>-17.461421166985129</c:v>
                </c:pt>
                <c:pt idx="8">
                  <c:v>-11.89302091573907</c:v>
                </c:pt>
                <c:pt idx="9">
                  <c:v>-15.438391307005233</c:v>
                </c:pt>
                <c:pt idx="10">
                  <c:v>-28.781029539828271</c:v>
                </c:pt>
                <c:pt idx="11">
                  <c:v>-24.050365340486891</c:v>
                </c:pt>
                <c:pt idx="12">
                  <c:v>-42.68364632868542</c:v>
                </c:pt>
                <c:pt idx="13">
                  <c:v>-37.648861476395346</c:v>
                </c:pt>
                <c:pt idx="14">
                  <c:v>-27.180252524824226</c:v>
                </c:pt>
                <c:pt idx="15">
                  <c:v>-31.419100649869872</c:v>
                </c:pt>
                <c:pt idx="16">
                  <c:v>-23.075683476163569</c:v>
                </c:pt>
                <c:pt idx="17">
                  <c:v>-17.892889554448644</c:v>
                </c:pt>
                <c:pt idx="18">
                  <c:v>-12.819483649526902</c:v>
                </c:pt>
                <c:pt idx="19">
                  <c:v>-3.1197905207051093</c:v>
                </c:pt>
                <c:pt idx="20">
                  <c:v>-7.4183736642351734</c:v>
                </c:pt>
                <c:pt idx="21">
                  <c:v>5.0452917837950002</c:v>
                </c:pt>
                <c:pt idx="22">
                  <c:v>18.583803315175189</c:v>
                </c:pt>
                <c:pt idx="23">
                  <c:v>30.132588093181788</c:v>
                </c:pt>
                <c:pt idx="24">
                  <c:v>35.242798724273214</c:v>
                </c:pt>
                <c:pt idx="25">
                  <c:v>31.245269128275289</c:v>
                </c:pt>
                <c:pt idx="26">
                  <c:v>46.018892444419606</c:v>
                </c:pt>
                <c:pt idx="27">
                  <c:v>57.25783656971619</c:v>
                </c:pt>
                <c:pt idx="28">
                  <c:v>50.383553453863954</c:v>
                </c:pt>
                <c:pt idx="29">
                  <c:v>51.338480690545254</c:v>
                </c:pt>
                <c:pt idx="30">
                  <c:v>54.795661078792342</c:v>
                </c:pt>
                <c:pt idx="31">
                  <c:v>41.629053708440011</c:v>
                </c:pt>
                <c:pt idx="32">
                  <c:v>44.140759661911005</c:v>
                </c:pt>
                <c:pt idx="33">
                  <c:v>32.96914808547038</c:v>
                </c:pt>
                <c:pt idx="34">
                  <c:v>23.913354110427548</c:v>
                </c:pt>
                <c:pt idx="35">
                  <c:v>24.749416812555317</c:v>
                </c:pt>
                <c:pt idx="36">
                  <c:v>31.787669067860062</c:v>
                </c:pt>
                <c:pt idx="37">
                  <c:v>23.507545966102896</c:v>
                </c:pt>
              </c:numCache>
            </c:numRef>
          </c:val>
        </c:ser>
        <c:marker val="1"/>
        <c:axId val="192007168"/>
        <c:axId val="213996672"/>
      </c:lineChart>
      <c:catAx>
        <c:axId val="19200716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3996672"/>
        <c:crosses val="autoZero"/>
        <c:auto val="1"/>
        <c:lblAlgn val="ctr"/>
        <c:lblOffset val="0"/>
        <c:tickLblSkip val="2"/>
        <c:tickMarkSkip val="1"/>
        <c:noMultiLvlLbl val="1"/>
      </c:catAx>
      <c:valAx>
        <c:axId val="213996672"/>
        <c:scaling>
          <c:orientation val="minMax"/>
          <c:max val="60"/>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2007168"/>
        <c:crosses val="autoZero"/>
        <c:crossBetween val="between"/>
        <c:majorUnit val="15"/>
      </c:valAx>
      <c:spPr>
        <a:noFill/>
        <a:ln w="6350">
          <a:solidFill>
            <a:sysClr val="window" lastClr="FFFFFF">
              <a:lumMod val="85000"/>
            </a:sysClr>
          </a:solidFill>
        </a:ln>
      </c:spPr>
    </c:plotArea>
    <c:legend>
      <c:legendPos val="b"/>
      <c:layout>
        <c:manualLayout>
          <c:xMode val="edge"/>
          <c:yMode val="edge"/>
          <c:x val="9.0011365703293197E-2"/>
          <c:y val="5.9927083333333554E-2"/>
          <c:w val="0.4853963704815074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796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99.873502492744649</c:v>
                </c:pt>
                <c:pt idx="1">
                  <c:v>97.968598854081065</c:v>
                </c:pt>
                <c:pt idx="2">
                  <c:v>98.005804003274079</c:v>
                </c:pt>
                <c:pt idx="3">
                  <c:v>96.599449363791948</c:v>
                </c:pt>
                <c:pt idx="4">
                  <c:v>95.632115484783114</c:v>
                </c:pt>
                <c:pt idx="5">
                  <c:v>95.527941067043699</c:v>
                </c:pt>
                <c:pt idx="6">
                  <c:v>94.813602202544658</c:v>
                </c:pt>
                <c:pt idx="7">
                  <c:v>93.131929459037508</c:v>
                </c:pt>
                <c:pt idx="8">
                  <c:v>93.355160354193018</c:v>
                </c:pt>
                <c:pt idx="9">
                  <c:v>92.938462683235571</c:v>
                </c:pt>
                <c:pt idx="10">
                  <c:v>92.454795743730941</c:v>
                </c:pt>
                <c:pt idx="11">
                  <c:v>91.256789939727668</c:v>
                </c:pt>
                <c:pt idx="12">
                  <c:v>86.330828186620678</c:v>
                </c:pt>
                <c:pt idx="13">
                  <c:v>82.766574893965313</c:v>
                </c:pt>
                <c:pt idx="14">
                  <c:v>80.400327405313178</c:v>
                </c:pt>
                <c:pt idx="15">
                  <c:v>78.852593198898688</c:v>
                </c:pt>
                <c:pt idx="16">
                  <c:v>78.383808319071008</c:v>
                </c:pt>
                <c:pt idx="17">
                  <c:v>78.845152169060199</c:v>
                </c:pt>
                <c:pt idx="18">
                  <c:v>79.805045018230459</c:v>
                </c:pt>
                <c:pt idx="19">
                  <c:v>80.876553314978779</c:v>
                </c:pt>
                <c:pt idx="20">
                  <c:v>79.938983555324057</c:v>
                </c:pt>
                <c:pt idx="21">
                  <c:v>82.126646327851446</c:v>
                </c:pt>
                <c:pt idx="22">
                  <c:v>81.538804970607941</c:v>
                </c:pt>
                <c:pt idx="23">
                  <c:v>82.312672073815008</c:v>
                </c:pt>
                <c:pt idx="24">
                  <c:v>83.689262593942999</c:v>
                </c:pt>
                <c:pt idx="25">
                  <c:v>84.135724384254758</c:v>
                </c:pt>
                <c:pt idx="26">
                  <c:v>84.894709427784719</c:v>
                </c:pt>
                <c:pt idx="27">
                  <c:v>86.598705260808103</c:v>
                </c:pt>
                <c:pt idx="28">
                  <c:v>89.545353076865808</c:v>
                </c:pt>
                <c:pt idx="29">
                  <c:v>89.865317359922415</c:v>
                </c:pt>
                <c:pt idx="30">
                  <c:v>90.996353895379357</c:v>
                </c:pt>
                <c:pt idx="31">
                  <c:v>91.747897909070844</c:v>
                </c:pt>
                <c:pt idx="32">
                  <c:v>92.692908698563656</c:v>
                </c:pt>
                <c:pt idx="33">
                  <c:v>92.715231788079464</c:v>
                </c:pt>
                <c:pt idx="34">
                  <c:v>91.576754222784075</c:v>
                </c:pt>
                <c:pt idx="35">
                  <c:v>90.936825656670877</c:v>
                </c:pt>
                <c:pt idx="36">
                  <c:v>90.133194434109683</c:v>
                </c:pt>
                <c:pt idx="37" formatCode="General">
                  <c:v>92.350621325991511</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99.170153417015342</c:v>
                </c:pt>
                <c:pt idx="1">
                  <c:v>99.539748953974538</c:v>
                </c:pt>
                <c:pt idx="2">
                  <c:v>98.619246861924651</c:v>
                </c:pt>
                <c:pt idx="3">
                  <c:v>97.461645746164564</c:v>
                </c:pt>
                <c:pt idx="4">
                  <c:v>95.6694560669456</c:v>
                </c:pt>
                <c:pt idx="5">
                  <c:v>96.450488145048809</c:v>
                </c:pt>
                <c:pt idx="6">
                  <c:v>93.967921896792177</c:v>
                </c:pt>
                <c:pt idx="7">
                  <c:v>94.086471408647128</c:v>
                </c:pt>
                <c:pt idx="8">
                  <c:v>92.656903765690373</c:v>
                </c:pt>
                <c:pt idx="9">
                  <c:v>91.966527196652649</c:v>
                </c:pt>
                <c:pt idx="10">
                  <c:v>92.810320781032331</c:v>
                </c:pt>
                <c:pt idx="11">
                  <c:v>88.563458856345889</c:v>
                </c:pt>
                <c:pt idx="12">
                  <c:v>80</c:v>
                </c:pt>
                <c:pt idx="13">
                  <c:v>77.405857740585759</c:v>
                </c:pt>
                <c:pt idx="14">
                  <c:v>75.704323570432365</c:v>
                </c:pt>
                <c:pt idx="15">
                  <c:v>74.323570432356718</c:v>
                </c:pt>
                <c:pt idx="16">
                  <c:v>72.440725244072851</c:v>
                </c:pt>
                <c:pt idx="17">
                  <c:v>73.103207810320527</c:v>
                </c:pt>
                <c:pt idx="18">
                  <c:v>71.827057182705659</c:v>
                </c:pt>
                <c:pt idx="19">
                  <c:v>73.584379358437758</c:v>
                </c:pt>
                <c:pt idx="20">
                  <c:v>72.294281729428164</c:v>
                </c:pt>
                <c:pt idx="21">
                  <c:v>74.205020920502065</c:v>
                </c:pt>
                <c:pt idx="22">
                  <c:v>73.207810320780979</c:v>
                </c:pt>
                <c:pt idx="23">
                  <c:v>74.609483960948367</c:v>
                </c:pt>
                <c:pt idx="24">
                  <c:v>75.230125523012759</c:v>
                </c:pt>
                <c:pt idx="25">
                  <c:v>75.801952580195234</c:v>
                </c:pt>
                <c:pt idx="26">
                  <c:v>76.248256624825842</c:v>
                </c:pt>
                <c:pt idx="27">
                  <c:v>78.375174337517066</c:v>
                </c:pt>
                <c:pt idx="28">
                  <c:v>80.822873082287259</c:v>
                </c:pt>
                <c:pt idx="29">
                  <c:v>81.011157601116068</c:v>
                </c:pt>
                <c:pt idx="30">
                  <c:v>80.746164574616643</c:v>
                </c:pt>
                <c:pt idx="31">
                  <c:v>82.336122733612243</c:v>
                </c:pt>
                <c:pt idx="32">
                  <c:v>84.00976290097627</c:v>
                </c:pt>
                <c:pt idx="33">
                  <c:v>84.567642956764189</c:v>
                </c:pt>
                <c:pt idx="34">
                  <c:v>84.972105997210576</c:v>
                </c:pt>
                <c:pt idx="35">
                  <c:v>84.225941422593777</c:v>
                </c:pt>
                <c:pt idx="36">
                  <c:v>85.383542538353865</c:v>
                </c:pt>
                <c:pt idx="37" formatCode="General">
                  <c:v>86.269177126917668</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100.36374893584085</c:v>
                </c:pt>
                <c:pt idx="1">
                  <c:v>96.873307019580054</c:v>
                </c:pt>
                <c:pt idx="2">
                  <c:v>97.577586874080566</c:v>
                </c:pt>
                <c:pt idx="3">
                  <c:v>96.006501044810747</c:v>
                </c:pt>
                <c:pt idx="4">
                  <c:v>95.611794752728088</c:v>
                </c:pt>
                <c:pt idx="5">
                  <c:v>94.892036220106718</c:v>
                </c:pt>
                <c:pt idx="6">
                  <c:v>95.410571937156519</c:v>
                </c:pt>
                <c:pt idx="7">
                  <c:v>92.46962309418808</c:v>
                </c:pt>
                <c:pt idx="8">
                  <c:v>93.847225446947192</c:v>
                </c:pt>
                <c:pt idx="9">
                  <c:v>93.622784614193577</c:v>
                </c:pt>
                <c:pt idx="10">
                  <c:v>92.214224905193561</c:v>
                </c:pt>
                <c:pt idx="11">
                  <c:v>93.142945592446068</c:v>
                </c:pt>
                <c:pt idx="12">
                  <c:v>90.217475427598472</c:v>
                </c:pt>
                <c:pt idx="13">
                  <c:v>86.092407708381558</c:v>
                </c:pt>
                <c:pt idx="14">
                  <c:v>83.352681680984418</c:v>
                </c:pt>
                <c:pt idx="15">
                  <c:v>81.704202461110086</c:v>
                </c:pt>
                <c:pt idx="16">
                  <c:v>82.01377602352737</c:v>
                </c:pt>
                <c:pt idx="17">
                  <c:v>82.377524959368671</c:v>
                </c:pt>
                <c:pt idx="18">
                  <c:v>84.575497252534092</c:v>
                </c:pt>
                <c:pt idx="19">
                  <c:v>85.264298428914415</c:v>
                </c:pt>
                <c:pt idx="20">
                  <c:v>84.521321879111511</c:v>
                </c:pt>
                <c:pt idx="21">
                  <c:v>86.874080953486143</c:v>
                </c:pt>
                <c:pt idx="22">
                  <c:v>86.510332017645354</c:v>
                </c:pt>
                <c:pt idx="23">
                  <c:v>86.943735005030561</c:v>
                </c:pt>
                <c:pt idx="24">
                  <c:v>88.72378298893274</c:v>
                </c:pt>
                <c:pt idx="25">
                  <c:v>89.11074994195495</c:v>
                </c:pt>
                <c:pt idx="26">
                  <c:v>90.039470629208267</c:v>
                </c:pt>
                <c:pt idx="27">
                  <c:v>91.533163067874185</c:v>
                </c:pt>
                <c:pt idx="28">
                  <c:v>94.76820679513969</c:v>
                </c:pt>
                <c:pt idx="29">
                  <c:v>95.155173748161758</c:v>
                </c:pt>
                <c:pt idx="30">
                  <c:v>97.035833139849643</c:v>
                </c:pt>
                <c:pt idx="31">
                  <c:v>97.34540670226761</c:v>
                </c:pt>
                <c:pt idx="32">
                  <c:v>97.910378453679769</c:v>
                </c:pt>
                <c:pt idx="33">
                  <c:v>97.64724092562497</c:v>
                </c:pt>
                <c:pt idx="34">
                  <c:v>95.673709465211701</c:v>
                </c:pt>
                <c:pt idx="35">
                  <c:v>95.085519696617936</c:v>
                </c:pt>
                <c:pt idx="36">
                  <c:v>93.413822459561985</c:v>
                </c:pt>
                <c:pt idx="37" formatCode="General">
                  <c:v>96.24642055568458</c:v>
                </c:pt>
              </c:numCache>
            </c:numRef>
          </c:val>
        </c:ser>
        <c:marker val="1"/>
        <c:axId val="214054784"/>
        <c:axId val="214056320"/>
      </c:lineChart>
      <c:catAx>
        <c:axId val="21405478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214056320"/>
        <c:crosses val="autoZero"/>
        <c:auto val="1"/>
        <c:lblAlgn val="ctr"/>
        <c:lblOffset val="0"/>
        <c:tickLblSkip val="2"/>
        <c:tickMarkSkip val="1"/>
        <c:noMultiLvlLbl val="1"/>
      </c:catAx>
      <c:valAx>
        <c:axId val="214056320"/>
        <c:scaling>
          <c:orientation val="minMax"/>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054784"/>
        <c:crosses val="autoZero"/>
        <c:crossBetween val="between"/>
      </c:valAx>
      <c:spPr>
        <a:noFill/>
        <a:ln w="6350">
          <a:solidFill>
            <a:sysClr val="window" lastClr="FFFFFF">
              <a:lumMod val="85000"/>
            </a:sysClr>
          </a:solidFill>
        </a:ln>
      </c:spPr>
    </c:plotArea>
    <c:legend>
      <c:legendPos val="b"/>
      <c:layout>
        <c:manualLayout>
          <c:xMode val="edge"/>
          <c:yMode val="edge"/>
          <c:x val="0.29338085720609547"/>
          <c:y val="3.761747685185185E-2"/>
          <c:w val="0.45080477616355402"/>
          <c:h val="0.2126863425925983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646"/>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111.3</c:v>
                </c:pt>
                <c:pt idx="1">
                  <c:v>102.79</c:v>
                </c:pt>
                <c:pt idx="2">
                  <c:v>103.78</c:v>
                </c:pt>
                <c:pt idx="3">
                  <c:v>108.77</c:v>
                </c:pt>
                <c:pt idx="4">
                  <c:v>102.02</c:v>
                </c:pt>
                <c:pt idx="5">
                  <c:v>97.43</c:v>
                </c:pt>
                <c:pt idx="6">
                  <c:v>104.46000000000002</c:v>
                </c:pt>
                <c:pt idx="7">
                  <c:v>100.09</c:v>
                </c:pt>
                <c:pt idx="8">
                  <c:v>104.99000000000002</c:v>
                </c:pt>
                <c:pt idx="9">
                  <c:v>116</c:v>
                </c:pt>
                <c:pt idx="10">
                  <c:v>99.36</c:v>
                </c:pt>
                <c:pt idx="11">
                  <c:v>93.66</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72.179999999999978</c:v>
                </c:pt>
                <c:pt idx="1">
                  <c:v>78.64</c:v>
                </c:pt>
                <c:pt idx="2">
                  <c:v>79.940000000000026</c:v>
                </c:pt>
                <c:pt idx="3">
                  <c:v>81.89</c:v>
                </c:pt>
                <c:pt idx="4">
                  <c:v>76.89</c:v>
                </c:pt>
                <c:pt idx="5">
                  <c:v>79.599999999999994</c:v>
                </c:pt>
                <c:pt idx="6">
                  <c:v>94.31</c:v>
                </c:pt>
                <c:pt idx="7">
                  <c:v>88.42</c:v>
                </c:pt>
                <c:pt idx="8">
                  <c:v>93.55</c:v>
                </c:pt>
                <c:pt idx="9">
                  <c:v>95.39</c:v>
                </c:pt>
                <c:pt idx="10">
                  <c:v>98.05</c:v>
                </c:pt>
                <c:pt idx="11">
                  <c:v>92.9</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80.459999999999994</c:v>
                </c:pt>
                <c:pt idx="1">
                  <c:v>89.04</c:v>
                </c:pt>
                <c:pt idx="2">
                  <c:v>110.81</c:v>
                </c:pt>
                <c:pt idx="3">
                  <c:v>96.960000000000022</c:v>
                </c:pt>
                <c:pt idx="4">
                  <c:v>94.51</c:v>
                </c:pt>
                <c:pt idx="5">
                  <c:v>96.53</c:v>
                </c:pt>
                <c:pt idx="6">
                  <c:v>97.42</c:v>
                </c:pt>
                <c:pt idx="7">
                  <c:v>108.27</c:v>
                </c:pt>
                <c:pt idx="8">
                  <c:v>116.05</c:v>
                </c:pt>
                <c:pt idx="9">
                  <c:v>114.23</c:v>
                </c:pt>
                <c:pt idx="10">
                  <c:v>117.84</c:v>
                </c:pt>
                <c:pt idx="11">
                  <c:v>113.99000000000002</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94.55</c:v>
                </c:pt>
                <c:pt idx="1">
                  <c:v>94.01</c:v>
                </c:pt>
              </c:numCache>
            </c:numRef>
          </c:val>
        </c:ser>
        <c:marker val="1"/>
        <c:axId val="213992576"/>
        <c:axId val="213994112"/>
      </c:lineChart>
      <c:catAx>
        <c:axId val="21399257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3994112"/>
        <c:crosses val="autoZero"/>
        <c:auto val="1"/>
        <c:lblAlgn val="ctr"/>
        <c:lblOffset val="0"/>
        <c:tickMarkSkip val="1"/>
      </c:catAx>
      <c:valAx>
        <c:axId val="213994112"/>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3992576"/>
        <c:crosses val="autoZero"/>
        <c:crossBetween val="between"/>
      </c:valAx>
      <c:spPr>
        <a:noFill/>
        <a:ln w="6350">
          <a:solidFill>
            <a:sysClr val="window" lastClr="FFFFFF">
              <a:lumMod val="85000"/>
            </a:sysClr>
          </a:solidFill>
        </a:ln>
      </c:spPr>
    </c:plotArea>
    <c:legend>
      <c:legendPos val="b"/>
      <c:layout>
        <c:manualLayout>
          <c:xMode val="edge"/>
          <c:yMode val="edge"/>
          <c:x val="0.59059745489086057"/>
          <c:y val="0.62743923611111496"/>
          <c:w val="0.35818544316576673"/>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Sheet1!$A$2:$B$37</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Sheet1!$C$2:$C$37</c:f>
              <c:numCache>
                <c:formatCode>0.0</c:formatCode>
                <c:ptCount val="36"/>
                <c:pt idx="0">
                  <c:v>122.86282306163029</c:v>
                </c:pt>
                <c:pt idx="1">
                  <c:v>113.56622171731537</c:v>
                </c:pt>
                <c:pt idx="2">
                  <c:v>106.95825049701811</c:v>
                </c:pt>
                <c:pt idx="3">
                  <c:v>103.55959481207964</c:v>
                </c:pt>
                <c:pt idx="4">
                  <c:v>100.17987314209932</c:v>
                </c:pt>
                <c:pt idx="5">
                  <c:v>99.71598977563194</c:v>
                </c:pt>
                <c:pt idx="6">
                  <c:v>99.365710498911298</c:v>
                </c:pt>
                <c:pt idx="7">
                  <c:v>93.950582220959959</c:v>
                </c:pt>
                <c:pt idx="8">
                  <c:v>88.952002272081415</c:v>
                </c:pt>
                <c:pt idx="9">
                  <c:v>92.407460001893426</c:v>
                </c:pt>
                <c:pt idx="10">
                  <c:v>89.747230900312857</c:v>
                </c:pt>
                <c:pt idx="11">
                  <c:v>84.379437659755425</c:v>
                </c:pt>
                <c:pt idx="12">
                  <c:v>86.547382372431684</c:v>
                </c:pt>
                <c:pt idx="13">
                  <c:v>85.079996213196694</c:v>
                </c:pt>
                <c:pt idx="14">
                  <c:v>77.203445990722344</c:v>
                </c:pt>
                <c:pt idx="15">
                  <c:v>85.979361923695919</c:v>
                </c:pt>
                <c:pt idx="16">
                  <c:v>80.715705765407577</c:v>
                </c:pt>
                <c:pt idx="17">
                  <c:v>80.299157436334383</c:v>
                </c:pt>
                <c:pt idx="18">
                  <c:v>88.507052920571809</c:v>
                </c:pt>
                <c:pt idx="19">
                  <c:v>84.351036637318956</c:v>
                </c:pt>
                <c:pt idx="20">
                  <c:v>81.889614692795632</c:v>
                </c:pt>
                <c:pt idx="21">
                  <c:v>80.365426488686879</c:v>
                </c:pt>
                <c:pt idx="22">
                  <c:v>85.638549654453897</c:v>
                </c:pt>
                <c:pt idx="23">
                  <c:v>81.87068067783774</c:v>
                </c:pt>
                <c:pt idx="24">
                  <c:v>98.561014863201734</c:v>
                </c:pt>
                <c:pt idx="25">
                  <c:v>98.863959102527659</c:v>
                </c:pt>
                <c:pt idx="26">
                  <c:v>105.97368171920856</c:v>
                </c:pt>
                <c:pt idx="27">
                  <c:v>98.021395436902381</c:v>
                </c:pt>
                <c:pt idx="28">
                  <c:v>97.557512070434299</c:v>
                </c:pt>
                <c:pt idx="29">
                  <c:v>97.207232793713899</c:v>
                </c:pt>
                <c:pt idx="30">
                  <c:v>97.226166808671749</c:v>
                </c:pt>
                <c:pt idx="31">
                  <c:v>98.163400549086418</c:v>
                </c:pt>
                <c:pt idx="32">
                  <c:v>100.02840102243638</c:v>
                </c:pt>
                <c:pt idx="33">
                  <c:v>100.3692132916788</c:v>
                </c:pt>
                <c:pt idx="34">
                  <c:v>98.475811795891289</c:v>
                </c:pt>
                <c:pt idx="35">
                  <c:v>97.226166808671749</c:v>
                </c:pt>
              </c:numCache>
            </c:numRef>
          </c:val>
        </c:ser>
        <c:marker val="1"/>
        <c:axId val="214148992"/>
        <c:axId val="214150528"/>
      </c:lineChart>
      <c:catAx>
        <c:axId val="21414899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150528"/>
        <c:crosses val="autoZero"/>
        <c:auto val="1"/>
        <c:lblAlgn val="ctr"/>
        <c:lblOffset val="0"/>
        <c:tickLblSkip val="2"/>
        <c:tickMarkSkip val="1"/>
        <c:noMultiLvlLbl val="1"/>
      </c:catAx>
      <c:valAx>
        <c:axId val="214150528"/>
        <c:scaling>
          <c:orientation val="minMax"/>
          <c:max val="13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148992"/>
        <c:crossesAt val="1"/>
        <c:crossBetween val="between"/>
        <c:majorUnit val="1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7.1280999999999946</c:v>
                </c:pt>
                <c:pt idx="1">
                  <c:v>7.3420999999999985</c:v>
                </c:pt>
                <c:pt idx="2">
                  <c:v>6.9994000000000014</c:v>
                </c:pt>
                <c:pt idx="3">
                  <c:v>7.4652000000000012</c:v>
                </c:pt>
                <c:pt idx="4">
                  <c:v>7.0672999999999995</c:v>
                </c:pt>
                <c:pt idx="5">
                  <c:v>6.5454000000000008</c:v>
                </c:pt>
                <c:pt idx="6">
                  <c:v>6.6872999999999987</c:v>
                </c:pt>
                <c:pt idx="7">
                  <c:v>6.0522000000000009</c:v>
                </c:pt>
                <c:pt idx="8">
                  <c:v>6.6607999999999965</c:v>
                </c:pt>
                <c:pt idx="9">
                  <c:v>6.9589000000000008</c:v>
                </c:pt>
                <c:pt idx="10">
                  <c:v>6.3414999999999999</c:v>
                </c:pt>
                <c:pt idx="11">
                  <c:v>7.0016000000000034</c:v>
                </c:pt>
                <c:pt idx="12">
                  <c:v>4.5844999999999985</c:v>
                </c:pt>
                <c:pt idx="13">
                  <c:v>4.801800000000001</c:v>
                </c:pt>
                <c:pt idx="14">
                  <c:v>5.1953000000000005</c:v>
                </c:pt>
                <c:pt idx="15">
                  <c:v>4.7626000000000008</c:v>
                </c:pt>
                <c:pt idx="16">
                  <c:v>4.6236999999999995</c:v>
                </c:pt>
                <c:pt idx="17">
                  <c:v>4.5255999999999945</c:v>
                </c:pt>
                <c:pt idx="18">
                  <c:v>4.7498000000000014</c:v>
                </c:pt>
                <c:pt idx="19">
                  <c:v>4.5355999999999996</c:v>
                </c:pt>
                <c:pt idx="20">
                  <c:v>5.1814999999999998</c:v>
                </c:pt>
                <c:pt idx="21">
                  <c:v>4.8657999999999975</c:v>
                </c:pt>
                <c:pt idx="22">
                  <c:v>4.9769000000000014</c:v>
                </c:pt>
                <c:pt idx="23">
                  <c:v>5.7622999999999998</c:v>
                </c:pt>
                <c:pt idx="24">
                  <c:v>4.1765000000000008</c:v>
                </c:pt>
                <c:pt idx="25">
                  <c:v>4.4602999999999984</c:v>
                </c:pt>
                <c:pt idx="26">
                  <c:v>5.3583000000000007</c:v>
                </c:pt>
                <c:pt idx="27">
                  <c:v>5.0777999999999999</c:v>
                </c:pt>
                <c:pt idx="28">
                  <c:v>4.9108000000000009</c:v>
                </c:pt>
                <c:pt idx="29">
                  <c:v>4.8438000000000017</c:v>
                </c:pt>
                <c:pt idx="30">
                  <c:v>4.4760000000000124</c:v>
                </c:pt>
                <c:pt idx="31">
                  <c:v>5.5199000000000016</c:v>
                </c:pt>
                <c:pt idx="32">
                  <c:v>5.772899999999999</c:v>
                </c:pt>
                <c:pt idx="33">
                  <c:v>5.4210999999999991</c:v>
                </c:pt>
                <c:pt idx="34">
                  <c:v>5.8539999999999965</c:v>
                </c:pt>
                <c:pt idx="35">
                  <c:v>6.4176000000000002</c:v>
                </c:pt>
                <c:pt idx="36">
                  <c:v>4.9607000000000001</c:v>
                </c:pt>
                <c:pt idx="37">
                  <c:v>4.8293999999999997</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5.0261000000000005</c:v>
                </c:pt>
                <c:pt idx="1">
                  <c:v>4.2866000000000124</c:v>
                </c:pt>
                <c:pt idx="2">
                  <c:v>4.1256999999999975</c:v>
                </c:pt>
                <c:pt idx="3">
                  <c:v>5.3194999999999997</c:v>
                </c:pt>
                <c:pt idx="4">
                  <c:v>3.8849999999999998</c:v>
                </c:pt>
                <c:pt idx="5">
                  <c:v>3.7333000000000012</c:v>
                </c:pt>
                <c:pt idx="6">
                  <c:v>4.4939999999999998</c:v>
                </c:pt>
                <c:pt idx="7">
                  <c:v>4.6138999999999966</c:v>
                </c:pt>
                <c:pt idx="8">
                  <c:v>4.8476000000000008</c:v>
                </c:pt>
                <c:pt idx="9">
                  <c:v>5.6523999999999965</c:v>
                </c:pt>
                <c:pt idx="10">
                  <c:v>4.6882999999999999</c:v>
                </c:pt>
                <c:pt idx="11">
                  <c:v>3.274</c:v>
                </c:pt>
                <c:pt idx="12">
                  <c:v>3.5355999999999987</c:v>
                </c:pt>
                <c:pt idx="13">
                  <c:v>3.4051999999999998</c:v>
                </c:pt>
                <c:pt idx="14">
                  <c:v>3.7951999999999999</c:v>
                </c:pt>
                <c:pt idx="15">
                  <c:v>3.9255</c:v>
                </c:pt>
                <c:pt idx="16">
                  <c:v>3.6566999999999967</c:v>
                </c:pt>
                <c:pt idx="17">
                  <c:v>3.7163000000000004</c:v>
                </c:pt>
                <c:pt idx="18">
                  <c:v>4.2631999999999985</c:v>
                </c:pt>
                <c:pt idx="19">
                  <c:v>4.5161000000000007</c:v>
                </c:pt>
                <c:pt idx="20">
                  <c:v>4.4558999999999997</c:v>
                </c:pt>
                <c:pt idx="21">
                  <c:v>4.9438000000000004</c:v>
                </c:pt>
                <c:pt idx="22">
                  <c:v>4.9577999999999998</c:v>
                </c:pt>
                <c:pt idx="23">
                  <c:v>4.1991999999999985</c:v>
                </c:pt>
                <c:pt idx="24">
                  <c:v>4.1603999999999965</c:v>
                </c:pt>
                <c:pt idx="25">
                  <c:v>5.0020999999999995</c:v>
                </c:pt>
                <c:pt idx="26">
                  <c:v>6.2252000000000001</c:v>
                </c:pt>
                <c:pt idx="27">
                  <c:v>5.4969999999999999</c:v>
                </c:pt>
                <c:pt idx="28">
                  <c:v>5.4247999999999985</c:v>
                </c:pt>
                <c:pt idx="29">
                  <c:v>5.0253999999999985</c:v>
                </c:pt>
                <c:pt idx="30">
                  <c:v>5.8318999999999992</c:v>
                </c:pt>
                <c:pt idx="31">
                  <c:v>6.1846999999999985</c:v>
                </c:pt>
                <c:pt idx="32">
                  <c:v>6.7573999999999996</c:v>
                </c:pt>
                <c:pt idx="33">
                  <c:v>7.0561000000000007</c:v>
                </c:pt>
                <c:pt idx="34">
                  <c:v>7.2969999999999997</c:v>
                </c:pt>
                <c:pt idx="35">
                  <c:v>6.0876999999999999</c:v>
                </c:pt>
                <c:pt idx="36">
                  <c:v>6.5333999999999994</c:v>
                </c:pt>
                <c:pt idx="37">
                  <c:v>6.4702000000000135</c:v>
                </c:pt>
              </c:numCache>
            </c:numRef>
          </c:val>
        </c:ser>
        <c:gapWidth val="0"/>
        <c:overlap val="100"/>
        <c:axId val="205798784"/>
        <c:axId val="214135936"/>
      </c:barChart>
      <c:catAx>
        <c:axId val="20579878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135936"/>
        <c:crosses val="autoZero"/>
        <c:auto val="1"/>
        <c:lblAlgn val="ctr"/>
        <c:lblOffset val="0"/>
        <c:tickLblSkip val="3"/>
        <c:tickMarkSkip val="1"/>
        <c:noMultiLvlLbl val="1"/>
      </c:catAx>
      <c:valAx>
        <c:axId val="214135936"/>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05798784"/>
        <c:crosses val="autoZero"/>
        <c:crossBetween val="between"/>
      </c:valAx>
      <c:spPr>
        <a:noFill/>
        <a:ln w="6350">
          <a:solidFill>
            <a:sysClr val="window" lastClr="FFFFFF">
              <a:lumMod val="85000"/>
            </a:sysClr>
          </a:solidFill>
        </a:ln>
      </c:spPr>
    </c:plotArea>
    <c:legend>
      <c:legendPos val="b"/>
      <c:layout>
        <c:manualLayout>
          <c:xMode val="edge"/>
          <c:yMode val="edge"/>
          <c:x val="0.35253820716982387"/>
          <c:y val="5.9135416666666704E-2"/>
          <c:w val="0.32735208153947887"/>
          <c:h val="0.13589057465377349"/>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133"/>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23.79111653080848</c:v>
                </c:pt>
                <c:pt idx="1">
                  <c:v>16.303319252736486</c:v>
                </c:pt>
                <c:pt idx="2">
                  <c:v>-10.030406266700316</c:v>
                </c:pt>
                <c:pt idx="3">
                  <c:v>23.442731882939764</c:v>
                </c:pt>
                <c:pt idx="4">
                  <c:v>-7.7607645725928895</c:v>
                </c:pt>
                <c:pt idx="5">
                  <c:v>-6.9088604826333295</c:v>
                </c:pt>
                <c:pt idx="6">
                  <c:v>12.370963601573749</c:v>
                </c:pt>
                <c:pt idx="7">
                  <c:v>-12.313483863270196</c:v>
                </c:pt>
                <c:pt idx="8">
                  <c:v>-1.9833940229647311</c:v>
                </c:pt>
                <c:pt idx="9">
                  <c:v>-5.9864011530783534</c:v>
                </c:pt>
                <c:pt idx="10">
                  <c:v>-14.202491189108457</c:v>
                </c:pt>
                <c:pt idx="11">
                  <c:v>-3.1584074835181783</c:v>
                </c:pt>
                <c:pt idx="12">
                  <c:v>-33.394523660128016</c:v>
                </c:pt>
                <c:pt idx="13">
                  <c:v>-24.029691721594901</c:v>
                </c:pt>
                <c:pt idx="14">
                  <c:v>-18.176028334403796</c:v>
                </c:pt>
                <c:pt idx="15">
                  <c:v>-27.945614994223117</c:v>
                </c:pt>
                <c:pt idx="16">
                  <c:v>-21.391635432792171</c:v>
                </c:pt>
                <c:pt idx="17">
                  <c:v>-16.346865327123488</c:v>
                </c:pt>
                <c:pt idx="18">
                  <c:v>-10.825335469544555</c:v>
                </c:pt>
                <c:pt idx="19">
                  <c:v>-8.1960468240150508</c:v>
                </c:pt>
                <c:pt idx="20">
                  <c:v>-6.3031473533845599</c:v>
                </c:pt>
                <c:pt idx="21">
                  <c:v>-14.308011568483735</c:v>
                </c:pt>
                <c:pt idx="22">
                  <c:v>0.60583753019338549</c:v>
                </c:pt>
                <c:pt idx="23">
                  <c:v>1.9165677565974022</c:v>
                </c:pt>
                <c:pt idx="24">
                  <c:v>13.692854422599737</c:v>
                </c:pt>
                <c:pt idx="25">
                  <c:v>19.101600848122111</c:v>
                </c:pt>
                <c:pt idx="26">
                  <c:v>39.151171274092746</c:v>
                </c:pt>
                <c:pt idx="27">
                  <c:v>24.239539795263827</c:v>
                </c:pt>
                <c:pt idx="28">
                  <c:v>24.411712460886534</c:v>
                </c:pt>
                <c:pt idx="29">
                  <c:v>21.704120568177817</c:v>
                </c:pt>
                <c:pt idx="30">
                  <c:v>9.4647702983838826</c:v>
                </c:pt>
                <c:pt idx="31">
                  <c:v>21.045899081122375</c:v>
                </c:pt>
                <c:pt idx="32">
                  <c:v>21.964838946813828</c:v>
                </c:pt>
                <c:pt idx="33">
                  <c:v>18.730710358915886</c:v>
                </c:pt>
                <c:pt idx="34">
                  <c:v>20.749385019170987</c:v>
                </c:pt>
                <c:pt idx="35">
                  <c:v>19.843329868805327</c:v>
                </c:pt>
                <c:pt idx="36">
                  <c:v>18.478818714876695</c:v>
                </c:pt>
                <c:pt idx="37">
                  <c:v>5.7772111571870095</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0.72941457319940661</c:v>
                </c:pt>
                <c:pt idx="1">
                  <c:v>11.501446210841184</c:v>
                </c:pt>
                <c:pt idx="2">
                  <c:v>7.2242593021789885</c:v>
                </c:pt>
                <c:pt idx="3">
                  <c:v>5.9518270417999872</c:v>
                </c:pt>
                <c:pt idx="4">
                  <c:v>7.6631635509747298</c:v>
                </c:pt>
                <c:pt idx="5">
                  <c:v>4.1667494924265513</c:v>
                </c:pt>
                <c:pt idx="6">
                  <c:v>-2.905987342334464</c:v>
                </c:pt>
                <c:pt idx="7">
                  <c:v>0.66020795835841506</c:v>
                </c:pt>
                <c:pt idx="8">
                  <c:v>2.6552159901434247</c:v>
                </c:pt>
                <c:pt idx="9">
                  <c:v>4.7668507496946324</c:v>
                </c:pt>
                <c:pt idx="10">
                  <c:v>2.1503115905022612</c:v>
                </c:pt>
                <c:pt idx="11">
                  <c:v>1.545056404918786</c:v>
                </c:pt>
                <c:pt idx="12">
                  <c:v>0.20352795493968737</c:v>
                </c:pt>
                <c:pt idx="13">
                  <c:v>-5.3949215197820255</c:v>
                </c:pt>
                <c:pt idx="14">
                  <c:v>-1.011214926330922</c:v>
                </c:pt>
                <c:pt idx="15">
                  <c:v>-4.0973738909285684</c:v>
                </c:pt>
                <c:pt idx="16">
                  <c:v>-3.0041535795613896</c:v>
                </c:pt>
                <c:pt idx="17">
                  <c:v>-3.4688701258034991</c:v>
                </c:pt>
                <c:pt idx="18">
                  <c:v>-8.5668640063661208</c:v>
                </c:pt>
                <c:pt idx="19">
                  <c:v>-6.9397572655772137</c:v>
                </c:pt>
                <c:pt idx="20">
                  <c:v>-9.9545426817202713</c:v>
                </c:pt>
                <c:pt idx="21">
                  <c:v>-7.9077790320094721</c:v>
                </c:pt>
                <c:pt idx="22">
                  <c:v>-10.534394711647252</c:v>
                </c:pt>
                <c:pt idx="23">
                  <c:v>-4.9733235664771414</c:v>
                </c:pt>
                <c:pt idx="24">
                  <c:v>-11.022936564445329</c:v>
                </c:pt>
                <c:pt idx="25">
                  <c:v>-3.8049029073399225</c:v>
                </c:pt>
                <c:pt idx="26">
                  <c:v>-10.309616299397277</c:v>
                </c:pt>
                <c:pt idx="27">
                  <c:v>-2.5236295271960998</c:v>
                </c:pt>
                <c:pt idx="28">
                  <c:v>0.40834454119067365</c:v>
                </c:pt>
                <c:pt idx="29">
                  <c:v>-1.9598868356647201</c:v>
                </c:pt>
                <c:pt idx="30">
                  <c:v>4.9022551093604818</c:v>
                </c:pt>
                <c:pt idx="31">
                  <c:v>8.2624076457907467</c:v>
                </c:pt>
                <c:pt idx="32">
                  <c:v>8.0525931406786508</c:v>
                </c:pt>
                <c:pt idx="33">
                  <c:v>8.4630590098657521</c:v>
                </c:pt>
                <c:pt idx="34">
                  <c:v>11.62501984458936</c:v>
                </c:pt>
                <c:pt idx="35">
                  <c:v>5.6929849432208925</c:v>
                </c:pt>
                <c:pt idx="36">
                  <c:v>19.391372843136509</c:v>
                </c:pt>
                <c:pt idx="37">
                  <c:v>13.638581876292868</c:v>
                </c:pt>
              </c:numCache>
            </c:numRef>
          </c:val>
        </c:ser>
        <c:gapWidth val="48"/>
        <c:overlap val="100"/>
        <c:axId val="214607744"/>
        <c:axId val="214622208"/>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24.520531104007887</c:v>
                </c:pt>
                <c:pt idx="1">
                  <c:v>27.804765463577638</c:v>
                </c:pt>
                <c:pt idx="2">
                  <c:v>-2.8061469645212815</c:v>
                </c:pt>
                <c:pt idx="3">
                  <c:v>29.394558924739897</c:v>
                </c:pt>
                <c:pt idx="4">
                  <c:v>-9.7601021618160644E-2</c:v>
                </c:pt>
                <c:pt idx="5">
                  <c:v>-2.7421109902067542</c:v>
                </c:pt>
                <c:pt idx="6">
                  <c:v>9.464976259239327</c:v>
                </c:pt>
                <c:pt idx="7">
                  <c:v>-11.653275904911768</c:v>
                </c:pt>
                <c:pt idx="8">
                  <c:v>0.67182196717870457</c:v>
                </c:pt>
                <c:pt idx="9">
                  <c:v>-1.2195504033837221</c:v>
                </c:pt>
                <c:pt idx="10">
                  <c:v>-12.052179598606253</c:v>
                </c:pt>
                <c:pt idx="11">
                  <c:v>-1.6133510785994076</c:v>
                </c:pt>
                <c:pt idx="12">
                  <c:v>-33.190995705188413</c:v>
                </c:pt>
                <c:pt idx="13">
                  <c:v>-29.424613241376836</c:v>
                </c:pt>
                <c:pt idx="14">
                  <c:v>-19.187243260734689</c:v>
                </c:pt>
                <c:pt idx="15">
                  <c:v>-32.042988885151885</c:v>
                </c:pt>
                <c:pt idx="16">
                  <c:v>-24.395789012353529</c:v>
                </c:pt>
                <c:pt idx="17">
                  <c:v>-19.815735452926926</c:v>
                </c:pt>
                <c:pt idx="18">
                  <c:v>-19.392199475910672</c:v>
                </c:pt>
                <c:pt idx="19">
                  <c:v>-15.135804089592256</c:v>
                </c:pt>
                <c:pt idx="20">
                  <c:v>-16.257690035104787</c:v>
                </c:pt>
                <c:pt idx="21">
                  <c:v>-22.215790600493186</c:v>
                </c:pt>
                <c:pt idx="22">
                  <c:v>-9.9285571814538489</c:v>
                </c:pt>
                <c:pt idx="23">
                  <c:v>-3.0567558098797218</c:v>
                </c:pt>
                <c:pt idx="24">
                  <c:v>2.6699178581544616</c:v>
                </c:pt>
                <c:pt idx="25">
                  <c:v>15.29669794078225</c:v>
                </c:pt>
                <c:pt idx="26">
                  <c:v>28.84155497469553</c:v>
                </c:pt>
                <c:pt idx="27">
                  <c:v>21.715910268067802</c:v>
                </c:pt>
                <c:pt idx="28">
                  <c:v>24.820057002077206</c:v>
                </c:pt>
                <c:pt idx="29">
                  <c:v>19.744233732513088</c:v>
                </c:pt>
                <c:pt idx="30">
                  <c:v>14.367025407744364</c:v>
                </c:pt>
                <c:pt idx="31">
                  <c:v>29.308306726913173</c:v>
                </c:pt>
                <c:pt idx="32">
                  <c:v>30.017432087492491</c:v>
                </c:pt>
                <c:pt idx="33">
                  <c:v>27.193769368781602</c:v>
                </c:pt>
                <c:pt idx="34">
                  <c:v>32.374404863760091</c:v>
                </c:pt>
                <c:pt idx="35">
                  <c:v>25.536314812026319</c:v>
                </c:pt>
                <c:pt idx="36">
                  <c:v>37.87019155801304</c:v>
                </c:pt>
                <c:pt idx="37">
                  <c:v>19.415793033479819</c:v>
                </c:pt>
              </c:numCache>
            </c:numRef>
          </c:val>
        </c:ser>
        <c:marker val="1"/>
        <c:axId val="214607744"/>
        <c:axId val="214622208"/>
      </c:lineChart>
      <c:catAx>
        <c:axId val="21460774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622208"/>
        <c:crosses val="autoZero"/>
        <c:auto val="1"/>
        <c:lblAlgn val="ctr"/>
        <c:lblOffset val="0"/>
        <c:tickLblSkip val="2"/>
        <c:tickMarkSkip val="1"/>
        <c:noMultiLvlLbl val="1"/>
      </c:catAx>
      <c:valAx>
        <c:axId val="214622208"/>
        <c:scaling>
          <c:orientation val="minMax"/>
          <c:max val="5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607744"/>
        <c:crosses val="autoZero"/>
        <c:crossBetween val="between"/>
        <c:majorUnit val="10"/>
      </c:valAx>
      <c:spPr>
        <a:noFill/>
        <a:ln w="6350">
          <a:solidFill>
            <a:sysClr val="window" lastClr="FFFFFF">
              <a:lumMod val="85000"/>
            </a:sysClr>
          </a:solidFill>
        </a:ln>
      </c:spPr>
    </c:plotArea>
    <c:legend>
      <c:legendPos val="b"/>
      <c:layout>
        <c:manualLayout>
          <c:xMode val="edge"/>
          <c:yMode val="edge"/>
          <c:x val="0.14501136089139549"/>
          <c:y val="5.2577546296296303E-2"/>
          <c:w val="0.51595192336378826"/>
          <c:h val="0.1650862268518518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796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101.47579693034238</c:v>
                </c:pt>
                <c:pt idx="1">
                  <c:v>104.30932703659937</c:v>
                </c:pt>
                <c:pt idx="2">
                  <c:v>102.96002698600122</c:v>
                </c:pt>
                <c:pt idx="3">
                  <c:v>102.64800134930006</c:v>
                </c:pt>
                <c:pt idx="4">
                  <c:v>100.98667566200039</c:v>
                </c:pt>
                <c:pt idx="5">
                  <c:v>100.49755439365832</c:v>
                </c:pt>
                <c:pt idx="6">
                  <c:v>101.15533816832473</c:v>
                </c:pt>
                <c:pt idx="7">
                  <c:v>101.65289256198315</c:v>
                </c:pt>
                <c:pt idx="8">
                  <c:v>102.42030696576154</c:v>
                </c:pt>
                <c:pt idx="9">
                  <c:v>101.66132568729979</c:v>
                </c:pt>
                <c:pt idx="10">
                  <c:v>102.85039635688938</c:v>
                </c:pt>
                <c:pt idx="11">
                  <c:v>102.06611570247935</c:v>
                </c:pt>
                <c:pt idx="12">
                  <c:v>102.15044695564157</c:v>
                </c:pt>
                <c:pt idx="13">
                  <c:v>97.343565525383724</c:v>
                </c:pt>
                <c:pt idx="14">
                  <c:v>102.40344071512905</c:v>
                </c:pt>
                <c:pt idx="15">
                  <c:v>97.023106763366513</c:v>
                </c:pt>
                <c:pt idx="16">
                  <c:v>96.744813627930867</c:v>
                </c:pt>
                <c:pt idx="17">
                  <c:v>95.319615449485596</c:v>
                </c:pt>
                <c:pt idx="18">
                  <c:v>92.190925957159678</c:v>
                </c:pt>
                <c:pt idx="19">
                  <c:v>93.928149772305602</c:v>
                </c:pt>
                <c:pt idx="20">
                  <c:v>92.072862202732026</c:v>
                </c:pt>
                <c:pt idx="21">
                  <c:v>92.747512228031695</c:v>
                </c:pt>
                <c:pt idx="22">
                  <c:v>93.059537864732619</c:v>
                </c:pt>
                <c:pt idx="23">
                  <c:v>96.930342384887808</c:v>
                </c:pt>
                <c:pt idx="24">
                  <c:v>93.919716646989372</c:v>
                </c:pt>
                <c:pt idx="25">
                  <c:v>95.24371732163938</c:v>
                </c:pt>
                <c:pt idx="26">
                  <c:v>95.522010457075382</c:v>
                </c:pt>
                <c:pt idx="27">
                  <c:v>95.977399224152464</c:v>
                </c:pt>
                <c:pt idx="28">
                  <c:v>97.731489289931105</c:v>
                </c:pt>
                <c:pt idx="29">
                  <c:v>95.943666722887627</c:v>
                </c:pt>
                <c:pt idx="30">
                  <c:v>97.292966773486071</c:v>
                </c:pt>
                <c:pt idx="31">
                  <c:v>100.08433125316245</c:v>
                </c:pt>
                <c:pt idx="32">
                  <c:v>98.743464327879934</c:v>
                </c:pt>
                <c:pt idx="33">
                  <c:v>99.763872491145236</c:v>
                </c:pt>
                <c:pt idx="34">
                  <c:v>100.6999494012484</c:v>
                </c:pt>
                <c:pt idx="35">
                  <c:v>100.89391128352165</c:v>
                </c:pt>
                <c:pt idx="36">
                  <c:v>107.88497217068608</c:v>
                </c:pt>
                <c:pt idx="37" formatCode="General">
                  <c:v>105.56586270871988</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102.08794125453399</c:v>
                </c:pt>
                <c:pt idx="1">
                  <c:v>104.56515969211743</c:v>
                </c:pt>
                <c:pt idx="2">
                  <c:v>103.28231442979742</c:v>
                </c:pt>
                <c:pt idx="3">
                  <c:v>103.74236928249137</c:v>
                </c:pt>
                <c:pt idx="4">
                  <c:v>102.1233300893566</c:v>
                </c:pt>
                <c:pt idx="5">
                  <c:v>103.24692559497497</c:v>
                </c:pt>
                <c:pt idx="6">
                  <c:v>101.08820667079534</c:v>
                </c:pt>
                <c:pt idx="7">
                  <c:v>104.34397947447579</c:v>
                </c:pt>
                <c:pt idx="8">
                  <c:v>103.86623020437052</c:v>
                </c:pt>
                <c:pt idx="9">
                  <c:v>102.74263469875252</c:v>
                </c:pt>
                <c:pt idx="10">
                  <c:v>104.81288153587541</c:v>
                </c:pt>
                <c:pt idx="11">
                  <c:v>104.06971600460051</c:v>
                </c:pt>
                <c:pt idx="12">
                  <c:v>102.2206493851192</c:v>
                </c:pt>
                <c:pt idx="13">
                  <c:v>102.66300982040144</c:v>
                </c:pt>
                <c:pt idx="14">
                  <c:v>109.14801380164556</c:v>
                </c:pt>
                <c:pt idx="15">
                  <c:v>99.336459347075973</c:v>
                </c:pt>
                <c:pt idx="16">
                  <c:v>99.239140051313797</c:v>
                </c:pt>
                <c:pt idx="17">
                  <c:v>96.487658143855583</c:v>
                </c:pt>
                <c:pt idx="18">
                  <c:v>96.372644430682058</c:v>
                </c:pt>
                <c:pt idx="19">
                  <c:v>98.628682650623347</c:v>
                </c:pt>
                <c:pt idx="20">
                  <c:v>96.646907900557338</c:v>
                </c:pt>
                <c:pt idx="21">
                  <c:v>95.912589577988101</c:v>
                </c:pt>
                <c:pt idx="22">
                  <c:v>99.416084225426843</c:v>
                </c:pt>
                <c:pt idx="23">
                  <c:v>103.58311952578957</c:v>
                </c:pt>
                <c:pt idx="24">
                  <c:v>101.58365035831191</c:v>
                </c:pt>
                <c:pt idx="25">
                  <c:v>102.31796868088119</c:v>
                </c:pt>
                <c:pt idx="26">
                  <c:v>102.3268158895866</c:v>
                </c:pt>
                <c:pt idx="27">
                  <c:v>101.84906661948148</c:v>
                </c:pt>
                <c:pt idx="28">
                  <c:v>103.24692559497494</c:v>
                </c:pt>
                <c:pt idx="29">
                  <c:v>104.37936830929817</c:v>
                </c:pt>
                <c:pt idx="30">
                  <c:v>103.68043882155128</c:v>
                </c:pt>
                <c:pt idx="31">
                  <c:v>104.37936830929817</c:v>
                </c:pt>
                <c:pt idx="32">
                  <c:v>104.89250641422625</c:v>
                </c:pt>
                <c:pt idx="33">
                  <c:v>104.42360435282643</c:v>
                </c:pt>
                <c:pt idx="34">
                  <c:v>104.35282668318141</c:v>
                </c:pt>
                <c:pt idx="35">
                  <c:v>104.83942316199254</c:v>
                </c:pt>
                <c:pt idx="36">
                  <c:v>114.25285322480752</c:v>
                </c:pt>
                <c:pt idx="37" formatCode="General">
                  <c:v>108.90913916659287</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99.878484089010414</c:v>
                </c:pt>
                <c:pt idx="1">
                  <c:v>103.63788258525101</c:v>
                </c:pt>
                <c:pt idx="2">
                  <c:v>102.14171793119164</c:v>
                </c:pt>
                <c:pt idx="3">
                  <c:v>99.756968178020614</c:v>
                </c:pt>
                <c:pt idx="4">
                  <c:v>97.972203235361135</c:v>
                </c:pt>
                <c:pt idx="5">
                  <c:v>93.172324751272129</c:v>
                </c:pt>
                <c:pt idx="6">
                  <c:v>101.34426976532285</c:v>
                </c:pt>
                <c:pt idx="7">
                  <c:v>94.478620794410276</c:v>
                </c:pt>
                <c:pt idx="8">
                  <c:v>98.572188045872252</c:v>
                </c:pt>
                <c:pt idx="9">
                  <c:v>98.777246145667206</c:v>
                </c:pt>
                <c:pt idx="10">
                  <c:v>97.622844991266049</c:v>
                </c:pt>
                <c:pt idx="11">
                  <c:v>96.7570441254652</c:v>
                </c:pt>
                <c:pt idx="12">
                  <c:v>99.74177868914748</c:v>
                </c:pt>
                <c:pt idx="13">
                  <c:v>87.14209766841347</c:v>
                </c:pt>
                <c:pt idx="14">
                  <c:v>89.93696362117457</c:v>
                </c:pt>
                <c:pt idx="15">
                  <c:v>91.349586086428189</c:v>
                </c:pt>
                <c:pt idx="16">
                  <c:v>90.810359231411852</c:v>
                </c:pt>
                <c:pt idx="17">
                  <c:v>91.40274929748584</c:v>
                </c:pt>
                <c:pt idx="18">
                  <c:v>83.838383838383464</c:v>
                </c:pt>
                <c:pt idx="19">
                  <c:v>84.742158426368931</c:v>
                </c:pt>
                <c:pt idx="20">
                  <c:v>83.101693628009599</c:v>
                </c:pt>
                <c:pt idx="21">
                  <c:v>85.904154325207301</c:v>
                </c:pt>
                <c:pt idx="22">
                  <c:v>81.400470874155019</c:v>
                </c:pt>
                <c:pt idx="23">
                  <c:v>84.734563681932698</c:v>
                </c:pt>
                <c:pt idx="24">
                  <c:v>80.306827675248726</c:v>
                </c:pt>
                <c:pt idx="25">
                  <c:v>82.471329839750879</c:v>
                </c:pt>
                <c:pt idx="26">
                  <c:v>83.139667350193648</c:v>
                </c:pt>
                <c:pt idx="27">
                  <c:v>84.962406015037601</c:v>
                </c:pt>
                <c:pt idx="28">
                  <c:v>87.195260879471419</c:v>
                </c:pt>
                <c:pt idx="29">
                  <c:v>81.157439052175889</c:v>
                </c:pt>
                <c:pt idx="30">
                  <c:v>85.486443381180237</c:v>
                </c:pt>
                <c:pt idx="31">
                  <c:v>91.28882813093314</c:v>
                </c:pt>
                <c:pt idx="32">
                  <c:v>87.240829346092525</c:v>
                </c:pt>
                <c:pt idx="33">
                  <c:v>90.438216754006234</c:v>
                </c:pt>
                <c:pt idx="34">
                  <c:v>92.822966507177043</c:v>
                </c:pt>
                <c:pt idx="35">
                  <c:v>92.595124174071557</c:v>
                </c:pt>
                <c:pt idx="36">
                  <c:v>96.726665147717796</c:v>
                </c:pt>
                <c:pt idx="37" formatCode="General">
                  <c:v>97.713981924508261</c:v>
                </c:pt>
              </c:numCache>
            </c:numRef>
          </c:val>
        </c:ser>
        <c:marker val="1"/>
        <c:axId val="214045440"/>
        <c:axId val="214046976"/>
      </c:lineChart>
      <c:catAx>
        <c:axId val="21404544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214046976"/>
        <c:crosses val="autoZero"/>
        <c:auto val="1"/>
        <c:lblAlgn val="ctr"/>
        <c:lblOffset val="0"/>
        <c:tickLblSkip val="2"/>
        <c:tickMarkSkip val="1"/>
        <c:noMultiLvlLbl val="1"/>
      </c:catAx>
      <c:valAx>
        <c:axId val="214046976"/>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045440"/>
        <c:crosses val="autoZero"/>
        <c:crossBetween val="between"/>
      </c:valAx>
      <c:spPr>
        <a:noFill/>
        <a:ln w="6350">
          <a:solidFill>
            <a:sysClr val="window" lastClr="FFFFFF">
              <a:lumMod val="85000"/>
            </a:sysClr>
          </a:solidFill>
        </a:ln>
      </c:spPr>
    </c:plotArea>
    <c:legend>
      <c:legendPos val="b"/>
      <c:layout>
        <c:manualLayout>
          <c:xMode val="edge"/>
          <c:yMode val="edge"/>
          <c:x val="0.38484062714996797"/>
          <c:y val="3.761747685185185E-2"/>
          <c:w val="0.45080477616355402"/>
          <c:h val="0.1832881944444496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679"/>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103.16</c:v>
                </c:pt>
                <c:pt idx="1">
                  <c:v>125.59</c:v>
                </c:pt>
                <c:pt idx="2">
                  <c:v>129.99</c:v>
                </c:pt>
                <c:pt idx="3">
                  <c:v>119.46000000000002</c:v>
                </c:pt>
                <c:pt idx="4">
                  <c:v>110.61</c:v>
                </c:pt>
                <c:pt idx="5">
                  <c:v>101.91000000000012</c:v>
                </c:pt>
                <c:pt idx="6">
                  <c:v>112.53</c:v>
                </c:pt>
                <c:pt idx="7">
                  <c:v>114.64999999999999</c:v>
                </c:pt>
                <c:pt idx="8">
                  <c:v>133.28</c:v>
                </c:pt>
                <c:pt idx="9">
                  <c:v>154.34</c:v>
                </c:pt>
                <c:pt idx="10">
                  <c:v>136.97999999999999</c:v>
                </c:pt>
                <c:pt idx="11">
                  <c:v>116.33</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82.84</c:v>
                </c:pt>
                <c:pt idx="1">
                  <c:v>81.7</c:v>
                </c:pt>
                <c:pt idx="2">
                  <c:v>94.05</c:v>
                </c:pt>
                <c:pt idx="3">
                  <c:v>91.57</c:v>
                </c:pt>
                <c:pt idx="4">
                  <c:v>90.32</c:v>
                </c:pt>
                <c:pt idx="5">
                  <c:v>91.98</c:v>
                </c:pt>
                <c:pt idx="6">
                  <c:v>79.649999999999991</c:v>
                </c:pt>
                <c:pt idx="7">
                  <c:v>95.9</c:v>
                </c:pt>
                <c:pt idx="8">
                  <c:v>106.16999999999999</c:v>
                </c:pt>
                <c:pt idx="9">
                  <c:v>132.44999999999999</c:v>
                </c:pt>
                <c:pt idx="10">
                  <c:v>132.16</c:v>
                </c:pt>
                <c:pt idx="11">
                  <c:v>110.26</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75.28</c:v>
                </c:pt>
                <c:pt idx="1">
                  <c:v>87.27</c:v>
                </c:pt>
                <c:pt idx="2">
                  <c:v>92.42</c:v>
                </c:pt>
                <c:pt idx="3">
                  <c:v>92.7</c:v>
                </c:pt>
                <c:pt idx="4">
                  <c:v>99.81</c:v>
                </c:pt>
                <c:pt idx="5">
                  <c:v>94.92</c:v>
                </c:pt>
                <c:pt idx="6">
                  <c:v>92.11</c:v>
                </c:pt>
                <c:pt idx="7">
                  <c:v>115.01</c:v>
                </c:pt>
                <c:pt idx="8">
                  <c:v>101.74000000000002</c:v>
                </c:pt>
                <c:pt idx="9">
                  <c:v>133.88000000000039</c:v>
                </c:pt>
                <c:pt idx="10">
                  <c:v>135.63999999999999</c:v>
                </c:pt>
                <c:pt idx="11">
                  <c:v>129.83000000000001</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75.72</c:v>
                </c:pt>
                <c:pt idx="1">
                  <c:v>81.260000000000005</c:v>
                </c:pt>
              </c:numCache>
            </c:numRef>
          </c:val>
        </c:ser>
        <c:marker val="1"/>
        <c:axId val="214855680"/>
        <c:axId val="214857216"/>
      </c:lineChart>
      <c:catAx>
        <c:axId val="21485568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857216"/>
        <c:crosses val="autoZero"/>
        <c:auto val="1"/>
        <c:lblAlgn val="ctr"/>
        <c:lblOffset val="0"/>
        <c:tickMarkSkip val="1"/>
      </c:catAx>
      <c:valAx>
        <c:axId val="214857216"/>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855680"/>
        <c:crosses val="autoZero"/>
        <c:crossBetween val="between"/>
      </c:valAx>
      <c:spPr>
        <a:noFill/>
        <a:ln w="6350">
          <a:solidFill>
            <a:sysClr val="window" lastClr="FFFFFF">
              <a:lumMod val="85000"/>
            </a:sysClr>
          </a:solidFill>
        </a:ln>
      </c:spPr>
    </c:plotArea>
    <c:legend>
      <c:legendPos val="b"/>
      <c:layout>
        <c:manualLayout>
          <c:xMode val="edge"/>
          <c:yMode val="edge"/>
          <c:x val="0.62115300777314064"/>
          <c:y val="0.64213831018520062"/>
          <c:w val="0.35818544316576689"/>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Sheet1!$A$2:$B$37</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Sheet1!$C$2:$C$37</c:f>
              <c:numCache>
                <c:formatCode>0.0</c:formatCode>
                <c:ptCount val="36"/>
                <c:pt idx="0">
                  <c:v>108.61320336730176</c:v>
                </c:pt>
                <c:pt idx="1">
                  <c:v>118.12140008861323</c:v>
                </c:pt>
                <c:pt idx="2">
                  <c:v>119.14045192733722</c:v>
                </c:pt>
                <c:pt idx="3">
                  <c:v>113.37173238812552</c:v>
                </c:pt>
                <c:pt idx="4">
                  <c:v>102.45458573327427</c:v>
                </c:pt>
                <c:pt idx="5">
                  <c:v>101.03677447939749</c:v>
                </c:pt>
                <c:pt idx="6">
                  <c:v>107.72707133362833</c:v>
                </c:pt>
                <c:pt idx="7">
                  <c:v>99.796189632255221</c:v>
                </c:pt>
                <c:pt idx="8">
                  <c:v>101.4887018165703</c:v>
                </c:pt>
                <c:pt idx="9">
                  <c:v>106.38015064244574</c:v>
                </c:pt>
                <c:pt idx="10">
                  <c:v>102.71156402303966</c:v>
                </c:pt>
                <c:pt idx="11">
                  <c:v>93.664155959238215</c:v>
                </c:pt>
                <c:pt idx="12">
                  <c:v>93.274257864421628</c:v>
                </c:pt>
                <c:pt idx="13">
                  <c:v>86.663712893220776</c:v>
                </c:pt>
                <c:pt idx="14">
                  <c:v>87.408063801506444</c:v>
                </c:pt>
                <c:pt idx="15">
                  <c:v>90.261408949933596</c:v>
                </c:pt>
                <c:pt idx="16">
                  <c:v>86.504209127159953</c:v>
                </c:pt>
                <c:pt idx="17">
                  <c:v>87.753655294638932</c:v>
                </c:pt>
                <c:pt idx="18">
                  <c:v>73.052724856003223</c:v>
                </c:pt>
                <c:pt idx="19">
                  <c:v>80.522817899867078</c:v>
                </c:pt>
                <c:pt idx="20">
                  <c:v>83.491360212671708</c:v>
                </c:pt>
                <c:pt idx="21">
                  <c:v>91.457687195392126</c:v>
                </c:pt>
                <c:pt idx="22">
                  <c:v>93.557820115197202</c:v>
                </c:pt>
                <c:pt idx="23">
                  <c:v>89.41958351794419</c:v>
                </c:pt>
                <c:pt idx="24">
                  <c:v>84.864864864864884</c:v>
                </c:pt>
                <c:pt idx="25">
                  <c:v>89.003101462117897</c:v>
                </c:pt>
                <c:pt idx="26">
                  <c:v>89.490474080638037</c:v>
                </c:pt>
                <c:pt idx="27">
                  <c:v>92.786885245901672</c:v>
                </c:pt>
                <c:pt idx="28">
                  <c:v>97.74036331413383</c:v>
                </c:pt>
                <c:pt idx="29">
                  <c:v>95.143996455471878</c:v>
                </c:pt>
                <c:pt idx="30">
                  <c:v>93.389455028799219</c:v>
                </c:pt>
                <c:pt idx="31">
                  <c:v>101.39122729286666</c:v>
                </c:pt>
                <c:pt idx="32">
                  <c:v>84.430660168365407</c:v>
                </c:pt>
                <c:pt idx="33">
                  <c:v>99.707576428887904</c:v>
                </c:pt>
                <c:pt idx="34">
                  <c:v>100.02658396101042</c:v>
                </c:pt>
                <c:pt idx="35">
                  <c:v>110.89942401417812</c:v>
                </c:pt>
              </c:numCache>
            </c:numRef>
          </c:val>
        </c:ser>
        <c:marker val="1"/>
        <c:axId val="214655744"/>
        <c:axId val="214657280"/>
      </c:lineChart>
      <c:catAx>
        <c:axId val="21465574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657280"/>
        <c:crosses val="autoZero"/>
        <c:auto val="1"/>
        <c:lblAlgn val="ctr"/>
        <c:lblOffset val="0"/>
        <c:tickLblSkip val="2"/>
        <c:tickMarkSkip val="1"/>
        <c:noMultiLvlLbl val="1"/>
      </c:catAx>
      <c:valAx>
        <c:axId val="214657280"/>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465574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053542673107895E-2"/>
          <c:y val="3.6529680365296795E-2"/>
          <c:w val="0.91567995169086258"/>
          <c:h val="0.8016733150646917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2010</c:v>
                  </c:pt>
                </c:lvl>
              </c:multiLvlStrCache>
            </c:multiLvlStrRef>
          </c:cat>
          <c:val>
            <c:numRef>
              <c:f>Sheet1!$B$4:$AY$4</c:f>
              <c:numCache>
                <c:formatCode>0.000</c:formatCode>
                <c:ptCount val="38"/>
                <c:pt idx="0">
                  <c:v>8.7873462214416327E-4</c:v>
                </c:pt>
                <c:pt idx="1">
                  <c:v>6.9504778453519734E-3</c:v>
                </c:pt>
                <c:pt idx="2">
                  <c:v>-4.6985121378230167E-2</c:v>
                </c:pt>
                <c:pt idx="3">
                  <c:v>4.012841091492813E-3</c:v>
                </c:pt>
                <c:pt idx="4">
                  <c:v>-3.2713754646840232E-2</c:v>
                </c:pt>
                <c:pt idx="5">
                  <c:v>-6.2865497076023638E-2</c:v>
                </c:pt>
                <c:pt idx="6">
                  <c:v>-5.8823529411765624E-3</c:v>
                </c:pt>
                <c:pt idx="7">
                  <c:v>-4.5951859956236192E-2</c:v>
                </c:pt>
                <c:pt idx="8">
                  <c:v>-5.2018633540372929E-2</c:v>
                </c:pt>
                <c:pt idx="9">
                  <c:v>-7.3408239700374467E-2</c:v>
                </c:pt>
                <c:pt idx="10">
                  <c:v>-8.8748019017432705E-2</c:v>
                </c:pt>
                <c:pt idx="11">
                  <c:v>-0.12508638562543217</c:v>
                </c:pt>
                <c:pt idx="12">
                  <c:v>-0.13784021071115021</c:v>
                </c:pt>
                <c:pt idx="13">
                  <c:v>-0.21829163071613508</c:v>
                </c:pt>
                <c:pt idx="14">
                  <c:v>-0.16926869350862794</c:v>
                </c:pt>
                <c:pt idx="15">
                  <c:v>-0.17426059152677875</c:v>
                </c:pt>
                <c:pt idx="16">
                  <c:v>-0.18831667947732553</c:v>
                </c:pt>
                <c:pt idx="17">
                  <c:v>-0.13728549141965674</c:v>
                </c:pt>
                <c:pt idx="18">
                  <c:v>-0.20414201183431946</c:v>
                </c:pt>
                <c:pt idx="19">
                  <c:v>-0.20565749235474021</c:v>
                </c:pt>
                <c:pt idx="20">
                  <c:v>-0.21457821457821449</c:v>
                </c:pt>
                <c:pt idx="21">
                  <c:v>-0.19159256265157637</c:v>
                </c:pt>
                <c:pt idx="22">
                  <c:v>-0.20434782608695656</c:v>
                </c:pt>
                <c:pt idx="23">
                  <c:v>-0.15323854660347566</c:v>
                </c:pt>
                <c:pt idx="24">
                  <c:v>-9.5723014256619221E-2</c:v>
                </c:pt>
                <c:pt idx="25">
                  <c:v>-7.8366445916114857E-2</c:v>
                </c:pt>
                <c:pt idx="26">
                  <c:v>-6.3303659742828824E-2</c:v>
                </c:pt>
                <c:pt idx="27">
                  <c:v>-6.0019361084220804E-2</c:v>
                </c:pt>
                <c:pt idx="28">
                  <c:v>-1.2310606060606077E-2</c:v>
                </c:pt>
                <c:pt idx="29">
                  <c:v>-3.3453887884267557E-2</c:v>
                </c:pt>
                <c:pt idx="30">
                  <c:v>1.6728624535316008E-2</c:v>
                </c:pt>
                <c:pt idx="31">
                  <c:v>3.4648700673724657E-2</c:v>
                </c:pt>
                <c:pt idx="32">
                  <c:v>5.0052137643378514E-2</c:v>
                </c:pt>
                <c:pt idx="33">
                  <c:v>3.4999999999999934E-2</c:v>
                </c:pt>
                <c:pt idx="34">
                  <c:v>9.071038251366137E-2</c:v>
                </c:pt>
                <c:pt idx="35">
                  <c:v>8.3022388059701524E-2</c:v>
                </c:pt>
                <c:pt idx="36">
                  <c:v>-3.0405405405405539E-2</c:v>
                </c:pt>
                <c:pt idx="37">
                  <c:v>1.3173652694610698E-2</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2010</c:v>
                  </c:pt>
                </c:lvl>
              </c:multiLvlStrCache>
            </c:multiLvlStrRef>
          </c:cat>
          <c:val>
            <c:numRef>
              <c:f>Sheet1!$B$5:$AY$5</c:f>
              <c:numCache>
                <c:formatCode>0.000</c:formatCode>
                <c:ptCount val="38"/>
                <c:pt idx="0">
                  <c:v>-1.1418318244841411E-2</c:v>
                </c:pt>
                <c:pt idx="1">
                  <c:v>-1.6147540983606601E-2</c:v>
                </c:pt>
                <c:pt idx="2">
                  <c:v>-4.9704500681921504E-2</c:v>
                </c:pt>
                <c:pt idx="3">
                  <c:v>8.9176829268293959E-3</c:v>
                </c:pt>
                <c:pt idx="4">
                  <c:v>-5.3757307856837425E-2</c:v>
                </c:pt>
                <c:pt idx="5">
                  <c:v>-9.2611790724998352E-2</c:v>
                </c:pt>
                <c:pt idx="6">
                  <c:v>-5.6900978419263226E-2</c:v>
                </c:pt>
                <c:pt idx="7">
                  <c:v>-0.10012819647797054</c:v>
                </c:pt>
                <c:pt idx="8">
                  <c:v>-6.5145623945418549E-2</c:v>
                </c:pt>
                <c:pt idx="9">
                  <c:v>-0.12971845672575599</c:v>
                </c:pt>
                <c:pt idx="10">
                  <c:v>-0.16304504245215157</c:v>
                </c:pt>
                <c:pt idx="11">
                  <c:v>-0.12216966256701366</c:v>
                </c:pt>
                <c:pt idx="12">
                  <c:v>-0.19305337843412251</c:v>
                </c:pt>
                <c:pt idx="13">
                  <c:v>-0.26451720403232526</c:v>
                </c:pt>
                <c:pt idx="14">
                  <c:v>-0.26343485887418283</c:v>
                </c:pt>
                <c:pt idx="15">
                  <c:v>-0.28359900279519529</c:v>
                </c:pt>
                <c:pt idx="16">
                  <c:v>-0.2650693188667872</c:v>
                </c:pt>
                <c:pt idx="17">
                  <c:v>-0.2690227740117298</c:v>
                </c:pt>
                <c:pt idx="18">
                  <c:v>-0.27606504304319029</c:v>
                </c:pt>
                <c:pt idx="19">
                  <c:v>-0.2864962135412763</c:v>
                </c:pt>
                <c:pt idx="20">
                  <c:v>-0.29835988385780543</c:v>
                </c:pt>
                <c:pt idx="21">
                  <c:v>-0.28085310328301022</c:v>
                </c:pt>
                <c:pt idx="22">
                  <c:v>-0.28963204951856925</c:v>
                </c:pt>
                <c:pt idx="23">
                  <c:v>-0.29257077166259593</c:v>
                </c:pt>
                <c:pt idx="24">
                  <c:v>-0.18208772109191296</c:v>
                </c:pt>
                <c:pt idx="25">
                  <c:v>-0.13615768010874485</c:v>
                </c:pt>
                <c:pt idx="26">
                  <c:v>-6.4083134877679193E-2</c:v>
                </c:pt>
                <c:pt idx="27">
                  <c:v>-6.4958346514815912E-2</c:v>
                </c:pt>
                <c:pt idx="28">
                  <c:v>-5.1568587246257902E-2</c:v>
                </c:pt>
                <c:pt idx="29">
                  <c:v>-2.6258205689277895E-2</c:v>
                </c:pt>
                <c:pt idx="30">
                  <c:v>-2.6018904360199272E-2</c:v>
                </c:pt>
                <c:pt idx="31">
                  <c:v>3.457335014712061E-2</c:v>
                </c:pt>
                <c:pt idx="32">
                  <c:v>6.2856503746784531E-2</c:v>
                </c:pt>
                <c:pt idx="33">
                  <c:v>4.965011662779073E-2</c:v>
                </c:pt>
                <c:pt idx="34">
                  <c:v>8.6288273024325374E-2</c:v>
                </c:pt>
                <c:pt idx="35">
                  <c:v>8.7548242941296081E-2</c:v>
                </c:pt>
                <c:pt idx="36">
                  <c:v>9.3749999999999389E-3</c:v>
                </c:pt>
                <c:pt idx="37">
                  <c:v>3.6191974822974038E-2</c:v>
                </c:pt>
              </c:numCache>
            </c:numRef>
          </c:val>
        </c:ser>
        <c:ser>
          <c:idx val="3"/>
          <c:order val="3"/>
          <c:tx>
            <c:strRef>
              <c:f>Sheet1!$A$6</c:f>
              <c:strCache>
                <c:ptCount val="1"/>
                <c:pt idx="0">
                  <c:v>LT</c:v>
                </c:pt>
              </c:strCache>
            </c:strRef>
          </c:tx>
          <c:spPr>
            <a:solidFill>
              <a:sysClr val="window" lastClr="FFFFFF">
                <a:lumMod val="65000"/>
              </a:sysClr>
            </a:solidFill>
            <a:ln w="3175">
              <a:solidFill>
                <a:sysClr val="windowText" lastClr="000000"/>
              </a:solidFill>
              <a:prstDash val="solid"/>
            </a:ln>
          </c:spP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2010</c:v>
                  </c:pt>
                </c:lvl>
              </c:multiLvlStrCache>
            </c:multiLvlStrRef>
          </c:cat>
          <c:val>
            <c:numRef>
              <c:f>Sheet1!$B$6:$AY$6</c:f>
              <c:numCache>
                <c:formatCode>0.000</c:formatCode>
                <c:ptCount val="38"/>
                <c:pt idx="0">
                  <c:v>0.1086689934911801</c:v>
                </c:pt>
                <c:pt idx="1">
                  <c:v>0.17563451776649772</c:v>
                </c:pt>
                <c:pt idx="2">
                  <c:v>7.8647749167980216E-2</c:v>
                </c:pt>
                <c:pt idx="3">
                  <c:v>0.11908152367390544</c:v>
                </c:pt>
                <c:pt idx="4">
                  <c:v>5.2475979305247632E-2</c:v>
                </c:pt>
                <c:pt idx="5">
                  <c:v>1.4523156365983577E-2</c:v>
                </c:pt>
                <c:pt idx="6">
                  <c:v>5.5003576822192222E-2</c:v>
                </c:pt>
                <c:pt idx="7">
                  <c:v>-1.0587612493381249E-3</c:v>
                </c:pt>
                <c:pt idx="8">
                  <c:v>8.5238588385245905E-3</c:v>
                </c:pt>
                <c:pt idx="9">
                  <c:v>6.9584042059700555E-4</c:v>
                </c:pt>
                <c:pt idx="10">
                  <c:v>-1.2675940406617793E-2</c:v>
                </c:pt>
                <c:pt idx="11">
                  <c:v>-3.4528818540038635E-2</c:v>
                </c:pt>
                <c:pt idx="12">
                  <c:v>-0.16174593720752176</c:v>
                </c:pt>
                <c:pt idx="13">
                  <c:v>-0.20233160621761637</c:v>
                </c:pt>
                <c:pt idx="14">
                  <c:v>-0.21151347840207887</c:v>
                </c:pt>
                <c:pt idx="15">
                  <c:v>-0.18442818514394801</c:v>
                </c:pt>
                <c:pt idx="16">
                  <c:v>-0.19756554307116125</c:v>
                </c:pt>
                <c:pt idx="17">
                  <c:v>-0.19222204549069521</c:v>
                </c:pt>
                <c:pt idx="18">
                  <c:v>-0.19633843140209481</c:v>
                </c:pt>
                <c:pt idx="19">
                  <c:v>-0.19244454538572209</c:v>
                </c:pt>
                <c:pt idx="20">
                  <c:v>-0.25639810426540288</c:v>
                </c:pt>
                <c:pt idx="21">
                  <c:v>-0.25094645754461881</c:v>
                </c:pt>
                <c:pt idx="22">
                  <c:v>-0.27119633180491881</c:v>
                </c:pt>
                <c:pt idx="23">
                  <c:v>-0.26300498063088035</c:v>
                </c:pt>
                <c:pt idx="24">
                  <c:v>-0.17062525375558268</c:v>
                </c:pt>
                <c:pt idx="25">
                  <c:v>-0.16455559164230821</c:v>
                </c:pt>
                <c:pt idx="26">
                  <c:v>-8.9795077746885221E-2</c:v>
                </c:pt>
                <c:pt idx="27">
                  <c:v>-0.13437347635299859</c:v>
                </c:pt>
                <c:pt idx="28">
                  <c:v>-9.7043951769739456E-2</c:v>
                </c:pt>
                <c:pt idx="29">
                  <c:v>-8.1224771093827045E-2</c:v>
                </c:pt>
                <c:pt idx="30">
                  <c:v>-9.2903346770413522E-2</c:v>
                </c:pt>
                <c:pt idx="31">
                  <c:v>-6.1779319396268885E-2</c:v>
                </c:pt>
                <c:pt idx="32">
                  <c:v>-2.3369449755682417E-3</c:v>
                </c:pt>
                <c:pt idx="33">
                  <c:v>-6.7044868488912446E-3</c:v>
                </c:pt>
                <c:pt idx="34">
                  <c:v>4.0722946694120382E-2</c:v>
                </c:pt>
                <c:pt idx="35">
                  <c:v>2.3183780739628228E-2</c:v>
                </c:pt>
                <c:pt idx="36">
                  <c:v>3.9652429323216332E-2</c:v>
                </c:pt>
                <c:pt idx="37">
                  <c:v>6.1034080601269886E-2</c:v>
                </c:pt>
              </c:numCache>
            </c:numRef>
          </c:val>
        </c:ser>
        <c:axId val="147204736"/>
        <c:axId val="147419904"/>
      </c:barChart>
      <c:lineChart>
        <c:grouping val="standard"/>
        <c:ser>
          <c:idx val="1"/>
          <c:order val="0"/>
          <c:tx>
            <c:strRef>
              <c:f>Sheet1!$A$3</c:f>
              <c:strCache>
                <c:ptCount val="1"/>
                <c:pt idx="0">
                  <c:v>EU27</c:v>
                </c:pt>
              </c:strCache>
            </c:strRef>
          </c:tx>
          <c:spPr>
            <a:ln w="34925">
              <a:solidFill>
                <a:srgbClr val="000000"/>
              </a:solidFill>
              <a:prstDash val="solid"/>
            </a:ln>
          </c:spPr>
          <c:marker>
            <c:symbol val="diamond"/>
            <c:size val="7"/>
            <c:spPr>
              <a:solidFill>
                <a:sysClr val="window" lastClr="FFFFFF">
                  <a:lumMod val="95000"/>
                </a:sysClr>
              </a:solidFill>
              <a:ln>
                <a:solidFill>
                  <a:sysClr val="windowText" lastClr="000000"/>
                </a:solidFill>
              </a:ln>
            </c:spPr>
          </c:marke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2010</c:v>
                  </c:pt>
                </c:lvl>
              </c:multiLvlStrCache>
            </c:multiLvlStrRef>
          </c:cat>
          <c:val>
            <c:numRef>
              <c:f>Sheet1!$B$3:$AY$3</c:f>
              <c:numCache>
                <c:formatCode>0.000</c:formatCode>
                <c:ptCount val="38"/>
                <c:pt idx="0">
                  <c:v>2.4191225880771758E-2</c:v>
                </c:pt>
                <c:pt idx="1">
                  <c:v>3.239329268292699E-2</c:v>
                </c:pt>
                <c:pt idx="2">
                  <c:v>5.6587758181647629E-4</c:v>
                </c:pt>
                <c:pt idx="3">
                  <c:v>6.0583112457401923E-3</c:v>
                </c:pt>
                <c:pt idx="4">
                  <c:v>2.0277989337395209E-2</c:v>
                </c:pt>
                <c:pt idx="5">
                  <c:v>-2.1687883074021984E-3</c:v>
                </c:pt>
                <c:pt idx="6">
                  <c:v>-3.3006412674463433E-3</c:v>
                </c:pt>
                <c:pt idx="7">
                  <c:v>-5.6412185031966605E-3</c:v>
                </c:pt>
                <c:pt idx="8">
                  <c:v>-1.9749835418038158E-3</c:v>
                </c:pt>
                <c:pt idx="9">
                  <c:v>-1.156123695836076E-2</c:v>
                </c:pt>
                <c:pt idx="10">
                  <c:v>-9.3993796409437298E-3</c:v>
                </c:pt>
                <c:pt idx="11">
                  <c:v>-1.4950634696755961E-2</c:v>
                </c:pt>
                <c:pt idx="12">
                  <c:v>-1.3684506514199947E-2</c:v>
                </c:pt>
                <c:pt idx="13">
                  <c:v>-3.6637135474344877E-2</c:v>
                </c:pt>
                <c:pt idx="14">
                  <c:v>-2.2151003864643352E-2</c:v>
                </c:pt>
                <c:pt idx="15">
                  <c:v>-1.430184418517122E-2</c:v>
                </c:pt>
                <c:pt idx="16">
                  <c:v>-3.1445367173649506E-2</c:v>
                </c:pt>
                <c:pt idx="17">
                  <c:v>-1.7104517104516995E-2</c:v>
                </c:pt>
                <c:pt idx="18">
                  <c:v>-1.428706594758246E-2</c:v>
                </c:pt>
                <c:pt idx="19">
                  <c:v>-1.7208774583963755E-2</c:v>
                </c:pt>
                <c:pt idx="20">
                  <c:v>-2.2144741801733991E-2</c:v>
                </c:pt>
                <c:pt idx="21">
                  <c:v>-8.4632940281476332E-3</c:v>
                </c:pt>
                <c:pt idx="22">
                  <c:v>-1.3473764114242401E-2</c:v>
                </c:pt>
                <c:pt idx="23">
                  <c:v>-8.5910652920961894E-4</c:v>
                </c:pt>
                <c:pt idx="24">
                  <c:v>-1.2353891475814893E-2</c:v>
                </c:pt>
                <c:pt idx="25">
                  <c:v>2.107481559536337E-3</c:v>
                </c:pt>
                <c:pt idx="26">
                  <c:v>1.3302486986697561E-2</c:v>
                </c:pt>
                <c:pt idx="27">
                  <c:v>-5.3455517373043387E-3</c:v>
                </c:pt>
                <c:pt idx="28">
                  <c:v>1.0115606936416104E-2</c:v>
                </c:pt>
                <c:pt idx="29">
                  <c:v>1.1248918373233384E-2</c:v>
                </c:pt>
                <c:pt idx="30">
                  <c:v>1.1614513342292038E-2</c:v>
                </c:pt>
                <c:pt idx="31">
                  <c:v>1.4046565326149675E-2</c:v>
                </c:pt>
                <c:pt idx="32">
                  <c:v>1.4647778741447647E-2</c:v>
                </c:pt>
                <c:pt idx="33">
                  <c:v>1.0549534861417543E-2</c:v>
                </c:pt>
                <c:pt idx="34">
                  <c:v>1.3657785899778856E-2</c:v>
                </c:pt>
                <c:pt idx="35">
                  <c:v>4.6813795738989139E-3</c:v>
                </c:pt>
                <c:pt idx="36">
                  <c:v>1.6164726258058232E-2</c:v>
                </c:pt>
                <c:pt idx="37">
                  <c:v>8.1254182200554224E-3</c:v>
                </c:pt>
              </c:numCache>
            </c:numRef>
          </c:val>
        </c:ser>
        <c:marker val="1"/>
        <c:axId val="147204736"/>
        <c:axId val="147419904"/>
      </c:lineChart>
      <c:catAx>
        <c:axId val="14720473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7419904"/>
        <c:crosses val="autoZero"/>
        <c:auto val="1"/>
        <c:lblAlgn val="ctr"/>
        <c:lblOffset val="0"/>
        <c:tickLblSkip val="1"/>
        <c:tickMarkSkip val="1"/>
        <c:noMultiLvlLbl val="1"/>
      </c:catAx>
      <c:valAx>
        <c:axId val="147419904"/>
        <c:scaling>
          <c:orientation val="minMax"/>
          <c:max val="0.18000000000000024"/>
          <c:min val="-0.3600000000000003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7204736"/>
        <c:crosses val="autoZero"/>
        <c:crossBetween val="between"/>
        <c:majorUnit val="6.0000000000000032E-2"/>
      </c:valAx>
      <c:spPr>
        <a:solidFill>
          <a:sysClr val="window" lastClr="FFFFFF"/>
        </a:solidFill>
        <a:ln w="6350">
          <a:solidFill>
            <a:sysClr val="window" lastClr="FFFFFF">
              <a:lumMod val="75000"/>
            </a:sysClr>
          </a:solidFill>
        </a:ln>
      </c:spPr>
    </c:plotArea>
    <c:legend>
      <c:legendPos val="b"/>
      <c:layout>
        <c:manualLayout>
          <c:xMode val="edge"/>
          <c:yMode val="edge"/>
          <c:x val="0.50675664251207764"/>
          <c:y val="6.2377929631044035E-2"/>
          <c:w val="0.29449275362318839"/>
          <c:h val="0.14605200781620606"/>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7.7822999999999993</c:v>
                </c:pt>
                <c:pt idx="1">
                  <c:v>6.9801000000000002</c:v>
                </c:pt>
                <c:pt idx="2">
                  <c:v>7.2910999999999984</c:v>
                </c:pt>
                <c:pt idx="3">
                  <c:v>8.6267000000000014</c:v>
                </c:pt>
                <c:pt idx="4">
                  <c:v>7.8812000000000024</c:v>
                </c:pt>
                <c:pt idx="5">
                  <c:v>7.5562000000000014</c:v>
                </c:pt>
                <c:pt idx="6">
                  <c:v>9.1297000000000015</c:v>
                </c:pt>
                <c:pt idx="7">
                  <c:v>8.1267000000000014</c:v>
                </c:pt>
                <c:pt idx="8">
                  <c:v>9.5254000000000048</c:v>
                </c:pt>
                <c:pt idx="9">
                  <c:v>8.9206000000000056</c:v>
                </c:pt>
                <c:pt idx="10">
                  <c:v>6.8542000000000005</c:v>
                </c:pt>
                <c:pt idx="11">
                  <c:v>7.1013000000000002</c:v>
                </c:pt>
                <c:pt idx="12">
                  <c:v>4.6857999999999995</c:v>
                </c:pt>
                <c:pt idx="13">
                  <c:v>4.1347000000000005</c:v>
                </c:pt>
                <c:pt idx="14">
                  <c:v>4.6212999999999997</c:v>
                </c:pt>
                <c:pt idx="15">
                  <c:v>4.8515999999999995</c:v>
                </c:pt>
                <c:pt idx="16">
                  <c:v>4.4867000000000123</c:v>
                </c:pt>
                <c:pt idx="17">
                  <c:v>4.9100000000000019</c:v>
                </c:pt>
                <c:pt idx="18">
                  <c:v>5.0886000000000031</c:v>
                </c:pt>
                <c:pt idx="19">
                  <c:v>5.2460000000000004</c:v>
                </c:pt>
                <c:pt idx="20">
                  <c:v>6.0042999999999971</c:v>
                </c:pt>
                <c:pt idx="21">
                  <c:v>5.5533999999999999</c:v>
                </c:pt>
                <c:pt idx="22">
                  <c:v>4.4168000000000021</c:v>
                </c:pt>
                <c:pt idx="23">
                  <c:v>5.3637000000000015</c:v>
                </c:pt>
                <c:pt idx="24">
                  <c:v>3.4814000000000007</c:v>
                </c:pt>
                <c:pt idx="25">
                  <c:v>3.6117999999999997</c:v>
                </c:pt>
                <c:pt idx="26">
                  <c:v>4.6926000000000041</c:v>
                </c:pt>
                <c:pt idx="27">
                  <c:v>5.3286999999999995</c:v>
                </c:pt>
                <c:pt idx="28">
                  <c:v>6.0634999999999977</c:v>
                </c:pt>
                <c:pt idx="29">
                  <c:v>5.7502000000000031</c:v>
                </c:pt>
                <c:pt idx="30">
                  <c:v>6.2363000000000106</c:v>
                </c:pt>
                <c:pt idx="31">
                  <c:v>6.4892000000000145</c:v>
                </c:pt>
                <c:pt idx="32">
                  <c:v>7.0556999999999981</c:v>
                </c:pt>
                <c:pt idx="33">
                  <c:v>6.5046999999999997</c:v>
                </c:pt>
                <c:pt idx="34">
                  <c:v>5.6882000000000019</c:v>
                </c:pt>
                <c:pt idx="35">
                  <c:v>5.6716000000000024</c:v>
                </c:pt>
                <c:pt idx="36">
                  <c:v>3.6084999999999976</c:v>
                </c:pt>
                <c:pt idx="37">
                  <c:v>3.8921999999999977</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9.8385000000000016</c:v>
                </c:pt>
                <c:pt idx="1">
                  <c:v>15.8842</c:v>
                </c:pt>
                <c:pt idx="2">
                  <c:v>16.599900000000005</c:v>
                </c:pt>
                <c:pt idx="3">
                  <c:v>14.220700000000001</c:v>
                </c:pt>
                <c:pt idx="4">
                  <c:v>13.4703</c:v>
                </c:pt>
                <c:pt idx="5">
                  <c:v>14.3322</c:v>
                </c:pt>
                <c:pt idx="6">
                  <c:v>13.6212</c:v>
                </c:pt>
                <c:pt idx="7">
                  <c:v>14.893000000000002</c:v>
                </c:pt>
                <c:pt idx="8">
                  <c:v>15.210700000000001</c:v>
                </c:pt>
                <c:pt idx="9">
                  <c:v>17.750599999999945</c:v>
                </c:pt>
                <c:pt idx="10">
                  <c:v>15.567300000000001</c:v>
                </c:pt>
                <c:pt idx="11">
                  <c:v>14.891400000000004</c:v>
                </c:pt>
                <c:pt idx="12">
                  <c:v>9.9434000000000005</c:v>
                </c:pt>
                <c:pt idx="13">
                  <c:v>11.9031</c:v>
                </c:pt>
                <c:pt idx="14">
                  <c:v>14.006600000000002</c:v>
                </c:pt>
                <c:pt idx="15">
                  <c:v>14.3286</c:v>
                </c:pt>
                <c:pt idx="16">
                  <c:v>12.531799999999999</c:v>
                </c:pt>
                <c:pt idx="17">
                  <c:v>13.055900000000022</c:v>
                </c:pt>
                <c:pt idx="18">
                  <c:v>11.4163</c:v>
                </c:pt>
                <c:pt idx="19">
                  <c:v>13.837900000000001</c:v>
                </c:pt>
                <c:pt idx="20">
                  <c:v>12.798199999999998</c:v>
                </c:pt>
                <c:pt idx="21">
                  <c:v>17.9038</c:v>
                </c:pt>
                <c:pt idx="22">
                  <c:v>16.283599999999918</c:v>
                </c:pt>
                <c:pt idx="23">
                  <c:v>16.963799999999896</c:v>
                </c:pt>
                <c:pt idx="24">
                  <c:v>10.2736</c:v>
                </c:pt>
                <c:pt idx="25">
                  <c:v>15.385000000000026</c:v>
                </c:pt>
                <c:pt idx="26">
                  <c:v>14.438800000000001</c:v>
                </c:pt>
                <c:pt idx="27">
                  <c:v>15.5374</c:v>
                </c:pt>
                <c:pt idx="28">
                  <c:v>19.059000000000001</c:v>
                </c:pt>
                <c:pt idx="29">
                  <c:v>16.258299999999938</c:v>
                </c:pt>
                <c:pt idx="30">
                  <c:v>14.5327</c:v>
                </c:pt>
                <c:pt idx="31">
                  <c:v>17.2714</c:v>
                </c:pt>
                <c:pt idx="32">
                  <c:v>13.405400000000029</c:v>
                </c:pt>
                <c:pt idx="33">
                  <c:v>16.791</c:v>
                </c:pt>
                <c:pt idx="34">
                  <c:v>16.915099999999946</c:v>
                </c:pt>
                <c:pt idx="35">
                  <c:v>16.416799999999945</c:v>
                </c:pt>
                <c:pt idx="36">
                  <c:v>13.3286</c:v>
                </c:pt>
                <c:pt idx="37">
                  <c:v>13.543700000000001</c:v>
                </c:pt>
              </c:numCache>
            </c:numRef>
          </c:val>
        </c:ser>
        <c:gapWidth val="0"/>
        <c:overlap val="100"/>
        <c:axId val="215218048"/>
        <c:axId val="215219584"/>
      </c:barChart>
      <c:catAx>
        <c:axId val="21521804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219584"/>
        <c:crosses val="autoZero"/>
        <c:auto val="1"/>
        <c:lblAlgn val="ctr"/>
        <c:lblOffset val="0"/>
        <c:tickLblSkip val="3"/>
        <c:tickMarkSkip val="1"/>
        <c:noMultiLvlLbl val="1"/>
      </c:catAx>
      <c:valAx>
        <c:axId val="215219584"/>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218048"/>
        <c:crosses val="autoZero"/>
        <c:crossBetween val="between"/>
      </c:valAx>
      <c:spPr>
        <a:noFill/>
        <a:ln w="6350">
          <a:solidFill>
            <a:sysClr val="window" lastClr="FFFFFF">
              <a:lumMod val="85000"/>
            </a:sysClr>
          </a:solidFill>
        </a:ln>
      </c:spPr>
    </c:plotArea>
    <c:legend>
      <c:legendPos val="b"/>
      <c:layout>
        <c:manualLayout>
          <c:xMode val="edge"/>
          <c:yMode val="edge"/>
          <c:x val="0.364290344416276"/>
          <c:y val="6.6484953703703706E-2"/>
          <c:w val="0.35673227969348681"/>
          <c:h val="0.1358905746537733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156"/>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-11.610251274680039</c:v>
                </c:pt>
                <c:pt idx="1">
                  <c:v>8.8997540765964747</c:v>
                </c:pt>
                <c:pt idx="2">
                  <c:v>-6.4775574733676704</c:v>
                </c:pt>
                <c:pt idx="3">
                  <c:v>1.344786385413244</c:v>
                </c:pt>
                <c:pt idx="4">
                  <c:v>-18.857654882435668</c:v>
                </c:pt>
                <c:pt idx="5">
                  <c:v>-15.36431317337923</c:v>
                </c:pt>
                <c:pt idx="6">
                  <c:v>-3.3516569928608839</c:v>
                </c:pt>
                <c:pt idx="7">
                  <c:v>-8.0332545132581714</c:v>
                </c:pt>
                <c:pt idx="8">
                  <c:v>1.7074857267553227</c:v>
                </c:pt>
                <c:pt idx="9">
                  <c:v>2.3985378352659992</c:v>
                </c:pt>
                <c:pt idx="10">
                  <c:v>-12.46820346248461</c:v>
                </c:pt>
                <c:pt idx="11">
                  <c:v>6.300526859848147</c:v>
                </c:pt>
                <c:pt idx="12">
                  <c:v>-18.261228751256031</c:v>
                </c:pt>
                <c:pt idx="13">
                  <c:v>-30.542329857616807</c:v>
                </c:pt>
                <c:pt idx="14">
                  <c:v>-20.79716792816803</c:v>
                </c:pt>
                <c:pt idx="15">
                  <c:v>-15.508205521827119</c:v>
                </c:pt>
                <c:pt idx="16">
                  <c:v>-15.914026549543976</c:v>
                </c:pt>
                <c:pt idx="17">
                  <c:v>-14.786205070222081</c:v>
                </c:pt>
                <c:pt idx="18">
                  <c:v>-26.51010671955763</c:v>
                </c:pt>
                <c:pt idx="19">
                  <c:v>-13.337927433716231</c:v>
                </c:pt>
                <c:pt idx="20">
                  <c:v>-21.286973944438373</c:v>
                </c:pt>
                <c:pt idx="21">
                  <c:v>-7.4163967353761837</c:v>
                </c:pt>
                <c:pt idx="22">
                  <c:v>-6.5738004191694728</c:v>
                </c:pt>
                <c:pt idx="23">
                  <c:v>-2.307379563996804</c:v>
                </c:pt>
                <c:pt idx="24">
                  <c:v>-10.55883802583034</c:v>
                </c:pt>
                <c:pt idx="25">
                  <c:v>10.399743874302038</c:v>
                </c:pt>
                <c:pt idx="26">
                  <c:v>-6.3080628924970794</c:v>
                </c:pt>
                <c:pt idx="27">
                  <c:v>-1.9881151902860152</c:v>
                </c:pt>
                <c:pt idx="28">
                  <c:v>27.439869476411133</c:v>
                </c:pt>
                <c:pt idx="29">
                  <c:v>5.1279993562470754</c:v>
                </c:pt>
                <c:pt idx="30">
                  <c:v>15.146552511856241</c:v>
                </c:pt>
                <c:pt idx="31">
                  <c:v>12.512753095038804</c:v>
                </c:pt>
                <c:pt idx="32">
                  <c:v>-0.29481653266151397</c:v>
                </c:pt>
                <c:pt idx="33">
                  <c:v>-9.2452160369559806</c:v>
                </c:pt>
                <c:pt idx="34">
                  <c:v>2.3958990528415711</c:v>
                </c:pt>
                <c:pt idx="35">
                  <c:v>-7.5780995662566966</c:v>
                </c:pt>
                <c:pt idx="36">
                  <c:v>13.245773840180398</c:v>
                </c:pt>
                <c:pt idx="37">
                  <c:v>-16.623715949058365</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11.955349849867135</c:v>
                </c:pt>
                <c:pt idx="1">
                  <c:v>11.979442328373167</c:v>
                </c:pt>
                <c:pt idx="2">
                  <c:v>11.123576141541108</c:v>
                </c:pt>
                <c:pt idx="3">
                  <c:v>12.537470384747705</c:v>
                </c:pt>
                <c:pt idx="4">
                  <c:v>9.5584016773347145</c:v>
                </c:pt>
                <c:pt idx="5">
                  <c:v>8.4846467123382183</c:v>
                </c:pt>
                <c:pt idx="6">
                  <c:v>8.5328388589555146</c:v>
                </c:pt>
                <c:pt idx="7">
                  <c:v>9.8079236970606871</c:v>
                </c:pt>
                <c:pt idx="8">
                  <c:v>9.3222824833816524</c:v>
                </c:pt>
                <c:pt idx="9">
                  <c:v>10.835732352387991</c:v>
                </c:pt>
                <c:pt idx="10">
                  <c:v>9.0776207424349789</c:v>
                </c:pt>
                <c:pt idx="11">
                  <c:v>8.2292763959609658</c:v>
                </c:pt>
                <c:pt idx="12">
                  <c:v>1.2835659890658917</c:v>
                </c:pt>
                <c:pt idx="13">
                  <c:v>0.68574120193967958</c:v>
                </c:pt>
                <c:pt idx="14">
                  <c:v>-1.2324666622635192</c:v>
                </c:pt>
                <c:pt idx="15">
                  <c:v>-0.5426361494352655</c:v>
                </c:pt>
                <c:pt idx="16">
                  <c:v>-4.3796296338623923</c:v>
                </c:pt>
                <c:pt idx="17">
                  <c:v>-3.1342459449274997</c:v>
                </c:pt>
                <c:pt idx="18">
                  <c:v>-0.94375224865900975</c:v>
                </c:pt>
                <c:pt idx="19">
                  <c:v>-3.759602073618785</c:v>
                </c:pt>
                <c:pt idx="20">
                  <c:v>-2.7006393009802712</c:v>
                </c:pt>
                <c:pt idx="21">
                  <c:v>-4.6340546878818856</c:v>
                </c:pt>
                <c:pt idx="22">
                  <c:v>-1.1023140245564247</c:v>
                </c:pt>
                <c:pt idx="23">
                  <c:v>3.8297028803699638</c:v>
                </c:pt>
                <c:pt idx="24">
                  <c:v>4.5831182325401985</c:v>
                </c:pt>
                <c:pt idx="25">
                  <c:v>8.0504176191697159</c:v>
                </c:pt>
                <c:pt idx="26">
                  <c:v>9.0109977375413468</c:v>
                </c:pt>
                <c:pt idx="27">
                  <c:v>10.777908831645334</c:v>
                </c:pt>
                <c:pt idx="28">
                  <c:v>20.178898335088135</c:v>
                </c:pt>
                <c:pt idx="29">
                  <c:v>17.373517406063726</c:v>
                </c:pt>
                <c:pt idx="30">
                  <c:v>10.688805472742271</c:v>
                </c:pt>
                <c:pt idx="31">
                  <c:v>11.99324410679101</c:v>
                </c:pt>
                <c:pt idx="32">
                  <c:v>9.1159839306139077</c:v>
                </c:pt>
                <c:pt idx="33">
                  <c:v>8.5567280673773496</c:v>
                </c:pt>
                <c:pt idx="34">
                  <c:v>6.7966769360282058</c:v>
                </c:pt>
                <c:pt idx="35">
                  <c:v>6.5072228447249501</c:v>
                </c:pt>
                <c:pt idx="36">
                  <c:v>9.8883592023495357</c:v>
                </c:pt>
                <c:pt idx="37">
                  <c:v>8.4070689348243803</c:v>
                </c:pt>
              </c:numCache>
            </c:numRef>
          </c:val>
        </c:ser>
        <c:gapWidth val="48"/>
        <c:overlap val="100"/>
        <c:axId val="215187840"/>
        <c:axId val="215189760"/>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0.34509857518705356</c:v>
                </c:pt>
                <c:pt idx="1">
                  <c:v>20.879196404969587</c:v>
                </c:pt>
                <c:pt idx="2">
                  <c:v>4.6460186681734355</c:v>
                </c:pt>
                <c:pt idx="3">
                  <c:v>13.882256770160978</c:v>
                </c:pt>
                <c:pt idx="4">
                  <c:v>-9.2992532051009533</c:v>
                </c:pt>
                <c:pt idx="5">
                  <c:v>-6.8796664610410545</c:v>
                </c:pt>
                <c:pt idx="6">
                  <c:v>5.1811818660946054</c:v>
                </c:pt>
                <c:pt idx="7">
                  <c:v>1.7746691838025157</c:v>
                </c:pt>
                <c:pt idx="8">
                  <c:v>11.029768210136966</c:v>
                </c:pt>
                <c:pt idx="9">
                  <c:v>13.234270187653884</c:v>
                </c:pt>
                <c:pt idx="10">
                  <c:v>-3.3905827200496197</c:v>
                </c:pt>
                <c:pt idx="11">
                  <c:v>14.529803255809153</c:v>
                </c:pt>
                <c:pt idx="12">
                  <c:v>-16.977662762190121</c:v>
                </c:pt>
                <c:pt idx="13">
                  <c:v>-29.856588655677193</c:v>
                </c:pt>
                <c:pt idx="14">
                  <c:v>-22.029634590431481</c:v>
                </c:pt>
                <c:pt idx="15">
                  <c:v>-16.050841671262386</c:v>
                </c:pt>
                <c:pt idx="16">
                  <c:v>-20.293656183406327</c:v>
                </c:pt>
                <c:pt idx="17">
                  <c:v>-17.920451015149581</c:v>
                </c:pt>
                <c:pt idx="18">
                  <c:v>-27.453858968216743</c:v>
                </c:pt>
                <c:pt idx="19">
                  <c:v>-17.09752950733494</c:v>
                </c:pt>
                <c:pt idx="20">
                  <c:v>-23.987613245418629</c:v>
                </c:pt>
                <c:pt idx="21">
                  <c:v>-12.050451423258053</c:v>
                </c:pt>
                <c:pt idx="22">
                  <c:v>-7.6761144437258855</c:v>
                </c:pt>
                <c:pt idx="23">
                  <c:v>1.5223233163731598</c:v>
                </c:pt>
                <c:pt idx="24">
                  <c:v>-5.9757197932901649</c:v>
                </c:pt>
                <c:pt idx="25">
                  <c:v>18.450161493471668</c:v>
                </c:pt>
                <c:pt idx="26">
                  <c:v>2.7029348450442692</c:v>
                </c:pt>
                <c:pt idx="27">
                  <c:v>8.789793641359319</c:v>
                </c:pt>
                <c:pt idx="28">
                  <c:v>47.618767811499254</c:v>
                </c:pt>
                <c:pt idx="29">
                  <c:v>22.501516762310828</c:v>
                </c:pt>
                <c:pt idx="30">
                  <c:v>25.835357984598495</c:v>
                </c:pt>
                <c:pt idx="31">
                  <c:v>24.505997201829789</c:v>
                </c:pt>
                <c:pt idx="32">
                  <c:v>8.8211673979523937</c:v>
                </c:pt>
                <c:pt idx="33">
                  <c:v>-0.68848796957863057</c:v>
                </c:pt>
                <c:pt idx="34">
                  <c:v>9.1925759888697769</c:v>
                </c:pt>
                <c:pt idx="35">
                  <c:v>-1.070876721531751</c:v>
                </c:pt>
                <c:pt idx="36">
                  <c:v>23.1341330425299</c:v>
                </c:pt>
                <c:pt idx="37">
                  <c:v>-8.2166470142339847</c:v>
                </c:pt>
              </c:numCache>
            </c:numRef>
          </c:val>
        </c:ser>
        <c:marker val="1"/>
        <c:axId val="215187840"/>
        <c:axId val="215189760"/>
      </c:lineChart>
      <c:catAx>
        <c:axId val="21518784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189760"/>
        <c:crosses val="autoZero"/>
        <c:auto val="1"/>
        <c:lblAlgn val="ctr"/>
        <c:lblOffset val="0"/>
        <c:tickLblSkip val="2"/>
        <c:tickMarkSkip val="1"/>
        <c:noMultiLvlLbl val="1"/>
      </c:catAx>
      <c:valAx>
        <c:axId val="215189760"/>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187840"/>
        <c:crosses val="autoZero"/>
        <c:crossBetween val="between"/>
      </c:valAx>
      <c:spPr>
        <a:noFill/>
        <a:ln w="6350">
          <a:solidFill>
            <a:sysClr val="window" lastClr="FFFFFF">
              <a:lumMod val="85000"/>
            </a:sysClr>
          </a:solidFill>
        </a:ln>
      </c:spPr>
    </c:plotArea>
    <c:legend>
      <c:legendPos val="b"/>
      <c:layout>
        <c:manualLayout>
          <c:xMode val="edge"/>
          <c:yMode val="edge"/>
          <c:x val="0.18167802435012911"/>
          <c:y val="5.9927083333334109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806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106.67479674796748</c:v>
                </c:pt>
                <c:pt idx="1">
                  <c:v>105.83739837398338</c:v>
                </c:pt>
                <c:pt idx="2">
                  <c:v>107</c:v>
                </c:pt>
                <c:pt idx="3">
                  <c:v>107.39024390243901</c:v>
                </c:pt>
                <c:pt idx="4">
                  <c:v>108.82113821138211</c:v>
                </c:pt>
                <c:pt idx="5">
                  <c:v>108.48780487804879</c:v>
                </c:pt>
                <c:pt idx="6">
                  <c:v>108.16260162601625</c:v>
                </c:pt>
                <c:pt idx="7">
                  <c:v>110.12195121951218</c:v>
                </c:pt>
                <c:pt idx="8">
                  <c:v>109.69918699186991</c:v>
                </c:pt>
                <c:pt idx="9">
                  <c:v>111.91056910569112</c:v>
                </c:pt>
                <c:pt idx="10">
                  <c:v>111.76422764227677</c:v>
                </c:pt>
                <c:pt idx="11">
                  <c:v>109.39837398373975</c:v>
                </c:pt>
                <c:pt idx="12">
                  <c:v>110.32520325203248</c:v>
                </c:pt>
                <c:pt idx="13">
                  <c:v>107.47967479674794</c:v>
                </c:pt>
                <c:pt idx="14">
                  <c:v>106.98373983739835</c:v>
                </c:pt>
                <c:pt idx="15">
                  <c:v>108.14634146341443</c:v>
                </c:pt>
                <c:pt idx="16">
                  <c:v>105.13008130081298</c:v>
                </c:pt>
                <c:pt idx="17">
                  <c:v>105.73170731707305</c:v>
                </c:pt>
                <c:pt idx="18">
                  <c:v>107.54471544715446</c:v>
                </c:pt>
                <c:pt idx="19">
                  <c:v>107.07317073170728</c:v>
                </c:pt>
                <c:pt idx="20">
                  <c:v>107.10569105691036</c:v>
                </c:pt>
                <c:pt idx="21">
                  <c:v>108.32520325203251</c:v>
                </c:pt>
                <c:pt idx="22">
                  <c:v>110.69105691056905</c:v>
                </c:pt>
                <c:pt idx="23">
                  <c:v>112.56097560975606</c:v>
                </c:pt>
                <c:pt idx="24">
                  <c:v>114.44715447154505</c:v>
                </c:pt>
                <c:pt idx="25">
                  <c:v>114.08130081300789</c:v>
                </c:pt>
                <c:pt idx="26">
                  <c:v>115.30081300813006</c:v>
                </c:pt>
                <c:pt idx="27">
                  <c:v>118.18699186991864</c:v>
                </c:pt>
                <c:pt idx="28">
                  <c:v>119.13821138211377</c:v>
                </c:pt>
                <c:pt idx="29">
                  <c:v>120.81300813008085</c:v>
                </c:pt>
                <c:pt idx="30">
                  <c:v>116.92682926829298</c:v>
                </c:pt>
                <c:pt idx="31">
                  <c:v>116.52032520325179</c:v>
                </c:pt>
                <c:pt idx="32">
                  <c:v>115.17886178861784</c:v>
                </c:pt>
                <c:pt idx="33">
                  <c:v>116.05691056910572</c:v>
                </c:pt>
                <c:pt idx="34">
                  <c:v>116.9024390243902</c:v>
                </c:pt>
                <c:pt idx="35">
                  <c:v>119.49593495934975</c:v>
                </c:pt>
                <c:pt idx="36">
                  <c:v>123.50406504065036</c:v>
                </c:pt>
                <c:pt idx="37" formatCode="General">
                  <c:v>124.73170731707305</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104.30569664765159</c:v>
                </c:pt>
                <c:pt idx="1">
                  <c:v>104.69641322184907</c:v>
                </c:pt>
                <c:pt idx="2">
                  <c:v>104.82144252559159</c:v>
                </c:pt>
                <c:pt idx="3">
                  <c:v>105.49347503321091</c:v>
                </c:pt>
                <c:pt idx="4">
                  <c:v>106.23583652418525</c:v>
                </c:pt>
                <c:pt idx="5">
                  <c:v>107.91591779323282</c:v>
                </c:pt>
                <c:pt idx="6">
                  <c:v>107.00164100961166</c:v>
                </c:pt>
                <c:pt idx="7">
                  <c:v>108.39259201375287</c:v>
                </c:pt>
                <c:pt idx="8">
                  <c:v>110.3930608736423</c:v>
                </c:pt>
                <c:pt idx="9">
                  <c:v>110.72907712745125</c:v>
                </c:pt>
                <c:pt idx="10">
                  <c:v>110.86973509416271</c:v>
                </c:pt>
                <c:pt idx="11">
                  <c:v>110.81503477377514</c:v>
                </c:pt>
                <c:pt idx="12">
                  <c:v>111.48706728139435</c:v>
                </c:pt>
                <c:pt idx="13">
                  <c:v>106.10299288895818</c:v>
                </c:pt>
                <c:pt idx="14">
                  <c:v>107.05634132999906</c:v>
                </c:pt>
                <c:pt idx="15">
                  <c:v>107.11104165038684</c:v>
                </c:pt>
                <c:pt idx="16">
                  <c:v>105.5403610221146</c:v>
                </c:pt>
                <c:pt idx="17">
                  <c:v>106.32960850199268</c:v>
                </c:pt>
                <c:pt idx="18">
                  <c:v>105.72790497772921</c:v>
                </c:pt>
                <c:pt idx="19">
                  <c:v>107.88466046729741</c:v>
                </c:pt>
                <c:pt idx="20">
                  <c:v>109.14276783621131</c:v>
                </c:pt>
                <c:pt idx="21">
                  <c:v>109.55692740486056</c:v>
                </c:pt>
                <c:pt idx="22">
                  <c:v>107.97843244510435</c:v>
                </c:pt>
                <c:pt idx="23">
                  <c:v>108.74423693053066</c:v>
                </c:pt>
                <c:pt idx="24">
                  <c:v>108.15816206923503</c:v>
                </c:pt>
                <c:pt idx="25">
                  <c:v>108.04876142845966</c:v>
                </c:pt>
                <c:pt idx="26">
                  <c:v>108.88489489724158</c:v>
                </c:pt>
                <c:pt idx="27">
                  <c:v>108.72860826756275</c:v>
                </c:pt>
                <c:pt idx="28">
                  <c:v>108.50980698601242</c:v>
                </c:pt>
                <c:pt idx="29">
                  <c:v>110.83847776822674</c:v>
                </c:pt>
                <c:pt idx="30">
                  <c:v>111.69805423146055</c:v>
                </c:pt>
                <c:pt idx="31">
                  <c:v>110.01797296241311</c:v>
                </c:pt>
                <c:pt idx="32">
                  <c:v>110.93224974603429</c:v>
                </c:pt>
                <c:pt idx="33">
                  <c:v>110.57279049777276</c:v>
                </c:pt>
                <c:pt idx="34">
                  <c:v>109.5412987418929</c:v>
                </c:pt>
                <c:pt idx="35">
                  <c:v>108.58795030085165</c:v>
                </c:pt>
                <c:pt idx="36">
                  <c:v>112.12784246307733</c:v>
                </c:pt>
                <c:pt idx="37" formatCode="General">
                  <c:v>112.23724310385249</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109.07854471268236</c:v>
                </c:pt>
                <c:pt idx="1">
                  <c:v>106.99591975518551</c:v>
                </c:pt>
                <c:pt idx="2">
                  <c:v>109.22305338320299</c:v>
                </c:pt>
                <c:pt idx="3">
                  <c:v>109.32505950357015</c:v>
                </c:pt>
                <c:pt idx="4">
                  <c:v>111.45868752125128</c:v>
                </c:pt>
                <c:pt idx="5">
                  <c:v>109.07004420265196</c:v>
                </c:pt>
                <c:pt idx="6">
                  <c:v>109.34206052363135</c:v>
                </c:pt>
                <c:pt idx="7">
                  <c:v>111.89221353281197</c:v>
                </c:pt>
                <c:pt idx="8">
                  <c:v>108.99353961237676</c:v>
                </c:pt>
                <c:pt idx="9">
                  <c:v>113.10778646718801</c:v>
                </c:pt>
                <c:pt idx="10">
                  <c:v>112.68276096565791</c:v>
                </c:pt>
                <c:pt idx="11">
                  <c:v>107.94797687861269</c:v>
                </c:pt>
                <c:pt idx="12">
                  <c:v>109.08704522271336</c:v>
                </c:pt>
                <c:pt idx="13">
                  <c:v>108.34750085005098</c:v>
                </c:pt>
                <c:pt idx="14">
                  <c:v>106.64739884393055</c:v>
                </c:pt>
                <c:pt idx="15">
                  <c:v>108.73002380142806</c:v>
                </c:pt>
                <c:pt idx="16">
                  <c:v>104.53077184631056</c:v>
                </c:pt>
                <c:pt idx="17">
                  <c:v>104.97279836790173</c:v>
                </c:pt>
                <c:pt idx="18">
                  <c:v>108.78102686161169</c:v>
                </c:pt>
                <c:pt idx="19">
                  <c:v>106.1373682420943</c:v>
                </c:pt>
                <c:pt idx="20">
                  <c:v>105.1513090785445</c:v>
                </c:pt>
                <c:pt idx="21">
                  <c:v>107.0384223053383</c:v>
                </c:pt>
                <c:pt idx="22">
                  <c:v>112.64025841550485</c:v>
                </c:pt>
                <c:pt idx="23">
                  <c:v>115.41992519551172</c:v>
                </c:pt>
                <c:pt idx="24">
                  <c:v>118.77762665759943</c:v>
                </c:pt>
                <c:pt idx="25">
                  <c:v>118.25059503570213</c:v>
                </c:pt>
                <c:pt idx="26">
                  <c:v>119.71268276096566</c:v>
                </c:pt>
                <c:pt idx="27">
                  <c:v>124.37946276776586</c:v>
                </c:pt>
                <c:pt idx="28">
                  <c:v>126.03706222373344</c:v>
                </c:pt>
                <c:pt idx="29">
                  <c:v>127.32913974838488</c:v>
                </c:pt>
                <c:pt idx="30">
                  <c:v>120.63923835430106</c:v>
                </c:pt>
                <c:pt idx="31">
                  <c:v>120.97925875552535</c:v>
                </c:pt>
                <c:pt idx="32">
                  <c:v>118.31009860591639</c:v>
                </c:pt>
                <c:pt idx="33">
                  <c:v>119.92519551173071</c:v>
                </c:pt>
                <c:pt idx="34">
                  <c:v>121.87181230873836</c:v>
                </c:pt>
                <c:pt idx="35">
                  <c:v>126.54709282556955</c:v>
                </c:pt>
                <c:pt idx="36">
                  <c:v>130.83134988099411</c:v>
                </c:pt>
                <c:pt idx="37" formatCode="General">
                  <c:v>132.49744984699174</c:v>
                </c:pt>
              </c:numCache>
            </c:numRef>
          </c:val>
        </c:ser>
        <c:marker val="1"/>
        <c:axId val="215317504"/>
        <c:axId val="215343872"/>
      </c:lineChart>
      <c:catAx>
        <c:axId val="21531750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215343872"/>
        <c:crosses val="autoZero"/>
        <c:auto val="1"/>
        <c:lblAlgn val="ctr"/>
        <c:lblOffset val="0"/>
        <c:tickLblSkip val="2"/>
        <c:tickMarkSkip val="1"/>
        <c:noMultiLvlLbl val="1"/>
      </c:catAx>
      <c:valAx>
        <c:axId val="215343872"/>
        <c:scaling>
          <c:orientation val="minMax"/>
          <c:max val="130"/>
          <c:min val="1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317504"/>
        <c:crosses val="autoZero"/>
        <c:crossBetween val="between"/>
      </c:valAx>
      <c:spPr>
        <a:noFill/>
        <a:ln w="6350">
          <a:solidFill>
            <a:sysClr val="window" lastClr="FFFFFF">
              <a:lumMod val="85000"/>
            </a:sysClr>
          </a:solidFill>
        </a:ln>
      </c:spPr>
    </c:plotArea>
    <c:legend>
      <c:legendPos val="b"/>
      <c:layout>
        <c:manualLayout>
          <c:xMode val="edge"/>
          <c:yMode val="edge"/>
          <c:x val="0.20801840525848156"/>
          <c:y val="5.9666087962962994E-2"/>
          <c:w val="0.45080477616355413"/>
          <c:h val="0.1832881944444497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701"/>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68.75</c:v>
                </c:pt>
                <c:pt idx="1">
                  <c:v>77.709999999999994</c:v>
                </c:pt>
                <c:pt idx="2">
                  <c:v>68.33</c:v>
                </c:pt>
                <c:pt idx="3">
                  <c:v>82.95</c:v>
                </c:pt>
                <c:pt idx="4">
                  <c:v>91.06</c:v>
                </c:pt>
                <c:pt idx="5">
                  <c:v>89.64</c:v>
                </c:pt>
                <c:pt idx="6">
                  <c:v>97.6</c:v>
                </c:pt>
                <c:pt idx="7">
                  <c:v>82.14</c:v>
                </c:pt>
                <c:pt idx="8">
                  <c:v>84.39</c:v>
                </c:pt>
                <c:pt idx="9">
                  <c:v>83.92</c:v>
                </c:pt>
                <c:pt idx="10">
                  <c:v>60.7</c:v>
                </c:pt>
                <c:pt idx="11">
                  <c:v>49.47</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38.47</c:v>
                </c:pt>
                <c:pt idx="1">
                  <c:v>35.230000000000011</c:v>
                </c:pt>
                <c:pt idx="2">
                  <c:v>42.660000000000011</c:v>
                </c:pt>
                <c:pt idx="3">
                  <c:v>56.3</c:v>
                </c:pt>
                <c:pt idx="4">
                  <c:v>63.86</c:v>
                </c:pt>
                <c:pt idx="5">
                  <c:v>55.47</c:v>
                </c:pt>
                <c:pt idx="6">
                  <c:v>54.04</c:v>
                </c:pt>
                <c:pt idx="7">
                  <c:v>53.290000000000013</c:v>
                </c:pt>
                <c:pt idx="8">
                  <c:v>50.14</c:v>
                </c:pt>
                <c:pt idx="9">
                  <c:v>41.2</c:v>
                </c:pt>
                <c:pt idx="10">
                  <c:v>37.86</c:v>
                </c:pt>
                <c:pt idx="11">
                  <c:v>32.17</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26.759999999999987</c:v>
                </c:pt>
                <c:pt idx="1">
                  <c:v>24.93</c:v>
                </c:pt>
                <c:pt idx="2">
                  <c:v>38.14</c:v>
                </c:pt>
                <c:pt idx="3" formatCode="General">
                  <c:v>54.17</c:v>
                </c:pt>
                <c:pt idx="4">
                  <c:v>59.82</c:v>
                </c:pt>
                <c:pt idx="5">
                  <c:v>55.690000000000012</c:v>
                </c:pt>
                <c:pt idx="6">
                  <c:v>66.510000000000005</c:v>
                </c:pt>
                <c:pt idx="7">
                  <c:v>69.900000000000006</c:v>
                </c:pt>
                <c:pt idx="8">
                  <c:v>77.02</c:v>
                </c:pt>
                <c:pt idx="9">
                  <c:v>64.3</c:v>
                </c:pt>
                <c:pt idx="10">
                  <c:v>67.709999999999994</c:v>
                </c:pt>
                <c:pt idx="11">
                  <c:v>54.160000000000011</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37.49</c:v>
                </c:pt>
                <c:pt idx="1">
                  <c:v>36.57</c:v>
                </c:pt>
              </c:numCache>
            </c:numRef>
          </c:val>
        </c:ser>
        <c:marker val="1"/>
        <c:axId val="215279872"/>
        <c:axId val="215306240"/>
      </c:lineChart>
      <c:catAx>
        <c:axId val="21527987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306240"/>
        <c:crosses val="autoZero"/>
        <c:auto val="1"/>
        <c:lblAlgn val="ctr"/>
        <c:lblOffset val="0"/>
        <c:tickMarkSkip val="1"/>
      </c:catAx>
      <c:valAx>
        <c:axId val="215306240"/>
        <c:scaling>
          <c:orientation val="minMax"/>
          <c:max val="100"/>
          <c:min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279872"/>
        <c:crosses val="autoZero"/>
        <c:crossBetween val="between"/>
      </c:valAx>
      <c:spPr>
        <a:noFill/>
        <a:ln w="6350">
          <a:solidFill>
            <a:sysClr val="window" lastClr="FFFFFF">
              <a:lumMod val="85000"/>
            </a:sysClr>
          </a:solidFill>
        </a:ln>
      </c:spPr>
    </c:plotArea>
    <c:legend>
      <c:legendPos val="b"/>
      <c:layout>
        <c:manualLayout>
          <c:xMode val="edge"/>
          <c:yMode val="edge"/>
          <c:x val="0.36448636356200037"/>
          <c:y val="0.64213831018518941"/>
          <c:w val="0.358185443165767"/>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Sheet1!$A$2:$B$37</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Sheet1!$C$2:$C$37</c:f>
              <c:numCache>
                <c:formatCode>0.0</c:formatCode>
                <c:ptCount val="36"/>
                <c:pt idx="0">
                  <c:v>108.77817319098423</c:v>
                </c:pt>
                <c:pt idx="1">
                  <c:v>113.04863582443645</c:v>
                </c:pt>
                <c:pt idx="2">
                  <c:v>99.644128113878978</c:v>
                </c:pt>
                <c:pt idx="3">
                  <c:v>95.610913404507727</c:v>
                </c:pt>
                <c:pt idx="4">
                  <c:v>94.543297746144731</c:v>
                </c:pt>
                <c:pt idx="5">
                  <c:v>97.627520759193374</c:v>
                </c:pt>
                <c:pt idx="6">
                  <c:v>94.899169632265725</c:v>
                </c:pt>
                <c:pt idx="7">
                  <c:v>85.765124555160227</c:v>
                </c:pt>
                <c:pt idx="8">
                  <c:v>83.985765124555158</c:v>
                </c:pt>
                <c:pt idx="9">
                  <c:v>87.069988137603445</c:v>
                </c:pt>
                <c:pt idx="10">
                  <c:v>75.563463819691549</c:v>
                </c:pt>
                <c:pt idx="11">
                  <c:v>69.632265717674741</c:v>
                </c:pt>
                <c:pt idx="12">
                  <c:v>65.599051008303675</c:v>
                </c:pt>
                <c:pt idx="13">
                  <c:v>63.107947805456583</c:v>
                </c:pt>
                <c:pt idx="14">
                  <c:v>61.447212336892058</c:v>
                </c:pt>
                <c:pt idx="15">
                  <c:v>63.10794780545659</c:v>
                </c:pt>
                <c:pt idx="16">
                  <c:v>65.717674970344277</c:v>
                </c:pt>
                <c:pt idx="17">
                  <c:v>59.667852906287081</c:v>
                </c:pt>
                <c:pt idx="18">
                  <c:v>51.957295373665318</c:v>
                </c:pt>
                <c:pt idx="19">
                  <c:v>54.329774614472136</c:v>
                </c:pt>
                <c:pt idx="20">
                  <c:v>48.873072360616845</c:v>
                </c:pt>
                <c:pt idx="21">
                  <c:v>44.602609727164911</c:v>
                </c:pt>
                <c:pt idx="22">
                  <c:v>45.551601423487313</c:v>
                </c:pt>
                <c:pt idx="23">
                  <c:v>45.788849347568217</c:v>
                </c:pt>
                <c:pt idx="24">
                  <c:v>48.754448398576521</c:v>
                </c:pt>
                <c:pt idx="25">
                  <c:v>46.619217081850444</c:v>
                </c:pt>
                <c:pt idx="26" formatCode="General">
                  <c:v>54.092526690391466</c:v>
                </c:pt>
                <c:pt idx="27" formatCode="General">
                  <c:v>60.023724792408082</c:v>
                </c:pt>
                <c:pt idx="28" formatCode="General">
                  <c:v>59.430604982206269</c:v>
                </c:pt>
                <c:pt idx="29" formatCode="General">
                  <c:v>58.600237247924113</c:v>
                </c:pt>
                <c:pt idx="30" formatCode="General">
                  <c:v>65.361803084223027</c:v>
                </c:pt>
                <c:pt idx="31" formatCode="General">
                  <c:v>67.971530249110543</c:v>
                </c:pt>
                <c:pt idx="32" formatCode="General">
                  <c:v>73.190984578884596</c:v>
                </c:pt>
                <c:pt idx="33" formatCode="General">
                  <c:v>70.937129300118968</c:v>
                </c:pt>
                <c:pt idx="34" formatCode="General">
                  <c:v>77.105575326215686</c:v>
                </c:pt>
                <c:pt idx="35" formatCode="General">
                  <c:v>74.021352313167043</c:v>
                </c:pt>
              </c:numCache>
            </c:numRef>
          </c:val>
        </c:ser>
        <c:marker val="1"/>
        <c:axId val="215837696"/>
        <c:axId val="215843584"/>
      </c:lineChart>
      <c:catAx>
        <c:axId val="21583769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843584"/>
        <c:crosses val="autoZero"/>
        <c:auto val="1"/>
        <c:lblAlgn val="ctr"/>
        <c:lblOffset val="0"/>
        <c:tickLblSkip val="2"/>
        <c:tickMarkSkip val="1"/>
        <c:noMultiLvlLbl val="1"/>
      </c:catAx>
      <c:valAx>
        <c:axId val="215843584"/>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83769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12.512100000000002</c:v>
                </c:pt>
                <c:pt idx="1">
                  <c:v>13.929</c:v>
                </c:pt>
                <c:pt idx="2">
                  <c:v>13.564900000000002</c:v>
                </c:pt>
                <c:pt idx="3">
                  <c:v>18.908099999999923</c:v>
                </c:pt>
                <c:pt idx="4">
                  <c:v>20.725699999999918</c:v>
                </c:pt>
                <c:pt idx="5">
                  <c:v>19.552699999999927</c:v>
                </c:pt>
                <c:pt idx="6">
                  <c:v>21.206800000000001</c:v>
                </c:pt>
                <c:pt idx="7">
                  <c:v>19.887799999999945</c:v>
                </c:pt>
                <c:pt idx="8">
                  <c:v>19.741899999999987</c:v>
                </c:pt>
                <c:pt idx="9">
                  <c:v>17.224499999999946</c:v>
                </c:pt>
                <c:pt idx="10">
                  <c:v>11.0161</c:v>
                </c:pt>
                <c:pt idx="11">
                  <c:v>8.9051000000000027</c:v>
                </c:pt>
                <c:pt idx="12">
                  <c:v>4.4159000000000006</c:v>
                </c:pt>
                <c:pt idx="13">
                  <c:v>4.3968000000000007</c:v>
                </c:pt>
                <c:pt idx="14">
                  <c:v>5.3994</c:v>
                </c:pt>
                <c:pt idx="15">
                  <c:v>8.0372000000000003</c:v>
                </c:pt>
                <c:pt idx="16">
                  <c:v>11.074400000000002</c:v>
                </c:pt>
                <c:pt idx="17">
                  <c:v>10.41</c:v>
                </c:pt>
                <c:pt idx="18">
                  <c:v>10.136700000000001</c:v>
                </c:pt>
                <c:pt idx="19">
                  <c:v>8.7215000000000025</c:v>
                </c:pt>
                <c:pt idx="20">
                  <c:v>8.1452000000000009</c:v>
                </c:pt>
                <c:pt idx="21">
                  <c:v>6.9877999999999991</c:v>
                </c:pt>
                <c:pt idx="22">
                  <c:v>4.9131999999999998</c:v>
                </c:pt>
                <c:pt idx="23">
                  <c:v>3.6200000000000006</c:v>
                </c:pt>
                <c:pt idx="24">
                  <c:v>2.1758999999999977</c:v>
                </c:pt>
                <c:pt idx="25">
                  <c:v>2.1173000000000002</c:v>
                </c:pt>
                <c:pt idx="26">
                  <c:v>3.154300000000001</c:v>
                </c:pt>
                <c:pt idx="27">
                  <c:v>5.2418999999999993</c:v>
                </c:pt>
                <c:pt idx="28">
                  <c:v>7.1625999999999843</c:v>
                </c:pt>
                <c:pt idx="29">
                  <c:v>7.6446000000000005</c:v>
                </c:pt>
                <c:pt idx="30">
                  <c:v>9.433600000000002</c:v>
                </c:pt>
                <c:pt idx="31">
                  <c:v>10.661900000000001</c:v>
                </c:pt>
                <c:pt idx="32">
                  <c:v>11.250900000000001</c:v>
                </c:pt>
                <c:pt idx="33">
                  <c:v>10.424200000000001</c:v>
                </c:pt>
                <c:pt idx="34">
                  <c:v>7.8739999999999997</c:v>
                </c:pt>
                <c:pt idx="35">
                  <c:v>4.0221999999999865</c:v>
                </c:pt>
                <c:pt idx="36">
                  <c:v>2.9255999999999998</c:v>
                </c:pt>
                <c:pt idx="37">
                  <c:v>2.6274000000000002</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4.0602</c:v>
                </c:pt>
                <c:pt idx="1">
                  <c:v>4.8381000000000007</c:v>
                </c:pt>
                <c:pt idx="2">
                  <c:v>4.6058999999999966</c:v>
                </c:pt>
                <c:pt idx="3">
                  <c:v>5.0106999999999999</c:v>
                </c:pt>
                <c:pt idx="4">
                  <c:v>5.0658999999999965</c:v>
                </c:pt>
                <c:pt idx="5">
                  <c:v>6.2548999999999975</c:v>
                </c:pt>
                <c:pt idx="6">
                  <c:v>6.4881000000000002</c:v>
                </c:pt>
                <c:pt idx="7">
                  <c:v>5.8620999999999945</c:v>
                </c:pt>
                <c:pt idx="8">
                  <c:v>6.4586999999999994</c:v>
                </c:pt>
                <c:pt idx="9">
                  <c:v>6.0590999999999999</c:v>
                </c:pt>
                <c:pt idx="10">
                  <c:v>4.4153000000000002</c:v>
                </c:pt>
                <c:pt idx="11">
                  <c:v>2.806899999999994</c:v>
                </c:pt>
                <c:pt idx="12">
                  <c:v>3.3420999999999967</c:v>
                </c:pt>
                <c:pt idx="13">
                  <c:v>3.3017999999999987</c:v>
                </c:pt>
                <c:pt idx="14">
                  <c:v>2.9255999999999998</c:v>
                </c:pt>
                <c:pt idx="15">
                  <c:v>3.6236000000000002</c:v>
                </c:pt>
                <c:pt idx="16">
                  <c:v>3.3639999999999999</c:v>
                </c:pt>
                <c:pt idx="17">
                  <c:v>4.0243999999999955</c:v>
                </c:pt>
                <c:pt idx="18">
                  <c:v>3.7842000000000002</c:v>
                </c:pt>
                <c:pt idx="19">
                  <c:v>3.9565999999999977</c:v>
                </c:pt>
                <c:pt idx="20">
                  <c:v>3.8641999999999999</c:v>
                </c:pt>
                <c:pt idx="21">
                  <c:v>3.7420999999999998</c:v>
                </c:pt>
                <c:pt idx="22">
                  <c:v>3.1579000000000002</c:v>
                </c:pt>
                <c:pt idx="23">
                  <c:v>2.5246</c:v>
                </c:pt>
                <c:pt idx="24">
                  <c:v>2.9563999999999977</c:v>
                </c:pt>
                <c:pt idx="25">
                  <c:v>3.798</c:v>
                </c:pt>
                <c:pt idx="26">
                  <c:v>5.2837000000000014</c:v>
                </c:pt>
                <c:pt idx="27">
                  <c:v>6.6693999999999996</c:v>
                </c:pt>
                <c:pt idx="28">
                  <c:v>7.2765000000000004</c:v>
                </c:pt>
                <c:pt idx="29">
                  <c:v>7.9151000000000007</c:v>
                </c:pt>
                <c:pt idx="30">
                  <c:v>6.9832000000000134</c:v>
                </c:pt>
                <c:pt idx="31">
                  <c:v>7.6836000000000002</c:v>
                </c:pt>
                <c:pt idx="32">
                  <c:v>8.9681000000000015</c:v>
                </c:pt>
                <c:pt idx="33">
                  <c:v>7.5848999999999975</c:v>
                </c:pt>
                <c:pt idx="34">
                  <c:v>7.2944999999999975</c:v>
                </c:pt>
                <c:pt idx="35">
                  <c:v>5.4477000000000002</c:v>
                </c:pt>
                <c:pt idx="36">
                  <c:v>5.1948999999999863</c:v>
                </c:pt>
                <c:pt idx="37">
                  <c:v>5.1944999999999872</c:v>
                </c:pt>
              </c:numCache>
            </c:numRef>
          </c:val>
        </c:ser>
        <c:gapWidth val="0"/>
        <c:overlap val="100"/>
        <c:axId val="215830912"/>
        <c:axId val="215832448"/>
      </c:barChart>
      <c:catAx>
        <c:axId val="21583091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832448"/>
        <c:crosses val="autoZero"/>
        <c:auto val="1"/>
        <c:lblAlgn val="ctr"/>
        <c:lblOffset val="0"/>
        <c:tickLblSkip val="3"/>
        <c:tickMarkSkip val="1"/>
        <c:noMultiLvlLbl val="1"/>
      </c:catAx>
      <c:valAx>
        <c:axId val="21583244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830912"/>
        <c:crosses val="autoZero"/>
        <c:crossBetween val="between"/>
      </c:valAx>
      <c:spPr>
        <a:noFill/>
        <a:ln w="6350">
          <a:solidFill>
            <a:sysClr val="window" lastClr="FFFFFF">
              <a:lumMod val="85000"/>
            </a:sysClr>
          </a:solidFill>
        </a:ln>
      </c:spPr>
    </c:plotArea>
    <c:legend>
      <c:legendPos val="b"/>
      <c:layout>
        <c:manualLayout>
          <c:xMode val="edge"/>
          <c:yMode val="edge"/>
          <c:x val="0.48768778550407377"/>
          <c:y val="7.383449074074272E-2"/>
          <c:w val="0.35673227969348681"/>
          <c:h val="0.13589057465377333"/>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189"/>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-11.63615949744495</c:v>
                </c:pt>
                <c:pt idx="1">
                  <c:v>20.793670925934521</c:v>
                </c:pt>
                <c:pt idx="2">
                  <c:v>-10.925442027397835</c:v>
                </c:pt>
                <c:pt idx="3">
                  <c:v>-0.38808882627906149</c:v>
                </c:pt>
                <c:pt idx="4">
                  <c:v>4.555034761157426</c:v>
                </c:pt>
                <c:pt idx="5">
                  <c:v>6.5273896403553788</c:v>
                </c:pt>
                <c:pt idx="6">
                  <c:v>6.325204758281898</c:v>
                </c:pt>
                <c:pt idx="7">
                  <c:v>2.3714464020273307</c:v>
                </c:pt>
                <c:pt idx="8">
                  <c:v>4.5370117596184789</c:v>
                </c:pt>
                <c:pt idx="9">
                  <c:v>-5.1935430442152466</c:v>
                </c:pt>
                <c:pt idx="10">
                  <c:v>-26.2841704204906</c:v>
                </c:pt>
                <c:pt idx="11">
                  <c:v>-26.843378156919201</c:v>
                </c:pt>
                <c:pt idx="12">
                  <c:v>-49.292985149263657</c:v>
                </c:pt>
                <c:pt idx="13">
                  <c:v>-54.594690338140531</c:v>
                </c:pt>
                <c:pt idx="14">
                  <c:v>-50.840025721955911</c:v>
                </c:pt>
                <c:pt idx="15">
                  <c:v>-45.206228435137078</c:v>
                </c:pt>
                <c:pt idx="16">
                  <c:v>-37.127752367864183</c:v>
                </c:pt>
                <c:pt idx="17">
                  <c:v>-38.207385679101499</c:v>
                </c:pt>
                <c:pt idx="18">
                  <c:v>-44.737747650864755</c:v>
                </c:pt>
                <c:pt idx="19">
                  <c:v>-43.746691596627294</c:v>
                </c:pt>
                <c:pt idx="20">
                  <c:v>-47.260188936517622</c:v>
                </c:pt>
                <c:pt idx="21">
                  <c:v>-48.05276125255552</c:v>
                </c:pt>
                <c:pt idx="22">
                  <c:v>-41.524446697260863</c:v>
                </c:pt>
                <c:pt idx="23">
                  <c:v>-38.856434912996775</c:v>
                </c:pt>
                <c:pt idx="24">
                  <c:v>-21.808593993233586</c:v>
                </c:pt>
                <c:pt idx="25">
                  <c:v>-10.95786795987212</c:v>
                </c:pt>
                <c:pt idx="26">
                  <c:v>19.9418167258697</c:v>
                </c:pt>
                <c:pt idx="27">
                  <c:v>20.168429289450089</c:v>
                </c:pt>
                <c:pt idx="28">
                  <c:v>13.757267378826569</c:v>
                </c:pt>
                <c:pt idx="29">
                  <c:v>19.031385912624735</c:v>
                </c:pt>
                <c:pt idx="30">
                  <c:v>27.231632611477579</c:v>
                </c:pt>
                <c:pt idx="31">
                  <c:v>51.343589863847797</c:v>
                </c:pt>
                <c:pt idx="32">
                  <c:v>74.248123004941206</c:v>
                </c:pt>
                <c:pt idx="33">
                  <c:v>71.470401502056248</c:v>
                </c:pt>
                <c:pt idx="34">
                  <c:v>95.458922432963988</c:v>
                </c:pt>
                <c:pt idx="35">
                  <c:v>64.297727405438877</c:v>
                </c:pt>
                <c:pt idx="36">
                  <c:v>53.32316131500329</c:v>
                </c:pt>
                <c:pt idx="37">
                  <c:v>26.859902238070262</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13.245621293420385</c:v>
                </c:pt>
                <c:pt idx="1">
                  <c:v>14.79010852312155</c:v>
                </c:pt>
                <c:pt idx="2">
                  <c:v>6.9011876949465432</c:v>
                </c:pt>
                <c:pt idx="3">
                  <c:v>12.113283374264455</c:v>
                </c:pt>
                <c:pt idx="4">
                  <c:v>-2.6300807016028216</c:v>
                </c:pt>
                <c:pt idx="5">
                  <c:v>-4.4892038036712396</c:v>
                </c:pt>
                <c:pt idx="6">
                  <c:v>-4.3366133806668348</c:v>
                </c:pt>
                <c:pt idx="7">
                  <c:v>-5.9374580640314321</c:v>
                </c:pt>
                <c:pt idx="8">
                  <c:v>-0.20494073579389813</c:v>
                </c:pt>
                <c:pt idx="9">
                  <c:v>-7.8056162271532745</c:v>
                </c:pt>
                <c:pt idx="10">
                  <c:v>-2.8958053477658723</c:v>
                </c:pt>
                <c:pt idx="11">
                  <c:v>4.4293168356844624E-2</c:v>
                </c:pt>
                <c:pt idx="12">
                  <c:v>-3.8939593303800777</c:v>
                </c:pt>
                <c:pt idx="13">
                  <c:v>-4.383521532633317</c:v>
                </c:pt>
                <c:pt idx="14">
                  <c:v>-3.3447102280297898</c:v>
                </c:pt>
                <c:pt idx="15">
                  <c:v>-6.0421619523405568</c:v>
                </c:pt>
                <c:pt idx="16">
                  <c:v>-6.8912305568089645</c:v>
                </c:pt>
                <c:pt idx="17">
                  <c:v>-5.8618032419915096</c:v>
                </c:pt>
                <c:pt idx="18">
                  <c:v>-4.9970410647471324</c:v>
                </c:pt>
                <c:pt idx="19">
                  <c:v>-7.0177773916016903</c:v>
                </c:pt>
                <c:pt idx="20">
                  <c:v>-6.9034561708464395</c:v>
                </c:pt>
                <c:pt idx="21">
                  <c:v>-5.8637293245030122</c:v>
                </c:pt>
                <c:pt idx="22">
                  <c:v>-6.1724570185392755</c:v>
                </c:pt>
                <c:pt idx="23">
                  <c:v>-8.6794257427409178</c:v>
                </c:pt>
                <c:pt idx="24">
                  <c:v>-12.036469167374818</c:v>
                </c:pt>
                <c:pt idx="25">
                  <c:v>-12.20608392748403</c:v>
                </c:pt>
                <c:pt idx="26">
                  <c:v>-18.584459368512313</c:v>
                </c:pt>
                <c:pt idx="27">
                  <c:v>-18.02020618297367</c:v>
                </c:pt>
                <c:pt idx="28">
                  <c:v>-13.752419196202474</c:v>
                </c:pt>
                <c:pt idx="29">
                  <c:v>-11.235426260682132</c:v>
                </c:pt>
                <c:pt idx="30">
                  <c:v>-9.302475732252816</c:v>
                </c:pt>
                <c:pt idx="31">
                  <c:v>-6.6413079761834055</c:v>
                </c:pt>
                <c:pt idx="32">
                  <c:v>-5.8883381697284847</c:v>
                </c:pt>
                <c:pt idx="33">
                  <c:v>-3.6300674821682377</c:v>
                </c:pt>
                <c:pt idx="34">
                  <c:v>-7.5229533581166779</c:v>
                </c:pt>
                <c:pt idx="35">
                  <c:v>-10.180290957175401</c:v>
                </c:pt>
                <c:pt idx="36">
                  <c:v>4.9002472932230541</c:v>
                </c:pt>
                <c:pt idx="37">
                  <c:v>5.3717681759408853</c:v>
                </c:pt>
              </c:numCache>
            </c:numRef>
          </c:val>
        </c:ser>
        <c:gapWidth val="48"/>
        <c:overlap val="100"/>
        <c:axId val="218319488"/>
        <c:axId val="218329856"/>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1.6094617959754296</c:v>
                </c:pt>
                <c:pt idx="1">
                  <c:v>35.583779449056095</c:v>
                </c:pt>
                <c:pt idx="2">
                  <c:v>-4.0242543324512488</c:v>
                </c:pt>
                <c:pt idx="3">
                  <c:v>11.725194547985422</c:v>
                </c:pt>
                <c:pt idx="4">
                  <c:v>1.9249540595546222</c:v>
                </c:pt>
                <c:pt idx="5">
                  <c:v>2.0381858366841783</c:v>
                </c:pt>
                <c:pt idx="6">
                  <c:v>1.9885913776150939</c:v>
                </c:pt>
                <c:pt idx="7">
                  <c:v>-3.5660116620041009</c:v>
                </c:pt>
                <c:pt idx="8">
                  <c:v>4.3320710238245974</c:v>
                </c:pt>
                <c:pt idx="9">
                  <c:v>-12.999159271368526</c:v>
                </c:pt>
                <c:pt idx="10">
                  <c:v>-29.179975768256586</c:v>
                </c:pt>
                <c:pt idx="11">
                  <c:v>-26.799084988562296</c:v>
                </c:pt>
                <c:pt idx="12">
                  <c:v>-53.186944479643458</c:v>
                </c:pt>
                <c:pt idx="13">
                  <c:v>-58.978211870773862</c:v>
                </c:pt>
                <c:pt idx="14">
                  <c:v>-54.184735949985892</c:v>
                </c:pt>
                <c:pt idx="15">
                  <c:v>-51.248390387477663</c:v>
                </c:pt>
                <c:pt idx="16">
                  <c:v>-44.018982924673153</c:v>
                </c:pt>
                <c:pt idx="17">
                  <c:v>-44.069188921093009</c:v>
                </c:pt>
                <c:pt idx="18">
                  <c:v>-49.734788715611899</c:v>
                </c:pt>
                <c:pt idx="19">
                  <c:v>-50.764468988229083</c:v>
                </c:pt>
                <c:pt idx="20">
                  <c:v>-54.163645107363948</c:v>
                </c:pt>
                <c:pt idx="21">
                  <c:v>-53.91649057705839</c:v>
                </c:pt>
                <c:pt idx="22">
                  <c:v>-47.696903715800261</c:v>
                </c:pt>
                <c:pt idx="23">
                  <c:v>-47.535860655737508</c:v>
                </c:pt>
                <c:pt idx="24">
                  <c:v>-33.845063160608284</c:v>
                </c:pt>
                <c:pt idx="25">
                  <c:v>-23.163951887356191</c:v>
                </c:pt>
                <c:pt idx="26">
                  <c:v>1.3573573573573858</c:v>
                </c:pt>
                <c:pt idx="27">
                  <c:v>2.1482231064764012</c:v>
                </c:pt>
                <c:pt idx="28">
                  <c:v>4.8481826241015824E-3</c:v>
                </c:pt>
                <c:pt idx="29">
                  <c:v>7.7959596519425958</c:v>
                </c:pt>
                <c:pt idx="30">
                  <c:v>17.929156879224703</c:v>
                </c:pt>
                <c:pt idx="31">
                  <c:v>44.702281887664427</c:v>
                </c:pt>
                <c:pt idx="32">
                  <c:v>68.359784835212409</c:v>
                </c:pt>
                <c:pt idx="33">
                  <c:v>67.840334019888289</c:v>
                </c:pt>
                <c:pt idx="34">
                  <c:v>87.935969074847591</c:v>
                </c:pt>
                <c:pt idx="35">
                  <c:v>54.117436448263341</c:v>
                </c:pt>
                <c:pt idx="36">
                  <c:v>58.223408608226322</c:v>
                </c:pt>
                <c:pt idx="37">
                  <c:v>32.23167041401112</c:v>
                </c:pt>
              </c:numCache>
            </c:numRef>
          </c:val>
        </c:ser>
        <c:marker val="1"/>
        <c:axId val="218319488"/>
        <c:axId val="218329856"/>
      </c:lineChart>
      <c:catAx>
        <c:axId val="21831948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329856"/>
        <c:crosses val="autoZero"/>
        <c:auto val="1"/>
        <c:lblAlgn val="ctr"/>
        <c:lblOffset val="0"/>
        <c:tickLblSkip val="2"/>
        <c:tickMarkSkip val="1"/>
        <c:noMultiLvlLbl val="1"/>
      </c:catAx>
      <c:valAx>
        <c:axId val="218329856"/>
        <c:scaling>
          <c:orientation val="minMax"/>
          <c:max val="100"/>
          <c:min val="-7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319488"/>
        <c:crosses val="autoZero"/>
        <c:crossBetween val="between"/>
        <c:majorUnit val="25"/>
      </c:valAx>
      <c:spPr>
        <a:noFill/>
        <a:ln w="6350">
          <a:solidFill>
            <a:sysClr val="window" lastClr="FFFFFF">
              <a:lumMod val="85000"/>
            </a:sysClr>
          </a:solidFill>
        </a:ln>
      </c:spPr>
    </c:plotArea>
    <c:legend>
      <c:legendPos val="b"/>
      <c:layout>
        <c:manualLayout>
          <c:xMode val="edge"/>
          <c:yMode val="edge"/>
          <c:x val="0.21223357723240793"/>
          <c:y val="6.7276620370370382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813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104.22734341863421</c:v>
                </c:pt>
                <c:pt idx="1">
                  <c:v>102.17729393468115</c:v>
                </c:pt>
                <c:pt idx="2">
                  <c:v>101.44917291107026</c:v>
                </c:pt>
                <c:pt idx="3">
                  <c:v>105.11805457373089</c:v>
                </c:pt>
                <c:pt idx="4">
                  <c:v>104.12130637636047</c:v>
                </c:pt>
                <c:pt idx="5">
                  <c:v>103.48508412271997</c:v>
                </c:pt>
                <c:pt idx="6">
                  <c:v>102.9054149582923</c:v>
                </c:pt>
                <c:pt idx="7">
                  <c:v>104.77166690230456</c:v>
                </c:pt>
                <c:pt idx="8">
                  <c:v>106.34101512795138</c:v>
                </c:pt>
                <c:pt idx="9">
                  <c:v>101.85211367170936</c:v>
                </c:pt>
                <c:pt idx="10">
                  <c:v>101.58348649794995</c:v>
                </c:pt>
                <c:pt idx="11">
                  <c:v>101.81676799095148</c:v>
                </c:pt>
                <c:pt idx="12">
                  <c:v>105.08977802912447</c:v>
                </c:pt>
                <c:pt idx="13">
                  <c:v>99.901032093878143</c:v>
                </c:pt>
                <c:pt idx="14">
                  <c:v>99.229464159479718</c:v>
                </c:pt>
                <c:pt idx="15">
                  <c:v>97.624770253074743</c:v>
                </c:pt>
                <c:pt idx="16">
                  <c:v>93.524671285168964</c:v>
                </c:pt>
                <c:pt idx="17">
                  <c:v>94.111409585748859</c:v>
                </c:pt>
                <c:pt idx="18">
                  <c:v>94.012441679626718</c:v>
                </c:pt>
                <c:pt idx="19">
                  <c:v>93.687261416654565</c:v>
                </c:pt>
                <c:pt idx="20">
                  <c:v>94.245723172628288</c:v>
                </c:pt>
                <c:pt idx="21">
                  <c:v>93.079315707620239</c:v>
                </c:pt>
                <c:pt idx="22">
                  <c:v>93.878128092747119</c:v>
                </c:pt>
                <c:pt idx="23">
                  <c:v>93.291389792167436</c:v>
                </c:pt>
                <c:pt idx="24">
                  <c:v>91.488760073519018</c:v>
                </c:pt>
                <c:pt idx="25">
                  <c:v>92.308779867100085</c:v>
                </c:pt>
                <c:pt idx="26">
                  <c:v>91.52410575427686</c:v>
                </c:pt>
                <c:pt idx="27">
                  <c:v>89.813374805598571</c:v>
                </c:pt>
                <c:pt idx="28" formatCode="General">
                  <c:v>90.527357556906239</c:v>
                </c:pt>
                <c:pt idx="29" formatCode="General">
                  <c:v>92.287572458645613</c:v>
                </c:pt>
                <c:pt idx="30" formatCode="General">
                  <c:v>91.580658843489047</c:v>
                </c:pt>
                <c:pt idx="31" formatCode="General">
                  <c:v>92.598614449314709</c:v>
                </c:pt>
                <c:pt idx="32" formatCode="General">
                  <c:v>94.040718224233046</c:v>
                </c:pt>
                <c:pt idx="33" formatCode="General">
                  <c:v>91.983599604128628</c:v>
                </c:pt>
                <c:pt idx="34" formatCode="General">
                  <c:v>92.329987275554572</c:v>
                </c:pt>
                <c:pt idx="35" formatCode="General">
                  <c:v>91.997737876431188</c:v>
                </c:pt>
                <c:pt idx="36" formatCode="General">
                  <c:v>93.750883642019005</c:v>
                </c:pt>
                <c:pt idx="37" formatCode="General">
                  <c:v>93.800367595079919</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105.01553484243225</c:v>
                </c:pt>
                <c:pt idx="1">
                  <c:v>102.26998922072156</c:v>
                </c:pt>
                <c:pt idx="2">
                  <c:v>101.41398769894127</c:v>
                </c:pt>
                <c:pt idx="3">
                  <c:v>105.62424703569835</c:v>
                </c:pt>
                <c:pt idx="4">
                  <c:v>104.55900069748265</c:v>
                </c:pt>
                <c:pt idx="5">
                  <c:v>103.93760700019041</c:v>
                </c:pt>
                <c:pt idx="6">
                  <c:v>103.26548728679221</c:v>
                </c:pt>
                <c:pt idx="7">
                  <c:v>105.33891319510494</c:v>
                </c:pt>
                <c:pt idx="8">
                  <c:v>107.26650180711431</c:v>
                </c:pt>
                <c:pt idx="9">
                  <c:v>101.87052184389047</c:v>
                </c:pt>
                <c:pt idx="10">
                  <c:v>101.49007672309935</c:v>
                </c:pt>
                <c:pt idx="11">
                  <c:v>101.93392936402279</c:v>
                </c:pt>
                <c:pt idx="12">
                  <c:v>105.85251410817321</c:v>
                </c:pt>
                <c:pt idx="13">
                  <c:v>100.13949654429015</c:v>
                </c:pt>
                <c:pt idx="14">
                  <c:v>99.492739838944686</c:v>
                </c:pt>
                <c:pt idx="15">
                  <c:v>97.672944011159345</c:v>
                </c:pt>
                <c:pt idx="16">
                  <c:v>92.758861200938412</c:v>
                </c:pt>
                <c:pt idx="17">
                  <c:v>93.380254898230916</c:v>
                </c:pt>
                <c:pt idx="18">
                  <c:v>93.012491281465969</c:v>
                </c:pt>
                <c:pt idx="19">
                  <c:v>92.708135184832912</c:v>
                </c:pt>
                <c:pt idx="20">
                  <c:v>93.900196563312619</c:v>
                </c:pt>
                <c:pt idx="21">
                  <c:v>92.422801344239389</c:v>
                </c:pt>
                <c:pt idx="22">
                  <c:v>93.006150529452782</c:v>
                </c:pt>
                <c:pt idx="23">
                  <c:v>92.803246465030767</c:v>
                </c:pt>
                <c:pt idx="24">
                  <c:v>90.862976348994636</c:v>
                </c:pt>
                <c:pt idx="25">
                  <c:v>91.921881935197504</c:v>
                </c:pt>
                <c:pt idx="26">
                  <c:v>90.704457548665275</c:v>
                </c:pt>
                <c:pt idx="27">
                  <c:v>88.650053896392109</c:v>
                </c:pt>
                <c:pt idx="28" formatCode="General">
                  <c:v>89.068543529262627</c:v>
                </c:pt>
                <c:pt idx="29" formatCode="General">
                  <c:v>90.837613340942596</c:v>
                </c:pt>
                <c:pt idx="30" formatCode="General">
                  <c:v>89.569462938304483</c:v>
                </c:pt>
                <c:pt idx="31" formatCode="General">
                  <c:v>90.691776044638758</c:v>
                </c:pt>
                <c:pt idx="32" formatCode="General">
                  <c:v>92.302327055988627</c:v>
                </c:pt>
                <c:pt idx="33" formatCode="General">
                  <c:v>89.487033162133045</c:v>
                </c:pt>
                <c:pt idx="34" formatCode="General">
                  <c:v>90.463508972164078</c:v>
                </c:pt>
                <c:pt idx="35" formatCode="General">
                  <c:v>90.793228076849928</c:v>
                </c:pt>
                <c:pt idx="36" formatCode="General">
                  <c:v>91.091243421469827</c:v>
                </c:pt>
                <c:pt idx="37" formatCode="General">
                  <c:v>91.414621774142901</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100.10568793235933</c:v>
                </c:pt>
                <c:pt idx="1">
                  <c:v>101.67179093005346</c:v>
                </c:pt>
                <c:pt idx="2">
                  <c:v>101.59492697924709</c:v>
                </c:pt>
                <c:pt idx="3">
                  <c:v>102.4500384319754</c:v>
                </c:pt>
                <c:pt idx="4">
                  <c:v>101.81591083781707</c:v>
                </c:pt>
                <c:pt idx="5">
                  <c:v>101.11452728670272</c:v>
                </c:pt>
                <c:pt idx="6">
                  <c:v>101.01844734819365</c:v>
                </c:pt>
                <c:pt idx="7">
                  <c:v>101.80630284396592</c:v>
                </c:pt>
                <c:pt idx="8">
                  <c:v>101.4988470407379</c:v>
                </c:pt>
                <c:pt idx="9">
                  <c:v>101.73904688700998</c:v>
                </c:pt>
                <c:pt idx="10">
                  <c:v>102.06571867794005</c:v>
                </c:pt>
                <c:pt idx="11">
                  <c:v>101.19139123750927</c:v>
                </c:pt>
                <c:pt idx="12">
                  <c:v>101.56610299769405</c:v>
                </c:pt>
                <c:pt idx="13">
                  <c:v>98.731744811683129</c:v>
                </c:pt>
                <c:pt idx="14">
                  <c:v>97.953497309761659</c:v>
                </c:pt>
                <c:pt idx="15">
                  <c:v>97.338585703305156</c:v>
                </c:pt>
                <c:pt idx="16">
                  <c:v>96.838970023058849</c:v>
                </c:pt>
                <c:pt idx="17">
                  <c:v>97.280937740199818</c:v>
                </c:pt>
                <c:pt idx="18">
                  <c:v>98.37624903920063</c:v>
                </c:pt>
                <c:pt idx="19">
                  <c:v>97.943889315910866</c:v>
                </c:pt>
                <c:pt idx="20">
                  <c:v>95.714834742505786</c:v>
                </c:pt>
                <c:pt idx="21">
                  <c:v>95.935818601076107</c:v>
                </c:pt>
                <c:pt idx="22">
                  <c:v>97.703689469638974</c:v>
                </c:pt>
                <c:pt idx="23">
                  <c:v>95.378554957724475</c:v>
                </c:pt>
                <c:pt idx="24">
                  <c:v>93.995003843197566</c:v>
                </c:pt>
                <c:pt idx="25">
                  <c:v>94.06225980015374</c:v>
                </c:pt>
                <c:pt idx="26">
                  <c:v>94.638739431206758</c:v>
                </c:pt>
                <c:pt idx="27">
                  <c:v>93.975787855495284</c:v>
                </c:pt>
                <c:pt idx="28" formatCode="General">
                  <c:v>95.64757878554957</c:v>
                </c:pt>
                <c:pt idx="29" formatCode="General">
                  <c:v>97.386625672559518</c:v>
                </c:pt>
                <c:pt idx="30" formatCode="General">
                  <c:v>98.433897002305912</c:v>
                </c:pt>
                <c:pt idx="31" formatCode="General">
                  <c:v>99.125672559569125</c:v>
                </c:pt>
                <c:pt idx="32" formatCode="General">
                  <c:v>100.02882398155266</c:v>
                </c:pt>
                <c:pt idx="33" formatCode="General">
                  <c:v>100.37471176018428</c:v>
                </c:pt>
                <c:pt idx="34" formatCode="General">
                  <c:v>98.741352805534149</c:v>
                </c:pt>
                <c:pt idx="35" formatCode="General">
                  <c:v>96.339354342813238</c:v>
                </c:pt>
                <c:pt idx="36" formatCode="General">
                  <c:v>101.34511913912378</c:v>
                </c:pt>
                <c:pt idx="37" formatCode="General">
                  <c:v>100.78785549577275</c:v>
                </c:pt>
              </c:numCache>
            </c:numRef>
          </c:val>
        </c:ser>
        <c:marker val="1"/>
        <c:axId val="215881216"/>
        <c:axId val="215882752"/>
      </c:lineChart>
      <c:catAx>
        <c:axId val="21588121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215882752"/>
        <c:crosses val="autoZero"/>
        <c:auto val="1"/>
        <c:lblAlgn val="ctr"/>
        <c:lblOffset val="0"/>
        <c:tickLblSkip val="2"/>
        <c:tickMarkSkip val="1"/>
        <c:noMultiLvlLbl val="1"/>
      </c:catAx>
      <c:valAx>
        <c:axId val="215882752"/>
        <c:scaling>
          <c:orientation val="minMax"/>
          <c:min val="8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881216"/>
        <c:crosses val="autoZero"/>
        <c:crossBetween val="between"/>
      </c:valAx>
      <c:spPr>
        <a:noFill/>
        <a:ln w="6350">
          <a:solidFill>
            <a:sysClr val="window" lastClr="FFFFFF">
              <a:lumMod val="85000"/>
            </a:sysClr>
          </a:solidFill>
        </a:ln>
      </c:spPr>
    </c:plotArea>
    <c:legend>
      <c:legendPos val="b"/>
      <c:layout>
        <c:manualLayout>
          <c:xMode val="edge"/>
          <c:yMode val="edge"/>
          <c:x val="0.46410576110131962"/>
          <c:y val="8.9064236111111167E-2"/>
          <c:w val="0.45080477616355435"/>
          <c:h val="0.18328819444444988"/>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701"/>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130.81</c:v>
                </c:pt>
                <c:pt idx="1">
                  <c:v>134.59</c:v>
                </c:pt>
                <c:pt idx="2">
                  <c:v>118.86999999999999</c:v>
                </c:pt>
                <c:pt idx="3">
                  <c:v>148.44999999999999</c:v>
                </c:pt>
                <c:pt idx="4">
                  <c:v>133.09</c:v>
                </c:pt>
                <c:pt idx="5">
                  <c:v>130.58000000000001</c:v>
                </c:pt>
                <c:pt idx="6">
                  <c:v>125.84</c:v>
                </c:pt>
                <c:pt idx="7">
                  <c:v>123.76</c:v>
                </c:pt>
                <c:pt idx="8">
                  <c:v>130.88000000000039</c:v>
                </c:pt>
                <c:pt idx="9">
                  <c:v>125.28</c:v>
                </c:pt>
                <c:pt idx="10">
                  <c:v>102.32</c:v>
                </c:pt>
                <c:pt idx="11">
                  <c:v>105.14999999999999</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103.85</c:v>
                </c:pt>
                <c:pt idx="1">
                  <c:v>100.3</c:v>
                </c:pt>
                <c:pt idx="2">
                  <c:v>82.88</c:v>
                </c:pt>
                <c:pt idx="3">
                  <c:v>93.23</c:v>
                </c:pt>
                <c:pt idx="4">
                  <c:v>87.57</c:v>
                </c:pt>
                <c:pt idx="5">
                  <c:v>92.649999999999991</c:v>
                </c:pt>
                <c:pt idx="6">
                  <c:v>80.36</c:v>
                </c:pt>
                <c:pt idx="7">
                  <c:v>88.440000000000026</c:v>
                </c:pt>
                <c:pt idx="8">
                  <c:v>89.93</c:v>
                </c:pt>
                <c:pt idx="9">
                  <c:v>98.210000000000022</c:v>
                </c:pt>
                <c:pt idx="10">
                  <c:v>97.490000000000023</c:v>
                </c:pt>
                <c:pt idx="11">
                  <c:v>85.08</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93.740000000000023</c:v>
                </c:pt>
                <c:pt idx="1">
                  <c:v>93.240000000000023</c:v>
                </c:pt>
                <c:pt idx="2">
                  <c:v>86.39</c:v>
                </c:pt>
                <c:pt idx="3">
                  <c:v>108.71000000000002</c:v>
                </c:pt>
                <c:pt idx="4">
                  <c:v>114.63</c:v>
                </c:pt>
                <c:pt idx="5">
                  <c:v>118.61999999999999</c:v>
                </c:pt>
                <c:pt idx="6">
                  <c:v>114.74000000000002</c:v>
                </c:pt>
                <c:pt idx="7">
                  <c:v>124.77</c:v>
                </c:pt>
                <c:pt idx="8">
                  <c:v>130.81</c:v>
                </c:pt>
                <c:pt idx="9">
                  <c:v>134.31</c:v>
                </c:pt>
                <c:pt idx="10">
                  <c:v>128.78</c:v>
                </c:pt>
                <c:pt idx="11">
                  <c:v>117.7</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114.86</c:v>
                </c:pt>
                <c:pt idx="1">
                  <c:v>119.35</c:v>
                </c:pt>
              </c:numCache>
            </c:numRef>
          </c:val>
        </c:ser>
        <c:marker val="1"/>
        <c:axId val="218559232"/>
        <c:axId val="218560768"/>
      </c:lineChart>
      <c:catAx>
        <c:axId val="21855923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560768"/>
        <c:crosses val="autoZero"/>
        <c:auto val="1"/>
        <c:lblAlgn val="ctr"/>
        <c:lblOffset val="0"/>
        <c:tickMarkSkip val="1"/>
      </c:catAx>
      <c:valAx>
        <c:axId val="218560768"/>
        <c:scaling>
          <c:orientation val="minMax"/>
          <c:max val="15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559232"/>
        <c:crosses val="autoZero"/>
        <c:crossBetween val="between"/>
      </c:valAx>
      <c:spPr>
        <a:noFill/>
        <a:ln w="6350">
          <a:solidFill>
            <a:sysClr val="window" lastClr="FFFFFF">
              <a:lumMod val="85000"/>
            </a:sysClr>
          </a:solidFill>
        </a:ln>
      </c:spPr>
    </c:plotArea>
    <c:legend>
      <c:legendPos val="b"/>
      <c:layout>
        <c:manualLayout>
          <c:xMode val="edge"/>
          <c:yMode val="edge"/>
          <c:x val="0.41948635875009982"/>
          <c:y val="0.48779803240740749"/>
          <c:w val="0.33374122189490785"/>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Sheet1!$A$2:$B$37</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Sheet1!$C$2:$C$37</c:f>
              <c:numCache>
                <c:formatCode>0.0</c:formatCode>
                <c:ptCount val="36"/>
                <c:pt idx="0">
                  <c:v>103.14455569461855</c:v>
                </c:pt>
                <c:pt idx="1">
                  <c:v>105.05319148936172</c:v>
                </c:pt>
                <c:pt idx="2">
                  <c:v>104.67772215269042</c:v>
                </c:pt>
                <c:pt idx="3">
                  <c:v>104.66207759699587</c:v>
                </c:pt>
                <c:pt idx="4">
                  <c:v>99.874843554443018</c:v>
                </c:pt>
                <c:pt idx="5">
                  <c:v>101.90863579474343</c:v>
                </c:pt>
                <c:pt idx="6">
                  <c:v>100.96214017521902</c:v>
                </c:pt>
                <c:pt idx="7">
                  <c:v>96.816332916145058</c:v>
                </c:pt>
                <c:pt idx="8">
                  <c:v>99.02221526908636</c:v>
                </c:pt>
                <c:pt idx="9">
                  <c:v>92.091677096370461</c:v>
                </c:pt>
                <c:pt idx="10">
                  <c:v>84.003441802252468</c:v>
                </c:pt>
                <c:pt idx="11">
                  <c:v>86.1467459324153</c:v>
                </c:pt>
                <c:pt idx="12">
                  <c:v>84.996871088861056</c:v>
                </c:pt>
                <c:pt idx="13">
                  <c:v>79.161451814768213</c:v>
                </c:pt>
                <c:pt idx="14">
                  <c:v>72.723717146432676</c:v>
                </c:pt>
                <c:pt idx="15">
                  <c:v>73.036608260325394</c:v>
                </c:pt>
                <c:pt idx="16">
                  <c:v>70.90112640801037</c:v>
                </c:pt>
                <c:pt idx="17">
                  <c:v>73.349499374217942</c:v>
                </c:pt>
                <c:pt idx="18">
                  <c:v>69.931163954944012</c:v>
                </c:pt>
                <c:pt idx="19">
                  <c:v>69.438360450563152</c:v>
                </c:pt>
                <c:pt idx="20">
                  <c:v>72.684605757196451</c:v>
                </c:pt>
                <c:pt idx="21">
                  <c:v>77.385794743428917</c:v>
                </c:pt>
                <c:pt idx="22">
                  <c:v>81.727158948685812</c:v>
                </c:pt>
                <c:pt idx="23">
                  <c:v>78.371401752189826</c:v>
                </c:pt>
                <c:pt idx="24">
                  <c:v>78.355757196495048</c:v>
                </c:pt>
                <c:pt idx="25">
                  <c:v>78.793804755944905</c:v>
                </c:pt>
                <c:pt idx="26" formatCode="General">
                  <c:v>82.165206508135142</c:v>
                </c:pt>
                <c:pt idx="27" formatCode="General">
                  <c:v>87.609511889862304</c:v>
                </c:pt>
                <c:pt idx="28" formatCode="General">
                  <c:v>87.765957446808486</c:v>
                </c:pt>
                <c:pt idx="29" formatCode="General">
                  <c:v>90.652377972465018</c:v>
                </c:pt>
                <c:pt idx="30" formatCode="General">
                  <c:v>90.488110137672052</c:v>
                </c:pt>
                <c:pt idx="31" formatCode="General">
                  <c:v>94.719962453066316</c:v>
                </c:pt>
                <c:pt idx="32" formatCode="General">
                  <c:v>100.17991239048769</c:v>
                </c:pt>
                <c:pt idx="33" formatCode="General">
                  <c:v>101.07947434292829</c:v>
                </c:pt>
                <c:pt idx="34" formatCode="General">
                  <c:v>103.87984981226495</c:v>
                </c:pt>
                <c:pt idx="35" formatCode="General">
                  <c:v>102.01814768460572</c:v>
                </c:pt>
              </c:numCache>
            </c:numRef>
          </c:val>
        </c:ser>
        <c:marker val="1"/>
        <c:axId val="215909888"/>
        <c:axId val="215911424"/>
      </c:lineChart>
      <c:catAx>
        <c:axId val="21590988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911424"/>
        <c:crosses val="autoZero"/>
        <c:auto val="1"/>
        <c:lblAlgn val="ctr"/>
        <c:lblOffset val="0"/>
        <c:tickLblSkip val="2"/>
        <c:tickMarkSkip val="1"/>
        <c:noMultiLvlLbl val="1"/>
      </c:catAx>
      <c:valAx>
        <c:axId val="215911424"/>
        <c:scaling>
          <c:orientation val="minMax"/>
          <c:max val="11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5909888"/>
        <c:crossesAt val="1"/>
        <c:crossBetween val="between"/>
        <c:majorUnit val="1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18257069225573E-2"/>
          <c:y val="4.1334164037576122E-2"/>
          <c:w val="0.92175667635782665"/>
          <c:h val="0.7714221063154606"/>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Sheet1!$B$3:$AZ$3</c:f>
              <c:numCache>
                <c:formatCode>General</c:formatCode>
                <c:ptCount val="39"/>
                <c:pt idx="0">
                  <c:v>-0.9</c:v>
                </c:pt>
                <c:pt idx="1">
                  <c:v>-0.1</c:v>
                </c:pt>
                <c:pt idx="2">
                  <c:v>0.9</c:v>
                </c:pt>
                <c:pt idx="3">
                  <c:v>-6.1</c:v>
                </c:pt>
                <c:pt idx="4">
                  <c:v>-4.5</c:v>
                </c:pt>
                <c:pt idx="5">
                  <c:v>-7.2</c:v>
                </c:pt>
                <c:pt idx="6">
                  <c:v>-13.4</c:v>
                </c:pt>
                <c:pt idx="7">
                  <c:v>-14</c:v>
                </c:pt>
                <c:pt idx="8">
                  <c:v>-15.2</c:v>
                </c:pt>
                <c:pt idx="9">
                  <c:v>-20</c:v>
                </c:pt>
                <c:pt idx="10">
                  <c:v>-20.7</c:v>
                </c:pt>
                <c:pt idx="11">
                  <c:v>-27.4</c:v>
                </c:pt>
                <c:pt idx="12">
                  <c:v>-27.3</c:v>
                </c:pt>
                <c:pt idx="13">
                  <c:v>-25.7</c:v>
                </c:pt>
                <c:pt idx="14">
                  <c:v>-23.4</c:v>
                </c:pt>
                <c:pt idx="15">
                  <c:v>-23.5</c:v>
                </c:pt>
                <c:pt idx="16">
                  <c:v>-16.100000000000001</c:v>
                </c:pt>
                <c:pt idx="17">
                  <c:v>-15.4</c:v>
                </c:pt>
                <c:pt idx="18">
                  <c:v>-13.4</c:v>
                </c:pt>
                <c:pt idx="19">
                  <c:v>-10.9</c:v>
                </c:pt>
                <c:pt idx="20">
                  <c:v>-7.9</c:v>
                </c:pt>
                <c:pt idx="21">
                  <c:v>-8.7000000000000011</c:v>
                </c:pt>
                <c:pt idx="22">
                  <c:v>-4.5</c:v>
                </c:pt>
                <c:pt idx="23">
                  <c:v>-3.5</c:v>
                </c:pt>
                <c:pt idx="24">
                  <c:v>-3.7</c:v>
                </c:pt>
                <c:pt idx="25">
                  <c:v>-3.8</c:v>
                </c:pt>
                <c:pt idx="26">
                  <c:v>-5.2</c:v>
                </c:pt>
                <c:pt idx="27">
                  <c:v>0.5</c:v>
                </c:pt>
                <c:pt idx="28">
                  <c:v>-4.2</c:v>
                </c:pt>
                <c:pt idx="29">
                  <c:v>-3.6</c:v>
                </c:pt>
                <c:pt idx="30">
                  <c:v>0.2</c:v>
                </c:pt>
                <c:pt idx="31">
                  <c:v>0.8</c:v>
                </c:pt>
                <c:pt idx="32">
                  <c:v>1.2</c:v>
                </c:pt>
                <c:pt idx="33">
                  <c:v>3.2</c:v>
                </c:pt>
                <c:pt idx="34">
                  <c:v>3.5</c:v>
                </c:pt>
                <c:pt idx="35">
                  <c:v>8.1</c:v>
                </c:pt>
                <c:pt idx="36">
                  <c:v>3.6</c:v>
                </c:pt>
                <c:pt idx="37">
                  <c:v>0.8</c:v>
                </c:pt>
                <c:pt idx="38">
                  <c:v>0.5</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Sheet1!$B$4:$AZ$4</c:f>
              <c:numCache>
                <c:formatCode>General</c:formatCode>
                <c:ptCount val="39"/>
                <c:pt idx="0">
                  <c:v>16.8</c:v>
                </c:pt>
                <c:pt idx="1">
                  <c:v>7.5</c:v>
                </c:pt>
                <c:pt idx="2">
                  <c:v>6.9</c:v>
                </c:pt>
                <c:pt idx="3">
                  <c:v>-3.6</c:v>
                </c:pt>
                <c:pt idx="4">
                  <c:v>-2.5</c:v>
                </c:pt>
                <c:pt idx="5">
                  <c:v>-3.4</c:v>
                </c:pt>
                <c:pt idx="6">
                  <c:v>-9.3000000000000007</c:v>
                </c:pt>
                <c:pt idx="7">
                  <c:v>-8.8000000000000007</c:v>
                </c:pt>
                <c:pt idx="8">
                  <c:v>-15.8</c:v>
                </c:pt>
                <c:pt idx="9">
                  <c:v>-21.8</c:v>
                </c:pt>
                <c:pt idx="10">
                  <c:v>-31.2</c:v>
                </c:pt>
                <c:pt idx="11">
                  <c:v>-32.6</c:v>
                </c:pt>
                <c:pt idx="12">
                  <c:v>-34.300000000000004</c:v>
                </c:pt>
                <c:pt idx="13">
                  <c:v>-41.6</c:v>
                </c:pt>
                <c:pt idx="14">
                  <c:v>-43.6</c:v>
                </c:pt>
                <c:pt idx="15">
                  <c:v>-44.8</c:v>
                </c:pt>
                <c:pt idx="16">
                  <c:v>-41.5</c:v>
                </c:pt>
                <c:pt idx="17">
                  <c:v>-45.6</c:v>
                </c:pt>
                <c:pt idx="18">
                  <c:v>-38.4</c:v>
                </c:pt>
                <c:pt idx="19">
                  <c:v>-34.300000000000004</c:v>
                </c:pt>
                <c:pt idx="20">
                  <c:v>-32.200000000000003</c:v>
                </c:pt>
                <c:pt idx="21">
                  <c:v>-30.3</c:v>
                </c:pt>
                <c:pt idx="22">
                  <c:v>-28.6</c:v>
                </c:pt>
                <c:pt idx="23">
                  <c:v>-24.2</c:v>
                </c:pt>
                <c:pt idx="24">
                  <c:v>-17.7</c:v>
                </c:pt>
                <c:pt idx="25">
                  <c:v>-16</c:v>
                </c:pt>
                <c:pt idx="26">
                  <c:v>-14.4</c:v>
                </c:pt>
                <c:pt idx="27">
                  <c:v>-3.5</c:v>
                </c:pt>
                <c:pt idx="28">
                  <c:v>-3.4</c:v>
                </c:pt>
                <c:pt idx="29">
                  <c:v>2.6</c:v>
                </c:pt>
                <c:pt idx="30">
                  <c:v>8.9</c:v>
                </c:pt>
                <c:pt idx="31">
                  <c:v>7</c:v>
                </c:pt>
                <c:pt idx="32">
                  <c:v>7.1</c:v>
                </c:pt>
                <c:pt idx="33">
                  <c:v>13.3</c:v>
                </c:pt>
                <c:pt idx="34">
                  <c:v>17.899999999999999</c:v>
                </c:pt>
                <c:pt idx="35">
                  <c:v>12.9</c:v>
                </c:pt>
                <c:pt idx="36">
                  <c:v>19</c:v>
                </c:pt>
                <c:pt idx="37">
                  <c:v>23</c:v>
                </c:pt>
                <c:pt idx="38">
                  <c:v>25.1</c:v>
                </c:pt>
              </c:numCache>
            </c:numRef>
          </c:val>
        </c:ser>
        <c:ser>
          <c:idx val="2"/>
          <c:order val="2"/>
          <c:tx>
            <c:strRef>
              <c:f>Sheet1!$A$5</c:f>
              <c:strCache>
                <c:ptCount val="1"/>
                <c:pt idx="0">
                  <c:v>LV</c:v>
                </c:pt>
              </c:strCache>
            </c:strRef>
          </c:tx>
          <c:spPr>
            <a:ln w="31750">
              <a:solidFill>
                <a:srgbClr val="0070C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Sheet1!$B$5:$AZ$5</c:f>
              <c:numCache>
                <c:formatCode>General</c:formatCode>
                <c:ptCount val="39"/>
                <c:pt idx="0">
                  <c:v>9.1</c:v>
                </c:pt>
                <c:pt idx="1">
                  <c:v>6.9</c:v>
                </c:pt>
                <c:pt idx="2">
                  <c:v>4.5</c:v>
                </c:pt>
                <c:pt idx="3">
                  <c:v>0.30000000000000032</c:v>
                </c:pt>
                <c:pt idx="4">
                  <c:v>1.5</c:v>
                </c:pt>
                <c:pt idx="5">
                  <c:v>-2.5</c:v>
                </c:pt>
                <c:pt idx="6">
                  <c:v>-4.3</c:v>
                </c:pt>
                <c:pt idx="7">
                  <c:v>-5.5</c:v>
                </c:pt>
                <c:pt idx="8">
                  <c:v>-9.4</c:v>
                </c:pt>
                <c:pt idx="9">
                  <c:v>-13</c:v>
                </c:pt>
                <c:pt idx="10">
                  <c:v>-19.5</c:v>
                </c:pt>
                <c:pt idx="11">
                  <c:v>-28.5</c:v>
                </c:pt>
                <c:pt idx="12">
                  <c:v>-31.3</c:v>
                </c:pt>
                <c:pt idx="13">
                  <c:v>-35.200000000000003</c:v>
                </c:pt>
                <c:pt idx="14">
                  <c:v>-32.9</c:v>
                </c:pt>
                <c:pt idx="15">
                  <c:v>-28.6</c:v>
                </c:pt>
                <c:pt idx="16">
                  <c:v>-27.3</c:v>
                </c:pt>
                <c:pt idx="17">
                  <c:v>-28.3</c:v>
                </c:pt>
                <c:pt idx="18">
                  <c:v>-27</c:v>
                </c:pt>
                <c:pt idx="19">
                  <c:v>-26</c:v>
                </c:pt>
                <c:pt idx="20">
                  <c:v>-23.8</c:v>
                </c:pt>
                <c:pt idx="21">
                  <c:v>-20.8</c:v>
                </c:pt>
                <c:pt idx="22">
                  <c:v>-17.7</c:v>
                </c:pt>
                <c:pt idx="23">
                  <c:v>-15.1</c:v>
                </c:pt>
                <c:pt idx="24">
                  <c:v>-16</c:v>
                </c:pt>
                <c:pt idx="25">
                  <c:v>-15.5</c:v>
                </c:pt>
                <c:pt idx="26">
                  <c:v>-5.8</c:v>
                </c:pt>
                <c:pt idx="27">
                  <c:v>1.2</c:v>
                </c:pt>
                <c:pt idx="28">
                  <c:v>4.2</c:v>
                </c:pt>
                <c:pt idx="29">
                  <c:v>8.8000000000000007</c:v>
                </c:pt>
                <c:pt idx="30">
                  <c:v>7.3</c:v>
                </c:pt>
                <c:pt idx="31">
                  <c:v>7.4</c:v>
                </c:pt>
                <c:pt idx="32">
                  <c:v>3.6</c:v>
                </c:pt>
                <c:pt idx="33">
                  <c:v>5</c:v>
                </c:pt>
                <c:pt idx="34">
                  <c:v>6.5</c:v>
                </c:pt>
                <c:pt idx="35">
                  <c:v>3.3</c:v>
                </c:pt>
                <c:pt idx="36">
                  <c:v>5.9</c:v>
                </c:pt>
                <c:pt idx="37">
                  <c:v>7.6</c:v>
                </c:pt>
                <c:pt idx="38">
                  <c:v>6.9</c:v>
                </c:pt>
              </c:numCache>
            </c:numRef>
          </c:val>
        </c:ser>
        <c:ser>
          <c:idx val="3"/>
          <c:order val="3"/>
          <c:tx>
            <c:strRef>
              <c:f>Sheet1!$A$6</c:f>
              <c:strCache>
                <c:ptCount val="1"/>
                <c:pt idx="0">
                  <c:v>LT</c:v>
                </c:pt>
              </c:strCache>
            </c:strRef>
          </c:tx>
          <c:spPr>
            <a:ln w="12700">
              <a:solidFill>
                <a:srgbClr val="000000"/>
              </a:solidFill>
              <a:prstDash val="sysDash"/>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Sheet1!$B$6:$AZ$6</c:f>
              <c:numCache>
                <c:formatCode>General</c:formatCode>
                <c:ptCount val="39"/>
                <c:pt idx="0">
                  <c:v>26.6</c:v>
                </c:pt>
                <c:pt idx="1">
                  <c:v>23.8</c:v>
                </c:pt>
                <c:pt idx="2">
                  <c:v>20.3</c:v>
                </c:pt>
                <c:pt idx="3">
                  <c:v>14.5</c:v>
                </c:pt>
                <c:pt idx="4">
                  <c:v>21</c:v>
                </c:pt>
                <c:pt idx="5">
                  <c:v>7.4</c:v>
                </c:pt>
                <c:pt idx="6">
                  <c:v>9</c:v>
                </c:pt>
                <c:pt idx="7">
                  <c:v>10.1</c:v>
                </c:pt>
                <c:pt idx="8">
                  <c:v>2.6</c:v>
                </c:pt>
                <c:pt idx="9">
                  <c:v>-10.4</c:v>
                </c:pt>
                <c:pt idx="10">
                  <c:v>-25.7</c:v>
                </c:pt>
                <c:pt idx="11">
                  <c:v>-32.4</c:v>
                </c:pt>
                <c:pt idx="12">
                  <c:v>-47.6</c:v>
                </c:pt>
                <c:pt idx="13">
                  <c:v>-52.9</c:v>
                </c:pt>
                <c:pt idx="14">
                  <c:v>-50.5</c:v>
                </c:pt>
                <c:pt idx="15">
                  <c:v>-57.8</c:v>
                </c:pt>
                <c:pt idx="16">
                  <c:v>-35.4</c:v>
                </c:pt>
                <c:pt idx="17">
                  <c:v>-37</c:v>
                </c:pt>
                <c:pt idx="18">
                  <c:v>-41.5</c:v>
                </c:pt>
                <c:pt idx="19">
                  <c:v>-41.5</c:v>
                </c:pt>
                <c:pt idx="20">
                  <c:v>-45.6</c:v>
                </c:pt>
                <c:pt idx="21">
                  <c:v>-36</c:v>
                </c:pt>
                <c:pt idx="22">
                  <c:v>-41.9</c:v>
                </c:pt>
                <c:pt idx="23">
                  <c:v>-40.200000000000003</c:v>
                </c:pt>
                <c:pt idx="24">
                  <c:v>-28.7</c:v>
                </c:pt>
                <c:pt idx="25">
                  <c:v>-24.8</c:v>
                </c:pt>
                <c:pt idx="26">
                  <c:v>-22.9</c:v>
                </c:pt>
                <c:pt idx="27">
                  <c:v>-17.3</c:v>
                </c:pt>
                <c:pt idx="28">
                  <c:v>-13.1</c:v>
                </c:pt>
                <c:pt idx="29">
                  <c:v>-4.7</c:v>
                </c:pt>
                <c:pt idx="30">
                  <c:v>-2.2000000000000002</c:v>
                </c:pt>
                <c:pt idx="31">
                  <c:v>5</c:v>
                </c:pt>
                <c:pt idx="32">
                  <c:v>8.3000000000000007</c:v>
                </c:pt>
                <c:pt idx="33">
                  <c:v>7.3</c:v>
                </c:pt>
                <c:pt idx="34">
                  <c:v>8</c:v>
                </c:pt>
                <c:pt idx="35">
                  <c:v>15.6</c:v>
                </c:pt>
                <c:pt idx="36">
                  <c:v>-2.1</c:v>
                </c:pt>
                <c:pt idx="37">
                  <c:v>2.4</c:v>
                </c:pt>
                <c:pt idx="38">
                  <c:v>2.6</c:v>
                </c:pt>
              </c:numCache>
            </c:numRef>
          </c:val>
        </c:ser>
        <c:marker val="1"/>
        <c:axId val="147643392"/>
        <c:axId val="166394496"/>
      </c:lineChart>
      <c:catAx>
        <c:axId val="147643392"/>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6394496"/>
        <c:crosses val="autoZero"/>
        <c:lblAlgn val="ctr"/>
        <c:lblOffset val="0"/>
        <c:tickLblSkip val="1"/>
        <c:tickMarkSkip val="1"/>
        <c:noMultiLvlLbl val="1"/>
      </c:catAx>
      <c:valAx>
        <c:axId val="166394496"/>
        <c:scaling>
          <c:orientation val="minMax"/>
          <c:max val="3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7643392"/>
        <c:crosses val="autoZero"/>
        <c:crossBetween val="between"/>
        <c:majorUnit val="15"/>
      </c:valAx>
      <c:spPr>
        <a:noFill/>
        <a:ln w="12700">
          <a:solidFill>
            <a:sysClr val="window" lastClr="FFFFFF">
              <a:lumMod val="85000"/>
            </a:sysClr>
          </a:solidFill>
        </a:ln>
      </c:spPr>
    </c:plotArea>
    <c:legend>
      <c:legendPos val="b"/>
      <c:layout>
        <c:manualLayout>
          <c:xMode val="edge"/>
          <c:yMode val="edge"/>
          <c:x val="0.44806136237356481"/>
          <c:y val="9.0215361850173828E-2"/>
          <c:w val="0.29229944902299027"/>
          <c:h val="0.14229394348131502"/>
        </c:manualLayout>
      </c:layout>
      <c:spPr>
        <a:solidFill>
          <a:sysClr val="window" lastClr="FFFFFF"/>
        </a:solidFill>
      </c:spPr>
      <c:txPr>
        <a:bodyPr/>
        <a:lstStyle/>
        <a:p>
          <a:pPr>
            <a:defRPr lang="lv-LV" sz="9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13.765900000000002</c:v>
                </c:pt>
                <c:pt idx="1">
                  <c:v>13.987100000000002</c:v>
                </c:pt>
                <c:pt idx="2">
                  <c:v>12.575700000000024</c:v>
                </c:pt>
                <c:pt idx="3">
                  <c:v>15.589700000000009</c:v>
                </c:pt>
                <c:pt idx="4">
                  <c:v>14.520500000000002</c:v>
                </c:pt>
                <c:pt idx="5">
                  <c:v>15.661800000000001</c:v>
                </c:pt>
                <c:pt idx="6">
                  <c:v>15.613200000000003</c:v>
                </c:pt>
                <c:pt idx="7">
                  <c:v>14.876900000000004</c:v>
                </c:pt>
                <c:pt idx="8">
                  <c:v>16.1997</c:v>
                </c:pt>
                <c:pt idx="9">
                  <c:v>15.325800000000006</c:v>
                </c:pt>
                <c:pt idx="10">
                  <c:v>12.7714</c:v>
                </c:pt>
                <c:pt idx="11">
                  <c:v>11.171600000000002</c:v>
                </c:pt>
                <c:pt idx="12">
                  <c:v>6.9357000000000024</c:v>
                </c:pt>
                <c:pt idx="13">
                  <c:v>7.7620000000000005</c:v>
                </c:pt>
                <c:pt idx="14">
                  <c:v>7.7844000000000015</c:v>
                </c:pt>
                <c:pt idx="15">
                  <c:v>8.0950000000000024</c:v>
                </c:pt>
                <c:pt idx="16">
                  <c:v>7.6247999999999871</c:v>
                </c:pt>
                <c:pt idx="17">
                  <c:v>8.0015000000000001</c:v>
                </c:pt>
                <c:pt idx="18">
                  <c:v>8.2368999999999986</c:v>
                </c:pt>
                <c:pt idx="19">
                  <c:v>8.8257000000000048</c:v>
                </c:pt>
                <c:pt idx="20">
                  <c:v>9.4944000000000006</c:v>
                </c:pt>
                <c:pt idx="21">
                  <c:v>8.8128000000000046</c:v>
                </c:pt>
                <c:pt idx="22">
                  <c:v>7.5413000000000014</c:v>
                </c:pt>
                <c:pt idx="23">
                  <c:v>7.8758999999999979</c:v>
                </c:pt>
                <c:pt idx="24">
                  <c:v>5.8401000000000005</c:v>
                </c:pt>
                <c:pt idx="25">
                  <c:v>6.1843999999999975</c:v>
                </c:pt>
                <c:pt idx="26">
                  <c:v>7.3266999999999989</c:v>
                </c:pt>
                <c:pt idx="27">
                  <c:v>6.7604000000000042</c:v>
                </c:pt>
                <c:pt idx="28">
                  <c:v>8.8687000000000005</c:v>
                </c:pt>
                <c:pt idx="29">
                  <c:v>10.1234</c:v>
                </c:pt>
                <c:pt idx="30">
                  <c:v>9.9356000000000027</c:v>
                </c:pt>
                <c:pt idx="31">
                  <c:v>10.820400000000006</c:v>
                </c:pt>
                <c:pt idx="32">
                  <c:v>11.534199999999998</c:v>
                </c:pt>
                <c:pt idx="33">
                  <c:v>12.5397</c:v>
                </c:pt>
                <c:pt idx="34">
                  <c:v>12.894800000000002</c:v>
                </c:pt>
                <c:pt idx="35">
                  <c:v>14.414900000000001</c:v>
                </c:pt>
                <c:pt idx="36">
                  <c:v>8.2214000000000009</c:v>
                </c:pt>
                <c:pt idx="37">
                  <c:v>8.6518000000000015</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27.135900000000031</c:v>
                </c:pt>
                <c:pt idx="1">
                  <c:v>26.5991</c:v>
                </c:pt>
                <c:pt idx="2">
                  <c:v>26.285900000000002</c:v>
                </c:pt>
                <c:pt idx="3">
                  <c:v>43.853699999999996</c:v>
                </c:pt>
                <c:pt idx="4">
                  <c:v>41.980499999999999</c:v>
                </c:pt>
                <c:pt idx="5">
                  <c:v>35.054799999999993</c:v>
                </c:pt>
                <c:pt idx="6">
                  <c:v>35.174100000000003</c:v>
                </c:pt>
                <c:pt idx="7">
                  <c:v>48.744300000000003</c:v>
                </c:pt>
                <c:pt idx="8">
                  <c:v>51.176100000000012</c:v>
                </c:pt>
                <c:pt idx="9">
                  <c:v>27.131599999999999</c:v>
                </c:pt>
                <c:pt idx="10">
                  <c:v>21.777999999999999</c:v>
                </c:pt>
                <c:pt idx="11">
                  <c:v>20.286199999999923</c:v>
                </c:pt>
                <c:pt idx="12">
                  <c:v>27.069499999999934</c:v>
                </c:pt>
                <c:pt idx="13">
                  <c:v>21.092200000000002</c:v>
                </c:pt>
                <c:pt idx="14">
                  <c:v>22.099599999999946</c:v>
                </c:pt>
                <c:pt idx="15">
                  <c:v>18.103099999999987</c:v>
                </c:pt>
                <c:pt idx="16">
                  <c:v>20.01590000000003</c:v>
                </c:pt>
                <c:pt idx="17">
                  <c:v>21.546799999999923</c:v>
                </c:pt>
                <c:pt idx="18">
                  <c:v>14.097200000000001</c:v>
                </c:pt>
                <c:pt idx="19">
                  <c:v>13.312600000000026</c:v>
                </c:pt>
                <c:pt idx="20">
                  <c:v>27.838900000000031</c:v>
                </c:pt>
                <c:pt idx="21">
                  <c:v>26.6204</c:v>
                </c:pt>
                <c:pt idx="22">
                  <c:v>16.4559</c:v>
                </c:pt>
                <c:pt idx="23">
                  <c:v>22.5092</c:v>
                </c:pt>
                <c:pt idx="24">
                  <c:v>14.457800000000002</c:v>
                </c:pt>
                <c:pt idx="25">
                  <c:v>23.1829</c:v>
                </c:pt>
                <c:pt idx="26">
                  <c:v>21.980299999999918</c:v>
                </c:pt>
                <c:pt idx="27">
                  <c:v>27.381900000000005</c:v>
                </c:pt>
                <c:pt idx="28">
                  <c:v>26.062199999999923</c:v>
                </c:pt>
                <c:pt idx="29">
                  <c:v>20.440599999999918</c:v>
                </c:pt>
                <c:pt idx="30">
                  <c:v>31.434699999999989</c:v>
                </c:pt>
                <c:pt idx="31">
                  <c:v>34.182400000000001</c:v>
                </c:pt>
                <c:pt idx="32">
                  <c:v>37.920500000000011</c:v>
                </c:pt>
                <c:pt idx="33">
                  <c:v>25.6022</c:v>
                </c:pt>
                <c:pt idx="34">
                  <c:v>20.210799999999946</c:v>
                </c:pt>
                <c:pt idx="35">
                  <c:v>31.096700000000002</c:v>
                </c:pt>
                <c:pt idx="36">
                  <c:v>39.546100000000003</c:v>
                </c:pt>
                <c:pt idx="37">
                  <c:v>41.967300000000002</c:v>
                </c:pt>
              </c:numCache>
            </c:numRef>
          </c:val>
        </c:ser>
        <c:gapWidth val="0"/>
        <c:overlap val="100"/>
        <c:axId val="218786432"/>
        <c:axId val="218816896"/>
      </c:barChart>
      <c:catAx>
        <c:axId val="21878643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816896"/>
        <c:crosses val="autoZero"/>
        <c:auto val="1"/>
        <c:lblAlgn val="ctr"/>
        <c:lblOffset val="0"/>
        <c:tickLblSkip val="3"/>
        <c:tickMarkSkip val="1"/>
        <c:noMultiLvlLbl val="1"/>
      </c:catAx>
      <c:valAx>
        <c:axId val="218816896"/>
        <c:scaling>
          <c:orientation val="minMax"/>
          <c:max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786432"/>
        <c:crosses val="autoZero"/>
        <c:crossBetween val="between"/>
      </c:valAx>
      <c:spPr>
        <a:noFill/>
        <a:ln w="6350">
          <a:solidFill>
            <a:sysClr val="window" lastClr="FFFFFF">
              <a:lumMod val="85000"/>
            </a:sysClr>
          </a:solidFill>
        </a:ln>
      </c:spPr>
    </c:plotArea>
    <c:legend>
      <c:legendPos val="b"/>
      <c:layout>
        <c:manualLayout>
          <c:xMode val="edge"/>
          <c:yMode val="edge"/>
          <c:x val="0.48768778550407377"/>
          <c:y val="7.383449074074272E-2"/>
          <c:w val="0.35673227969348681"/>
          <c:h val="0.1579392361111166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189"/>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4.7583949850929335</c:v>
                </c:pt>
                <c:pt idx="1">
                  <c:v>-3.7393230103719253</c:v>
                </c:pt>
                <c:pt idx="2">
                  <c:v>-21.920490329749452</c:v>
                </c:pt>
                <c:pt idx="3">
                  <c:v>40.653563870114851</c:v>
                </c:pt>
                <c:pt idx="4">
                  <c:v>-6.4255226051104302</c:v>
                </c:pt>
                <c:pt idx="5">
                  <c:v>-3.2207039397449506</c:v>
                </c:pt>
                <c:pt idx="6">
                  <c:v>-4.9225503402115685</c:v>
                </c:pt>
                <c:pt idx="7">
                  <c:v>-2.318799231693319</c:v>
                </c:pt>
                <c:pt idx="8">
                  <c:v>31.587770322481987</c:v>
                </c:pt>
                <c:pt idx="9">
                  <c:v>-14.592624142908022</c:v>
                </c:pt>
                <c:pt idx="10">
                  <c:v>-22.311592621755153</c:v>
                </c:pt>
                <c:pt idx="11">
                  <c:v>-29.056720714851849</c:v>
                </c:pt>
                <c:pt idx="12">
                  <c:v>-12.95026196272471</c:v>
                </c:pt>
                <c:pt idx="13">
                  <c:v>-19.377965670642272</c:v>
                </c:pt>
                <c:pt idx="14">
                  <c:v>-1.8979836171096403</c:v>
                </c:pt>
                <c:pt idx="15">
                  <c:v>-41.915333601558459</c:v>
                </c:pt>
                <c:pt idx="16">
                  <c:v>-35.257876892506594</c:v>
                </c:pt>
                <c:pt idx="17">
                  <c:v>-12.328023474885557</c:v>
                </c:pt>
                <c:pt idx="18">
                  <c:v>-32.814266122736015</c:v>
                </c:pt>
                <c:pt idx="19">
                  <c:v>-41.622306893245963</c:v>
                </c:pt>
                <c:pt idx="20">
                  <c:v>-16.558396418116491</c:v>
                </c:pt>
                <c:pt idx="21">
                  <c:v>2.7712306917618581</c:v>
                </c:pt>
                <c:pt idx="22">
                  <c:v>-17.190158045683631</c:v>
                </c:pt>
                <c:pt idx="23">
                  <c:v>11.994292813169675</c:v>
                </c:pt>
                <c:pt idx="24">
                  <c:v>-35.467278123701107</c:v>
                </c:pt>
                <c:pt idx="25">
                  <c:v>9.0430406062972395</c:v>
                </c:pt>
                <c:pt idx="26">
                  <c:v>-9.9870098671938052</c:v>
                </c:pt>
                <c:pt idx="27">
                  <c:v>17.089750778786492</c:v>
                </c:pt>
                <c:pt idx="28">
                  <c:v>14.144039435271518</c:v>
                </c:pt>
                <c:pt idx="29">
                  <c:v>-11.960506904831119</c:v>
                </c:pt>
                <c:pt idx="30">
                  <c:v>61.17627375417041</c:v>
                </c:pt>
                <c:pt idx="31">
                  <c:v>73.757203867152327</c:v>
                </c:pt>
                <c:pt idx="32">
                  <c:v>14.167138258726522</c:v>
                </c:pt>
                <c:pt idx="33">
                  <c:v>-5.6027950260366968</c:v>
                </c:pt>
                <c:pt idx="34">
                  <c:v>12.996120050928146</c:v>
                </c:pt>
                <c:pt idx="35">
                  <c:v>20.592816655823029</c:v>
                </c:pt>
                <c:pt idx="36">
                  <c:v>94.300918379655897</c:v>
                </c:pt>
                <c:pt idx="37">
                  <c:v>37.995820623775813</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4.5997357950587912</c:v>
                </c:pt>
                <c:pt idx="1">
                  <c:v>10.432803557164776</c:v>
                </c:pt>
                <c:pt idx="2">
                  <c:v>7.463144332104747</c:v>
                </c:pt>
                <c:pt idx="3">
                  <c:v>6.9537892572984665</c:v>
                </c:pt>
                <c:pt idx="4">
                  <c:v>10.953057260462424</c:v>
                </c:pt>
                <c:pt idx="5">
                  <c:v>20.381850588115515</c:v>
                </c:pt>
                <c:pt idx="6">
                  <c:v>25.200917555686843</c:v>
                </c:pt>
                <c:pt idx="7">
                  <c:v>40.900810920109663</c:v>
                </c:pt>
                <c:pt idx="8">
                  <c:v>49.359725313344391</c:v>
                </c:pt>
                <c:pt idx="9">
                  <c:v>13.146033334052063</c:v>
                </c:pt>
                <c:pt idx="10">
                  <c:v>3.3142138230061926</c:v>
                </c:pt>
                <c:pt idx="11">
                  <c:v>0.94728219060822028</c:v>
                </c:pt>
                <c:pt idx="12">
                  <c:v>-3.9110986619910761</c:v>
                </c:pt>
                <c:pt idx="13">
                  <c:v>-9.5284113737718563</c:v>
                </c:pt>
                <c:pt idx="14">
                  <c:v>-21.203484155704643</c:v>
                </c:pt>
                <c:pt idx="15">
                  <c:v>-14.0123219497727</c:v>
                </c:pt>
                <c:pt idx="16">
                  <c:v>-15.821396040715797</c:v>
                </c:pt>
                <c:pt idx="17">
                  <c:v>-29.410381702117604</c:v>
                </c:pt>
                <c:pt idx="18">
                  <c:v>-23.209976158306535</c:v>
                </c:pt>
                <c:pt idx="19">
                  <c:v>-23.580644324272729</c:v>
                </c:pt>
                <c:pt idx="20">
                  <c:v>-28.031055580969259</c:v>
                </c:pt>
                <c:pt idx="21">
                  <c:v>-19.315343143301519</c:v>
                </c:pt>
                <c:pt idx="22">
                  <c:v>-13.352195801271776</c:v>
                </c:pt>
                <c:pt idx="23">
                  <c:v>-15.404257909266654</c:v>
                </c:pt>
                <c:pt idx="24">
                  <c:v>-4.8421451409760365</c:v>
                </c:pt>
                <c:pt idx="25">
                  <c:v>-7.2647899530128086</c:v>
                </c:pt>
                <c:pt idx="26">
                  <c:v>8.0562107773798601</c:v>
                </c:pt>
                <c:pt idx="27">
                  <c:v>13.233822304757748</c:v>
                </c:pt>
                <c:pt idx="28">
                  <c:v>12.230835296555071</c:v>
                </c:pt>
                <c:pt idx="29">
                  <c:v>15.397929700727985</c:v>
                </c:pt>
                <c:pt idx="30">
                  <c:v>24.057516727648895</c:v>
                </c:pt>
                <c:pt idx="31">
                  <c:v>29.523084140508615</c:v>
                </c:pt>
                <c:pt idx="32">
                  <c:v>18.300926444902675</c:v>
                </c:pt>
                <c:pt idx="33">
                  <c:v>13.247320499321617</c:v>
                </c:pt>
                <c:pt idx="34">
                  <c:v>24.959974826807631</c:v>
                </c:pt>
                <c:pt idx="35">
                  <c:v>29.18980706435563</c:v>
                </c:pt>
                <c:pt idx="36">
                  <c:v>41.031308106827602</c:v>
                </c:pt>
                <c:pt idx="37">
                  <c:v>34.369701572680796</c:v>
                </c:pt>
              </c:numCache>
            </c:numRef>
          </c:val>
        </c:ser>
        <c:gapWidth val="48"/>
        <c:overlap val="100"/>
        <c:axId val="218846336"/>
        <c:axId val="218848256"/>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9.3581307801517113</c:v>
                </c:pt>
                <c:pt idx="1">
                  <c:v>6.6934805467928271</c:v>
                </c:pt>
                <c:pt idx="2">
                  <c:v>-14.457345997644724</c:v>
                </c:pt>
                <c:pt idx="3">
                  <c:v>47.607353127413305</c:v>
                </c:pt>
                <c:pt idx="4">
                  <c:v>4.527534655351964</c:v>
                </c:pt>
                <c:pt idx="5">
                  <c:v>17.161146648370529</c:v>
                </c:pt>
                <c:pt idx="6">
                  <c:v>20.278367215475217</c:v>
                </c:pt>
                <c:pt idx="7">
                  <c:v>38.582011688416344</c:v>
                </c:pt>
                <c:pt idx="8">
                  <c:v>80.947495635826527</c:v>
                </c:pt>
                <c:pt idx="9">
                  <c:v>-1.4465908088559578</c:v>
                </c:pt>
                <c:pt idx="10">
                  <c:v>-18.997378798748954</c:v>
                </c:pt>
                <c:pt idx="11">
                  <c:v>-28.109438524243632</c:v>
                </c:pt>
                <c:pt idx="12">
                  <c:v>-16.86136062471579</c:v>
                </c:pt>
                <c:pt idx="13">
                  <c:v>-28.9063770444141</c:v>
                </c:pt>
                <c:pt idx="14">
                  <c:v>-23.101467772814331</c:v>
                </c:pt>
                <c:pt idx="15">
                  <c:v>-55.927655551331085</c:v>
                </c:pt>
                <c:pt idx="16">
                  <c:v>-51.079272933222406</c:v>
                </c:pt>
                <c:pt idx="17">
                  <c:v>-41.738405177003187</c:v>
                </c:pt>
                <c:pt idx="18">
                  <c:v>-56.024242281042554</c:v>
                </c:pt>
                <c:pt idx="19">
                  <c:v>-65.202951217518688</c:v>
                </c:pt>
                <c:pt idx="20">
                  <c:v>-44.589451999085718</c:v>
                </c:pt>
                <c:pt idx="21">
                  <c:v>-16.544112451539629</c:v>
                </c:pt>
                <c:pt idx="22">
                  <c:v>-30.542353846955294</c:v>
                </c:pt>
                <c:pt idx="23">
                  <c:v>-3.4099650960969972</c:v>
                </c:pt>
                <c:pt idx="24">
                  <c:v>-40.309423264677051</c:v>
                </c:pt>
                <c:pt idx="25">
                  <c:v>1.7782506532844298</c:v>
                </c:pt>
                <c:pt idx="26">
                  <c:v>-1.9307990898139451</c:v>
                </c:pt>
                <c:pt idx="27">
                  <c:v>30.323573083544229</c:v>
                </c:pt>
                <c:pt idx="28">
                  <c:v>26.374874731826676</c:v>
                </c:pt>
                <c:pt idx="29">
                  <c:v>3.437422795896893</c:v>
                </c:pt>
                <c:pt idx="30">
                  <c:v>85.233790481819327</c:v>
                </c:pt>
                <c:pt idx="31">
                  <c:v>103.28028800766072</c:v>
                </c:pt>
                <c:pt idx="32">
                  <c:v>32.468064703629175</c:v>
                </c:pt>
                <c:pt idx="33">
                  <c:v>7.6445254732849275</c:v>
                </c:pt>
                <c:pt idx="34">
                  <c:v>37.956094877735573</c:v>
                </c:pt>
                <c:pt idx="35">
                  <c:v>49.782623720178663</c:v>
                </c:pt>
                <c:pt idx="36">
                  <c:v>135.33222648648487</c:v>
                </c:pt>
                <c:pt idx="37">
                  <c:v>72.365522196456084</c:v>
                </c:pt>
              </c:numCache>
            </c:numRef>
          </c:val>
        </c:ser>
        <c:marker val="1"/>
        <c:axId val="218846336"/>
        <c:axId val="218848256"/>
      </c:lineChart>
      <c:catAx>
        <c:axId val="21884633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848256"/>
        <c:crosses val="autoZero"/>
        <c:auto val="1"/>
        <c:lblAlgn val="ctr"/>
        <c:lblOffset val="0"/>
        <c:tickLblSkip val="2"/>
        <c:tickMarkSkip val="1"/>
        <c:noMultiLvlLbl val="1"/>
      </c:catAx>
      <c:valAx>
        <c:axId val="218848256"/>
        <c:scaling>
          <c:orientation val="minMax"/>
          <c:max val="12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846336"/>
        <c:crosses val="autoZero"/>
        <c:crossBetween val="between"/>
        <c:majorUnit val="20"/>
      </c:valAx>
      <c:spPr>
        <a:noFill/>
        <a:ln w="6350">
          <a:solidFill>
            <a:sysClr val="window" lastClr="FFFFFF">
              <a:lumMod val="85000"/>
            </a:sysClr>
          </a:solidFill>
        </a:ln>
      </c:spPr>
    </c:plotArea>
    <c:legend>
      <c:legendPos val="b"/>
      <c:layout>
        <c:manualLayout>
          <c:xMode val="edge"/>
          <c:yMode val="edge"/>
          <c:x val="0.32223356760861188"/>
          <c:y val="3.7878472222222348E-2"/>
          <c:w val="0.41817415414049397"/>
          <c:h val="0.35617418981481841"/>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813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102.46523388116329</c:v>
                </c:pt>
                <c:pt idx="1">
                  <c:v>109.71080910240201</c:v>
                </c:pt>
                <c:pt idx="2">
                  <c:v>113.09260429835649</c:v>
                </c:pt>
                <c:pt idx="3">
                  <c:v>115.63685208596712</c:v>
                </c:pt>
                <c:pt idx="4">
                  <c:v>123.90170670037929</c:v>
                </c:pt>
                <c:pt idx="5">
                  <c:v>134.62389380530973</c:v>
                </c:pt>
                <c:pt idx="6">
                  <c:v>136.7730720606821</c:v>
                </c:pt>
                <c:pt idx="7">
                  <c:v>146.27054361567636</c:v>
                </c:pt>
                <c:pt idx="8">
                  <c:v>136.70195954487949</c:v>
                </c:pt>
                <c:pt idx="9">
                  <c:v>117.42256637168123</c:v>
                </c:pt>
                <c:pt idx="10">
                  <c:v>105.40455120101159</c:v>
                </c:pt>
                <c:pt idx="11">
                  <c:v>101.47756005056891</c:v>
                </c:pt>
                <c:pt idx="12">
                  <c:v>98.767383059418464</c:v>
                </c:pt>
                <c:pt idx="13">
                  <c:v>97.542667509481618</c:v>
                </c:pt>
                <c:pt idx="14">
                  <c:v>90.937104930467797</c:v>
                </c:pt>
                <c:pt idx="15">
                  <c:v>90.028445006320766</c:v>
                </c:pt>
                <c:pt idx="16">
                  <c:v>95.82806573957015</c:v>
                </c:pt>
                <c:pt idx="17">
                  <c:v>91.055625790139047</c:v>
                </c:pt>
                <c:pt idx="18">
                  <c:v>90.210176991150433</c:v>
                </c:pt>
                <c:pt idx="19">
                  <c:v>89.791403286978777</c:v>
                </c:pt>
                <c:pt idx="20">
                  <c:v>94.152970922882076</c:v>
                </c:pt>
                <c:pt idx="21">
                  <c:v>96.152022756004627</c:v>
                </c:pt>
                <c:pt idx="22">
                  <c:v>89.372629582806582</c:v>
                </c:pt>
                <c:pt idx="23">
                  <c:v>89.293615676359067</c:v>
                </c:pt>
                <c:pt idx="24">
                  <c:v>91.829962073324566</c:v>
                </c:pt>
                <c:pt idx="25">
                  <c:v>92.272439949431089</c:v>
                </c:pt>
                <c:pt idx="26">
                  <c:v>97.874525916561069</c:v>
                </c:pt>
                <c:pt idx="27">
                  <c:v>100.30815423514542</c:v>
                </c:pt>
                <c:pt idx="28" formatCode="General">
                  <c:v>106.35271807838143</c:v>
                </c:pt>
                <c:pt idx="29" formatCode="General">
                  <c:v>106.45543615676321</c:v>
                </c:pt>
                <c:pt idx="30" formatCode="General">
                  <c:v>104.2035398230089</c:v>
                </c:pt>
                <c:pt idx="31" formatCode="General">
                  <c:v>105.83122629582833</c:v>
                </c:pt>
                <c:pt idx="32" formatCode="General">
                  <c:v>108.73103666245267</c:v>
                </c:pt>
                <c:pt idx="33" formatCode="General">
                  <c:v>109.49747155499377</c:v>
                </c:pt>
                <c:pt idx="34" formatCode="General">
                  <c:v>108.47029077117601</c:v>
                </c:pt>
                <c:pt idx="35" formatCode="General">
                  <c:v>109.19721871049308</c:v>
                </c:pt>
                <c:pt idx="36" formatCode="General">
                  <c:v>110.28761061946912</c:v>
                </c:pt>
                <c:pt idx="37" formatCode="General">
                  <c:v>113.25063211125133</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101.43924936386789</c:v>
                </c:pt>
                <c:pt idx="1">
                  <c:v>109.52608142493638</c:v>
                </c:pt>
                <c:pt idx="2">
                  <c:v>106.78276081424916</c:v>
                </c:pt>
                <c:pt idx="3">
                  <c:v>105.55025445292621</c:v>
                </c:pt>
                <c:pt idx="4">
                  <c:v>107.15648854961825</c:v>
                </c:pt>
                <c:pt idx="5">
                  <c:v>113.87563613231517</c:v>
                </c:pt>
                <c:pt idx="6">
                  <c:v>112.77830788804052</c:v>
                </c:pt>
                <c:pt idx="7">
                  <c:v>117.12786259541964</c:v>
                </c:pt>
                <c:pt idx="8">
                  <c:v>113.02480916030532</c:v>
                </c:pt>
                <c:pt idx="9">
                  <c:v>110.59955470737933</c:v>
                </c:pt>
                <c:pt idx="10">
                  <c:v>107.75286259541963</c:v>
                </c:pt>
                <c:pt idx="11">
                  <c:v>103.92016539440202</c:v>
                </c:pt>
                <c:pt idx="12">
                  <c:v>101.67779898218797</c:v>
                </c:pt>
                <c:pt idx="13">
                  <c:v>101.87659033078843</c:v>
                </c:pt>
                <c:pt idx="14">
                  <c:v>100.25445292620864</c:v>
                </c:pt>
                <c:pt idx="15">
                  <c:v>97.662213740458014</c:v>
                </c:pt>
                <c:pt idx="16">
                  <c:v>97.534987277353679</c:v>
                </c:pt>
                <c:pt idx="17">
                  <c:v>96.890903307888038</c:v>
                </c:pt>
                <c:pt idx="18">
                  <c:v>96.779580152671343</c:v>
                </c:pt>
                <c:pt idx="19">
                  <c:v>96.763676844783689</c:v>
                </c:pt>
                <c:pt idx="20">
                  <c:v>98.751590330788758</c:v>
                </c:pt>
                <c:pt idx="21">
                  <c:v>99.626272264630842</c:v>
                </c:pt>
                <c:pt idx="22">
                  <c:v>97.837150127226479</c:v>
                </c:pt>
                <c:pt idx="23">
                  <c:v>98.616412213740418</c:v>
                </c:pt>
                <c:pt idx="24">
                  <c:v>98.703880407124558</c:v>
                </c:pt>
                <c:pt idx="25">
                  <c:v>98.966284987277831</c:v>
                </c:pt>
                <c:pt idx="26">
                  <c:v>99.650127226462885</c:v>
                </c:pt>
                <c:pt idx="27">
                  <c:v>102.87054707379095</c:v>
                </c:pt>
                <c:pt idx="28" formatCode="General">
                  <c:v>105.59796437659033</c:v>
                </c:pt>
                <c:pt idx="29" formatCode="General">
                  <c:v>104.06329516539439</c:v>
                </c:pt>
                <c:pt idx="30" formatCode="General">
                  <c:v>105.16857506361318</c:v>
                </c:pt>
                <c:pt idx="31" formatCode="General">
                  <c:v>106.19433842239162</c:v>
                </c:pt>
                <c:pt idx="32" formatCode="General">
                  <c:v>107.4984096692116</c:v>
                </c:pt>
                <c:pt idx="33" formatCode="General">
                  <c:v>108.56393129770973</c:v>
                </c:pt>
                <c:pt idx="34" formatCode="General">
                  <c:v>108.46851145038168</c:v>
                </c:pt>
                <c:pt idx="35" formatCode="General">
                  <c:v>107.97550890585241</c:v>
                </c:pt>
                <c:pt idx="36" formatCode="General">
                  <c:v>109.54993638676847</c:v>
                </c:pt>
                <c:pt idx="37" formatCode="General">
                  <c:v>111.45833333333313</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103.12549454027538</c:v>
                </c:pt>
                <c:pt idx="1">
                  <c:v>109.81959170754867</c:v>
                </c:pt>
                <c:pt idx="2">
                  <c:v>117.14670042728281</c:v>
                </c:pt>
                <c:pt idx="3">
                  <c:v>122.13957904731772</c:v>
                </c:pt>
                <c:pt idx="4">
                  <c:v>134.67320778604159</c:v>
                </c:pt>
                <c:pt idx="5">
                  <c:v>147.99018832093731</c:v>
                </c:pt>
                <c:pt idx="6">
                  <c:v>152.21554043361292</c:v>
                </c:pt>
                <c:pt idx="7">
                  <c:v>165.03402437094482</c:v>
                </c:pt>
                <c:pt idx="8">
                  <c:v>151.95442316822286</c:v>
                </c:pt>
                <c:pt idx="9">
                  <c:v>121.81516062668145</c:v>
                </c:pt>
                <c:pt idx="10">
                  <c:v>103.90093369203991</c:v>
                </c:pt>
                <c:pt idx="11">
                  <c:v>99.905048267130908</c:v>
                </c:pt>
                <c:pt idx="12">
                  <c:v>96.945719259376745</c:v>
                </c:pt>
                <c:pt idx="13">
                  <c:v>94.935907580313426</c:v>
                </c:pt>
                <c:pt idx="14">
                  <c:v>85.591074537110316</c:v>
                </c:pt>
                <c:pt idx="15">
                  <c:v>85.606899825921758</c:v>
                </c:pt>
                <c:pt idx="16">
                  <c:v>94.674790314922888</c:v>
                </c:pt>
                <c:pt idx="17">
                  <c:v>87.640449438202296</c:v>
                </c:pt>
                <c:pt idx="18">
                  <c:v>86.382338977685791</c:v>
                </c:pt>
                <c:pt idx="19">
                  <c:v>85.733502136413648</c:v>
                </c:pt>
                <c:pt idx="20">
                  <c:v>91.398955530938409</c:v>
                </c:pt>
                <c:pt idx="21">
                  <c:v>94.025953473650858</c:v>
                </c:pt>
                <c:pt idx="22">
                  <c:v>84.499129609115926</c:v>
                </c:pt>
                <c:pt idx="23">
                  <c:v>83.945244500712391</c:v>
                </c:pt>
                <c:pt idx="24">
                  <c:v>87.640449438202296</c:v>
                </c:pt>
                <c:pt idx="25">
                  <c:v>88.162683968982421</c:v>
                </c:pt>
                <c:pt idx="26">
                  <c:v>96.083241019148602</c:v>
                </c:pt>
                <c:pt idx="27">
                  <c:v>98.108877987022893</c:v>
                </c:pt>
                <c:pt idx="28" formatCode="General">
                  <c:v>105.68919132774151</c:v>
                </c:pt>
                <c:pt idx="29" formatCode="General">
                  <c:v>106.59914543440415</c:v>
                </c:pt>
                <c:pt idx="30" formatCode="General">
                  <c:v>102.74568760879886</c:v>
                </c:pt>
                <c:pt idx="31" formatCode="General">
                  <c:v>104.6368096217758</c:v>
                </c:pt>
                <c:pt idx="32" formatCode="General">
                  <c:v>108.27662604842538</c:v>
                </c:pt>
                <c:pt idx="33" formatCode="General">
                  <c:v>108.90172495648045</c:v>
                </c:pt>
                <c:pt idx="34" formatCode="General">
                  <c:v>107.43788574141479</c:v>
                </c:pt>
                <c:pt idx="35" formatCode="General">
                  <c:v>108.73555942395949</c:v>
                </c:pt>
                <c:pt idx="36" formatCode="General">
                  <c:v>109.65342617502768</c:v>
                </c:pt>
                <c:pt idx="37" formatCode="General">
                  <c:v>112.96091153663555</c:v>
                </c:pt>
              </c:numCache>
            </c:numRef>
          </c:val>
        </c:ser>
        <c:marker val="1"/>
        <c:axId val="219000832"/>
        <c:axId val="219002368"/>
      </c:lineChart>
      <c:catAx>
        <c:axId val="21900083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219002368"/>
        <c:crosses val="autoZero"/>
        <c:auto val="1"/>
        <c:lblAlgn val="ctr"/>
        <c:lblOffset val="0"/>
        <c:tickLblSkip val="2"/>
        <c:tickMarkSkip val="1"/>
        <c:noMultiLvlLbl val="1"/>
      </c:catAx>
      <c:valAx>
        <c:axId val="219002368"/>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9000832"/>
        <c:crosses val="autoZero"/>
        <c:crossBetween val="between"/>
      </c:valAx>
      <c:spPr>
        <a:noFill/>
        <a:ln w="6350">
          <a:solidFill>
            <a:sysClr val="window" lastClr="FFFFFF">
              <a:lumMod val="85000"/>
            </a:sysClr>
          </a:solidFill>
        </a:ln>
      </c:spPr>
    </c:plotArea>
    <c:legend>
      <c:legendPos val="b"/>
      <c:layout>
        <c:manualLayout>
          <c:xMode val="edge"/>
          <c:yMode val="edge"/>
          <c:x val="0.46410576110131985"/>
          <c:y val="0.16255960648148149"/>
          <c:w val="0.45080477616355435"/>
          <c:h val="0.18328819444444988"/>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723"/>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128.25</c:v>
                </c:pt>
                <c:pt idx="1">
                  <c:v>141.31</c:v>
                </c:pt>
                <c:pt idx="2">
                  <c:v>134.4</c:v>
                </c:pt>
                <c:pt idx="3">
                  <c:v>159.09</c:v>
                </c:pt>
                <c:pt idx="4">
                  <c:v>151.46</c:v>
                </c:pt>
                <c:pt idx="5">
                  <c:v>152.08000000000001</c:v>
                </c:pt>
                <c:pt idx="6">
                  <c:v>135.30000000000001</c:v>
                </c:pt>
                <c:pt idx="7">
                  <c:v>125.6</c:v>
                </c:pt>
                <c:pt idx="8">
                  <c:v>144.66</c:v>
                </c:pt>
                <c:pt idx="9">
                  <c:v>142.07</c:v>
                </c:pt>
                <c:pt idx="10">
                  <c:v>135.69</c:v>
                </c:pt>
                <c:pt idx="11">
                  <c:v>104.49000000000002</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107.46000000000002</c:v>
                </c:pt>
                <c:pt idx="1">
                  <c:v>92.16</c:v>
                </c:pt>
                <c:pt idx="2">
                  <c:v>102.29</c:v>
                </c:pt>
                <c:pt idx="3">
                  <c:v>103.79</c:v>
                </c:pt>
                <c:pt idx="4">
                  <c:v>70.22</c:v>
                </c:pt>
                <c:pt idx="5">
                  <c:v>72.010000000000005</c:v>
                </c:pt>
                <c:pt idx="6">
                  <c:v>72.410000000000025</c:v>
                </c:pt>
                <c:pt idx="7">
                  <c:v>75.540000000000006</c:v>
                </c:pt>
                <c:pt idx="8">
                  <c:v>98.83</c:v>
                </c:pt>
                <c:pt idx="9">
                  <c:v>100.57</c:v>
                </c:pt>
                <c:pt idx="10">
                  <c:v>95.27</c:v>
                </c:pt>
                <c:pt idx="11">
                  <c:v>88.59</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84.149999999999991</c:v>
                </c:pt>
                <c:pt idx="1">
                  <c:v>92.64</c:v>
                </c:pt>
                <c:pt idx="2">
                  <c:v>122.85</c:v>
                </c:pt>
                <c:pt idx="3">
                  <c:v>137.33000000000001</c:v>
                </c:pt>
                <c:pt idx="4">
                  <c:v>103.86</c:v>
                </c:pt>
                <c:pt idx="5">
                  <c:v>122.49000000000002</c:v>
                </c:pt>
                <c:pt idx="6">
                  <c:v>120.85</c:v>
                </c:pt>
                <c:pt idx="7">
                  <c:v>127.2</c:v>
                </c:pt>
                <c:pt idx="8">
                  <c:v>130.83000000000001</c:v>
                </c:pt>
                <c:pt idx="9">
                  <c:v>132.85000000000039</c:v>
                </c:pt>
                <c:pt idx="10">
                  <c:v>144.22999999999999</c:v>
                </c:pt>
                <c:pt idx="11">
                  <c:v>118.01</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104.61999999999999</c:v>
                </c:pt>
                <c:pt idx="1">
                  <c:v>127.39</c:v>
                </c:pt>
              </c:numCache>
            </c:numRef>
          </c:val>
        </c:ser>
        <c:marker val="1"/>
        <c:axId val="218532864"/>
        <c:axId val="218977024"/>
      </c:lineChart>
      <c:catAx>
        <c:axId val="21853286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977024"/>
        <c:crosses val="autoZero"/>
        <c:auto val="1"/>
        <c:lblAlgn val="ctr"/>
        <c:lblOffset val="0"/>
        <c:tickMarkSkip val="1"/>
      </c:catAx>
      <c:valAx>
        <c:axId val="218977024"/>
        <c:scaling>
          <c:orientation val="minMax"/>
          <c:max val="16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8532864"/>
        <c:crosses val="autoZero"/>
        <c:crossBetween val="between"/>
      </c:valAx>
      <c:spPr>
        <a:noFill/>
        <a:ln w="6350">
          <a:solidFill>
            <a:sysClr val="window" lastClr="FFFFFF">
              <a:lumMod val="85000"/>
            </a:sysClr>
          </a:solidFill>
        </a:ln>
      </c:spPr>
    </c:plotArea>
    <c:legend>
      <c:legendPos val="b"/>
      <c:layout>
        <c:manualLayout>
          <c:xMode val="edge"/>
          <c:yMode val="edge"/>
          <c:x val="0.62115300777314064"/>
          <c:y val="0.64213831018520062"/>
          <c:w val="0.35818544316576711"/>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Sheet1!$A$2:$B$37</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Sheet1!$C$2:$C$37</c:f>
              <c:numCache>
                <c:formatCode>0.0</c:formatCode>
                <c:ptCount val="36"/>
                <c:pt idx="0">
                  <c:v>103.95301954597281</c:v>
                </c:pt>
                <c:pt idx="1">
                  <c:v>118.36269611710033</c:v>
                </c:pt>
                <c:pt idx="2">
                  <c:v>102.1211324393023</c:v>
                </c:pt>
                <c:pt idx="3">
                  <c:v>125.874309755456</c:v>
                </c:pt>
                <c:pt idx="4">
                  <c:v>141.32702252607589</c:v>
                </c:pt>
                <c:pt idx="5">
                  <c:v>125.83924971513734</c:v>
                </c:pt>
                <c:pt idx="6">
                  <c:v>118.35393110702036</c:v>
                </c:pt>
                <c:pt idx="7">
                  <c:v>113.60329564378998</c:v>
                </c:pt>
                <c:pt idx="8">
                  <c:v>105.11000087650066</c:v>
                </c:pt>
                <c:pt idx="9">
                  <c:v>103.30440880007011</c:v>
                </c:pt>
                <c:pt idx="10">
                  <c:v>104.67175037251259</c:v>
                </c:pt>
                <c:pt idx="11">
                  <c:v>74.195810325181597</c:v>
                </c:pt>
                <c:pt idx="12">
                  <c:v>86.493119467087737</c:v>
                </c:pt>
                <c:pt idx="13">
                  <c:v>76.76395827855201</c:v>
                </c:pt>
                <c:pt idx="14">
                  <c:v>83.302655798054118</c:v>
                </c:pt>
                <c:pt idx="15">
                  <c:v>102.27013761065807</c:v>
                </c:pt>
                <c:pt idx="16">
                  <c:v>77.333683933736538</c:v>
                </c:pt>
                <c:pt idx="17">
                  <c:v>69.164694539398724</c:v>
                </c:pt>
                <c:pt idx="18">
                  <c:v>76.290647734244914</c:v>
                </c:pt>
                <c:pt idx="19">
                  <c:v>75.808572179857677</c:v>
                </c:pt>
                <c:pt idx="20">
                  <c:v>84.748882461214862</c:v>
                </c:pt>
                <c:pt idx="21">
                  <c:v>80.436497501972227</c:v>
                </c:pt>
                <c:pt idx="22">
                  <c:v>77.456394074853208</c:v>
                </c:pt>
                <c:pt idx="23">
                  <c:v>85.818213690946109</c:v>
                </c:pt>
                <c:pt idx="24">
                  <c:v>61.609255850644246</c:v>
                </c:pt>
                <c:pt idx="25">
                  <c:v>72.416513278990621</c:v>
                </c:pt>
                <c:pt idx="26" formatCode="General">
                  <c:v>84.144096765711325</c:v>
                </c:pt>
                <c:pt idx="27" formatCode="General">
                  <c:v>120.70295380839693</c:v>
                </c:pt>
                <c:pt idx="28" formatCode="General">
                  <c:v>104.52274520115701</c:v>
                </c:pt>
                <c:pt idx="29" formatCode="General">
                  <c:v>113.36664037163645</c:v>
                </c:pt>
                <c:pt idx="30" formatCode="General">
                  <c:v>115.30370759926375</c:v>
                </c:pt>
                <c:pt idx="31" formatCode="General">
                  <c:v>118.90612674204597</c:v>
                </c:pt>
                <c:pt idx="32" formatCode="General">
                  <c:v>110.71084231746833</c:v>
                </c:pt>
                <c:pt idx="33" formatCode="General">
                  <c:v>111.58734332544485</c:v>
                </c:pt>
                <c:pt idx="34" formatCode="General">
                  <c:v>112.84073976685075</c:v>
                </c:pt>
                <c:pt idx="35" formatCode="General">
                  <c:v>103.0151634674382</c:v>
                </c:pt>
              </c:numCache>
            </c:numRef>
          </c:val>
        </c:ser>
        <c:marker val="1"/>
        <c:axId val="219774976"/>
        <c:axId val="219776512"/>
      </c:lineChart>
      <c:catAx>
        <c:axId val="21977497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9776512"/>
        <c:crosses val="autoZero"/>
        <c:auto val="1"/>
        <c:lblAlgn val="ctr"/>
        <c:lblOffset val="0"/>
        <c:tickLblSkip val="2"/>
        <c:tickMarkSkip val="1"/>
        <c:noMultiLvlLbl val="1"/>
      </c:catAx>
      <c:valAx>
        <c:axId val="219776512"/>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977497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3.0565999999999987</c:v>
                </c:pt>
                <c:pt idx="1">
                  <c:v>3.6187000000000022</c:v>
                </c:pt>
                <c:pt idx="2">
                  <c:v>2.4395000000000007</c:v>
                </c:pt>
                <c:pt idx="3">
                  <c:v>3.0014000000000003</c:v>
                </c:pt>
                <c:pt idx="4">
                  <c:v>3.4745000000000008</c:v>
                </c:pt>
                <c:pt idx="5">
                  <c:v>2.7096</c:v>
                </c:pt>
                <c:pt idx="6">
                  <c:v>3.4120999999999921</c:v>
                </c:pt>
                <c:pt idx="7">
                  <c:v>2.5130999999999997</c:v>
                </c:pt>
                <c:pt idx="8">
                  <c:v>3.5335000000000001</c:v>
                </c:pt>
                <c:pt idx="9">
                  <c:v>3.5124999999999948</c:v>
                </c:pt>
                <c:pt idx="10">
                  <c:v>2.8968999999999934</c:v>
                </c:pt>
                <c:pt idx="11">
                  <c:v>2.9309999999999987</c:v>
                </c:pt>
                <c:pt idx="12">
                  <c:v>1.9623000000000048</c:v>
                </c:pt>
                <c:pt idx="13">
                  <c:v>1.6571000000000007</c:v>
                </c:pt>
                <c:pt idx="14">
                  <c:v>1.6212999999999966</c:v>
                </c:pt>
                <c:pt idx="15">
                  <c:v>1.8996000000000004</c:v>
                </c:pt>
                <c:pt idx="16">
                  <c:v>1.708999999999997</c:v>
                </c:pt>
                <c:pt idx="17">
                  <c:v>1.1850999999999994</c:v>
                </c:pt>
                <c:pt idx="18">
                  <c:v>1.3997000000000011</c:v>
                </c:pt>
                <c:pt idx="19">
                  <c:v>1.6341000000000001</c:v>
                </c:pt>
                <c:pt idx="20">
                  <c:v>1.5103</c:v>
                </c:pt>
                <c:pt idx="21">
                  <c:v>1.4712999999999949</c:v>
                </c:pt>
                <c:pt idx="22">
                  <c:v>1.7192999999999941</c:v>
                </c:pt>
                <c:pt idx="23">
                  <c:v>1.7847000000000008</c:v>
                </c:pt>
                <c:pt idx="24">
                  <c:v>1.2563000000000004</c:v>
                </c:pt>
                <c:pt idx="25">
                  <c:v>1.6831000000000005</c:v>
                </c:pt>
                <c:pt idx="26">
                  <c:v>1.4601999999999955</c:v>
                </c:pt>
                <c:pt idx="27">
                  <c:v>2.031900000000002</c:v>
                </c:pt>
                <c:pt idx="28">
                  <c:v>1.7482000000000006</c:v>
                </c:pt>
                <c:pt idx="29">
                  <c:v>1.540400000000002</c:v>
                </c:pt>
                <c:pt idx="30">
                  <c:v>1.6978000000000009</c:v>
                </c:pt>
                <c:pt idx="31">
                  <c:v>2.0332999999999988</c:v>
                </c:pt>
                <c:pt idx="32">
                  <c:v>2.0205000000000002</c:v>
                </c:pt>
                <c:pt idx="33">
                  <c:v>2.2211999999999996</c:v>
                </c:pt>
                <c:pt idx="34">
                  <c:v>1.8403999999999978</c:v>
                </c:pt>
                <c:pt idx="35">
                  <c:v>1.7869999999999955</c:v>
                </c:pt>
                <c:pt idx="36">
                  <c:v>1.5307000000000013</c:v>
                </c:pt>
                <c:pt idx="37">
                  <c:v>1.8719999999999966</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7.2065000000000001</c:v>
                </c:pt>
                <c:pt idx="1">
                  <c:v>8.306300000000002</c:v>
                </c:pt>
                <c:pt idx="2">
                  <c:v>8.0589000000000013</c:v>
                </c:pt>
                <c:pt idx="3">
                  <c:v>9.6549000000000014</c:v>
                </c:pt>
                <c:pt idx="4">
                  <c:v>9.9696000000000247</c:v>
                </c:pt>
                <c:pt idx="5">
                  <c:v>9.9544000000000068</c:v>
                </c:pt>
                <c:pt idx="6">
                  <c:v>9.2717000000000009</c:v>
                </c:pt>
                <c:pt idx="7">
                  <c:v>9.0457000000000001</c:v>
                </c:pt>
                <c:pt idx="8">
                  <c:v>9.2277999999999984</c:v>
                </c:pt>
                <c:pt idx="9">
                  <c:v>9.1483999999999988</c:v>
                </c:pt>
                <c:pt idx="10">
                  <c:v>7.1532</c:v>
                </c:pt>
                <c:pt idx="11">
                  <c:v>6.9407000000000014</c:v>
                </c:pt>
                <c:pt idx="12">
                  <c:v>7.5318999999999994</c:v>
                </c:pt>
                <c:pt idx="13">
                  <c:v>7.6283999999999965</c:v>
                </c:pt>
                <c:pt idx="14">
                  <c:v>8.3096000000000068</c:v>
                </c:pt>
                <c:pt idx="15">
                  <c:v>7.6254999999999873</c:v>
                </c:pt>
                <c:pt idx="16">
                  <c:v>6.8488999999999995</c:v>
                </c:pt>
                <c:pt idx="17">
                  <c:v>6.6867999999999999</c:v>
                </c:pt>
                <c:pt idx="18">
                  <c:v>6.1003999999999996</c:v>
                </c:pt>
                <c:pt idx="19">
                  <c:v>5.7389999999999999</c:v>
                </c:pt>
                <c:pt idx="20">
                  <c:v>7.3942999999999985</c:v>
                </c:pt>
                <c:pt idx="21">
                  <c:v>8.4642000000000035</c:v>
                </c:pt>
                <c:pt idx="22">
                  <c:v>7.2880000000000003</c:v>
                </c:pt>
                <c:pt idx="23">
                  <c:v>7.1366999999999994</c:v>
                </c:pt>
                <c:pt idx="24">
                  <c:v>6.4878</c:v>
                </c:pt>
                <c:pt idx="25">
                  <c:v>6.9965000000000002</c:v>
                </c:pt>
                <c:pt idx="26">
                  <c:v>9.001100000000001</c:v>
                </c:pt>
                <c:pt idx="27">
                  <c:v>9.4438000000000013</c:v>
                </c:pt>
                <c:pt idx="28">
                  <c:v>10.035</c:v>
                </c:pt>
                <c:pt idx="29">
                  <c:v>10.197800000000001</c:v>
                </c:pt>
                <c:pt idx="30">
                  <c:v>9.3859000000000048</c:v>
                </c:pt>
                <c:pt idx="31">
                  <c:v>9.3302000000000014</c:v>
                </c:pt>
                <c:pt idx="32">
                  <c:v>11.101299999999998</c:v>
                </c:pt>
                <c:pt idx="33">
                  <c:v>10.602</c:v>
                </c:pt>
                <c:pt idx="34">
                  <c:v>11.7735</c:v>
                </c:pt>
                <c:pt idx="35">
                  <c:v>10.2584</c:v>
                </c:pt>
                <c:pt idx="36">
                  <c:v>10.255500000000024</c:v>
                </c:pt>
                <c:pt idx="37">
                  <c:v>11.022</c:v>
                </c:pt>
              </c:numCache>
            </c:numRef>
          </c:val>
        </c:ser>
        <c:gapWidth val="0"/>
        <c:overlap val="100"/>
        <c:axId val="219743360"/>
        <c:axId val="219744896"/>
      </c:barChart>
      <c:catAx>
        <c:axId val="21974336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9744896"/>
        <c:crosses val="autoZero"/>
        <c:auto val="1"/>
        <c:lblAlgn val="ctr"/>
        <c:lblOffset val="0"/>
        <c:tickLblSkip val="3"/>
        <c:tickMarkSkip val="1"/>
        <c:noMultiLvlLbl val="1"/>
      </c:catAx>
      <c:valAx>
        <c:axId val="219744896"/>
        <c:scaling>
          <c:orientation val="minMax"/>
          <c:max val="14"/>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19743360"/>
        <c:crosses val="autoZero"/>
        <c:crossBetween val="between"/>
      </c:valAx>
      <c:spPr>
        <a:noFill/>
        <a:ln w="6350">
          <a:solidFill>
            <a:sysClr val="window" lastClr="FFFFFF">
              <a:lumMod val="85000"/>
            </a:sysClr>
          </a:solidFill>
        </a:ln>
      </c:spPr>
    </c:plotArea>
    <c:legend>
      <c:legendPos val="b"/>
      <c:layout>
        <c:manualLayout>
          <c:xMode val="edge"/>
          <c:yMode val="edge"/>
          <c:x val="0.346662138546593"/>
          <c:y val="7.3834490740740971E-2"/>
          <c:w val="0.35085635603238591"/>
          <c:h val="0.13589057465377327"/>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211"/>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-6.8422637653265364</c:v>
                </c:pt>
                <c:pt idx="1">
                  <c:v>7.0883952384426436</c:v>
                </c:pt>
                <c:pt idx="2">
                  <c:v>-25.008298107671109</c:v>
                </c:pt>
                <c:pt idx="3">
                  <c:v>39.478337066061528</c:v>
                </c:pt>
                <c:pt idx="4">
                  <c:v>23.013038555271152</c:v>
                </c:pt>
                <c:pt idx="5">
                  <c:v>4.727624336908689</c:v>
                </c:pt>
                <c:pt idx="6">
                  <c:v>35.385758240438413</c:v>
                </c:pt>
                <c:pt idx="7">
                  <c:v>-6.3816153481043054</c:v>
                </c:pt>
                <c:pt idx="8">
                  <c:v>6.4482743527750586</c:v>
                </c:pt>
                <c:pt idx="9">
                  <c:v>1.8997268602649595</c:v>
                </c:pt>
                <c:pt idx="10">
                  <c:v>-2.9697643483092282</c:v>
                </c:pt>
                <c:pt idx="11">
                  <c:v>-19.213545516113189</c:v>
                </c:pt>
                <c:pt idx="12">
                  <c:v>-6.4455425316666322</c:v>
                </c:pt>
                <c:pt idx="13">
                  <c:v>-17.838921240508352</c:v>
                </c:pt>
                <c:pt idx="14">
                  <c:v>-4.1537262423419845</c:v>
                </c:pt>
                <c:pt idx="15">
                  <c:v>-27.064344936106327</c:v>
                </c:pt>
                <c:pt idx="16">
                  <c:v>-35.374399228093495</c:v>
                </c:pt>
                <c:pt idx="17">
                  <c:v>-36.192524579722004</c:v>
                </c:pt>
                <c:pt idx="18">
                  <c:v>-36.904330029235993</c:v>
                </c:pt>
                <c:pt idx="19">
                  <c:v>-33.732934191042496</c:v>
                </c:pt>
                <c:pt idx="20">
                  <c:v>-24.90002345224805</c:v>
                </c:pt>
                <c:pt idx="21">
                  <c:v>-19.8028479308404</c:v>
                </c:pt>
                <c:pt idx="22">
                  <c:v>-8.5443725976576239</c:v>
                </c:pt>
                <c:pt idx="23">
                  <c:v>-5.4038768930451511</c:v>
                </c:pt>
                <c:pt idx="24">
                  <c:v>-20.352169321528727</c:v>
                </c:pt>
                <c:pt idx="25">
                  <c:v>-3.9158213973316265</c:v>
                </c:pt>
                <c:pt idx="26">
                  <c:v>10.716726035442164</c:v>
                </c:pt>
                <c:pt idx="27">
                  <c:v>21.760651198109127</c:v>
                </c:pt>
                <c:pt idx="28">
                  <c:v>34.907986218789205</c:v>
                </c:pt>
                <c:pt idx="29">
                  <c:v>42.64851975423511</c:v>
                </c:pt>
                <c:pt idx="30">
                  <c:v>42.857647094235077</c:v>
                </c:pt>
                <c:pt idx="31">
                  <c:v>47.529637628666485</c:v>
                </c:pt>
                <c:pt idx="32">
                  <c:v>38.401884547738852</c:v>
                </c:pt>
                <c:pt idx="33">
                  <c:v>28.960490469898303</c:v>
                </c:pt>
                <c:pt idx="34">
                  <c:v>50.361338658018298</c:v>
                </c:pt>
                <c:pt idx="35">
                  <c:v>30.393692507744053</c:v>
                </c:pt>
                <c:pt idx="36">
                  <c:v>54.909664517295411</c:v>
                </c:pt>
                <c:pt idx="37">
                  <c:v>44.35900439650095</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-0.39652871478917179</c:v>
                </c:pt>
                <c:pt idx="1">
                  <c:v>1.7978152475048821</c:v>
                </c:pt>
                <c:pt idx="2">
                  <c:v>0.32935821586298358</c:v>
                </c:pt>
                <c:pt idx="3">
                  <c:v>-8.9956367485226991</c:v>
                </c:pt>
                <c:pt idx="4">
                  <c:v>-3.1669011664783184</c:v>
                </c:pt>
                <c:pt idx="5">
                  <c:v>-1.186593014602096</c:v>
                </c:pt>
                <c:pt idx="6">
                  <c:v>1.9546638357259383</c:v>
                </c:pt>
                <c:pt idx="7">
                  <c:v>2.686490247082018</c:v>
                </c:pt>
                <c:pt idx="8">
                  <c:v>2.9358597062829261</c:v>
                </c:pt>
                <c:pt idx="9">
                  <c:v>-0.39490051257551867</c:v>
                </c:pt>
                <c:pt idx="10">
                  <c:v>-1.0260707363264321</c:v>
                </c:pt>
                <c:pt idx="11">
                  <c:v>2.6401224885964996</c:v>
                </c:pt>
                <c:pt idx="12">
                  <c:v>-1.0463458841141602</c:v>
                </c:pt>
                <c:pt idx="13">
                  <c:v>-4.2952506672484665</c:v>
                </c:pt>
                <c:pt idx="14">
                  <c:v>-1.2518593707038119</c:v>
                </c:pt>
                <c:pt idx="15">
                  <c:v>2.3240969963451588</c:v>
                </c:pt>
                <c:pt idx="16">
                  <c:v>-0.97016827735499511</c:v>
                </c:pt>
                <c:pt idx="17">
                  <c:v>-1.6478102276058593</c:v>
                </c:pt>
                <c:pt idx="18">
                  <c:v>-3.9643370894508152</c:v>
                </c:pt>
                <c:pt idx="19">
                  <c:v>-2.4793023733067177</c:v>
                </c:pt>
                <c:pt idx="20">
                  <c:v>-5.3218191499946714</c:v>
                </c:pt>
                <c:pt idx="21">
                  <c:v>-1.7232679061064289</c:v>
                </c:pt>
                <c:pt idx="22">
                  <c:v>-1.8316435613855901</c:v>
                </c:pt>
                <c:pt idx="23">
                  <c:v>-4.2226312058638484</c:v>
                </c:pt>
                <c:pt idx="24">
                  <c:v>1.918810007421172</c:v>
                </c:pt>
                <c:pt idx="25">
                  <c:v>-2.6094061079184883</c:v>
                </c:pt>
                <c:pt idx="26">
                  <c:v>-5.3758203773447075</c:v>
                </c:pt>
                <c:pt idx="27">
                  <c:v>-1.282126038268288</c:v>
                </c:pt>
                <c:pt idx="28">
                  <c:v>2.7799979829425556</c:v>
                </c:pt>
                <c:pt idx="29">
                  <c:v>6.4666875019546524</c:v>
                </c:pt>
                <c:pt idx="30">
                  <c:v>4.9230491631479083</c:v>
                </c:pt>
                <c:pt idx="31">
                  <c:v>6.5914240685842165</c:v>
                </c:pt>
                <c:pt idx="32">
                  <c:v>8.9579070206637823</c:v>
                </c:pt>
                <c:pt idx="33">
                  <c:v>0.10397533454033692</c:v>
                </c:pt>
                <c:pt idx="34">
                  <c:v>0.78162316183892089</c:v>
                </c:pt>
                <c:pt idx="35">
                  <c:v>4.6232330868934906</c:v>
                </c:pt>
                <c:pt idx="36">
                  <c:v>-2.7137992779521887</c:v>
                </c:pt>
                <c:pt idx="37">
                  <c:v>4.1962285635432863</c:v>
                </c:pt>
              </c:numCache>
            </c:numRef>
          </c:val>
        </c:ser>
        <c:gapWidth val="48"/>
        <c:overlap val="100"/>
        <c:axId val="226045312"/>
        <c:axId val="226072064"/>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-7.2387924801157073</c:v>
                </c:pt>
                <c:pt idx="1">
                  <c:v>8.8862104859475259</c:v>
                </c:pt>
                <c:pt idx="2">
                  <c:v>-24.678939891808128</c:v>
                </c:pt>
                <c:pt idx="3">
                  <c:v>30.482700317538779</c:v>
                </c:pt>
                <c:pt idx="4">
                  <c:v>19.846137388792826</c:v>
                </c:pt>
                <c:pt idx="5">
                  <c:v>3.5410313223066092</c:v>
                </c:pt>
                <c:pt idx="6">
                  <c:v>37.340422076164295</c:v>
                </c:pt>
                <c:pt idx="7">
                  <c:v>-3.695125101022299</c:v>
                </c:pt>
                <c:pt idx="8">
                  <c:v>9.3841340590580238</c:v>
                </c:pt>
                <c:pt idx="9">
                  <c:v>1.5048263476894377</c:v>
                </c:pt>
                <c:pt idx="10">
                  <c:v>-3.9958350846356567</c:v>
                </c:pt>
                <c:pt idx="11">
                  <c:v>-16.573423027516725</c:v>
                </c:pt>
                <c:pt idx="12">
                  <c:v>-7.4918884157807923</c:v>
                </c:pt>
                <c:pt idx="13">
                  <c:v>-22.13417190775689</c:v>
                </c:pt>
                <c:pt idx="14">
                  <c:v>-5.405585613045786</c:v>
                </c:pt>
                <c:pt idx="15">
                  <c:v>-24.740247939761105</c:v>
                </c:pt>
                <c:pt idx="16">
                  <c:v>-36.344567505448211</c:v>
                </c:pt>
                <c:pt idx="17">
                  <c:v>-37.840334807327856</c:v>
                </c:pt>
                <c:pt idx="18">
                  <c:v>-40.868667118686794</c:v>
                </c:pt>
                <c:pt idx="19">
                  <c:v>-36.21223656434924</c:v>
                </c:pt>
                <c:pt idx="20">
                  <c:v>-30.221842602242717</c:v>
                </c:pt>
                <c:pt idx="21">
                  <c:v>-21.526115836946829</c:v>
                </c:pt>
                <c:pt idx="22">
                  <c:v>-10.376016159043267</c:v>
                </c:pt>
                <c:pt idx="23">
                  <c:v>-9.6265080989090048</c:v>
                </c:pt>
                <c:pt idx="24">
                  <c:v>-18.433359314107562</c:v>
                </c:pt>
                <c:pt idx="25">
                  <c:v>-6.5252275052501174</c:v>
                </c:pt>
                <c:pt idx="26">
                  <c:v>5.3409056580974283</c:v>
                </c:pt>
                <c:pt idx="27">
                  <c:v>20.478525159840856</c:v>
                </c:pt>
                <c:pt idx="28">
                  <c:v>37.687984201731744</c:v>
                </c:pt>
                <c:pt idx="29">
                  <c:v>49.115207256189763</c:v>
                </c:pt>
                <c:pt idx="30">
                  <c:v>47.780696257383113</c:v>
                </c:pt>
                <c:pt idx="31">
                  <c:v>54.121061697250795</c:v>
                </c:pt>
                <c:pt idx="32">
                  <c:v>47.359791568402684</c:v>
                </c:pt>
                <c:pt idx="33">
                  <c:v>29.06446580443864</c:v>
                </c:pt>
                <c:pt idx="34">
                  <c:v>51.14296181985722</c:v>
                </c:pt>
                <c:pt idx="35">
                  <c:v>35.016925594637485</c:v>
                </c:pt>
                <c:pt idx="36">
                  <c:v>52.195865239343505</c:v>
                </c:pt>
                <c:pt idx="37">
                  <c:v>48.555232960044236</c:v>
                </c:pt>
              </c:numCache>
            </c:numRef>
          </c:val>
        </c:ser>
        <c:marker val="1"/>
        <c:axId val="226045312"/>
        <c:axId val="226072064"/>
      </c:lineChart>
      <c:catAx>
        <c:axId val="22604531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6072064"/>
        <c:crosses val="autoZero"/>
        <c:auto val="1"/>
        <c:lblAlgn val="ctr"/>
        <c:lblOffset val="0"/>
        <c:tickLblSkip val="2"/>
        <c:tickMarkSkip val="1"/>
        <c:noMultiLvlLbl val="1"/>
      </c:catAx>
      <c:valAx>
        <c:axId val="226072064"/>
        <c:scaling>
          <c:orientation val="minMax"/>
          <c:max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6045312"/>
        <c:crosses val="autoZero"/>
        <c:crossBetween val="between"/>
      </c:valAx>
      <c:spPr>
        <a:noFill/>
        <a:ln w="6350">
          <a:solidFill>
            <a:sysClr val="window" lastClr="FFFFFF">
              <a:lumMod val="85000"/>
            </a:sysClr>
          </a:solidFill>
        </a:ln>
      </c:spPr>
    </c:plotArea>
    <c:legend>
      <c:legendPos val="b"/>
      <c:layout>
        <c:manualLayout>
          <c:xMode val="edge"/>
          <c:yMode val="edge"/>
          <c:x val="0.236678019538231"/>
          <c:y val="5.9927083333333707E-2"/>
          <c:w val="0.4853963704815074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827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102.70409477208345</c:v>
                </c:pt>
                <c:pt idx="1">
                  <c:v>107.08215297450406</c:v>
                </c:pt>
                <c:pt idx="2">
                  <c:v>105.3566829770794</c:v>
                </c:pt>
                <c:pt idx="3">
                  <c:v>101.66537900248895</c:v>
                </c:pt>
                <c:pt idx="4">
                  <c:v>104.26646064039865</c:v>
                </c:pt>
                <c:pt idx="5">
                  <c:v>105.13348785303414</c:v>
                </c:pt>
                <c:pt idx="6">
                  <c:v>107.10790625804789</c:v>
                </c:pt>
                <c:pt idx="7">
                  <c:v>106.9533865567856</c:v>
                </c:pt>
                <c:pt idx="8">
                  <c:v>104.89312387329383</c:v>
                </c:pt>
                <c:pt idx="9">
                  <c:v>104.55833118722597</c:v>
                </c:pt>
                <c:pt idx="10">
                  <c:v>102.54957507082148</c:v>
                </c:pt>
                <c:pt idx="11">
                  <c:v>103.59687526826337</c:v>
                </c:pt>
                <c:pt idx="12">
                  <c:v>103.60545969611125</c:v>
                </c:pt>
                <c:pt idx="13">
                  <c:v>104.07760322774487</c:v>
                </c:pt>
                <c:pt idx="14">
                  <c:v>104.46390248089966</c:v>
                </c:pt>
                <c:pt idx="15">
                  <c:v>105.05622800240343</c:v>
                </c:pt>
                <c:pt idx="16">
                  <c:v>104.41239591381233</c:v>
                </c:pt>
                <c:pt idx="17">
                  <c:v>105.45111168340632</c:v>
                </c:pt>
                <c:pt idx="18">
                  <c:v>103.99175894926623</c:v>
                </c:pt>
                <c:pt idx="19">
                  <c:v>101.72546999742447</c:v>
                </c:pt>
                <c:pt idx="20">
                  <c:v>99.064297364580653</c:v>
                </c:pt>
                <c:pt idx="21">
                  <c:v>107.18516610867866</c:v>
                </c:pt>
                <c:pt idx="22">
                  <c:v>102.11176925057944</c:v>
                </c:pt>
                <c:pt idx="23">
                  <c:v>101.00437805820241</c:v>
                </c:pt>
                <c:pt idx="24">
                  <c:v>106.74736028843679</c:v>
                </c:pt>
                <c:pt idx="25">
                  <c:v>101.44218387844451</c:v>
                </c:pt>
                <c:pt idx="26">
                  <c:v>100.48931238732938</c:v>
                </c:pt>
                <c:pt idx="27">
                  <c:v>103.92308352648276</c:v>
                </c:pt>
                <c:pt idx="28" formatCode="General">
                  <c:v>105.67430680745075</c:v>
                </c:pt>
                <c:pt idx="29" formatCode="General">
                  <c:v>107.04781526311307</c:v>
                </c:pt>
                <c:pt idx="30" formatCode="General">
                  <c:v>106.25804790110739</c:v>
                </c:pt>
                <c:pt idx="31" formatCode="General">
                  <c:v>106.66151600995796</c:v>
                </c:pt>
                <c:pt idx="32" formatCode="General">
                  <c:v>104.96179929607692</c:v>
                </c:pt>
                <c:pt idx="33" formatCode="General">
                  <c:v>103.33075800497895</c:v>
                </c:pt>
                <c:pt idx="34" formatCode="General">
                  <c:v>103.18482273156464</c:v>
                </c:pt>
                <c:pt idx="35" formatCode="General">
                  <c:v>104.46390248089966</c:v>
                </c:pt>
                <c:pt idx="36" formatCode="General">
                  <c:v>105.02189029101231</c:v>
                </c:pt>
                <c:pt idx="37" formatCode="General">
                  <c:v>104.5411623315306</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106.00794066971343</c:v>
                </c:pt>
                <c:pt idx="1">
                  <c:v>109.408944490224</c:v>
                </c:pt>
                <c:pt idx="2">
                  <c:v>109.76103078882316</c:v>
                </c:pt>
                <c:pt idx="3">
                  <c:v>109.37148850101111</c:v>
                </c:pt>
                <c:pt idx="4">
                  <c:v>112.03086373511132</c:v>
                </c:pt>
                <c:pt idx="5">
                  <c:v>111.29672634654281</c:v>
                </c:pt>
                <c:pt idx="6">
                  <c:v>109.25162933553079</c:v>
                </c:pt>
                <c:pt idx="7">
                  <c:v>116.47314405573451</c:v>
                </c:pt>
                <c:pt idx="8">
                  <c:v>115.01236047644018</c:v>
                </c:pt>
                <c:pt idx="9">
                  <c:v>115.664094688741</c:v>
                </c:pt>
                <c:pt idx="10">
                  <c:v>109.86590755861855</c:v>
                </c:pt>
                <c:pt idx="11">
                  <c:v>112.48782680350591</c:v>
                </c:pt>
                <c:pt idx="12">
                  <c:v>102.05258820885423</c:v>
                </c:pt>
                <c:pt idx="13">
                  <c:v>101.03378530226952</c:v>
                </c:pt>
                <c:pt idx="14">
                  <c:v>99.041126676155727</c:v>
                </c:pt>
                <c:pt idx="15">
                  <c:v>106.18023822009123</c:v>
                </c:pt>
                <c:pt idx="16">
                  <c:v>111.60386545808657</c:v>
                </c:pt>
                <c:pt idx="17">
                  <c:v>116.39074087946632</c:v>
                </c:pt>
                <c:pt idx="18">
                  <c:v>112.92231627837296</c:v>
                </c:pt>
                <c:pt idx="19">
                  <c:v>102.77174320173799</c:v>
                </c:pt>
                <c:pt idx="20">
                  <c:v>100.95887332384432</c:v>
                </c:pt>
                <c:pt idx="21">
                  <c:v>122.16645441606097</c:v>
                </c:pt>
                <c:pt idx="22">
                  <c:v>101.42332759008146</c:v>
                </c:pt>
                <c:pt idx="23">
                  <c:v>104.5995954753168</c:v>
                </c:pt>
                <c:pt idx="24">
                  <c:v>102.44962169450925</c:v>
                </c:pt>
                <c:pt idx="25">
                  <c:v>100.81654056483633</c:v>
                </c:pt>
                <c:pt idx="26">
                  <c:v>98.554198816390425</c:v>
                </c:pt>
                <c:pt idx="27">
                  <c:v>100.25470072664618</c:v>
                </c:pt>
                <c:pt idx="28" formatCode="General">
                  <c:v>99.131021050265929</c:v>
                </c:pt>
                <c:pt idx="29" formatCode="General">
                  <c:v>99.168477039478248</c:v>
                </c:pt>
                <c:pt idx="30" formatCode="General">
                  <c:v>102.35223612255552</c:v>
                </c:pt>
                <c:pt idx="31" formatCode="General">
                  <c:v>102.47958648587912</c:v>
                </c:pt>
                <c:pt idx="32" formatCode="General">
                  <c:v>100.83152296052138</c:v>
                </c:pt>
                <c:pt idx="33" formatCode="General">
                  <c:v>101.10869728069518</c:v>
                </c:pt>
                <c:pt idx="34" formatCode="General">
                  <c:v>98.599146003445952</c:v>
                </c:pt>
                <c:pt idx="35" formatCode="General">
                  <c:v>99.468124953180023</c:v>
                </c:pt>
                <c:pt idx="36" formatCode="General">
                  <c:v>96.943591280246068</c:v>
                </c:pt>
                <c:pt idx="37" formatCode="General">
                  <c:v>97.048468050041208</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101.13895216400891</c:v>
                </c:pt>
                <c:pt idx="1">
                  <c:v>105.97722095671983</c:v>
                </c:pt>
                <c:pt idx="2">
                  <c:v>103.26195899772212</c:v>
                </c:pt>
                <c:pt idx="3">
                  <c:v>98.00455580865605</c:v>
                </c:pt>
                <c:pt idx="4">
                  <c:v>100.58314350797269</c:v>
                </c:pt>
                <c:pt idx="5">
                  <c:v>102.20501138952147</c:v>
                </c:pt>
                <c:pt idx="6">
                  <c:v>106.08656036446465</c:v>
                </c:pt>
                <c:pt idx="7">
                  <c:v>102.44191343963598</c:v>
                </c:pt>
                <c:pt idx="8">
                  <c:v>100.08200455580871</c:v>
                </c:pt>
                <c:pt idx="9">
                  <c:v>99.289293849658364</c:v>
                </c:pt>
                <c:pt idx="10">
                  <c:v>99.079726651480456</c:v>
                </c:pt>
                <c:pt idx="11">
                  <c:v>99.380410022779088</c:v>
                </c:pt>
                <c:pt idx="12">
                  <c:v>103.13439635535308</c:v>
                </c:pt>
                <c:pt idx="13">
                  <c:v>104.13667425968094</c:v>
                </c:pt>
                <c:pt idx="14">
                  <c:v>105.37585421412284</c:v>
                </c:pt>
                <c:pt idx="15">
                  <c:v>103.60820045558071</c:v>
                </c:pt>
                <c:pt idx="16">
                  <c:v>100.80182232346245</c:v>
                </c:pt>
                <c:pt idx="17">
                  <c:v>100.48291571753971</c:v>
                </c:pt>
                <c:pt idx="18">
                  <c:v>99.753986332573717</c:v>
                </c:pt>
                <c:pt idx="19">
                  <c:v>100.33712984054679</c:v>
                </c:pt>
                <c:pt idx="20">
                  <c:v>97.403189066059269</c:v>
                </c:pt>
                <c:pt idx="21">
                  <c:v>100.74715261959012</c:v>
                </c:pt>
                <c:pt idx="22">
                  <c:v>101.33940774487475</c:v>
                </c:pt>
                <c:pt idx="23">
                  <c:v>98.706150341685685</c:v>
                </c:pt>
                <c:pt idx="24">
                  <c:v>106.92482915717549</c:v>
                </c:pt>
                <c:pt idx="25">
                  <c:v>100.50113895216384</c:v>
                </c:pt>
                <c:pt idx="26">
                  <c:v>99.981776765375926</c:v>
                </c:pt>
                <c:pt idx="27">
                  <c:v>103.93621867881585</c:v>
                </c:pt>
                <c:pt idx="28" formatCode="General">
                  <c:v>106.58769931662854</c:v>
                </c:pt>
                <c:pt idx="29" formatCode="General">
                  <c:v>108.37357630979467</c:v>
                </c:pt>
                <c:pt idx="30" formatCode="General">
                  <c:v>106.31435079726656</c:v>
                </c:pt>
                <c:pt idx="31" formatCode="General">
                  <c:v>106.80637813211808</c:v>
                </c:pt>
                <c:pt idx="32" formatCode="General">
                  <c:v>105.11161731207291</c:v>
                </c:pt>
                <c:pt idx="33" formatCode="General">
                  <c:v>102.87927107061505</c:v>
                </c:pt>
                <c:pt idx="34" formatCode="General">
                  <c:v>103.5079726651483</c:v>
                </c:pt>
                <c:pt idx="35" formatCode="General">
                  <c:v>104.89293849658279</c:v>
                </c:pt>
                <c:pt idx="36" formatCode="General">
                  <c:v>106.13211845102511</c:v>
                </c:pt>
                <c:pt idx="37" formatCode="General">
                  <c:v>105.52164009111632</c:v>
                </c:pt>
              </c:numCache>
            </c:numRef>
          </c:val>
        </c:ser>
        <c:marker val="1"/>
        <c:axId val="226035968"/>
        <c:axId val="226091008"/>
      </c:lineChart>
      <c:catAx>
        <c:axId val="22603596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226091008"/>
        <c:crosses val="autoZero"/>
        <c:auto val="1"/>
        <c:lblAlgn val="ctr"/>
        <c:lblOffset val="0"/>
        <c:tickLblSkip val="2"/>
        <c:tickMarkSkip val="1"/>
        <c:noMultiLvlLbl val="1"/>
      </c:catAx>
      <c:valAx>
        <c:axId val="226091008"/>
        <c:scaling>
          <c:orientation val="minMax"/>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6035968"/>
        <c:crosses val="autoZero"/>
        <c:crossBetween val="between"/>
      </c:valAx>
      <c:spPr>
        <a:noFill/>
        <a:ln w="6350">
          <a:solidFill>
            <a:sysClr val="window" lastClr="FFFFFF">
              <a:lumMod val="85000"/>
            </a:sysClr>
          </a:solidFill>
        </a:ln>
      </c:spPr>
    </c:plotArea>
    <c:legend>
      <c:legendPos val="b"/>
      <c:layout>
        <c:manualLayout>
          <c:xMode val="edge"/>
          <c:yMode val="edge"/>
          <c:x val="0.11046131731835145"/>
          <c:y val="4.4967013888889122E-2"/>
          <c:w val="0.43861033000893485"/>
          <c:h val="0.1832881944444499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723"/>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80.81</c:v>
                </c:pt>
                <c:pt idx="1">
                  <c:v>134.16999999999999</c:v>
                </c:pt>
                <c:pt idx="2">
                  <c:v>133.54</c:v>
                </c:pt>
                <c:pt idx="3">
                  <c:v>154.80000000000001</c:v>
                </c:pt>
                <c:pt idx="4">
                  <c:v>137.20999999999998</c:v>
                </c:pt>
                <c:pt idx="5">
                  <c:v>169.94</c:v>
                </c:pt>
                <c:pt idx="6">
                  <c:v>163.20999999999998</c:v>
                </c:pt>
                <c:pt idx="7">
                  <c:v>154.69999999999999</c:v>
                </c:pt>
                <c:pt idx="8">
                  <c:v>139.23999999999998</c:v>
                </c:pt>
                <c:pt idx="9">
                  <c:v>149.29</c:v>
                </c:pt>
                <c:pt idx="10">
                  <c:v>90.32</c:v>
                </c:pt>
                <c:pt idx="11">
                  <c:v>107.82</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60.49</c:v>
                </c:pt>
                <c:pt idx="1">
                  <c:v>79.03</c:v>
                </c:pt>
                <c:pt idx="2">
                  <c:v>78.08</c:v>
                </c:pt>
                <c:pt idx="3">
                  <c:v>97.34</c:v>
                </c:pt>
                <c:pt idx="4">
                  <c:v>84.23</c:v>
                </c:pt>
                <c:pt idx="5">
                  <c:v>100.21000000000002</c:v>
                </c:pt>
                <c:pt idx="6">
                  <c:v>85.77</c:v>
                </c:pt>
                <c:pt idx="7">
                  <c:v>75.400000000000006</c:v>
                </c:pt>
                <c:pt idx="8">
                  <c:v>77.430000000000007</c:v>
                </c:pt>
                <c:pt idx="9">
                  <c:v>111.06</c:v>
                </c:pt>
                <c:pt idx="10">
                  <c:v>91.990000000000023</c:v>
                </c:pt>
                <c:pt idx="11">
                  <c:v>100.35</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58.52</c:v>
                </c:pt>
                <c:pt idx="1">
                  <c:v>84.48</c:v>
                </c:pt>
                <c:pt idx="2">
                  <c:v>89.14</c:v>
                </c:pt>
                <c:pt idx="3">
                  <c:v>106.8</c:v>
                </c:pt>
                <c:pt idx="4">
                  <c:v>101.47</c:v>
                </c:pt>
                <c:pt idx="5">
                  <c:v>128.70999999999998</c:v>
                </c:pt>
                <c:pt idx="6">
                  <c:v>120.14999999999999</c:v>
                </c:pt>
                <c:pt idx="7">
                  <c:v>97.5</c:v>
                </c:pt>
                <c:pt idx="8">
                  <c:v>92.88</c:v>
                </c:pt>
                <c:pt idx="9">
                  <c:v>112.58</c:v>
                </c:pt>
                <c:pt idx="10">
                  <c:v>94.81</c:v>
                </c:pt>
                <c:pt idx="11">
                  <c:v>140.05000000000001</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84.51</c:v>
                </c:pt>
                <c:pt idx="1">
                  <c:v>124.11</c:v>
                </c:pt>
              </c:numCache>
            </c:numRef>
          </c:val>
        </c:ser>
        <c:marker val="1"/>
        <c:axId val="227636736"/>
        <c:axId val="227638272"/>
      </c:lineChart>
      <c:catAx>
        <c:axId val="22763673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7638272"/>
        <c:crosses val="autoZero"/>
        <c:auto val="1"/>
        <c:lblAlgn val="ctr"/>
        <c:lblOffset val="0"/>
        <c:tickMarkSkip val="1"/>
      </c:catAx>
      <c:valAx>
        <c:axId val="227638272"/>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7636736"/>
        <c:crosses val="autoZero"/>
        <c:crossBetween val="between"/>
      </c:valAx>
      <c:spPr>
        <a:noFill/>
        <a:ln w="6350">
          <a:solidFill>
            <a:sysClr val="window" lastClr="FFFFFF">
              <a:lumMod val="85000"/>
            </a:sysClr>
          </a:solidFill>
        </a:ln>
      </c:spPr>
    </c:plotArea>
    <c:legend>
      <c:legendPos val="b"/>
      <c:layout>
        <c:manualLayout>
          <c:xMode val="edge"/>
          <c:yMode val="edge"/>
          <c:x val="0.35837525298554362"/>
          <c:y val="0.7009346064814862"/>
          <c:w val="0.5965189766825042"/>
          <c:h val="0.1451290509259259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Sheet1!$A$2:$B$37</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Sheet1!$C$2:$C$37</c:f>
              <c:numCache>
                <c:formatCode>0.0</c:formatCode>
                <c:ptCount val="36"/>
                <c:pt idx="0">
                  <c:v>97.925669835782202</c:v>
                </c:pt>
                <c:pt idx="1">
                  <c:v>127.57130509939498</c:v>
                </c:pt>
                <c:pt idx="2">
                  <c:v>117.28608470181523</c:v>
                </c:pt>
                <c:pt idx="3">
                  <c:v>127.65773552290372</c:v>
                </c:pt>
                <c:pt idx="4">
                  <c:v>118.75540190146913</c:v>
                </c:pt>
                <c:pt idx="5">
                  <c:v>130.07778738115815</c:v>
                </c:pt>
                <c:pt idx="6">
                  <c:v>134.91789109766637</c:v>
                </c:pt>
                <c:pt idx="7">
                  <c:v>134.65859982713957</c:v>
                </c:pt>
                <c:pt idx="8">
                  <c:v>124.02765773552291</c:v>
                </c:pt>
                <c:pt idx="9">
                  <c:v>117.37251512532394</c:v>
                </c:pt>
                <c:pt idx="10">
                  <c:v>77.960242005185847</c:v>
                </c:pt>
                <c:pt idx="11">
                  <c:v>82.886776145203058</c:v>
                </c:pt>
                <c:pt idx="12">
                  <c:v>73.898012100258967</c:v>
                </c:pt>
                <c:pt idx="13">
                  <c:v>75.021607605877534</c:v>
                </c:pt>
                <c:pt idx="14">
                  <c:v>69.662921348314612</c:v>
                </c:pt>
                <c:pt idx="15">
                  <c:v>79.083837510803448</c:v>
                </c:pt>
                <c:pt idx="16">
                  <c:v>72.860847018150054</c:v>
                </c:pt>
                <c:pt idx="17">
                  <c:v>75.367329299913834</c:v>
                </c:pt>
                <c:pt idx="18">
                  <c:v>70.354364736387211</c:v>
                </c:pt>
                <c:pt idx="19">
                  <c:v>66.983578219533072</c:v>
                </c:pt>
                <c:pt idx="20">
                  <c:v>70.440795159896268</c:v>
                </c:pt>
                <c:pt idx="21">
                  <c:v>86.516853932584027</c:v>
                </c:pt>
                <c:pt idx="22">
                  <c:v>80.293863439931101</c:v>
                </c:pt>
                <c:pt idx="23">
                  <c:v>76.058772687985808</c:v>
                </c:pt>
                <c:pt idx="24">
                  <c:v>71.737251512532382</c:v>
                </c:pt>
                <c:pt idx="25">
                  <c:v>80.380293863439888</c:v>
                </c:pt>
                <c:pt idx="26" formatCode="General">
                  <c:v>79.948141745894532</c:v>
                </c:pt>
                <c:pt idx="27" formatCode="General">
                  <c:v>86.43042350907551</c:v>
                </c:pt>
                <c:pt idx="28" formatCode="General">
                  <c:v>87.554019014693139</c:v>
                </c:pt>
                <c:pt idx="29" formatCode="General">
                  <c:v>95.505617977528019</c:v>
                </c:pt>
                <c:pt idx="30" formatCode="General">
                  <c:v>97.320656871218617</c:v>
                </c:pt>
                <c:pt idx="31" formatCode="General">
                  <c:v>87.20829732065657</c:v>
                </c:pt>
                <c:pt idx="32" formatCode="General">
                  <c:v>85.393258426966241</c:v>
                </c:pt>
                <c:pt idx="33" formatCode="General">
                  <c:v>88.159031979256369</c:v>
                </c:pt>
                <c:pt idx="34" formatCode="General">
                  <c:v>84.010371650820858</c:v>
                </c:pt>
                <c:pt idx="35" formatCode="General">
                  <c:v>104.66724286949001</c:v>
                </c:pt>
              </c:numCache>
            </c:numRef>
          </c:val>
        </c:ser>
        <c:marker val="1"/>
        <c:axId val="225818880"/>
        <c:axId val="226279424"/>
      </c:lineChart>
      <c:catAx>
        <c:axId val="22581888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6279424"/>
        <c:crosses val="autoZero"/>
        <c:auto val="1"/>
        <c:lblAlgn val="ctr"/>
        <c:lblOffset val="0"/>
        <c:tickLblSkip val="2"/>
        <c:tickMarkSkip val="1"/>
        <c:noMultiLvlLbl val="1"/>
      </c:catAx>
      <c:valAx>
        <c:axId val="226279424"/>
        <c:scaling>
          <c:orientation val="minMax"/>
          <c:max val="14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581888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7109111361080001E-2"/>
          <c:w val="0.87282669470876462"/>
          <c:h val="0.7614579272128047"/>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Sheet1!$B$3:$U$3</c:f>
              <c:numCache>
                <c:formatCode>0.0</c:formatCode>
                <c:ptCount val="20"/>
                <c:pt idx="0">
                  <c:v>98.72999999999999</c:v>
                </c:pt>
                <c:pt idx="1">
                  <c:v>101.22786900000033</c:v>
                </c:pt>
                <c:pt idx="2">
                  <c:v>102.60456801839995</c:v>
                </c:pt>
                <c:pt idx="3">
                  <c:v>105.31332861408575</c:v>
                </c:pt>
                <c:pt idx="4">
                  <c:v>105.06057662541195</c:v>
                </c:pt>
                <c:pt idx="5">
                  <c:v>103.87339210954413</c:v>
                </c:pt>
                <c:pt idx="6">
                  <c:v>103.75913137822397</c:v>
                </c:pt>
                <c:pt idx="7">
                  <c:v>104.57882851611187</c:v>
                </c:pt>
                <c:pt idx="8">
                  <c:v>104.7461546417387</c:v>
                </c:pt>
                <c:pt idx="9">
                  <c:v>101.11146307566976</c:v>
                </c:pt>
                <c:pt idx="10">
                  <c:v>99.483568520151451</c:v>
                </c:pt>
                <c:pt idx="11">
                  <c:v>95.951901837685554</c:v>
                </c:pt>
                <c:pt idx="12">
                  <c:v>94.253553175159041</c:v>
                </c:pt>
                <c:pt idx="13">
                  <c:v>91.463648001174334</c:v>
                </c:pt>
                <c:pt idx="14">
                  <c:v>90.311206036359508</c:v>
                </c:pt>
                <c:pt idx="15">
                  <c:v>89.209409322715956</c:v>
                </c:pt>
                <c:pt idx="16">
                  <c:v>87.077304439903045</c:v>
                </c:pt>
                <c:pt idx="17">
                  <c:v>89.628669459992224</c:v>
                </c:pt>
                <c:pt idx="18">
                  <c:v>87.818170336899726</c:v>
                </c:pt>
                <c:pt idx="19">
                  <c:v>85.570025176275678</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Sheet1!$B$4:$U$4</c:f>
              <c:numCache>
                <c:formatCode>0.0</c:formatCode>
                <c:ptCount val="20"/>
                <c:pt idx="0">
                  <c:v>102.41000000000012</c:v>
                </c:pt>
                <c:pt idx="1">
                  <c:v>115.69257699999966</c:v>
                </c:pt>
                <c:pt idx="2">
                  <c:v>119.5451398141</c:v>
                </c:pt>
                <c:pt idx="3">
                  <c:v>119.11477731076857</c:v>
                </c:pt>
                <c:pt idx="4">
                  <c:v>126.57136237042278</c:v>
                </c:pt>
                <c:pt idx="5">
                  <c:v>128.59650416834927</c:v>
                </c:pt>
                <c:pt idx="6">
                  <c:v>134.04899594508819</c:v>
                </c:pt>
                <c:pt idx="7">
                  <c:v>129.90688197038497</c:v>
                </c:pt>
                <c:pt idx="8">
                  <c:v>123.19069617251574</c:v>
                </c:pt>
                <c:pt idx="9">
                  <c:v>119.77831388853738</c:v>
                </c:pt>
                <c:pt idx="10">
                  <c:v>107.54894804051771</c:v>
                </c:pt>
                <c:pt idx="11">
                  <c:v>101.04223668406642</c:v>
                </c:pt>
                <c:pt idx="12">
                  <c:v>91.534162212095751</c:v>
                </c:pt>
                <c:pt idx="13">
                  <c:v>82.508893817982539</c:v>
                </c:pt>
                <c:pt idx="14">
                  <c:v>71.584716276481572</c:v>
                </c:pt>
                <c:pt idx="15">
                  <c:v>71.606191691365126</c:v>
                </c:pt>
                <c:pt idx="16">
                  <c:v>69.701466992374776</c:v>
                </c:pt>
                <c:pt idx="17">
                  <c:v>68.237736185534658</c:v>
                </c:pt>
                <c:pt idx="18">
                  <c:v>71.219725256842793</c:v>
                </c:pt>
                <c:pt idx="19">
                  <c:v>67.551909406115527</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Sheet1!$B$5:$U$5</c:f>
              <c:numCache>
                <c:formatCode>0.0</c:formatCode>
                <c:ptCount val="20"/>
                <c:pt idx="0">
                  <c:v>105.47</c:v>
                </c:pt>
                <c:pt idx="1">
                  <c:v>103.392241</c:v>
                </c:pt>
                <c:pt idx="2">
                  <c:v>110.8468215761</c:v>
                </c:pt>
                <c:pt idx="3">
                  <c:v>112.54277794621402</c:v>
                </c:pt>
                <c:pt idx="4">
                  <c:v>123.48193596258638</c:v>
                </c:pt>
                <c:pt idx="5">
                  <c:v>123.66715886652987</c:v>
                </c:pt>
                <c:pt idx="6">
                  <c:v>125.64583340839475</c:v>
                </c:pt>
                <c:pt idx="7">
                  <c:v>123.84909799065439</c:v>
                </c:pt>
                <c:pt idx="8">
                  <c:v>128.18381642032762</c:v>
                </c:pt>
                <c:pt idx="9">
                  <c:v>130.35012291783207</c:v>
                </c:pt>
                <c:pt idx="10">
                  <c:v>116.29837966728893</c:v>
                </c:pt>
                <c:pt idx="11">
                  <c:v>108.28542130821272</c:v>
                </c:pt>
                <c:pt idx="12">
                  <c:v>99.1353032076684</c:v>
                </c:pt>
                <c:pt idx="13">
                  <c:v>88.567479885731245</c:v>
                </c:pt>
                <c:pt idx="14">
                  <c:v>72.341917570665274</c:v>
                </c:pt>
                <c:pt idx="15">
                  <c:v>65.643056003621155</c:v>
                </c:pt>
                <c:pt idx="16">
                  <c:v>57.719939143984533</c:v>
                </c:pt>
                <c:pt idx="17">
                  <c:v>58.660774152031472</c:v>
                </c:pt>
                <c:pt idx="18">
                  <c:v>61.48822346615939</c:v>
                </c:pt>
                <c:pt idx="19">
                  <c:v>58.094073530827387</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Sheet1!$B$6:$U$6</c:f>
              <c:numCache>
                <c:formatCode>0.0</c:formatCode>
                <c:ptCount val="20"/>
                <c:pt idx="0">
                  <c:v>102.66999999999999</c:v>
                </c:pt>
                <c:pt idx="1">
                  <c:v>110.70906099999999</c:v>
                </c:pt>
                <c:pt idx="2">
                  <c:v>119.28901322749998</c:v>
                </c:pt>
                <c:pt idx="3">
                  <c:v>126.81614996215522</c:v>
                </c:pt>
                <c:pt idx="4">
                  <c:v>134.36171088490417</c:v>
                </c:pt>
                <c:pt idx="5">
                  <c:v>138.29850901383114</c:v>
                </c:pt>
                <c:pt idx="6">
                  <c:v>142.53044338965526</c:v>
                </c:pt>
                <c:pt idx="7">
                  <c:v>146.89187495737781</c:v>
                </c:pt>
                <c:pt idx="8">
                  <c:v>153.79579308037452</c:v>
                </c:pt>
                <c:pt idx="9">
                  <c:v>150.32000815675806</c:v>
                </c:pt>
                <c:pt idx="10">
                  <c:v>144.98364786719407</c:v>
                </c:pt>
                <c:pt idx="11">
                  <c:v>136.50210446696235</c:v>
                </c:pt>
                <c:pt idx="12">
                  <c:v>96.957444802883288</c:v>
                </c:pt>
                <c:pt idx="13">
                  <c:v>74.792972920944209</c:v>
                </c:pt>
                <c:pt idx="14">
                  <c:v>67.201486169468353</c:v>
                </c:pt>
                <c:pt idx="15">
                  <c:v>62.658665704412194</c:v>
                </c:pt>
                <c:pt idx="16">
                  <c:v>62.382967575312435</c:v>
                </c:pt>
                <c:pt idx="17">
                  <c:v>65.951273320620786</c:v>
                </c:pt>
                <c:pt idx="18">
                  <c:v>70.897618819667343</c:v>
                </c:pt>
                <c:pt idx="19">
                  <c:v>78.561651414073395</c:v>
                </c:pt>
              </c:numCache>
            </c:numRef>
          </c:val>
          <c:smooth val="1"/>
        </c:ser>
        <c:marker val="1"/>
        <c:axId val="167182336"/>
        <c:axId val="167275136"/>
      </c:lineChart>
      <c:catAx>
        <c:axId val="16718233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275136"/>
        <c:crosses val="autoZero"/>
        <c:auto val="1"/>
        <c:lblAlgn val="ctr"/>
        <c:lblOffset val="0"/>
        <c:tickLblSkip val="1"/>
        <c:tickMarkSkip val="1"/>
        <c:noMultiLvlLbl val="1"/>
      </c:catAx>
      <c:valAx>
        <c:axId val="167275136"/>
        <c:scaling>
          <c:orientation val="minMax"/>
          <c:max val="16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182336"/>
        <c:crosses val="autoZero"/>
        <c:crossBetween val="between"/>
        <c:majorUnit val="20"/>
      </c:valAx>
      <c:spPr>
        <a:noFill/>
        <a:ln w="6350">
          <a:solidFill>
            <a:sysClr val="window" lastClr="FFFFFF">
              <a:lumMod val="75000"/>
            </a:sysClr>
          </a:solidFill>
        </a:ln>
      </c:spPr>
    </c:plotArea>
    <c:legend>
      <c:legendPos val="b"/>
      <c:layout>
        <c:manualLayout>
          <c:xMode val="edge"/>
          <c:yMode val="edge"/>
          <c:x val="0.13978874118486809"/>
          <c:y val="0.53507009965223051"/>
          <c:w val="0.47369387614817726"/>
          <c:h val="0.18844564352885013"/>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0.78309999999999924</c:v>
                </c:pt>
                <c:pt idx="1">
                  <c:v>0.93990000000000062</c:v>
                </c:pt>
                <c:pt idx="2">
                  <c:v>0.96759999999999913</c:v>
                </c:pt>
                <c:pt idx="3">
                  <c:v>1.6190999999999978</c:v>
                </c:pt>
                <c:pt idx="4">
                  <c:v>1.5250999999999957</c:v>
                </c:pt>
                <c:pt idx="5">
                  <c:v>1.350700000000002</c:v>
                </c:pt>
                <c:pt idx="6">
                  <c:v>1.5965999999999996</c:v>
                </c:pt>
                <c:pt idx="7">
                  <c:v>1.8461999999999978</c:v>
                </c:pt>
                <c:pt idx="8">
                  <c:v>1.641</c:v>
                </c:pt>
                <c:pt idx="9">
                  <c:v>1.5045999999999959</c:v>
                </c:pt>
                <c:pt idx="10">
                  <c:v>1.0444000000000004</c:v>
                </c:pt>
                <c:pt idx="11">
                  <c:v>1.2812999999999966</c:v>
                </c:pt>
                <c:pt idx="12">
                  <c:v>0.61510000000000065</c:v>
                </c:pt>
                <c:pt idx="13">
                  <c:v>0.47990000000000038</c:v>
                </c:pt>
                <c:pt idx="14">
                  <c:v>0.51540000000000008</c:v>
                </c:pt>
                <c:pt idx="15">
                  <c:v>0.62790000000000212</c:v>
                </c:pt>
                <c:pt idx="16">
                  <c:v>0.44300000000000006</c:v>
                </c:pt>
                <c:pt idx="17">
                  <c:v>0.45150000000000035</c:v>
                </c:pt>
                <c:pt idx="18">
                  <c:v>0.4526</c:v>
                </c:pt>
                <c:pt idx="19">
                  <c:v>0.44119999999999981</c:v>
                </c:pt>
                <c:pt idx="20">
                  <c:v>0.47670000000000001</c:v>
                </c:pt>
                <c:pt idx="21">
                  <c:v>1.0746000000000011</c:v>
                </c:pt>
                <c:pt idx="22">
                  <c:v>0.41840000000000038</c:v>
                </c:pt>
                <c:pt idx="23">
                  <c:v>0.58939999999999948</c:v>
                </c:pt>
                <c:pt idx="24">
                  <c:v>0.34300000000000008</c:v>
                </c:pt>
                <c:pt idx="25">
                  <c:v>0.30370000000000008</c:v>
                </c:pt>
                <c:pt idx="26">
                  <c:v>0.61729999999999963</c:v>
                </c:pt>
                <c:pt idx="27">
                  <c:v>0.55650000000000022</c:v>
                </c:pt>
                <c:pt idx="28">
                  <c:v>0.53160000000000063</c:v>
                </c:pt>
                <c:pt idx="29">
                  <c:v>0.69299999999999962</c:v>
                </c:pt>
                <c:pt idx="30">
                  <c:v>0.63020000000000065</c:v>
                </c:pt>
                <c:pt idx="31">
                  <c:v>0.89490000000000025</c:v>
                </c:pt>
                <c:pt idx="32">
                  <c:v>0.77640000000000065</c:v>
                </c:pt>
                <c:pt idx="33">
                  <c:v>0.8523999999999996</c:v>
                </c:pt>
                <c:pt idx="34">
                  <c:v>0.62370000000000236</c:v>
                </c:pt>
                <c:pt idx="35">
                  <c:v>1.4251999999999947</c:v>
                </c:pt>
                <c:pt idx="36">
                  <c:v>0.70200000000000062</c:v>
                </c:pt>
                <c:pt idx="37">
                  <c:v>0.61500000000000088</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4.2223000000000006</c:v>
                </c:pt>
                <c:pt idx="1">
                  <c:v>6.4103999999999992</c:v>
                </c:pt>
                <c:pt idx="2">
                  <c:v>5.9201000000000006</c:v>
                </c:pt>
                <c:pt idx="3">
                  <c:v>6.7666000000000004</c:v>
                </c:pt>
                <c:pt idx="4">
                  <c:v>6.1225999999999852</c:v>
                </c:pt>
                <c:pt idx="5">
                  <c:v>7.3508999999999975</c:v>
                </c:pt>
                <c:pt idx="6">
                  <c:v>6.4874000000000001</c:v>
                </c:pt>
                <c:pt idx="7">
                  <c:v>6.3126000000000007</c:v>
                </c:pt>
                <c:pt idx="8">
                  <c:v>5.7511000000000001</c:v>
                </c:pt>
                <c:pt idx="9">
                  <c:v>6.6672999999999965</c:v>
                </c:pt>
                <c:pt idx="10">
                  <c:v>4.3731</c:v>
                </c:pt>
                <c:pt idx="11">
                  <c:v>5.5028000000000006</c:v>
                </c:pt>
                <c:pt idx="12">
                  <c:v>2.4103000000000003</c:v>
                </c:pt>
                <c:pt idx="13">
                  <c:v>2.8681000000000001</c:v>
                </c:pt>
                <c:pt idx="14">
                  <c:v>3.2101999999999999</c:v>
                </c:pt>
                <c:pt idx="15">
                  <c:v>3.8925999999999967</c:v>
                </c:pt>
                <c:pt idx="16">
                  <c:v>3.1859999999999999</c:v>
                </c:pt>
                <c:pt idx="17">
                  <c:v>4.3150999999999975</c:v>
                </c:pt>
                <c:pt idx="18">
                  <c:v>3.2915999999999999</c:v>
                </c:pt>
                <c:pt idx="19">
                  <c:v>2.6959</c:v>
                </c:pt>
                <c:pt idx="20">
                  <c:v>3.435899999999994</c:v>
                </c:pt>
                <c:pt idx="21">
                  <c:v>4.1301999999999985</c:v>
                </c:pt>
                <c:pt idx="22">
                  <c:v>4.7622999999999998</c:v>
                </c:pt>
                <c:pt idx="23">
                  <c:v>4.4315000000000024</c:v>
                </c:pt>
                <c:pt idx="24">
                  <c:v>2.7066999999999997</c:v>
                </c:pt>
                <c:pt idx="25">
                  <c:v>3.1114999999999977</c:v>
                </c:pt>
                <c:pt idx="26">
                  <c:v>4.5716000000000134</c:v>
                </c:pt>
                <c:pt idx="27">
                  <c:v>3.9091</c:v>
                </c:pt>
                <c:pt idx="28">
                  <c:v>3.7591000000000001</c:v>
                </c:pt>
                <c:pt idx="29">
                  <c:v>4.9817000000000133</c:v>
                </c:pt>
                <c:pt idx="30">
                  <c:v>3.6464000000000003</c:v>
                </c:pt>
                <c:pt idx="31">
                  <c:v>2.7584</c:v>
                </c:pt>
                <c:pt idx="32">
                  <c:v>4.1773999999999996</c:v>
                </c:pt>
                <c:pt idx="33">
                  <c:v>4.1152999999999995</c:v>
                </c:pt>
                <c:pt idx="34">
                  <c:v>3.7519</c:v>
                </c:pt>
                <c:pt idx="35">
                  <c:v>4.1819999999999995</c:v>
                </c:pt>
                <c:pt idx="36">
                  <c:v>4.1879999999999873</c:v>
                </c:pt>
                <c:pt idx="37">
                  <c:v>6.4258000000000006</c:v>
                </c:pt>
              </c:numCache>
            </c:numRef>
          </c:val>
        </c:ser>
        <c:gapWidth val="0"/>
        <c:overlap val="100"/>
        <c:axId val="228871552"/>
        <c:axId val="228881536"/>
      </c:barChart>
      <c:catAx>
        <c:axId val="22887155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8881536"/>
        <c:crosses val="autoZero"/>
        <c:auto val="1"/>
        <c:lblAlgn val="ctr"/>
        <c:lblOffset val="0"/>
        <c:tickLblSkip val="3"/>
        <c:tickMarkSkip val="1"/>
        <c:noMultiLvlLbl val="1"/>
      </c:catAx>
      <c:valAx>
        <c:axId val="228881536"/>
        <c:scaling>
          <c:orientation val="minMax"/>
          <c:max val="9"/>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8871552"/>
        <c:crosses val="autoZero"/>
        <c:crossBetween val="between"/>
      </c:valAx>
      <c:spPr>
        <a:noFill/>
        <a:ln w="6350">
          <a:solidFill>
            <a:sysClr val="window" lastClr="FFFFFF">
              <a:lumMod val="85000"/>
            </a:sysClr>
          </a:solidFill>
        </a:ln>
      </c:spPr>
    </c:plotArea>
    <c:legend>
      <c:legendPos val="b"/>
      <c:layout>
        <c:manualLayout>
          <c:xMode val="edge"/>
          <c:yMode val="edge"/>
          <c:x val="0.48768778550407393"/>
          <c:y val="7.3834490740742748E-2"/>
          <c:w val="0.35673227969348681"/>
          <c:h val="0.1579392361111166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211"/>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Sheet1!$A$3:$B$39</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2008</c:v>
                  </c:pt>
                  <c:pt idx="12">
                    <c:v>2009</c:v>
                  </c:pt>
                  <c:pt idx="24">
                    <c:v>2010</c:v>
                  </c:pt>
                  <c:pt idx="36">
                    <c:v>2011</c:v>
                  </c:pt>
                </c:lvl>
              </c:multiLvlStrCache>
            </c:multiLvlStrRef>
          </c:cat>
          <c:val>
            <c:numRef>
              <c:f>Sheet1!$C$3:$C$39</c:f>
              <c:numCache>
                <c:formatCode>0.0</c:formatCode>
                <c:ptCount val="37"/>
                <c:pt idx="0">
                  <c:v>-23.320735355679219</c:v>
                </c:pt>
                <c:pt idx="1">
                  <c:v>10.278075598400818</c:v>
                </c:pt>
                <c:pt idx="2">
                  <c:v>-15.514782879254026</c:v>
                </c:pt>
                <c:pt idx="3">
                  <c:v>20.610798261918365</c:v>
                </c:pt>
                <c:pt idx="4">
                  <c:v>-6.6949035488401734</c:v>
                </c:pt>
                <c:pt idx="5">
                  <c:v>11.876852459333477</c:v>
                </c:pt>
                <c:pt idx="6">
                  <c:v>-8.9213050188617871</c:v>
                </c:pt>
                <c:pt idx="7">
                  <c:v>4.7469775675449881</c:v>
                </c:pt>
                <c:pt idx="8">
                  <c:v>-9.9076340170379922</c:v>
                </c:pt>
                <c:pt idx="9">
                  <c:v>-14.59476561571266</c:v>
                </c:pt>
                <c:pt idx="10">
                  <c:v>-34.439998999434913</c:v>
                </c:pt>
                <c:pt idx="11">
                  <c:v>-8.0464826091554347</c:v>
                </c:pt>
                <c:pt idx="12">
                  <c:v>-46.302287832025243</c:v>
                </c:pt>
                <c:pt idx="13">
                  <c:v>-58.849414320374606</c:v>
                </c:pt>
                <c:pt idx="14">
                  <c:v>-50.802788673148704</c:v>
                </c:pt>
                <c:pt idx="15">
                  <c:v>-48.28976845415005</c:v>
                </c:pt>
                <c:pt idx="16">
                  <c:v>-53.644227271687591</c:v>
                </c:pt>
                <c:pt idx="17">
                  <c:v>-46.571478871850495</c:v>
                </c:pt>
                <c:pt idx="18">
                  <c:v>-55.29356875391003</c:v>
                </c:pt>
                <c:pt idx="19">
                  <c:v>-63.053675736039601</c:v>
                </c:pt>
                <c:pt idx="20">
                  <c:v>-47.006771864786565</c:v>
                </c:pt>
                <c:pt idx="21">
                  <c:v>-33.775899691851123</c:v>
                </c:pt>
                <c:pt idx="22">
                  <c:v>-1.3629892563259598</c:v>
                </c:pt>
                <c:pt idx="23">
                  <c:v>-23.410620028058435</c:v>
                </c:pt>
                <c:pt idx="24">
                  <c:v>7.8653493790798565</c:v>
                </c:pt>
                <c:pt idx="25">
                  <c:v>8.2741478917341009</c:v>
                </c:pt>
                <c:pt idx="26">
                  <c:v>45.740527070514375</c:v>
                </c:pt>
                <c:pt idx="27">
                  <c:v>-2.5830676182959227</c:v>
                </c:pt>
                <c:pt idx="28">
                  <c:v>16.662627051108629</c:v>
                </c:pt>
                <c:pt idx="29">
                  <c:v>18.066335225240987</c:v>
                </c:pt>
                <c:pt idx="30">
                  <c:v>15.106092916925276</c:v>
                </c:pt>
                <c:pt idx="31">
                  <c:v>17.866278129383545</c:v>
                </c:pt>
                <c:pt idx="32">
                  <c:v>21.362848965305602</c:v>
                </c:pt>
                <c:pt idx="33">
                  <c:v>-8.713177294621147</c:v>
                </c:pt>
                <c:pt idx="34">
                  <c:v>-19.437833643347329</c:v>
                </c:pt>
                <c:pt idx="35">
                  <c:v>8.0269642355577204</c:v>
                </c:pt>
                <c:pt idx="36">
                  <c:v>52.426520693653345</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Sheet1!$A$3:$B$39</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2008</c:v>
                  </c:pt>
                  <c:pt idx="12">
                    <c:v>2009</c:v>
                  </c:pt>
                  <c:pt idx="24">
                    <c:v>2010</c:v>
                  </c:pt>
                  <c:pt idx="36">
                    <c:v>2011</c:v>
                  </c:pt>
                </c:lvl>
              </c:multiLvlStrCache>
            </c:multiLvlStrRef>
          </c:cat>
          <c:val>
            <c:numRef>
              <c:f>Sheet1!$D$3:$D$39</c:f>
              <c:numCache>
                <c:formatCode>0.0</c:formatCode>
                <c:ptCount val="37"/>
                <c:pt idx="0">
                  <c:v>8.2458273999962302</c:v>
                </c:pt>
                <c:pt idx="1">
                  <c:v>11.337106651470966</c:v>
                </c:pt>
                <c:pt idx="2">
                  <c:v>9.0265130845325636</c:v>
                </c:pt>
                <c:pt idx="3">
                  <c:v>10.884215223623883</c:v>
                </c:pt>
                <c:pt idx="4">
                  <c:v>8.9040877678073702</c:v>
                </c:pt>
                <c:pt idx="5">
                  <c:v>12.328805709612283</c:v>
                </c:pt>
                <c:pt idx="6">
                  <c:v>10.738754040865118</c:v>
                </c:pt>
                <c:pt idx="7">
                  <c:v>11.842284925488665</c:v>
                </c:pt>
                <c:pt idx="8">
                  <c:v>10.236085814700786</c:v>
                </c:pt>
                <c:pt idx="9">
                  <c:v>11.545731933974821</c:v>
                </c:pt>
                <c:pt idx="10">
                  <c:v>8.0693447277776205</c:v>
                </c:pt>
                <c:pt idx="11">
                  <c:v>10.219740839825072</c:v>
                </c:pt>
                <c:pt idx="12">
                  <c:v>6.7450096924160334</c:v>
                </c:pt>
                <c:pt idx="13">
                  <c:v>4.398575579098722</c:v>
                </c:pt>
                <c:pt idx="14">
                  <c:v>4.8934139907438414</c:v>
                </c:pt>
                <c:pt idx="15">
                  <c:v>2.1970153148772478</c:v>
                </c:pt>
                <c:pt idx="16">
                  <c:v>1.0964024354625161</c:v>
                </c:pt>
                <c:pt idx="17">
                  <c:v>1.3499104246684044</c:v>
                </c:pt>
                <c:pt idx="18">
                  <c:v>1.6097488627670344</c:v>
                </c:pt>
                <c:pt idx="19">
                  <c:v>1.5041831636024701</c:v>
                </c:pt>
                <c:pt idx="20">
                  <c:v>-6.3749367339532639E-2</c:v>
                </c:pt>
                <c:pt idx="21">
                  <c:v>-2.5326699186433577</c:v>
                </c:pt>
                <c:pt idx="22">
                  <c:v>-3.0080305867751211</c:v>
                </c:pt>
                <c:pt idx="23">
                  <c:v>-2.5795628996696527</c:v>
                </c:pt>
                <c:pt idx="24">
                  <c:v>-7.0621498021644271</c:v>
                </c:pt>
                <c:pt idx="25">
                  <c:v>-6.2669794329527404</c:v>
                </c:pt>
                <c:pt idx="26">
                  <c:v>-6.4636320737353694</c:v>
                </c:pt>
                <c:pt idx="27">
                  <c:v>1.3686001921262381</c:v>
                </c:pt>
                <c:pt idx="28">
                  <c:v>1.5710461370974818</c:v>
                </c:pt>
                <c:pt idx="29">
                  <c:v>0.98498017777161606</c:v>
                </c:pt>
                <c:pt idx="30">
                  <c:v>-0.88676702621425818</c:v>
                </c:pt>
                <c:pt idx="31">
                  <c:v>-1.4115906791906621</c:v>
                </c:pt>
                <c:pt idx="32">
                  <c:v>5.2486114446519894</c:v>
                </c:pt>
                <c:pt idx="33">
                  <c:v>4.1577669042122807</c:v>
                </c:pt>
                <c:pt idx="34">
                  <c:v>3.8974626510104429</c:v>
                </c:pt>
                <c:pt idx="35">
                  <c:v>3.6502251129654582</c:v>
                </c:pt>
                <c:pt idx="36">
                  <c:v>7.9171196644146304</c:v>
                </c:pt>
              </c:numCache>
            </c:numRef>
          </c:val>
        </c:ser>
        <c:gapWidth val="48"/>
        <c:overlap val="100"/>
        <c:axId val="227764096"/>
        <c:axId val="228909056"/>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Sheet1!$A$3:$B$39</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2008</c:v>
                  </c:pt>
                  <c:pt idx="12">
                    <c:v>2009</c:v>
                  </c:pt>
                  <c:pt idx="24">
                    <c:v>2010</c:v>
                  </c:pt>
                  <c:pt idx="36">
                    <c:v>2011</c:v>
                  </c:pt>
                </c:lvl>
              </c:multiLvlStrCache>
            </c:multiLvlStrRef>
          </c:cat>
          <c:val>
            <c:numRef>
              <c:f>Sheet1!$E$3:$E$39</c:f>
              <c:numCache>
                <c:formatCode>0.0</c:formatCode>
                <c:ptCount val="37"/>
                <c:pt idx="0">
                  <c:v>-15.074907955683004</c:v>
                </c:pt>
                <c:pt idx="1">
                  <c:v>21.615182249871779</c:v>
                </c:pt>
                <c:pt idx="2">
                  <c:v>-6.488269794721452</c:v>
                </c:pt>
                <c:pt idx="3">
                  <c:v>31.495013485542181</c:v>
                </c:pt>
                <c:pt idx="4">
                  <c:v>2.2091842189671937</c:v>
                </c:pt>
                <c:pt idx="5">
                  <c:v>24.20565816894576</c:v>
                </c:pt>
                <c:pt idx="6">
                  <c:v>1.8174490220033306</c:v>
                </c:pt>
                <c:pt idx="7">
                  <c:v>16.589262493033626</c:v>
                </c:pt>
                <c:pt idx="8">
                  <c:v>0.32845179766283805</c:v>
                </c:pt>
                <c:pt idx="9">
                  <c:v>-3.0490336817378392</c:v>
                </c:pt>
                <c:pt idx="10">
                  <c:v>-26.370654271657273</c:v>
                </c:pt>
                <c:pt idx="11">
                  <c:v>2.1732582306696027</c:v>
                </c:pt>
                <c:pt idx="12">
                  <c:v>-39.557278139609195</c:v>
                </c:pt>
                <c:pt idx="13">
                  <c:v>-54.450838741275867</c:v>
                </c:pt>
                <c:pt idx="14">
                  <c:v>-45.909374682404867</c:v>
                </c:pt>
                <c:pt idx="15">
                  <c:v>-46.092753139272915</c:v>
                </c:pt>
                <c:pt idx="16">
                  <c:v>-52.547824836225246</c:v>
                </c:pt>
                <c:pt idx="17">
                  <c:v>-45.221568447182122</c:v>
                </c:pt>
                <c:pt idx="18">
                  <c:v>-53.683819891142996</c:v>
                </c:pt>
                <c:pt idx="19">
                  <c:v>-61.549492572437124</c:v>
                </c:pt>
                <c:pt idx="20">
                  <c:v>-47.070521232126211</c:v>
                </c:pt>
                <c:pt idx="21">
                  <c:v>-36.308569610494445</c:v>
                </c:pt>
                <c:pt idx="22">
                  <c:v>-4.3710198431010809</c:v>
                </c:pt>
                <c:pt idx="23">
                  <c:v>-25.990182927728082</c:v>
                </c:pt>
                <c:pt idx="24">
                  <c:v>0.80319957691543264</c:v>
                </c:pt>
                <c:pt idx="25">
                  <c:v>2.0071684587813721</c:v>
                </c:pt>
                <c:pt idx="26">
                  <c:v>39.276894996779063</c:v>
                </c:pt>
                <c:pt idx="27">
                  <c:v>-1.2144674261696764</c:v>
                </c:pt>
                <c:pt idx="28">
                  <c:v>18.233673188206133</c:v>
                </c:pt>
                <c:pt idx="29">
                  <c:v>19.05131540301268</c:v>
                </c:pt>
                <c:pt idx="30">
                  <c:v>14.219325890710968</c:v>
                </c:pt>
                <c:pt idx="31">
                  <c:v>16.454687450192878</c:v>
                </c:pt>
                <c:pt idx="32">
                  <c:v>26.611460409957651</c:v>
                </c:pt>
                <c:pt idx="33">
                  <c:v>-4.5554103904088663</c:v>
                </c:pt>
                <c:pt idx="34">
                  <c:v>-15.540370992336918</c:v>
                </c:pt>
                <c:pt idx="35">
                  <c:v>11.677189348523171</c:v>
                </c:pt>
                <c:pt idx="36">
                  <c:v>60.343640358067994</c:v>
                </c:pt>
              </c:numCache>
            </c:numRef>
          </c:val>
        </c:ser>
        <c:marker val="1"/>
        <c:axId val="227764096"/>
        <c:axId val="228909056"/>
      </c:lineChart>
      <c:catAx>
        <c:axId val="22776409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8909056"/>
        <c:crosses val="autoZero"/>
        <c:auto val="1"/>
        <c:lblAlgn val="ctr"/>
        <c:lblOffset val="0"/>
        <c:tickLblSkip val="2"/>
        <c:tickMarkSkip val="1"/>
        <c:noMultiLvlLbl val="1"/>
      </c:catAx>
      <c:valAx>
        <c:axId val="228909056"/>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7764096"/>
        <c:crosses val="autoZero"/>
        <c:crossBetween val="between"/>
      </c:valAx>
      <c:spPr>
        <a:noFill/>
        <a:ln w="6350">
          <a:solidFill>
            <a:sysClr val="window" lastClr="FFFFFF">
              <a:lumMod val="85000"/>
            </a:sysClr>
          </a:solidFill>
        </a:ln>
      </c:spPr>
    </c:plotArea>
    <c:legend>
      <c:legendPos val="b"/>
      <c:layout>
        <c:manualLayout>
          <c:xMode val="edge"/>
          <c:yMode val="edge"/>
          <c:x val="0.16334469262076179"/>
          <c:y val="7.4626157407407412E-2"/>
          <c:w val="0.49761859163442257"/>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827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103.65094957432875</c:v>
                </c:pt>
                <c:pt idx="1">
                  <c:v>104.47773411918774</c:v>
                </c:pt>
                <c:pt idx="2">
                  <c:v>104.90340537000655</c:v>
                </c:pt>
                <c:pt idx="3">
                  <c:v>104.26489849377866</c:v>
                </c:pt>
                <c:pt idx="4">
                  <c:v>105.73837590045812</c:v>
                </c:pt>
                <c:pt idx="5">
                  <c:v>106.10674525212802</c:v>
                </c:pt>
                <c:pt idx="6">
                  <c:v>107.33464309102835</c:v>
                </c:pt>
                <c:pt idx="7">
                  <c:v>107.35920104780615</c:v>
                </c:pt>
                <c:pt idx="8">
                  <c:v>107.5556647020301</c:v>
                </c:pt>
                <c:pt idx="9">
                  <c:v>111.49312377210248</c:v>
                </c:pt>
                <c:pt idx="10">
                  <c:v>110.37982973149946</c:v>
                </c:pt>
                <c:pt idx="11">
                  <c:v>111.17387033398772</c:v>
                </c:pt>
                <c:pt idx="12">
                  <c:v>116.57662082514753</c:v>
                </c:pt>
                <c:pt idx="13">
                  <c:v>115.77439423706608</c:v>
                </c:pt>
                <c:pt idx="14">
                  <c:v>115.25867714472801</c:v>
                </c:pt>
                <c:pt idx="15">
                  <c:v>109.16011787819251</c:v>
                </c:pt>
                <c:pt idx="16">
                  <c:v>109.10281597904387</c:v>
                </c:pt>
                <c:pt idx="17">
                  <c:v>109.3074656188605</c:v>
                </c:pt>
                <c:pt idx="18">
                  <c:v>111.32940406024886</c:v>
                </c:pt>
                <c:pt idx="19">
                  <c:v>111.56679764243594</c:v>
                </c:pt>
                <c:pt idx="20">
                  <c:v>107.42468893254747</c:v>
                </c:pt>
                <c:pt idx="21">
                  <c:v>106.86804191224604</c:v>
                </c:pt>
                <c:pt idx="22">
                  <c:v>107.03994760969222</c:v>
                </c:pt>
                <c:pt idx="23">
                  <c:v>107.44106090373305</c:v>
                </c:pt>
                <c:pt idx="24">
                  <c:v>108.93909626719059</c:v>
                </c:pt>
                <c:pt idx="25">
                  <c:v>108.74263261296655</c:v>
                </c:pt>
                <c:pt idx="26">
                  <c:v>109.79862475442043</c:v>
                </c:pt>
                <c:pt idx="27">
                  <c:v>109.95415848068106</c:v>
                </c:pt>
                <c:pt idx="28" formatCode="General">
                  <c:v>109.59397511460352</c:v>
                </c:pt>
                <c:pt idx="29" formatCode="General">
                  <c:v>109.27472167648949</c:v>
                </c:pt>
                <c:pt idx="30" formatCode="General">
                  <c:v>110.28978388998031</c:v>
                </c:pt>
                <c:pt idx="31" formatCode="General">
                  <c:v>110.75638506876226</c:v>
                </c:pt>
                <c:pt idx="32" formatCode="General">
                  <c:v>111.6895874263259</c:v>
                </c:pt>
                <c:pt idx="33" formatCode="General">
                  <c:v>111.82056319580876</c:v>
                </c:pt>
                <c:pt idx="34" formatCode="General">
                  <c:v>112.01702685003272</c:v>
                </c:pt>
                <c:pt idx="35" formatCode="General">
                  <c:v>111.53405370006566</c:v>
                </c:pt>
                <c:pt idx="36" formatCode="General">
                  <c:v>114.72658808120495</c:v>
                </c:pt>
                <c:pt idx="37" formatCode="General">
                  <c:v>115.41421087098892</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102.68065268065268</c:v>
                </c:pt>
                <c:pt idx="1">
                  <c:v>102.63403263403264</c:v>
                </c:pt>
                <c:pt idx="2">
                  <c:v>103.93939393939399</c:v>
                </c:pt>
                <c:pt idx="3">
                  <c:v>104.40559440559441</c:v>
                </c:pt>
                <c:pt idx="4">
                  <c:v>105.11266511266484</c:v>
                </c:pt>
                <c:pt idx="5">
                  <c:v>105.40792540792565</c:v>
                </c:pt>
                <c:pt idx="6">
                  <c:v>107.73892773892774</c:v>
                </c:pt>
                <c:pt idx="7">
                  <c:v>112.26884226884229</c:v>
                </c:pt>
                <c:pt idx="8">
                  <c:v>113.47319347319349</c:v>
                </c:pt>
                <c:pt idx="9">
                  <c:v>114.08702408702409</c:v>
                </c:pt>
                <c:pt idx="10">
                  <c:v>111.25097125097125</c:v>
                </c:pt>
                <c:pt idx="11">
                  <c:v>111.54623154623154</c:v>
                </c:pt>
                <c:pt idx="12">
                  <c:v>112.7195027195027</c:v>
                </c:pt>
                <c:pt idx="13">
                  <c:v>112.43978243978241</c:v>
                </c:pt>
                <c:pt idx="14">
                  <c:v>110.34965034965036</c:v>
                </c:pt>
                <c:pt idx="15">
                  <c:v>109.82905982905962</c:v>
                </c:pt>
                <c:pt idx="16">
                  <c:v>111.11888111888065</c:v>
                </c:pt>
                <c:pt idx="17">
                  <c:v>108.64801864801866</c:v>
                </c:pt>
                <c:pt idx="18">
                  <c:v>106.54234654234654</c:v>
                </c:pt>
                <c:pt idx="19">
                  <c:v>106.02952602952601</c:v>
                </c:pt>
                <c:pt idx="20">
                  <c:v>105.72649572649551</c:v>
                </c:pt>
                <c:pt idx="21">
                  <c:v>101.35975135975094</c:v>
                </c:pt>
                <c:pt idx="22">
                  <c:v>101.93473193473173</c:v>
                </c:pt>
                <c:pt idx="23">
                  <c:v>102.28438228438227</c:v>
                </c:pt>
                <c:pt idx="24">
                  <c:v>102.10567210567181</c:v>
                </c:pt>
                <c:pt idx="25">
                  <c:v>101.00233100233066</c:v>
                </c:pt>
                <c:pt idx="26">
                  <c:v>98.850038850038459</c:v>
                </c:pt>
                <c:pt idx="27">
                  <c:v>97.420357420357405</c:v>
                </c:pt>
                <c:pt idx="28" formatCode="General">
                  <c:v>97.948717948718027</c:v>
                </c:pt>
                <c:pt idx="29" formatCode="General">
                  <c:v>96.767676767676761</c:v>
                </c:pt>
                <c:pt idx="30" formatCode="General">
                  <c:v>98.663558663558618</c:v>
                </c:pt>
                <c:pt idx="31" formatCode="General">
                  <c:v>100</c:v>
                </c:pt>
                <c:pt idx="32" formatCode="General">
                  <c:v>100.35742035742012</c:v>
                </c:pt>
                <c:pt idx="33" formatCode="General">
                  <c:v>100.63714063714066</c:v>
                </c:pt>
                <c:pt idx="34" formatCode="General">
                  <c:v>101.08780108780108</c:v>
                </c:pt>
                <c:pt idx="35" formatCode="General">
                  <c:v>101.39083139083115</c:v>
                </c:pt>
                <c:pt idx="36" formatCode="General">
                  <c:v>101.12665112665074</c:v>
                </c:pt>
                <c:pt idx="37" formatCode="General">
                  <c:v>101.51515151515135</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104.02060142880877</c:v>
                </c:pt>
                <c:pt idx="1">
                  <c:v>105.1669712576836</c:v>
                </c:pt>
                <c:pt idx="2">
                  <c:v>105.25834856288375</c:v>
                </c:pt>
                <c:pt idx="3">
                  <c:v>104.21997009470013</c:v>
                </c:pt>
                <c:pt idx="4">
                  <c:v>105.98105997674054</c:v>
                </c:pt>
                <c:pt idx="5">
                  <c:v>106.37149028077756</c:v>
                </c:pt>
                <c:pt idx="6">
                  <c:v>107.18557899983362</c:v>
                </c:pt>
                <c:pt idx="7">
                  <c:v>105.52417345073934</c:v>
                </c:pt>
                <c:pt idx="8">
                  <c:v>105.34972586808441</c:v>
                </c:pt>
                <c:pt idx="9">
                  <c:v>110.53331118125935</c:v>
                </c:pt>
                <c:pt idx="10">
                  <c:v>110.0598105997674</c:v>
                </c:pt>
                <c:pt idx="11">
                  <c:v>111.03173284598768</c:v>
                </c:pt>
                <c:pt idx="12">
                  <c:v>117.44475826549262</c:v>
                </c:pt>
                <c:pt idx="13">
                  <c:v>116.51437115799932</c:v>
                </c:pt>
                <c:pt idx="14">
                  <c:v>116.37315168632664</c:v>
                </c:pt>
                <c:pt idx="15">
                  <c:v>108.95497590961953</c:v>
                </c:pt>
                <c:pt idx="16">
                  <c:v>108.58115966107367</c:v>
                </c:pt>
                <c:pt idx="17">
                  <c:v>109.41186243562053</c:v>
                </c:pt>
                <c:pt idx="18">
                  <c:v>112.41069945173651</c:v>
                </c:pt>
                <c:pt idx="19">
                  <c:v>112.83435786675508</c:v>
                </c:pt>
                <c:pt idx="20">
                  <c:v>107.77537796976235</c:v>
                </c:pt>
                <c:pt idx="21">
                  <c:v>108.12427313507229</c:v>
                </c:pt>
                <c:pt idx="22">
                  <c:v>108.19903638478124</c:v>
                </c:pt>
                <c:pt idx="23">
                  <c:v>108.62269479980063</c:v>
                </c:pt>
                <c:pt idx="24">
                  <c:v>110.47516198704106</c:v>
                </c:pt>
                <c:pt idx="25">
                  <c:v>110.48346901478651</c:v>
                </c:pt>
                <c:pt idx="26">
                  <c:v>112.24455889682665</c:v>
                </c:pt>
                <c:pt idx="27">
                  <c:v>112.75128758930077</c:v>
                </c:pt>
                <c:pt idx="28" formatCode="General">
                  <c:v>112.19471673035385</c:v>
                </c:pt>
                <c:pt idx="29" formatCode="General">
                  <c:v>112.06180428642634</c:v>
                </c:pt>
                <c:pt idx="30" formatCode="General">
                  <c:v>112.87589300548242</c:v>
                </c:pt>
                <c:pt idx="31" formatCode="General">
                  <c:v>113.15002492108326</c:v>
                </c:pt>
                <c:pt idx="32" formatCode="General">
                  <c:v>114.22163150024922</c:v>
                </c:pt>
                <c:pt idx="33" formatCode="General">
                  <c:v>114.31300880544923</c:v>
                </c:pt>
                <c:pt idx="34" formatCode="General">
                  <c:v>114.45422827712252</c:v>
                </c:pt>
                <c:pt idx="35" formatCode="General">
                  <c:v>113.80628011297539</c:v>
                </c:pt>
                <c:pt idx="36" formatCode="General">
                  <c:v>117.50290745971091</c:v>
                </c:pt>
                <c:pt idx="37" formatCode="General">
                  <c:v>118.24223292905799</c:v>
                </c:pt>
              </c:numCache>
            </c:numRef>
          </c:val>
        </c:ser>
        <c:marker val="1"/>
        <c:axId val="229012224"/>
        <c:axId val="229013760"/>
      </c:lineChart>
      <c:catAx>
        <c:axId val="22901222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229013760"/>
        <c:crosses val="autoZero"/>
        <c:auto val="1"/>
        <c:lblAlgn val="ctr"/>
        <c:lblOffset val="0"/>
        <c:tickLblSkip val="2"/>
        <c:tickMarkSkip val="1"/>
        <c:noMultiLvlLbl val="1"/>
      </c:catAx>
      <c:valAx>
        <c:axId val="229013760"/>
        <c:scaling>
          <c:orientation val="minMax"/>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9012224"/>
        <c:crosses val="autoZero"/>
        <c:crossBetween val="between"/>
      </c:valAx>
      <c:spPr>
        <a:noFill/>
        <a:ln w="6350">
          <a:solidFill>
            <a:sysClr val="window" lastClr="FFFFFF">
              <a:lumMod val="85000"/>
            </a:sysClr>
          </a:solidFill>
        </a:ln>
      </c:spPr>
    </c:plotArea>
    <c:legend>
      <c:legendPos val="b"/>
      <c:layout>
        <c:manualLayout>
          <c:xMode val="edge"/>
          <c:yMode val="edge"/>
          <c:x val="0.12875327130712574"/>
          <c:y val="0.65497858796296249"/>
          <c:w val="0.45080477616355447"/>
          <c:h val="0.1832881944444499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3723"/>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108.79</c:v>
                </c:pt>
                <c:pt idx="1">
                  <c:v>132.12</c:v>
                </c:pt>
                <c:pt idx="2">
                  <c:v>152.94999999999999</c:v>
                </c:pt>
                <c:pt idx="3">
                  <c:v>198.76</c:v>
                </c:pt>
                <c:pt idx="4">
                  <c:v>139.99</c:v>
                </c:pt>
                <c:pt idx="5">
                  <c:v>183.83</c:v>
                </c:pt>
                <c:pt idx="6">
                  <c:v>124.81</c:v>
                </c:pt>
                <c:pt idx="7">
                  <c:v>147.63999999999999</c:v>
                </c:pt>
                <c:pt idx="8">
                  <c:v>115.97</c:v>
                </c:pt>
                <c:pt idx="9">
                  <c:v>107.71000000000002</c:v>
                </c:pt>
                <c:pt idx="10">
                  <c:v>115.41000000000012</c:v>
                </c:pt>
                <c:pt idx="11">
                  <c:v>86.32</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63.56</c:v>
                </c:pt>
                <c:pt idx="1">
                  <c:v>68.42</c:v>
                </c:pt>
                <c:pt idx="2">
                  <c:v>79.98</c:v>
                </c:pt>
                <c:pt idx="3">
                  <c:v>74.989999999999995</c:v>
                </c:pt>
                <c:pt idx="4">
                  <c:v>63.75</c:v>
                </c:pt>
                <c:pt idx="5">
                  <c:v>62.45</c:v>
                </c:pt>
                <c:pt idx="6">
                  <c:v>63.02</c:v>
                </c:pt>
                <c:pt idx="7">
                  <c:v>82.679999999999978</c:v>
                </c:pt>
                <c:pt idx="8">
                  <c:v>73.75</c:v>
                </c:pt>
                <c:pt idx="9">
                  <c:v>58.81</c:v>
                </c:pt>
                <c:pt idx="10">
                  <c:v>58.290000000000013</c:v>
                </c:pt>
                <c:pt idx="11">
                  <c:v>61.58</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74.2</c:v>
                </c:pt>
                <c:pt idx="1">
                  <c:v>63.260000000000012</c:v>
                </c:pt>
                <c:pt idx="2">
                  <c:v>118.24000000000002</c:v>
                </c:pt>
                <c:pt idx="3">
                  <c:v>124.96000000000002</c:v>
                </c:pt>
                <c:pt idx="4">
                  <c:v>105.64999999999999</c:v>
                </c:pt>
                <c:pt idx="5">
                  <c:v>107.2</c:v>
                </c:pt>
                <c:pt idx="6">
                  <c:v>111.73</c:v>
                </c:pt>
                <c:pt idx="7">
                  <c:v>142.53</c:v>
                </c:pt>
                <c:pt idx="8">
                  <c:v>125.99000000000002</c:v>
                </c:pt>
                <c:pt idx="9">
                  <c:v>127.03</c:v>
                </c:pt>
                <c:pt idx="10">
                  <c:v>95.95</c:v>
                </c:pt>
                <c:pt idx="11">
                  <c:v>93.09</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132.20999999999998</c:v>
                </c:pt>
                <c:pt idx="1">
                  <c:v>89.940000000000026</c:v>
                </c:pt>
              </c:numCache>
            </c:numRef>
          </c:val>
        </c:ser>
        <c:marker val="1"/>
        <c:axId val="228982784"/>
        <c:axId val="228984320"/>
      </c:lineChart>
      <c:catAx>
        <c:axId val="22898278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8984320"/>
        <c:crosses val="autoZero"/>
        <c:auto val="1"/>
        <c:lblAlgn val="ctr"/>
        <c:lblOffset val="0"/>
        <c:tickMarkSkip val="1"/>
      </c:catAx>
      <c:valAx>
        <c:axId val="228984320"/>
        <c:scaling>
          <c:orientation val="minMax"/>
          <c:max val="20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8982784"/>
        <c:crosses val="autoZero"/>
        <c:crossBetween val="between"/>
        <c:majorUnit val="25"/>
      </c:valAx>
      <c:spPr>
        <a:noFill/>
        <a:ln w="6350">
          <a:solidFill>
            <a:sysClr val="window" lastClr="FFFFFF">
              <a:lumMod val="85000"/>
            </a:sysClr>
          </a:solidFill>
        </a:ln>
      </c:spPr>
    </c:plotArea>
    <c:legend>
      <c:legendPos val="b"/>
      <c:layout>
        <c:manualLayout>
          <c:xMode val="edge"/>
          <c:yMode val="edge"/>
          <c:x val="0.62115300777314064"/>
          <c:y val="3.9476273148148146E-2"/>
          <c:w val="0.35818544316576711"/>
          <c:h val="0.2259739583333333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70C0"/>
              </a:solidFill>
              <a:prstDash val="solid"/>
            </a:ln>
          </c:spPr>
          <c:marker>
            <c:symbol val="none"/>
          </c:marker>
          <c:cat>
            <c:multiLvlStrRef>
              <c:f>Sheet1!$A$2:$B$37</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2008</c:v>
                  </c:pt>
                  <c:pt idx="12">
                    <c:v>2009</c:v>
                  </c:pt>
                  <c:pt idx="24">
                    <c:v>2010</c:v>
                  </c:pt>
                </c:lvl>
              </c:multiLvlStrCache>
            </c:multiLvlStrRef>
          </c:cat>
          <c:val>
            <c:numRef>
              <c:f>Sheet1!$C$2:$C$37</c:f>
              <c:numCache>
                <c:formatCode>0.0</c:formatCode>
                <c:ptCount val="36"/>
                <c:pt idx="0">
                  <c:v>111.97907430395423</c:v>
                </c:pt>
                <c:pt idx="1">
                  <c:v>141.11544600106404</c:v>
                </c:pt>
                <c:pt idx="2">
                  <c:v>125.45664124844832</c:v>
                </c:pt>
                <c:pt idx="3">
                  <c:v>165.89820890228842</c:v>
                </c:pt>
                <c:pt idx="4">
                  <c:v>116.53661996807978</c:v>
                </c:pt>
                <c:pt idx="5">
                  <c:v>149.72512856889517</c:v>
                </c:pt>
                <c:pt idx="6">
                  <c:v>109.28356091505584</c:v>
                </c:pt>
                <c:pt idx="7">
                  <c:v>127.39847490689819</c:v>
                </c:pt>
                <c:pt idx="8">
                  <c:v>104.92108529881183</c:v>
                </c:pt>
                <c:pt idx="9">
                  <c:v>101.08175208370277</c:v>
                </c:pt>
                <c:pt idx="10">
                  <c:v>123.52367441035641</c:v>
                </c:pt>
                <c:pt idx="11">
                  <c:v>85.183543181415132</c:v>
                </c:pt>
                <c:pt idx="12">
                  <c:v>79.446710409647437</c:v>
                </c:pt>
                <c:pt idx="13">
                  <c:v>68.593722291186353</c:v>
                </c:pt>
                <c:pt idx="14">
                  <c:v>68.106047171483823</c:v>
                </c:pt>
                <c:pt idx="15">
                  <c:v>59.886504699414687</c:v>
                </c:pt>
                <c:pt idx="16">
                  <c:v>58.2638765738605</c:v>
                </c:pt>
                <c:pt idx="17">
                  <c:v>41.931193474020205</c:v>
                </c:pt>
                <c:pt idx="18">
                  <c:v>55.727965951409914</c:v>
                </c:pt>
                <c:pt idx="19">
                  <c:v>69.471537506649739</c:v>
                </c:pt>
                <c:pt idx="20">
                  <c:v>73.505940769640006</c:v>
                </c:pt>
                <c:pt idx="21">
                  <c:v>55.426494059230173</c:v>
                </c:pt>
                <c:pt idx="22">
                  <c:v>61.970207483596141</c:v>
                </c:pt>
                <c:pt idx="23">
                  <c:v>63.362298279836835</c:v>
                </c:pt>
                <c:pt idx="24">
                  <c:v>85.81308742684871</c:v>
                </c:pt>
                <c:pt idx="25">
                  <c:v>74.694094697641404</c:v>
                </c:pt>
                <c:pt idx="26" formatCode="General">
                  <c:v>83.942188331264319</c:v>
                </c:pt>
                <c:pt idx="27" formatCode="General">
                  <c:v>80.5905302358574</c:v>
                </c:pt>
                <c:pt idx="28" formatCode="General">
                  <c:v>77.026068451853149</c:v>
                </c:pt>
                <c:pt idx="29" formatCode="General">
                  <c:v>71.138499733995289</c:v>
                </c:pt>
                <c:pt idx="30" formatCode="General">
                  <c:v>90.601170420287261</c:v>
                </c:pt>
                <c:pt idx="31" formatCode="General">
                  <c:v>106.19790743039542</c:v>
                </c:pt>
                <c:pt idx="32" formatCode="General">
                  <c:v>115.57013654903348</c:v>
                </c:pt>
                <c:pt idx="33" formatCode="General">
                  <c:v>100.33693917361231</c:v>
                </c:pt>
                <c:pt idx="34" formatCode="General">
                  <c:v>78.657563397765529</c:v>
                </c:pt>
                <c:pt idx="35" formatCode="General">
                  <c:v>78.595495655257992</c:v>
                </c:pt>
              </c:numCache>
            </c:numRef>
          </c:val>
        </c:ser>
        <c:marker val="1"/>
        <c:axId val="229122816"/>
        <c:axId val="229124352"/>
      </c:lineChart>
      <c:catAx>
        <c:axId val="22912281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9124352"/>
        <c:crosses val="autoZero"/>
        <c:auto val="1"/>
        <c:lblAlgn val="ctr"/>
        <c:lblOffset val="0"/>
        <c:tickLblSkip val="2"/>
        <c:tickMarkSkip val="1"/>
        <c:noMultiLvlLbl val="1"/>
      </c:catAx>
      <c:valAx>
        <c:axId val="229124352"/>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912281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70C0"/>
            </a:solidFill>
            <a:ln w="0" cap="sq">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Sheet1!$C$3:$C$53</c:f>
              <c:numCache>
                <c:formatCode>0.0</c:formatCode>
                <c:ptCount val="38"/>
                <c:pt idx="0">
                  <c:v>2.206599999999999</c:v>
                </c:pt>
                <c:pt idx="1">
                  <c:v>2.3192999999999957</c:v>
                </c:pt>
                <c:pt idx="2">
                  <c:v>2.0263000000000009</c:v>
                </c:pt>
                <c:pt idx="3">
                  <c:v>7.2534999999999989</c:v>
                </c:pt>
                <c:pt idx="4">
                  <c:v>2.4223999999999997</c:v>
                </c:pt>
                <c:pt idx="5">
                  <c:v>6.2273999999999985</c:v>
                </c:pt>
                <c:pt idx="6">
                  <c:v>2.1130999999999993</c:v>
                </c:pt>
                <c:pt idx="7">
                  <c:v>2.2982000000000014</c:v>
                </c:pt>
                <c:pt idx="8">
                  <c:v>1.1395999999999966</c:v>
                </c:pt>
                <c:pt idx="9">
                  <c:v>2.1132999999999988</c:v>
                </c:pt>
                <c:pt idx="10">
                  <c:v>1.4812000000000012</c:v>
                </c:pt>
                <c:pt idx="11">
                  <c:v>3.2468000000000021</c:v>
                </c:pt>
                <c:pt idx="12">
                  <c:v>0.75339999999999963</c:v>
                </c:pt>
                <c:pt idx="13">
                  <c:v>1.1435000000000004</c:v>
                </c:pt>
                <c:pt idx="14">
                  <c:v>1.2628999999999968</c:v>
                </c:pt>
                <c:pt idx="15">
                  <c:v>1.1289000000000007</c:v>
                </c:pt>
                <c:pt idx="16">
                  <c:v>0.97630000000000061</c:v>
                </c:pt>
                <c:pt idx="17">
                  <c:v>0.76549999999999963</c:v>
                </c:pt>
                <c:pt idx="18">
                  <c:v>0.79689999999999994</c:v>
                </c:pt>
                <c:pt idx="19">
                  <c:v>0.76170000000000226</c:v>
                </c:pt>
                <c:pt idx="20">
                  <c:v>0.68409999999999993</c:v>
                </c:pt>
                <c:pt idx="21">
                  <c:v>0.82070000000000065</c:v>
                </c:pt>
                <c:pt idx="22">
                  <c:v>0.72289999999999965</c:v>
                </c:pt>
                <c:pt idx="23">
                  <c:v>1.0034999999999954</c:v>
                </c:pt>
                <c:pt idx="24">
                  <c:v>0.45110000000000028</c:v>
                </c:pt>
                <c:pt idx="25">
                  <c:v>0.46480000000000032</c:v>
                </c:pt>
                <c:pt idx="26">
                  <c:v>0.75920000000000065</c:v>
                </c:pt>
                <c:pt idx="27">
                  <c:v>0.59430000000000049</c:v>
                </c:pt>
                <c:pt idx="28">
                  <c:v>0.73439999999999905</c:v>
                </c:pt>
                <c:pt idx="29">
                  <c:v>0.99049999999999849</c:v>
                </c:pt>
                <c:pt idx="30">
                  <c:v>1.2379999999999938</c:v>
                </c:pt>
                <c:pt idx="31">
                  <c:v>1.6341999999999999</c:v>
                </c:pt>
                <c:pt idx="32">
                  <c:v>1.4502000000000006</c:v>
                </c:pt>
                <c:pt idx="33">
                  <c:v>1.5884999999999998</c:v>
                </c:pt>
                <c:pt idx="34">
                  <c:v>0.82040000000000113</c:v>
                </c:pt>
                <c:pt idx="35">
                  <c:v>1.2277999999999929</c:v>
                </c:pt>
                <c:pt idx="36">
                  <c:v>0.96470000000000045</c:v>
                </c:pt>
                <c:pt idx="37">
                  <c:v>0.84380000000000144</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Sheet1!$D$3:$D$53</c:f>
              <c:numCache>
                <c:formatCode>0.0</c:formatCode>
                <c:ptCount val="38"/>
                <c:pt idx="0">
                  <c:v>6.1002999999999998</c:v>
                </c:pt>
                <c:pt idx="1">
                  <c:v>8.2322999999999986</c:v>
                </c:pt>
                <c:pt idx="2">
                  <c:v>11.3139</c:v>
                </c:pt>
                <c:pt idx="3">
                  <c:v>12.3371</c:v>
                </c:pt>
                <c:pt idx="4">
                  <c:v>9.1528000000000027</c:v>
                </c:pt>
                <c:pt idx="5">
                  <c:v>10.060700000000002</c:v>
                </c:pt>
                <c:pt idx="6">
                  <c:v>10.1044</c:v>
                </c:pt>
                <c:pt idx="7">
                  <c:v>13.7179</c:v>
                </c:pt>
                <c:pt idx="8">
                  <c:v>11.851600000000024</c:v>
                </c:pt>
                <c:pt idx="9">
                  <c:v>9.5757000000000048</c:v>
                </c:pt>
                <c:pt idx="10">
                  <c:v>13.199300000000001</c:v>
                </c:pt>
                <c:pt idx="11">
                  <c:v>7.2883999999999993</c:v>
                </c:pt>
                <c:pt idx="12">
                  <c:v>5.8344999999999985</c:v>
                </c:pt>
                <c:pt idx="13">
                  <c:v>4.8283999999999985</c:v>
                </c:pt>
                <c:pt idx="14">
                  <c:v>7.4236000000000004</c:v>
                </c:pt>
                <c:pt idx="15">
                  <c:v>5.8333999999999993</c:v>
                </c:pt>
                <c:pt idx="16">
                  <c:v>5.2210000000000001</c:v>
                </c:pt>
                <c:pt idx="17">
                  <c:v>4.1078999999999946</c:v>
                </c:pt>
                <c:pt idx="18">
                  <c:v>4.8273999999999955</c:v>
                </c:pt>
                <c:pt idx="19">
                  <c:v>6.8304999999999998</c:v>
                </c:pt>
                <c:pt idx="20">
                  <c:v>7.5323000000000002</c:v>
                </c:pt>
                <c:pt idx="21">
                  <c:v>4.9617000000000004</c:v>
                </c:pt>
                <c:pt idx="22">
                  <c:v>5.8107999999999995</c:v>
                </c:pt>
                <c:pt idx="23">
                  <c:v>6.2986000000000004</c:v>
                </c:pt>
                <c:pt idx="24">
                  <c:v>5.5343999999999998</c:v>
                </c:pt>
                <c:pt idx="25">
                  <c:v>4.8656999999999995</c:v>
                </c:pt>
                <c:pt idx="26">
                  <c:v>7.6097999999999999</c:v>
                </c:pt>
                <c:pt idx="27">
                  <c:v>7.1136999999999997</c:v>
                </c:pt>
                <c:pt idx="28">
                  <c:v>5.8972999999999995</c:v>
                </c:pt>
                <c:pt idx="29">
                  <c:v>7.0715000000000003</c:v>
                </c:pt>
                <c:pt idx="30">
                  <c:v>6.5116000000000014</c:v>
                </c:pt>
                <c:pt idx="31">
                  <c:v>6.6882999999999999</c:v>
                </c:pt>
                <c:pt idx="32">
                  <c:v>10.307400000000024</c:v>
                </c:pt>
                <c:pt idx="33">
                  <c:v>8.9842000000000013</c:v>
                </c:pt>
                <c:pt idx="34">
                  <c:v>7.6372</c:v>
                </c:pt>
                <c:pt idx="35">
                  <c:v>7.298</c:v>
                </c:pt>
                <c:pt idx="36">
                  <c:v>9.1361000000000008</c:v>
                </c:pt>
                <c:pt idx="37">
                  <c:v>6.6311999999999998</c:v>
                </c:pt>
              </c:numCache>
            </c:numRef>
          </c:val>
        </c:ser>
        <c:gapWidth val="0"/>
        <c:overlap val="100"/>
        <c:axId val="229148544"/>
        <c:axId val="229150080"/>
      </c:barChart>
      <c:catAx>
        <c:axId val="22914854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9150080"/>
        <c:crosses val="autoZero"/>
        <c:auto val="1"/>
        <c:lblAlgn val="ctr"/>
        <c:lblOffset val="0"/>
        <c:tickLblSkip val="3"/>
        <c:tickMarkSkip val="1"/>
        <c:noMultiLvlLbl val="1"/>
      </c:catAx>
      <c:valAx>
        <c:axId val="229150080"/>
        <c:scaling>
          <c:orientation val="minMax"/>
          <c:max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9148544"/>
        <c:crosses val="autoZero"/>
        <c:crossBetween val="between"/>
        <c:majorUnit val="4"/>
      </c:valAx>
      <c:spPr>
        <a:noFill/>
        <a:ln w="6350">
          <a:solidFill>
            <a:sysClr val="window" lastClr="FFFFFF">
              <a:lumMod val="85000"/>
            </a:sysClr>
          </a:solidFill>
        </a:ln>
      </c:spPr>
    </c:plotArea>
    <c:legend>
      <c:legendPos val="b"/>
      <c:layout>
        <c:manualLayout>
          <c:xMode val="edge"/>
          <c:yMode val="edge"/>
          <c:x val="0.48768778550407393"/>
          <c:y val="7.3834490740742748E-2"/>
          <c:w val="0.35673227969348681"/>
          <c:h val="0.1579392361111166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211"/>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Sheet1!$C$3:$C$40</c:f>
              <c:numCache>
                <c:formatCode>0.0</c:formatCode>
                <c:ptCount val="38"/>
                <c:pt idx="0">
                  <c:v>-8.4960332042726208</c:v>
                </c:pt>
                <c:pt idx="1">
                  <c:v>35.276476446226098</c:v>
                </c:pt>
                <c:pt idx="2">
                  <c:v>1.3629035566613101</c:v>
                </c:pt>
                <c:pt idx="3">
                  <c:v>99.820153288787367</c:v>
                </c:pt>
                <c:pt idx="4">
                  <c:v>-6.0195614989920134</c:v>
                </c:pt>
                <c:pt idx="5">
                  <c:v>31.151485905954395</c:v>
                </c:pt>
                <c:pt idx="6">
                  <c:v>-0.97163248707841077</c:v>
                </c:pt>
                <c:pt idx="7">
                  <c:v>5.0359600470529475</c:v>
                </c:pt>
                <c:pt idx="8">
                  <c:v>14.651879204845002</c:v>
                </c:pt>
                <c:pt idx="9">
                  <c:v>-26.22793154580674</c:v>
                </c:pt>
                <c:pt idx="10">
                  <c:v>12.591919022095968</c:v>
                </c:pt>
                <c:pt idx="11">
                  <c:v>1.4608295694833231</c:v>
                </c:pt>
                <c:pt idx="12">
                  <c:v>-27.144342590791741</c:v>
                </c:pt>
                <c:pt idx="13">
                  <c:v>-48.285518822536709</c:v>
                </c:pt>
                <c:pt idx="14">
                  <c:v>-37.452879039318425</c:v>
                </c:pt>
                <c:pt idx="15">
                  <c:v>-64.668098856235929</c:v>
                </c:pt>
                <c:pt idx="16">
                  <c:v>-46.418549582860344</c:v>
                </c:pt>
                <c:pt idx="17">
                  <c:v>-68.764589728618006</c:v>
                </c:pt>
                <c:pt idx="18">
                  <c:v>-51.308308663817222</c:v>
                </c:pt>
                <c:pt idx="19">
                  <c:v>-49.375492652000176</c:v>
                </c:pt>
                <c:pt idx="20">
                  <c:v>-32.681137953843745</c:v>
                </c:pt>
                <c:pt idx="21">
                  <c:v>-47.594665504102345</c:v>
                </c:pt>
                <c:pt idx="22">
                  <c:v>-52.721088852215104</c:v>
                </c:pt>
                <c:pt idx="23">
                  <c:v>-25.295392818097589</c:v>
                </c:pt>
                <c:pt idx="24">
                  <c:v>-9.1318860131380727E-2</c:v>
                </c:pt>
                <c:pt idx="25">
                  <c:v>-2.4315302178945482</c:v>
                </c:pt>
                <c:pt idx="26">
                  <c:v>5.1221445510209964</c:v>
                </c:pt>
                <c:pt idx="27">
                  <c:v>20.461723380540789</c:v>
                </c:pt>
                <c:pt idx="28">
                  <c:v>13.365282928761564</c:v>
                </c:pt>
                <c:pt idx="29">
                  <c:v>69.379462481436448</c:v>
                </c:pt>
                <c:pt idx="30">
                  <c:v>39.191486514238477</c:v>
                </c:pt>
                <c:pt idx="31">
                  <c:v>10.558010655028626</c:v>
                </c:pt>
                <c:pt idx="32">
                  <c:v>43.200318471816757</c:v>
                </c:pt>
                <c:pt idx="33">
                  <c:v>84.355462315979736</c:v>
                </c:pt>
                <c:pt idx="34">
                  <c:v>29.745166406584229</c:v>
                </c:pt>
                <c:pt idx="35">
                  <c:v>17.386189278102879</c:v>
                </c:pt>
                <c:pt idx="36">
                  <c:v>68.799906643464411</c:v>
                </c:pt>
                <c:pt idx="37">
                  <c:v>36.348505298399289</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Sheet1!$D$3:$D$40</c:f>
              <c:numCache>
                <c:formatCode>0.0</c:formatCode>
                <c:ptCount val="38"/>
                <c:pt idx="0">
                  <c:v>8.7579460126537896</c:v>
                </c:pt>
                <c:pt idx="1">
                  <c:v>12.573370121515293</c:v>
                </c:pt>
                <c:pt idx="2">
                  <c:v>13.365845282308085</c:v>
                </c:pt>
                <c:pt idx="3">
                  <c:v>34.744436804484863</c:v>
                </c:pt>
                <c:pt idx="4">
                  <c:v>15.229864357752264</c:v>
                </c:pt>
                <c:pt idx="5">
                  <c:v>20.833696376235427</c:v>
                </c:pt>
                <c:pt idx="6">
                  <c:v>15.33557519979955</c:v>
                </c:pt>
                <c:pt idx="7">
                  <c:v>15.789200639751115</c:v>
                </c:pt>
                <c:pt idx="8">
                  <c:v>16.802075686024892</c:v>
                </c:pt>
                <c:pt idx="9">
                  <c:v>11.31309678092102</c:v>
                </c:pt>
                <c:pt idx="10">
                  <c:v>15.08347647115086</c:v>
                </c:pt>
                <c:pt idx="11">
                  <c:v>13.791331025637529</c:v>
                </c:pt>
                <c:pt idx="12">
                  <c:v>6.4507023639924084</c:v>
                </c:pt>
                <c:pt idx="13">
                  <c:v>4.8826225793128089</c:v>
                </c:pt>
                <c:pt idx="14">
                  <c:v>2.5680947032516612</c:v>
                </c:pt>
                <c:pt idx="15">
                  <c:v>0.20708183787040532</c:v>
                </c:pt>
                <c:pt idx="16">
                  <c:v>-4.1986736166492726E-2</c:v>
                </c:pt>
                <c:pt idx="17">
                  <c:v>-1.3154073244455482</c:v>
                </c:pt>
                <c:pt idx="18">
                  <c:v>-2.6569051687998178</c:v>
                </c:pt>
                <c:pt idx="19">
                  <c:v>-3.2209571703660766</c:v>
                </c:pt>
                <c:pt idx="20">
                  <c:v>-4.0729725209391461</c:v>
                </c:pt>
                <c:pt idx="21">
                  <c:v>-2.9366032100733377</c:v>
                </c:pt>
                <c:pt idx="22">
                  <c:v>-2.7729338309360116</c:v>
                </c:pt>
                <c:pt idx="23">
                  <c:v>-5.3931560466605255</c:v>
                </c:pt>
                <c:pt idx="24">
                  <c:v>-9.0527179345983768</c:v>
                </c:pt>
                <c:pt idx="25">
                  <c:v>-8.3087701890110939</c:v>
                </c:pt>
                <c:pt idx="26">
                  <c:v>-8.7772415406025459</c:v>
                </c:pt>
                <c:pt idx="27">
                  <c:v>-9.7511823237062227</c:v>
                </c:pt>
                <c:pt idx="28">
                  <c:v>-6.3557787898623594</c:v>
                </c:pt>
                <c:pt idx="29">
                  <c:v>-3.950808974644465</c:v>
                </c:pt>
                <c:pt idx="30">
                  <c:v>-1.4036729196579358</c:v>
                </c:pt>
                <c:pt idx="31">
                  <c:v>-0.9389279122136166</c:v>
                </c:pt>
                <c:pt idx="32">
                  <c:v>-0.10115095319548555</c:v>
                </c:pt>
                <c:pt idx="33">
                  <c:v>-1.5126980658417071</c:v>
                </c:pt>
                <c:pt idx="34">
                  <c:v>-0.29936999719905316</c:v>
                </c:pt>
                <c:pt idx="35">
                  <c:v>-0.62799642947041612</c:v>
                </c:pt>
                <c:pt idx="36">
                  <c:v>-4.5416625922030447E-2</c:v>
                </c:pt>
                <c:pt idx="37">
                  <c:v>3.8822422862550572</c:v>
                </c:pt>
              </c:numCache>
            </c:numRef>
          </c:val>
        </c:ser>
        <c:gapWidth val="48"/>
        <c:overlap val="100"/>
        <c:axId val="229314944"/>
        <c:axId val="229316864"/>
      </c:barChart>
      <c:lineChart>
        <c:grouping val="standard"/>
        <c:ser>
          <c:idx val="2"/>
          <c:order val="2"/>
          <c:tx>
            <c:strRef>
              <c:f>Sheet1!$E$2</c:f>
              <c:strCache>
                <c:ptCount val="1"/>
                <c:pt idx="0">
                  <c:v>kopā</c:v>
                </c:pt>
              </c:strCache>
            </c:strRef>
          </c:tx>
          <c:spPr>
            <a:ln w="31750">
              <a:solidFill>
                <a:srgbClr val="0070C0"/>
              </a:solidFill>
            </a:ln>
          </c:spPr>
          <c:marker>
            <c:symbol val="diamond"/>
            <c:size val="7"/>
            <c:spPr>
              <a:solidFill>
                <a:sysClr val="window" lastClr="FFFFFF"/>
              </a:solidFill>
              <a:ln w="6350">
                <a:solidFill>
                  <a:sysClr val="windowText" lastClr="000000"/>
                </a:solidFill>
              </a:ln>
            </c:spPr>
          </c:marker>
          <c:cat>
            <c:multiLvlStrRef>
              <c:f>Sheet1!$A$3:$B$40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Sheet1!$E$3:$E$40</c:f>
              <c:numCache>
                <c:formatCode>0.0</c:formatCode>
                <c:ptCount val="38"/>
                <c:pt idx="0">
                  <c:v>0.26191280838116882</c:v>
                </c:pt>
                <c:pt idx="1">
                  <c:v>47.849846567741118</c:v>
                </c:pt>
                <c:pt idx="2">
                  <c:v>14.728748838969352</c:v>
                </c:pt>
                <c:pt idx="3">
                  <c:v>134.56459009327173</c:v>
                </c:pt>
                <c:pt idx="4">
                  <c:v>9.2103028587602598</c:v>
                </c:pt>
                <c:pt idx="5">
                  <c:v>51.985182282189946</c:v>
                </c:pt>
                <c:pt idx="6">
                  <c:v>14.363942712721169</c:v>
                </c:pt>
                <c:pt idx="7">
                  <c:v>20.825160686804068</c:v>
                </c:pt>
                <c:pt idx="8">
                  <c:v>31.453954890869881</c:v>
                </c:pt>
                <c:pt idx="9">
                  <c:v>-14.914834764885725</c:v>
                </c:pt>
                <c:pt idx="10">
                  <c:v>27.675395493246896</c:v>
                </c:pt>
                <c:pt idx="11">
                  <c:v>15.252160595120884</c:v>
                </c:pt>
                <c:pt idx="12">
                  <c:v>-20.693640226799403</c:v>
                </c:pt>
                <c:pt idx="13">
                  <c:v>-43.402896243223779</c:v>
                </c:pt>
                <c:pt idx="14">
                  <c:v>-34.884784336066829</c:v>
                </c:pt>
                <c:pt idx="15">
                  <c:v>-64.461017018365936</c:v>
                </c:pt>
                <c:pt idx="16">
                  <c:v>-46.460536319026993</c:v>
                </c:pt>
                <c:pt idx="17">
                  <c:v>-70.079997053062954</c:v>
                </c:pt>
                <c:pt idx="18">
                  <c:v>-53.965213832617152</c:v>
                </c:pt>
                <c:pt idx="19">
                  <c:v>-52.596449822366246</c:v>
                </c:pt>
                <c:pt idx="20">
                  <c:v>-36.754110474782934</c:v>
                </c:pt>
                <c:pt idx="21">
                  <c:v>-50.531268714175837</c:v>
                </c:pt>
                <c:pt idx="22">
                  <c:v>-55.494022683151123</c:v>
                </c:pt>
                <c:pt idx="23">
                  <c:v>-30.688548864758129</c:v>
                </c:pt>
                <c:pt idx="24">
                  <c:v>-9.144036794729729</c:v>
                </c:pt>
                <c:pt idx="25">
                  <c:v>-10.740300406905668</c:v>
                </c:pt>
                <c:pt idx="26">
                  <c:v>-3.6550969895815371</c:v>
                </c:pt>
                <c:pt idx="27">
                  <c:v>10.710541056834671</c:v>
                </c:pt>
                <c:pt idx="28">
                  <c:v>7.0095041388991763</c:v>
                </c:pt>
                <c:pt idx="29">
                  <c:v>65.428653506791989</c:v>
                </c:pt>
                <c:pt idx="30">
                  <c:v>37.787813594580655</c:v>
                </c:pt>
                <c:pt idx="31">
                  <c:v>9.6190827428149976</c:v>
                </c:pt>
                <c:pt idx="32">
                  <c:v>43.099167518621272</c:v>
                </c:pt>
                <c:pt idx="33">
                  <c:v>82.842764250138373</c:v>
                </c:pt>
                <c:pt idx="34">
                  <c:v>29.445796409385096</c:v>
                </c:pt>
                <c:pt idx="35">
                  <c:v>16.758192848632529</c:v>
                </c:pt>
                <c:pt idx="36">
                  <c:v>68.754490017542381</c:v>
                </c:pt>
                <c:pt idx="37">
                  <c:v>40.230747584654345</c:v>
                </c:pt>
              </c:numCache>
            </c:numRef>
          </c:val>
        </c:ser>
        <c:marker val="1"/>
        <c:axId val="229314944"/>
        <c:axId val="229316864"/>
      </c:lineChart>
      <c:catAx>
        <c:axId val="22931494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9316864"/>
        <c:crosses val="autoZero"/>
        <c:auto val="1"/>
        <c:lblAlgn val="ctr"/>
        <c:lblOffset val="0"/>
        <c:tickLblSkip val="2"/>
        <c:tickMarkSkip val="1"/>
        <c:noMultiLvlLbl val="1"/>
      </c:catAx>
      <c:valAx>
        <c:axId val="229316864"/>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9314944"/>
        <c:crosses val="autoZero"/>
        <c:crossBetween val="between"/>
      </c:valAx>
      <c:spPr>
        <a:noFill/>
        <a:ln w="6350">
          <a:solidFill>
            <a:sysClr val="window" lastClr="FFFFFF">
              <a:lumMod val="85000"/>
            </a:sysClr>
          </a:solidFill>
        </a:ln>
      </c:spPr>
    </c:plotArea>
    <c:legend>
      <c:legendPos val="b"/>
      <c:layout>
        <c:manualLayout>
          <c:xMode val="edge"/>
          <c:yMode val="edge"/>
          <c:x val="0.27945579357342137"/>
          <c:y val="7.4626157407407398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5827E-2"/>
          <c:w val="0.87337771002710063"/>
          <c:h val="0.84297606837606842"/>
        </c:manualLayout>
      </c:layout>
      <c:lineChart>
        <c:grouping val="standard"/>
        <c:ser>
          <c:idx val="1"/>
          <c:order val="0"/>
          <c:tx>
            <c:strRef>
              <c:f>Sheet1!$C$3</c:f>
              <c:strCache>
                <c:ptCount val="1"/>
                <c:pt idx="0">
                  <c:v>Kopā</c:v>
                </c:pt>
              </c:strCache>
            </c:strRef>
          </c:tx>
          <c:spPr>
            <a:ln w="31750">
              <a:solidFill>
                <a:srgbClr val="0070C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Sheet1!$C$4:$C$41</c:f>
              <c:numCache>
                <c:formatCode>0.0</c:formatCode>
                <c:ptCount val="38"/>
                <c:pt idx="0">
                  <c:v>102.50390015600604</c:v>
                </c:pt>
                <c:pt idx="1">
                  <c:v>102.47269890795614</c:v>
                </c:pt>
                <c:pt idx="2">
                  <c:v>107.66770670826834</c:v>
                </c:pt>
                <c:pt idx="3">
                  <c:v>111.34945397815913</c:v>
                </c:pt>
                <c:pt idx="4">
                  <c:v>111.48205928237132</c:v>
                </c:pt>
                <c:pt idx="5">
                  <c:v>111.63026521060844</c:v>
                </c:pt>
                <c:pt idx="6">
                  <c:v>112.0826833073323</c:v>
                </c:pt>
                <c:pt idx="7">
                  <c:v>113.63494539781594</c:v>
                </c:pt>
                <c:pt idx="8">
                  <c:v>114.07956318252731</c:v>
                </c:pt>
                <c:pt idx="9">
                  <c:v>113.75975039001563</c:v>
                </c:pt>
                <c:pt idx="10">
                  <c:v>112.95631825272984</c:v>
                </c:pt>
                <c:pt idx="11">
                  <c:v>113.46333853354101</c:v>
                </c:pt>
                <c:pt idx="12">
                  <c:v>112.30889235569383</c:v>
                </c:pt>
                <c:pt idx="13">
                  <c:v>112.77691107644289</c:v>
                </c:pt>
                <c:pt idx="14">
                  <c:v>113.10452418096749</c:v>
                </c:pt>
                <c:pt idx="15">
                  <c:v>113.13572542901737</c:v>
                </c:pt>
                <c:pt idx="16">
                  <c:v>111.36505460218405</c:v>
                </c:pt>
                <c:pt idx="17">
                  <c:v>107.89391575663025</c:v>
                </c:pt>
                <c:pt idx="18">
                  <c:v>106.33385335413415</c:v>
                </c:pt>
                <c:pt idx="19">
                  <c:v>106.54446177847116</c:v>
                </c:pt>
                <c:pt idx="20">
                  <c:v>107.19968798751951</c:v>
                </c:pt>
                <c:pt idx="21">
                  <c:v>107.65990639625552</c:v>
                </c:pt>
                <c:pt idx="22">
                  <c:v>106.85647425897038</c:v>
                </c:pt>
                <c:pt idx="23">
                  <c:v>106.11544461778436</c:v>
                </c:pt>
                <c:pt idx="24">
                  <c:v>102.97971918876756</c:v>
                </c:pt>
                <c:pt idx="25">
                  <c:v>103.97815912636506</c:v>
                </c:pt>
                <c:pt idx="26">
                  <c:v>104.09516380655225</c:v>
                </c:pt>
                <c:pt idx="27">
                  <c:v>104.52418096723869</c:v>
                </c:pt>
                <c:pt idx="28" formatCode="General">
                  <c:v>105.56942277691108</c:v>
                </c:pt>
                <c:pt idx="29" formatCode="General">
                  <c:v>105.56162246489887</c:v>
                </c:pt>
                <c:pt idx="30" formatCode="General">
                  <c:v>105.1248049921995</c:v>
                </c:pt>
                <c:pt idx="31" formatCode="General">
                  <c:v>104.92199687987519</c:v>
                </c:pt>
                <c:pt idx="32" formatCode="General">
                  <c:v>106.65366614664585</c:v>
                </c:pt>
                <c:pt idx="33" formatCode="General">
                  <c:v>106.60686427457098</c:v>
                </c:pt>
                <c:pt idx="34" formatCode="General">
                  <c:v>106.39625585023403</c:v>
                </c:pt>
                <c:pt idx="35" formatCode="General">
                  <c:v>105.38221528861156</c:v>
                </c:pt>
                <c:pt idx="36" formatCode="General">
                  <c:v>102.31669266770672</c:v>
                </c:pt>
                <c:pt idx="37" formatCode="General">
                  <c:v>106.39625585023403</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Sheet1!$D$4:$D$41</c:f>
              <c:numCache>
                <c:formatCode>0.0</c:formatCode>
                <c:ptCount val="38"/>
                <c:pt idx="0">
                  <c:v>99.032112845138073</c:v>
                </c:pt>
                <c:pt idx="1">
                  <c:v>96.946278511404458</c:v>
                </c:pt>
                <c:pt idx="2">
                  <c:v>103.15876350540215</c:v>
                </c:pt>
                <c:pt idx="3">
                  <c:v>113.03271308523409</c:v>
                </c:pt>
                <c:pt idx="4">
                  <c:v>113.44537815126027</c:v>
                </c:pt>
                <c:pt idx="5">
                  <c:v>111.32202881152412</c:v>
                </c:pt>
                <c:pt idx="6">
                  <c:v>111.32202881152412</c:v>
                </c:pt>
                <c:pt idx="7">
                  <c:v>115.68877551020364</c:v>
                </c:pt>
                <c:pt idx="8">
                  <c:v>115.15606242496995</c:v>
                </c:pt>
                <c:pt idx="9">
                  <c:v>113.40786314525835</c:v>
                </c:pt>
                <c:pt idx="10">
                  <c:v>111.71968787515004</c:v>
                </c:pt>
                <c:pt idx="11">
                  <c:v>111.71218487394955</c:v>
                </c:pt>
                <c:pt idx="12">
                  <c:v>113.44537815126029</c:v>
                </c:pt>
                <c:pt idx="13">
                  <c:v>115.46368547418966</c:v>
                </c:pt>
                <c:pt idx="14">
                  <c:v>115.46368547418966</c:v>
                </c:pt>
                <c:pt idx="15">
                  <c:v>115.59873949579831</c:v>
                </c:pt>
                <c:pt idx="16">
                  <c:v>112.687575030012</c:v>
                </c:pt>
                <c:pt idx="17">
                  <c:v>110.27911164465786</c:v>
                </c:pt>
                <c:pt idx="18">
                  <c:v>108.51590636254501</c:v>
                </c:pt>
                <c:pt idx="19">
                  <c:v>109.41626650660272</c:v>
                </c:pt>
                <c:pt idx="20">
                  <c:v>109.39375750300101</c:v>
                </c:pt>
                <c:pt idx="21">
                  <c:v>109.39375750300101</c:v>
                </c:pt>
                <c:pt idx="22">
                  <c:v>109.39375750300101</c:v>
                </c:pt>
                <c:pt idx="23">
                  <c:v>108.98859543817532</c:v>
                </c:pt>
                <c:pt idx="24">
                  <c:v>107.17286914765866</c:v>
                </c:pt>
                <c:pt idx="25">
                  <c:v>107.01530612244862</c:v>
                </c:pt>
                <c:pt idx="26">
                  <c:v>106.76770708283313</c:v>
                </c:pt>
                <c:pt idx="27">
                  <c:v>106.78271308523409</c:v>
                </c:pt>
                <c:pt idx="28" formatCode="General">
                  <c:v>108.05072028811543</c:v>
                </c:pt>
                <c:pt idx="29" formatCode="General">
                  <c:v>107.58553421368512</c:v>
                </c:pt>
                <c:pt idx="30" formatCode="General">
                  <c:v>107.04531812725064</c:v>
                </c:pt>
                <c:pt idx="31" formatCode="General">
                  <c:v>107.29291716686654</c:v>
                </c:pt>
                <c:pt idx="32" formatCode="General">
                  <c:v>107.34543817527008</c:v>
                </c:pt>
                <c:pt idx="33" formatCode="General">
                  <c:v>107.16536614645818</c:v>
                </c:pt>
                <c:pt idx="34" formatCode="General">
                  <c:v>107.16536614645818</c:v>
                </c:pt>
                <c:pt idx="35" formatCode="General">
                  <c:v>107.16536614645818</c:v>
                </c:pt>
                <c:pt idx="36" formatCode="General">
                  <c:v>103.78901560624271</c:v>
                </c:pt>
                <c:pt idx="37" formatCode="General">
                  <c:v>102.81362545018028</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Sheet1!$E$4:$E$41</c:f>
              <c:numCache>
                <c:formatCode>0.0</c:formatCode>
                <c:ptCount val="38"/>
                <c:pt idx="0">
                  <c:v>103.87699493966525</c:v>
                </c:pt>
                <c:pt idx="1">
                  <c:v>104.65550797975845</c:v>
                </c:pt>
                <c:pt idx="2">
                  <c:v>109.45893343713507</c:v>
                </c:pt>
                <c:pt idx="3">
                  <c:v>110.68119891008139</c:v>
                </c:pt>
                <c:pt idx="4">
                  <c:v>110.6967691708834</c:v>
                </c:pt>
                <c:pt idx="5">
                  <c:v>111.75554690541067</c:v>
                </c:pt>
                <c:pt idx="6">
                  <c:v>112.37835733748473</c:v>
                </c:pt>
                <c:pt idx="7">
                  <c:v>112.82210977033863</c:v>
                </c:pt>
                <c:pt idx="8">
                  <c:v>113.64733359283767</c:v>
                </c:pt>
                <c:pt idx="9">
                  <c:v>113.89645776566759</c:v>
                </c:pt>
                <c:pt idx="10">
                  <c:v>113.43713507201252</c:v>
                </c:pt>
                <c:pt idx="11">
                  <c:v>114.15336706889838</c:v>
                </c:pt>
                <c:pt idx="12">
                  <c:v>112.13701829505641</c:v>
                </c:pt>
                <c:pt idx="13">
                  <c:v>112.13701829505641</c:v>
                </c:pt>
                <c:pt idx="14">
                  <c:v>112.565200467108</c:v>
                </c:pt>
                <c:pt idx="15">
                  <c:v>112.565200467108</c:v>
                </c:pt>
                <c:pt idx="16">
                  <c:v>111.13273647333571</c:v>
                </c:pt>
                <c:pt idx="17">
                  <c:v>107.34137796808095</c:v>
                </c:pt>
                <c:pt idx="18">
                  <c:v>105.83884780070029</c:v>
                </c:pt>
                <c:pt idx="19">
                  <c:v>105.83884780070029</c:v>
                </c:pt>
                <c:pt idx="20">
                  <c:v>106.69521214480341</c:v>
                </c:pt>
                <c:pt idx="21">
                  <c:v>107.3024523160759</c:v>
                </c:pt>
                <c:pt idx="22">
                  <c:v>106.25924484235111</c:v>
                </c:pt>
                <c:pt idx="23">
                  <c:v>105.41845075905022</c:v>
                </c:pt>
                <c:pt idx="24">
                  <c:v>101.88400155702587</c:v>
                </c:pt>
                <c:pt idx="25">
                  <c:v>103.22304398598676</c:v>
                </c:pt>
                <c:pt idx="26">
                  <c:v>103.45659789801478</c:v>
                </c:pt>
                <c:pt idx="27">
                  <c:v>104.00155702608018</c:v>
                </c:pt>
                <c:pt idx="28" formatCode="General">
                  <c:v>104.98248345659788</c:v>
                </c:pt>
                <c:pt idx="29" formatCode="General">
                  <c:v>105.10704554301283</c:v>
                </c:pt>
                <c:pt idx="30" formatCode="General">
                  <c:v>104.70221876216425</c:v>
                </c:pt>
                <c:pt idx="31" formatCode="General">
                  <c:v>104.35967302452315</c:v>
                </c:pt>
                <c:pt idx="32" formatCode="General">
                  <c:v>106.58622031919033</c:v>
                </c:pt>
                <c:pt idx="33" formatCode="General">
                  <c:v>106.58622031919033</c:v>
                </c:pt>
                <c:pt idx="34" formatCode="General">
                  <c:v>106.31374075515764</c:v>
                </c:pt>
                <c:pt idx="35" formatCode="General">
                  <c:v>104.99026858699882</c:v>
                </c:pt>
                <c:pt idx="36" formatCode="General">
                  <c:v>101.98520825223821</c:v>
                </c:pt>
                <c:pt idx="37" formatCode="General">
                  <c:v>106.83534449202003</c:v>
                </c:pt>
              </c:numCache>
            </c:numRef>
          </c:val>
        </c:ser>
        <c:marker val="1"/>
        <c:axId val="228936704"/>
        <c:axId val="229217024"/>
      </c:lineChart>
      <c:catAx>
        <c:axId val="22893670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229217024"/>
        <c:crosses val="autoZero"/>
        <c:auto val="1"/>
        <c:lblAlgn val="ctr"/>
        <c:lblOffset val="0"/>
        <c:tickLblSkip val="2"/>
        <c:tickMarkSkip val="1"/>
        <c:noMultiLvlLbl val="1"/>
      </c:catAx>
      <c:valAx>
        <c:axId val="229217024"/>
        <c:scaling>
          <c:orientation val="minMax"/>
          <c:max val="116"/>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8936704"/>
        <c:crosses val="autoZero"/>
        <c:crossBetween val="between"/>
        <c:majorUnit val="3"/>
      </c:valAx>
      <c:spPr>
        <a:noFill/>
        <a:ln w="6350">
          <a:solidFill>
            <a:sysClr val="window" lastClr="FFFFFF">
              <a:lumMod val="85000"/>
            </a:sysClr>
          </a:solidFill>
        </a:ln>
      </c:spPr>
    </c:plotArea>
    <c:legend>
      <c:legendPos val="b"/>
      <c:layout>
        <c:manualLayout>
          <c:xMode val="edge"/>
          <c:yMode val="edge"/>
          <c:x val="0.25069963123228722"/>
          <c:y val="0.61823090277777781"/>
          <c:w val="0.45080477616355447"/>
          <c:h val="0.1832881944444499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3775423837492"/>
          <c:y val="5.4794520547950934E-2"/>
          <c:w val="0.87018389802251961"/>
          <c:h val="0.74484490740742682"/>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Sheet1!$B$3:$U$3</c:f>
              <c:numCache>
                <c:formatCode>0.0</c:formatCode>
                <c:ptCount val="20"/>
                <c:pt idx="0">
                  <c:v>100.5</c:v>
                </c:pt>
                <c:pt idx="1">
                  <c:v>101.30399999999999</c:v>
                </c:pt>
                <c:pt idx="2">
                  <c:v>101.60791199999997</c:v>
                </c:pt>
                <c:pt idx="3">
                  <c:v>102.52238320799945</c:v>
                </c:pt>
                <c:pt idx="4">
                  <c:v>102.62490559120796</c:v>
                </c:pt>
                <c:pt idx="5">
                  <c:v>103.24065502475561</c:v>
                </c:pt>
                <c:pt idx="6">
                  <c:v>103.96333960992852</c:v>
                </c:pt>
                <c:pt idx="7">
                  <c:v>104.37919296836819</c:v>
                </c:pt>
                <c:pt idx="8">
                  <c:v>104.79670974024172</c:v>
                </c:pt>
                <c:pt idx="9">
                  <c:v>104.3775229012807</c:v>
                </c:pt>
                <c:pt idx="10">
                  <c:v>104.16876785547763</c:v>
                </c:pt>
                <c:pt idx="11">
                  <c:v>103.33541771263349</c:v>
                </c:pt>
                <c:pt idx="12">
                  <c:v>102.71406985801885</c:v>
                </c:pt>
                <c:pt idx="13">
                  <c:v>102.61135578816032</c:v>
                </c:pt>
                <c:pt idx="14">
                  <c:v>102.4061330765835</c:v>
                </c:pt>
                <c:pt idx="15">
                  <c:v>102.71335147581372</c:v>
                </c:pt>
                <c:pt idx="16">
                  <c:v>103.12420488171692</c:v>
                </c:pt>
                <c:pt idx="17">
                  <c:v>103.33045329148034</c:v>
                </c:pt>
                <c:pt idx="18">
                  <c:v>103.53711419806329</c:v>
                </c:pt>
                <c:pt idx="19" formatCode="General">
                  <c:v>103.84772554065749</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Sheet1!$B$4:$U$4</c:f>
              <c:numCache>
                <c:formatCode>0.0</c:formatCode>
                <c:ptCount val="20"/>
                <c:pt idx="0">
                  <c:v>103.1</c:v>
                </c:pt>
                <c:pt idx="1">
                  <c:v>105.78059999999999</c:v>
                </c:pt>
                <c:pt idx="2">
                  <c:v>109.8002628</c:v>
                </c:pt>
                <c:pt idx="3">
                  <c:v>111.77666753039998</c:v>
                </c:pt>
                <c:pt idx="4">
                  <c:v>116.13595756408525</c:v>
                </c:pt>
                <c:pt idx="5">
                  <c:v>117.52958905485421</c:v>
                </c:pt>
                <c:pt idx="6">
                  <c:v>116.70688193147065</c:v>
                </c:pt>
                <c:pt idx="7">
                  <c:v>117.75724386885389</c:v>
                </c:pt>
                <c:pt idx="8">
                  <c:v>116.10864245468913</c:v>
                </c:pt>
                <c:pt idx="9">
                  <c:v>113.90257824805065</c:v>
                </c:pt>
                <c:pt idx="10">
                  <c:v>109.57428027462447</c:v>
                </c:pt>
                <c:pt idx="11">
                  <c:v>103.43812057924637</c:v>
                </c:pt>
                <c:pt idx="12">
                  <c:v>95.582350790953058</c:v>
                </c:pt>
                <c:pt idx="13">
                  <c:v>91.185562654568869</c:v>
                </c:pt>
                <c:pt idx="14">
                  <c:v>88.085253524314126</c:v>
                </c:pt>
                <c:pt idx="15">
                  <c:v>86.499718960876464</c:v>
                </c:pt>
                <c:pt idx="16">
                  <c:v>88.22971334009398</c:v>
                </c:pt>
                <c:pt idx="17">
                  <c:v>88.317943053434078</c:v>
                </c:pt>
                <c:pt idx="18">
                  <c:v>89.112804540914979</c:v>
                </c:pt>
                <c:pt idx="19" formatCode="General">
                  <c:v>88.934578931833144</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Sheet1!$B$5:$U$5</c:f>
              <c:numCache>
                <c:formatCode>0.0</c:formatCode>
                <c:ptCount val="20"/>
                <c:pt idx="0">
                  <c:v>102.4</c:v>
                </c:pt>
                <c:pt idx="1">
                  <c:v>109.67039999999965</c:v>
                </c:pt>
                <c:pt idx="2">
                  <c:v>114.05721600000012</c:v>
                </c:pt>
                <c:pt idx="3">
                  <c:v>129.56899737600085</c:v>
                </c:pt>
                <c:pt idx="4">
                  <c:v>127.88460041011244</c:v>
                </c:pt>
                <c:pt idx="5">
                  <c:v>131.9769076232356</c:v>
                </c:pt>
                <c:pt idx="6">
                  <c:v>133.42865360709121</c:v>
                </c:pt>
                <c:pt idx="7">
                  <c:v>130.62665188134119</c:v>
                </c:pt>
                <c:pt idx="8">
                  <c:v>128.27537214747798</c:v>
                </c:pt>
                <c:pt idx="9">
                  <c:v>129.42985049680448</c:v>
                </c:pt>
                <c:pt idx="10">
                  <c:v>124.12322662643635</c:v>
                </c:pt>
                <c:pt idx="11">
                  <c:v>113.07625945668345</c:v>
                </c:pt>
                <c:pt idx="12">
                  <c:v>102.03707311930502</c:v>
                </c:pt>
                <c:pt idx="13">
                  <c:v>95.302626293430848</c:v>
                </c:pt>
                <c:pt idx="14">
                  <c:v>91.585823867987074</c:v>
                </c:pt>
                <c:pt idx="15">
                  <c:v>91.127894748647137</c:v>
                </c:pt>
                <c:pt idx="16">
                  <c:v>94.408498959598418</c:v>
                </c:pt>
                <c:pt idx="17">
                  <c:v>93.842047965840862</c:v>
                </c:pt>
                <c:pt idx="18">
                  <c:v>94.59278434956758</c:v>
                </c:pt>
                <c:pt idx="19" formatCode="General">
                  <c:v>96.200861683510226</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Sheet1!$B$6:$U$6</c:f>
              <c:numCache>
                <c:formatCode>0.0</c:formatCode>
                <c:ptCount val="20"/>
                <c:pt idx="0">
                  <c:v>100.69999999999999</c:v>
                </c:pt>
                <c:pt idx="1">
                  <c:v>103.9224</c:v>
                </c:pt>
                <c:pt idx="2">
                  <c:v>108.39106319999999</c:v>
                </c:pt>
                <c:pt idx="3">
                  <c:v>110.01692914799997</c:v>
                </c:pt>
                <c:pt idx="4">
                  <c:v>114.08755552647597</c:v>
                </c:pt>
                <c:pt idx="5">
                  <c:v>117.16791952569082</c:v>
                </c:pt>
                <c:pt idx="6">
                  <c:v>119.04260623810185</c:v>
                </c:pt>
                <c:pt idx="7">
                  <c:v>123.20909745643525</c:v>
                </c:pt>
                <c:pt idx="8">
                  <c:v>124.19477023608607</c:v>
                </c:pt>
                <c:pt idx="9">
                  <c:v>123.69799115514256</c:v>
                </c:pt>
                <c:pt idx="10">
                  <c:v>122.58470923474626</c:v>
                </c:pt>
                <c:pt idx="11">
                  <c:v>120.74593859622505</c:v>
                </c:pt>
                <c:pt idx="12">
                  <c:v>103.80902830028575</c:v>
                </c:pt>
                <c:pt idx="13">
                  <c:v>102.45951093238212</c:v>
                </c:pt>
                <c:pt idx="14">
                  <c:v>100.41032071373448</c:v>
                </c:pt>
                <c:pt idx="15">
                  <c:v>97.799652375177843</c:v>
                </c:pt>
                <c:pt idx="16">
                  <c:v>96.821655851425589</c:v>
                </c:pt>
                <c:pt idx="17">
                  <c:v>96.337547572168418</c:v>
                </c:pt>
                <c:pt idx="18">
                  <c:v>96.915572857600779</c:v>
                </c:pt>
                <c:pt idx="19" formatCode="General">
                  <c:v>97.690897440462308</c:v>
                </c:pt>
              </c:numCache>
            </c:numRef>
          </c:val>
          <c:smooth val="1"/>
        </c:ser>
        <c:marker val="1"/>
        <c:axId val="229427456"/>
        <c:axId val="229449728"/>
      </c:lineChart>
      <c:catAx>
        <c:axId val="229427456"/>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229449728"/>
        <c:crosses val="autoZero"/>
        <c:auto val="1"/>
        <c:lblAlgn val="ctr"/>
        <c:lblOffset val="0"/>
        <c:tickLblSkip val="1"/>
        <c:tickMarkSkip val="1"/>
        <c:noMultiLvlLbl val="1"/>
      </c:catAx>
      <c:valAx>
        <c:axId val="229449728"/>
        <c:scaling>
          <c:orientation val="minMax"/>
          <c:max val="14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229427456"/>
        <c:crosses val="autoZero"/>
        <c:crossBetween val="between"/>
        <c:majorUnit val="10"/>
      </c:valAx>
      <c:spPr>
        <a:solidFill>
          <a:sysClr val="window" lastClr="FFFFFF"/>
        </a:solidFill>
        <a:ln w="6350">
          <a:solidFill>
            <a:sysClr val="window" lastClr="FFFFFF">
              <a:lumMod val="75000"/>
            </a:sysClr>
          </a:solidFill>
        </a:ln>
      </c:spPr>
    </c:plotArea>
    <c:legend>
      <c:legendPos val="b"/>
      <c:layout>
        <c:manualLayout>
          <c:xMode val="edge"/>
          <c:yMode val="edge"/>
          <c:x val="0.22665367154838537"/>
          <c:y val="0.60721064814814862"/>
          <c:w val="0.43457282823361987"/>
          <c:h val="0.16507754629629628"/>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Sheet1!$B$4:$U$4</c:f>
              <c:numCache>
                <c:formatCode>0.000</c:formatCode>
                <c:ptCount val="12"/>
                <c:pt idx="0">
                  <c:v>-3.0000000000000092E-3</c:v>
                </c:pt>
                <c:pt idx="1">
                  <c:v>-3.0000000000000002E-2</c:v>
                </c:pt>
                <c:pt idx="2">
                  <c:v>-5.5999999999999994E-2</c:v>
                </c:pt>
                <c:pt idx="3">
                  <c:v>-0.12100000000000002</c:v>
                </c:pt>
                <c:pt idx="4">
                  <c:v>-0.17500000000000004</c:v>
                </c:pt>
                <c:pt idx="5">
                  <c:v>-0.2</c:v>
                </c:pt>
                <c:pt idx="6">
                  <c:v>-0.19600000000000001</c:v>
                </c:pt>
                <c:pt idx="7">
                  <c:v>-0.16500000000000001</c:v>
                </c:pt>
                <c:pt idx="8">
                  <c:v>-7.5999999999999998E-2</c:v>
                </c:pt>
                <c:pt idx="9">
                  <c:v>-3.4000000000000002E-2</c:v>
                </c:pt>
                <c:pt idx="10">
                  <c:v>1.0000000000000005E-2</c:v>
                </c:pt>
                <c:pt idx="11">
                  <c:v>2.5000000000000001E-2</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Sheet1!$B$5:$U$5</c:f>
              <c:numCache>
                <c:formatCode>0.000</c:formatCode>
                <c:ptCount val="12"/>
                <c:pt idx="0">
                  <c:v>1.9000000000000107E-2</c:v>
                </c:pt>
                <c:pt idx="1">
                  <c:v>-1.9000000000000107E-2</c:v>
                </c:pt>
                <c:pt idx="2" formatCode="General">
                  <c:v>-6.2000000000000034E-2</c:v>
                </c:pt>
                <c:pt idx="3" formatCode="General">
                  <c:v>-0.13300000000000001</c:v>
                </c:pt>
                <c:pt idx="4" formatCode="General">
                  <c:v>-0.223</c:v>
                </c:pt>
                <c:pt idx="5" formatCode="General">
                  <c:v>-0.26700000000000002</c:v>
                </c:pt>
                <c:pt idx="6" formatCode="General">
                  <c:v>-0.27200000000000002</c:v>
                </c:pt>
                <c:pt idx="7" formatCode="General">
                  <c:v>-0.19600000000000001</c:v>
                </c:pt>
                <c:pt idx="8" formatCode="General">
                  <c:v>-6.2000000000000034E-2</c:v>
                </c:pt>
                <c:pt idx="9" formatCode="General">
                  <c:v>-2.4E-2</c:v>
                </c:pt>
                <c:pt idx="10" formatCode="General">
                  <c:v>2.8999999999999998E-2</c:v>
                </c:pt>
                <c:pt idx="11" formatCode="General">
                  <c:v>5.2000000000000032E-2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Sheet1!$B$6:$U$6</c:f>
              <c:numCache>
                <c:formatCode>General</c:formatCode>
                <c:ptCount val="12"/>
                <c:pt idx="0" formatCode="0.000">
                  <c:v>0.11699999999999998</c:v>
                </c:pt>
                <c:pt idx="1">
                  <c:v>6.0000000000000032E-2</c:v>
                </c:pt>
                <c:pt idx="2">
                  <c:v>3.4000000000000002E-2</c:v>
                </c:pt>
                <c:pt idx="3">
                  <c:v>-4.7000000000000014E-2</c:v>
                </c:pt>
                <c:pt idx="4">
                  <c:v>-0.17</c:v>
                </c:pt>
                <c:pt idx="5">
                  <c:v>-0.17600000000000021</c:v>
                </c:pt>
                <c:pt idx="6">
                  <c:v>-0.16900000000000001</c:v>
                </c:pt>
                <c:pt idx="7">
                  <c:v>-0.19400000000000001</c:v>
                </c:pt>
                <c:pt idx="8">
                  <c:v>-8.9000000000000065E-2</c:v>
                </c:pt>
                <c:pt idx="9">
                  <c:v>-8.1000000000000003E-2</c:v>
                </c:pt>
                <c:pt idx="10">
                  <c:v>-2.6000000000000002E-2</c:v>
                </c:pt>
                <c:pt idx="11">
                  <c:v>3.4000000000000002E-2</c:v>
                </c:pt>
              </c:numCache>
            </c:numRef>
          </c:val>
        </c:ser>
        <c:gapWidth val="75"/>
        <c:overlap val="-25"/>
        <c:axId val="229574144"/>
        <c:axId val="229576064"/>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6"/>
            <c:spPr>
              <a:solidFill>
                <a:sysClr val="window" lastClr="FFFFFF">
                  <a:lumMod val="95000"/>
                </a:sysClr>
              </a:solidFill>
              <a:ln>
                <a:solidFill>
                  <a:sysClr val="windowText" lastClr="000000"/>
                </a:solidFill>
              </a:ln>
            </c:spPr>
          </c:marke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Sheet1!$B$3:$U$3</c:f>
              <c:numCache>
                <c:formatCode>0.000</c:formatCode>
                <c:ptCount val="12"/>
                <c:pt idx="0">
                  <c:v>1.9000000000000107E-2</c:v>
                </c:pt>
                <c:pt idx="1">
                  <c:v>1.2E-2</c:v>
                </c:pt>
                <c:pt idx="2">
                  <c:v>5.0000000000000114E-3</c:v>
                </c:pt>
                <c:pt idx="3">
                  <c:v>-1.0000000000000005E-2</c:v>
                </c:pt>
                <c:pt idx="4">
                  <c:v>-2.2000000000000016E-2</c:v>
                </c:pt>
                <c:pt idx="5">
                  <c:v>-2.1000000000000012E-2</c:v>
                </c:pt>
                <c:pt idx="6">
                  <c:v>-1.7000000000000001E-2</c:v>
                </c:pt>
                <c:pt idx="7">
                  <c:v>-6.0000000000000114E-3</c:v>
                </c:pt>
                <c:pt idx="8">
                  <c:v>2.0000000000000052E-3</c:v>
                </c:pt>
                <c:pt idx="9">
                  <c:v>6.0000000000000114E-3</c:v>
                </c:pt>
                <c:pt idx="10">
                  <c:v>1.1000000000000077E-2</c:v>
                </c:pt>
                <c:pt idx="11">
                  <c:v>1.3000000000000001E-2</c:v>
                </c:pt>
              </c:numCache>
            </c:numRef>
          </c:val>
        </c:ser>
        <c:marker val="1"/>
        <c:axId val="229574144"/>
        <c:axId val="229576064"/>
      </c:lineChart>
      <c:catAx>
        <c:axId val="229574144"/>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29576064"/>
        <c:crosses val="autoZero"/>
        <c:auto val="1"/>
        <c:lblAlgn val="ctr"/>
        <c:lblOffset val="0"/>
        <c:tickLblSkip val="1"/>
        <c:tickMarkSkip val="1"/>
        <c:noMultiLvlLbl val="1"/>
      </c:catAx>
      <c:valAx>
        <c:axId val="229576064"/>
        <c:scaling>
          <c:orientation val="minMax"/>
          <c:max val="0.15000000000000024"/>
          <c:min val="-0.3000000000000003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29574144"/>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44372790034909032"/>
          <c:y val="6.813136574074076E-2"/>
          <c:w val="0.38465493793477379"/>
          <c:h val="0.1455677083333334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6838283828385165"/>
          <c:h val="0.7390513109225127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Sheet1!$B$4:$M$4</c:f>
              <c:numCache>
                <c:formatCode>0.000</c:formatCode>
                <c:ptCount val="12"/>
                <c:pt idx="0">
                  <c:v>-3.6500000000000005E-2</c:v>
                </c:pt>
                <c:pt idx="1">
                  <c:v>-6.3600000000000004E-2</c:v>
                </c:pt>
                <c:pt idx="2">
                  <c:v>-0.18880000000000041</c:v>
                </c:pt>
                <c:pt idx="3">
                  <c:v>-0.20490000000000044</c:v>
                </c:pt>
                <c:pt idx="4">
                  <c:v>-0.32640000000000163</c:v>
                </c:pt>
                <c:pt idx="5">
                  <c:v>-0.29760000000000031</c:v>
                </c:pt>
                <c:pt idx="6">
                  <c:v>-0.29890000000000128</c:v>
                </c:pt>
                <c:pt idx="7">
                  <c:v>-0.27200000000000002</c:v>
                </c:pt>
                <c:pt idx="8">
                  <c:v>-0.3427</c:v>
                </c:pt>
                <c:pt idx="9">
                  <c:v>-0.16900000000000001</c:v>
                </c:pt>
                <c:pt idx="10">
                  <c:v>1.1399999999999999E-2</c:v>
                </c:pt>
                <c:pt idx="11">
                  <c:v>-4.6599999999999996E-2</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Sheet1!$B$5:$M$5</c:f>
              <c:numCache>
                <c:formatCode>0.000</c:formatCode>
                <c:ptCount val="12"/>
                <c:pt idx="0">
                  <c:v>0.1108</c:v>
                </c:pt>
                <c:pt idx="1">
                  <c:v>5.5300000000000113E-2</c:v>
                </c:pt>
                <c:pt idx="2">
                  <c:v>-7.4200000000000002E-2</c:v>
                </c:pt>
                <c:pt idx="3">
                  <c:v>-0.11380000000000001</c:v>
                </c:pt>
                <c:pt idx="4">
                  <c:v>-0.29690000000000127</c:v>
                </c:pt>
                <c:pt idx="5">
                  <c:v>-0.32390000000000163</c:v>
                </c:pt>
                <c:pt idx="6">
                  <c:v>-0.36820000000000008</c:v>
                </c:pt>
                <c:pt idx="7">
                  <c:v>-0.38500000000000145</c:v>
                </c:pt>
                <c:pt idx="8">
                  <c:v>-0.43420000000000031</c:v>
                </c:pt>
                <c:pt idx="9">
                  <c:v>-0.35300000000000031</c:v>
                </c:pt>
                <c:pt idx="10">
                  <c:v>-0.13119999999999998</c:v>
                </c:pt>
                <c:pt idx="11">
                  <c:v>-9.6300000000000024E-2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Sheet1!$B$6:$M$6</c:f>
              <c:numCache>
                <c:formatCode>0.000</c:formatCode>
                <c:ptCount val="12"/>
                <c:pt idx="0">
                  <c:v>0.1925</c:v>
                </c:pt>
                <c:pt idx="1">
                  <c:v>0.10039999999999998</c:v>
                </c:pt>
                <c:pt idx="2">
                  <c:v>4.0599999999999997E-2</c:v>
                </c:pt>
                <c:pt idx="3">
                  <c:v>-9.2000000000000026E-2</c:v>
                </c:pt>
                <c:pt idx="4">
                  <c:v>-0.42810000000000031</c:v>
                </c:pt>
                <c:pt idx="5">
                  <c:v>-0.48040000000000038</c:v>
                </c:pt>
                <c:pt idx="6">
                  <c:v>-0.49260000000000032</c:v>
                </c:pt>
                <c:pt idx="7">
                  <c:v>-0.52340000000000009</c:v>
                </c:pt>
                <c:pt idx="8">
                  <c:v>-0.42920000000000008</c:v>
                </c:pt>
                <c:pt idx="9">
                  <c:v>-0.16950000000000001</c:v>
                </c:pt>
                <c:pt idx="10">
                  <c:v>6.6699999999999995E-2</c:v>
                </c:pt>
                <c:pt idx="11">
                  <c:v>0.1615</c:v>
                </c:pt>
              </c:numCache>
            </c:numRef>
          </c:val>
        </c:ser>
        <c:gapWidth val="75"/>
        <c:overlap val="-25"/>
        <c:axId val="214603264"/>
        <c:axId val="21483148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Sheet1!$B$3:$M$3</c:f>
              <c:numCache>
                <c:formatCode>0.000</c:formatCode>
                <c:ptCount val="12"/>
                <c:pt idx="0">
                  <c:v>-7.000000000000039E-4</c:v>
                </c:pt>
                <c:pt idx="1">
                  <c:v>-2.5000000000000001E-2</c:v>
                </c:pt>
                <c:pt idx="2">
                  <c:v>-3.9100000000000003E-2</c:v>
                </c:pt>
                <c:pt idx="3">
                  <c:v>-8.1500000000000045E-2</c:v>
                </c:pt>
                <c:pt idx="4">
                  <c:v>-0.1105</c:v>
                </c:pt>
                <c:pt idx="5">
                  <c:v>-8.9200000000000043E-2</c:v>
                </c:pt>
                <c:pt idx="6">
                  <c:v>-9.0100000000000027E-2</c:v>
                </c:pt>
                <c:pt idx="7">
                  <c:v>-6.4100000000000004E-2</c:v>
                </c:pt>
                <c:pt idx="8">
                  <c:v>-8.620000000000004E-2</c:v>
                </c:pt>
                <c:pt idx="9">
                  <c:v>-1.7399999999999999E-2</c:v>
                </c:pt>
                <c:pt idx="10">
                  <c:v>-3.210000000000001E-2</c:v>
                </c:pt>
                <c:pt idx="11">
                  <c:v>-4.2700000000000113E-2</c:v>
                </c:pt>
              </c:numCache>
            </c:numRef>
          </c:val>
        </c:ser>
        <c:marker val="1"/>
        <c:axId val="214603264"/>
        <c:axId val="214831488"/>
      </c:lineChart>
      <c:catAx>
        <c:axId val="214603264"/>
        <c:scaling>
          <c:orientation val="minMax"/>
        </c:scaling>
        <c:axPos val="b"/>
        <c:majorGridlines>
          <c:spPr>
            <a:ln w="3175">
              <a:solidFill>
                <a:sysClr val="window" lastClr="FFFFFF">
                  <a:lumMod val="85000"/>
                </a:sysClr>
              </a:solidFill>
            </a:ln>
          </c:spPr>
        </c:majorGridlines>
        <c:numFmt formatCode="General"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14831488"/>
        <c:crosses val="autoZero"/>
        <c:auto val="1"/>
        <c:lblAlgn val="ctr"/>
        <c:lblOffset val="0"/>
        <c:tickLblSkip val="1"/>
        <c:tickMarkSkip val="1"/>
        <c:noMultiLvlLbl val="1"/>
      </c:catAx>
      <c:valAx>
        <c:axId val="214831488"/>
        <c:scaling>
          <c:orientation val="minMax"/>
          <c:max val="0.2"/>
        </c:scaling>
        <c:axPos val="l"/>
        <c:majorGridlines>
          <c:spPr>
            <a:ln w="3175">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14603264"/>
        <c:crosses val="autoZero"/>
        <c:crossBetween val="between"/>
      </c:valAx>
      <c:spPr>
        <a:noFill/>
        <a:ln w="6350">
          <a:solidFill>
            <a:sysClr val="window" lastClr="FFFFFF">
              <a:lumMod val="75000"/>
            </a:sysClr>
          </a:solidFill>
        </a:ln>
      </c:spPr>
    </c:plotArea>
    <c:legend>
      <c:legendPos val="b"/>
      <c:layout>
        <c:manualLayout>
          <c:xMode val="edge"/>
          <c:yMode val="edge"/>
          <c:x val="0.46566718369248494"/>
          <c:y val="4.7601224729556323E-2"/>
          <c:w val="0.40656832185499653"/>
          <c:h val="0.16307825065369161"/>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99624072964913E-2"/>
          <c:y val="2.7951115485564657E-2"/>
          <c:w val="0.92686384962113655"/>
          <c:h val="0.86401192038495189"/>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Sheet1!$B$3:$BL$3</c:f>
              <c:numCache>
                <c:formatCode>General</c:formatCode>
                <c:ptCount val="39"/>
                <c:pt idx="0">
                  <c:v>-9.6</c:v>
                </c:pt>
                <c:pt idx="1">
                  <c:v>-10.8</c:v>
                </c:pt>
                <c:pt idx="2">
                  <c:v>-11.2</c:v>
                </c:pt>
                <c:pt idx="3">
                  <c:v>-11.7</c:v>
                </c:pt>
                <c:pt idx="4">
                  <c:v>-13.1</c:v>
                </c:pt>
                <c:pt idx="5">
                  <c:v>-16.100000000000001</c:v>
                </c:pt>
                <c:pt idx="6">
                  <c:v>-19.8</c:v>
                </c:pt>
                <c:pt idx="7">
                  <c:v>-19.399999999999999</c:v>
                </c:pt>
                <c:pt idx="8">
                  <c:v>-18.899999999999999</c:v>
                </c:pt>
                <c:pt idx="9">
                  <c:v>-24</c:v>
                </c:pt>
                <c:pt idx="10">
                  <c:v>-25.8</c:v>
                </c:pt>
                <c:pt idx="11">
                  <c:v>-29.4</c:v>
                </c:pt>
                <c:pt idx="12" formatCode="0.0">
                  <c:v>-30.6</c:v>
                </c:pt>
                <c:pt idx="13" formatCode="0.0">
                  <c:v>-31.8</c:v>
                </c:pt>
                <c:pt idx="14" formatCode="0.0">
                  <c:v>-31.9</c:v>
                </c:pt>
                <c:pt idx="15" formatCode="0.0">
                  <c:v>-27.9</c:v>
                </c:pt>
                <c:pt idx="16" formatCode="0.0">
                  <c:v>-25.9</c:v>
                </c:pt>
                <c:pt idx="17" formatCode="0.0">
                  <c:v>-22.9</c:v>
                </c:pt>
                <c:pt idx="18" formatCode="0.0">
                  <c:v>-21</c:v>
                </c:pt>
                <c:pt idx="19" formatCode="0.0">
                  <c:v>-20.100000000000001</c:v>
                </c:pt>
                <c:pt idx="20" formatCode="0.0">
                  <c:v>-16.7</c:v>
                </c:pt>
                <c:pt idx="21" formatCode="0.0">
                  <c:v>-15.3</c:v>
                </c:pt>
                <c:pt idx="22" formatCode="0.0">
                  <c:v>-15.1</c:v>
                </c:pt>
                <c:pt idx="23" formatCode="0.0">
                  <c:v>-14.3</c:v>
                </c:pt>
                <c:pt idx="24" formatCode="0.0">
                  <c:v>-13</c:v>
                </c:pt>
                <c:pt idx="25">
                  <c:v>-13.4</c:v>
                </c:pt>
                <c:pt idx="26">
                  <c:v>-13.8</c:v>
                </c:pt>
                <c:pt idx="27">
                  <c:v>-12.2</c:v>
                </c:pt>
                <c:pt idx="28">
                  <c:v>-14.9</c:v>
                </c:pt>
                <c:pt idx="29">
                  <c:v>-14.9</c:v>
                </c:pt>
                <c:pt idx="30">
                  <c:v>-13.8</c:v>
                </c:pt>
                <c:pt idx="31">
                  <c:v>-11.2</c:v>
                </c:pt>
                <c:pt idx="32">
                  <c:v>-11.6</c:v>
                </c:pt>
                <c:pt idx="33">
                  <c:v>-11.5</c:v>
                </c:pt>
                <c:pt idx="34">
                  <c:v>-11</c:v>
                </c:pt>
                <c:pt idx="35">
                  <c:v>-12.1</c:v>
                </c:pt>
                <c:pt idx="36">
                  <c:v>-12.6</c:v>
                </c:pt>
                <c:pt idx="37">
                  <c:v>-12.4</c:v>
                </c:pt>
                <c:pt idx="38">
                  <c:v>-12.8</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Sheet1!$B$4:$BL$4</c:f>
              <c:numCache>
                <c:formatCode>General</c:formatCode>
                <c:ptCount val="39"/>
                <c:pt idx="0">
                  <c:v>-12.5</c:v>
                </c:pt>
                <c:pt idx="1">
                  <c:v>-16</c:v>
                </c:pt>
                <c:pt idx="2">
                  <c:v>-13.6</c:v>
                </c:pt>
                <c:pt idx="3">
                  <c:v>-16.5</c:v>
                </c:pt>
                <c:pt idx="4">
                  <c:v>-19.5</c:v>
                </c:pt>
                <c:pt idx="5">
                  <c:v>-17.899999999999999</c:v>
                </c:pt>
                <c:pt idx="6">
                  <c:v>-20.9</c:v>
                </c:pt>
                <c:pt idx="7">
                  <c:v>-19.899999999999999</c:v>
                </c:pt>
                <c:pt idx="8">
                  <c:v>-20.9</c:v>
                </c:pt>
                <c:pt idx="9">
                  <c:v>-27.3</c:v>
                </c:pt>
                <c:pt idx="10">
                  <c:v>-30.6</c:v>
                </c:pt>
                <c:pt idx="11">
                  <c:v>-31</c:v>
                </c:pt>
                <c:pt idx="12" formatCode="0.0">
                  <c:v>-32.300000000000004</c:v>
                </c:pt>
                <c:pt idx="13" formatCode="0.0">
                  <c:v>-34.700000000000003</c:v>
                </c:pt>
                <c:pt idx="14" formatCode="0.0">
                  <c:v>-38</c:v>
                </c:pt>
                <c:pt idx="15" formatCode="0.0">
                  <c:v>-32</c:v>
                </c:pt>
                <c:pt idx="16" formatCode="0.0">
                  <c:v>-28.1</c:v>
                </c:pt>
                <c:pt idx="17" formatCode="0.0">
                  <c:v>-29.8</c:v>
                </c:pt>
                <c:pt idx="18" formatCode="0.0">
                  <c:v>-29.4</c:v>
                </c:pt>
                <c:pt idx="19" formatCode="0.0">
                  <c:v>-25.1</c:v>
                </c:pt>
                <c:pt idx="20" formatCode="0.0">
                  <c:v>-18.399999999999999</c:v>
                </c:pt>
                <c:pt idx="21" formatCode="0.0">
                  <c:v>-15</c:v>
                </c:pt>
                <c:pt idx="22" formatCode="0.0">
                  <c:v>-14.2</c:v>
                </c:pt>
                <c:pt idx="23" formatCode="0.0">
                  <c:v>-18.2</c:v>
                </c:pt>
                <c:pt idx="24" formatCode="0.0">
                  <c:v>-15.8</c:v>
                </c:pt>
                <c:pt idx="25">
                  <c:v>-13.5</c:v>
                </c:pt>
                <c:pt idx="26">
                  <c:v>-12.9</c:v>
                </c:pt>
                <c:pt idx="27">
                  <c:v>-10.5</c:v>
                </c:pt>
                <c:pt idx="28">
                  <c:v>-5.4</c:v>
                </c:pt>
                <c:pt idx="29">
                  <c:v>-3.3</c:v>
                </c:pt>
                <c:pt idx="30">
                  <c:v>-2.7</c:v>
                </c:pt>
                <c:pt idx="31">
                  <c:v>-0.70000000000000062</c:v>
                </c:pt>
                <c:pt idx="32">
                  <c:v>-1.6</c:v>
                </c:pt>
                <c:pt idx="33">
                  <c:v>-4.5</c:v>
                </c:pt>
                <c:pt idx="34">
                  <c:v>-6.2</c:v>
                </c:pt>
                <c:pt idx="35">
                  <c:v>-3.7</c:v>
                </c:pt>
                <c:pt idx="36">
                  <c:v>0.70000000000000062</c:v>
                </c:pt>
                <c:pt idx="37">
                  <c:v>-0.70000000000000062</c:v>
                </c:pt>
                <c:pt idx="38">
                  <c:v>0.30000000000000032</c:v>
                </c:pt>
              </c:numCache>
            </c:numRef>
          </c:val>
          <c:smooth val="1"/>
        </c:ser>
        <c:ser>
          <c:idx val="2"/>
          <c:order val="2"/>
          <c:tx>
            <c:strRef>
              <c:f>Sheet1!$A$5</c:f>
              <c:strCache>
                <c:ptCount val="1"/>
                <c:pt idx="0">
                  <c:v>LV</c:v>
                </c:pt>
              </c:strCache>
            </c:strRef>
          </c:tx>
          <c:spPr>
            <a:ln w="28575">
              <a:solidFill>
                <a:srgbClr val="0070C0"/>
              </a:solidFill>
              <a:prstDash val="solid"/>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Sheet1!$B$5:$BL$5</c:f>
              <c:numCache>
                <c:formatCode>General</c:formatCode>
                <c:ptCount val="39"/>
                <c:pt idx="0">
                  <c:v>-18.2</c:v>
                </c:pt>
                <c:pt idx="1">
                  <c:v>-18.3</c:v>
                </c:pt>
                <c:pt idx="2">
                  <c:v>-18.600000000000001</c:v>
                </c:pt>
                <c:pt idx="3">
                  <c:v>-23.1</c:v>
                </c:pt>
                <c:pt idx="4">
                  <c:v>-23.5</c:v>
                </c:pt>
                <c:pt idx="5">
                  <c:v>-26.6</c:v>
                </c:pt>
                <c:pt idx="6">
                  <c:v>-24.9</c:v>
                </c:pt>
                <c:pt idx="7">
                  <c:v>-26.1</c:v>
                </c:pt>
                <c:pt idx="8">
                  <c:v>-30.8</c:v>
                </c:pt>
                <c:pt idx="9">
                  <c:v>-32.800000000000004</c:v>
                </c:pt>
                <c:pt idx="10">
                  <c:v>-36.4</c:v>
                </c:pt>
                <c:pt idx="11">
                  <c:v>-47.4</c:v>
                </c:pt>
                <c:pt idx="12" formatCode="0.0">
                  <c:v>-52.9</c:v>
                </c:pt>
                <c:pt idx="13" formatCode="0.0">
                  <c:v>-53.8</c:v>
                </c:pt>
                <c:pt idx="14" formatCode="0.0">
                  <c:v>-51.4</c:v>
                </c:pt>
                <c:pt idx="15" formatCode="0.0">
                  <c:v>-40.9</c:v>
                </c:pt>
                <c:pt idx="16" formatCode="0.0">
                  <c:v>-38.700000000000003</c:v>
                </c:pt>
                <c:pt idx="17" formatCode="0.0">
                  <c:v>-50.3</c:v>
                </c:pt>
                <c:pt idx="18" formatCode="0.0">
                  <c:v>-54.9</c:v>
                </c:pt>
                <c:pt idx="19" formatCode="0.0">
                  <c:v>-53.8</c:v>
                </c:pt>
                <c:pt idx="20" formatCode="0.0">
                  <c:v>-51.1</c:v>
                </c:pt>
                <c:pt idx="21" formatCode="0.0">
                  <c:v>-52.6</c:v>
                </c:pt>
                <c:pt idx="22" formatCode="0.0">
                  <c:v>-49.2</c:v>
                </c:pt>
                <c:pt idx="23" formatCode="0.0">
                  <c:v>-51.8</c:v>
                </c:pt>
                <c:pt idx="24" formatCode="0.0">
                  <c:v>-40</c:v>
                </c:pt>
                <c:pt idx="25">
                  <c:v>-37.800000000000004</c:v>
                </c:pt>
                <c:pt idx="26">
                  <c:v>-31.9</c:v>
                </c:pt>
                <c:pt idx="27">
                  <c:v>-33.700000000000003</c:v>
                </c:pt>
                <c:pt idx="28">
                  <c:v>-29.1</c:v>
                </c:pt>
                <c:pt idx="29">
                  <c:v>-27.3</c:v>
                </c:pt>
                <c:pt idx="30">
                  <c:v>-29.3</c:v>
                </c:pt>
                <c:pt idx="31">
                  <c:v>-26.6</c:v>
                </c:pt>
                <c:pt idx="32">
                  <c:v>-27.5</c:v>
                </c:pt>
                <c:pt idx="33">
                  <c:v>-23.1</c:v>
                </c:pt>
                <c:pt idx="34">
                  <c:v>-24</c:v>
                </c:pt>
                <c:pt idx="35">
                  <c:v>-26.4</c:v>
                </c:pt>
                <c:pt idx="36">
                  <c:v>-23.2</c:v>
                </c:pt>
                <c:pt idx="37">
                  <c:v>-24.4</c:v>
                </c:pt>
                <c:pt idx="38">
                  <c:v>-25.3</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2011</c:v>
                  </c:pt>
                </c:lvl>
              </c:multiLvlStrCache>
            </c:multiLvlStrRef>
          </c:cat>
          <c:val>
            <c:numRef>
              <c:f>Sheet1!$B$6:$BL$6</c:f>
              <c:numCache>
                <c:formatCode>General</c:formatCode>
                <c:ptCount val="39"/>
                <c:pt idx="0">
                  <c:v>-4.7</c:v>
                </c:pt>
                <c:pt idx="1">
                  <c:v>-4.5</c:v>
                </c:pt>
                <c:pt idx="2">
                  <c:v>-6.6</c:v>
                </c:pt>
                <c:pt idx="3">
                  <c:v>-11.1</c:v>
                </c:pt>
                <c:pt idx="4">
                  <c:v>-15.3</c:v>
                </c:pt>
                <c:pt idx="5">
                  <c:v>-21.6</c:v>
                </c:pt>
                <c:pt idx="6">
                  <c:v>-24.2</c:v>
                </c:pt>
                <c:pt idx="7">
                  <c:v>-26.7</c:v>
                </c:pt>
                <c:pt idx="8">
                  <c:v>-26.7</c:v>
                </c:pt>
                <c:pt idx="9">
                  <c:v>-33.5</c:v>
                </c:pt>
                <c:pt idx="10">
                  <c:v>-39.9</c:v>
                </c:pt>
                <c:pt idx="11">
                  <c:v>-50</c:v>
                </c:pt>
                <c:pt idx="12" formatCode="0.0">
                  <c:v>-56.1</c:v>
                </c:pt>
                <c:pt idx="13" formatCode="0.0">
                  <c:v>-53.5</c:v>
                </c:pt>
                <c:pt idx="14" formatCode="0.0">
                  <c:v>-53.4</c:v>
                </c:pt>
                <c:pt idx="15" formatCode="0.0">
                  <c:v>-53</c:v>
                </c:pt>
                <c:pt idx="16" formatCode="0.0">
                  <c:v>-49.6</c:v>
                </c:pt>
                <c:pt idx="17" formatCode="0.0">
                  <c:v>-44.5</c:v>
                </c:pt>
                <c:pt idx="18" formatCode="0.0">
                  <c:v>-45.3</c:v>
                </c:pt>
                <c:pt idx="19" formatCode="0.0">
                  <c:v>-48.4</c:v>
                </c:pt>
                <c:pt idx="20" formatCode="0.0">
                  <c:v>-42.1</c:v>
                </c:pt>
                <c:pt idx="21" formatCode="0.0">
                  <c:v>-46.4</c:v>
                </c:pt>
                <c:pt idx="22" formatCode="0.0">
                  <c:v>-48.6</c:v>
                </c:pt>
                <c:pt idx="23" formatCode="0.0">
                  <c:v>-47.7</c:v>
                </c:pt>
                <c:pt idx="24" formatCode="0.0">
                  <c:v>-44.2</c:v>
                </c:pt>
                <c:pt idx="25">
                  <c:v>-41.2</c:v>
                </c:pt>
                <c:pt idx="26">
                  <c:v>-38.9</c:v>
                </c:pt>
                <c:pt idx="27">
                  <c:v>-38.700000000000003</c:v>
                </c:pt>
                <c:pt idx="28">
                  <c:v>-37.700000000000003</c:v>
                </c:pt>
                <c:pt idx="29">
                  <c:v>-36.6</c:v>
                </c:pt>
                <c:pt idx="30">
                  <c:v>-31</c:v>
                </c:pt>
                <c:pt idx="31">
                  <c:v>-25.7</c:v>
                </c:pt>
                <c:pt idx="32">
                  <c:v>-27.3</c:v>
                </c:pt>
                <c:pt idx="33">
                  <c:v>-23.5</c:v>
                </c:pt>
                <c:pt idx="34">
                  <c:v>-22</c:v>
                </c:pt>
                <c:pt idx="35">
                  <c:v>-21.8</c:v>
                </c:pt>
                <c:pt idx="36">
                  <c:v>-20.9</c:v>
                </c:pt>
                <c:pt idx="37">
                  <c:v>-22.7</c:v>
                </c:pt>
                <c:pt idx="38">
                  <c:v>-21</c:v>
                </c:pt>
              </c:numCache>
            </c:numRef>
          </c:val>
          <c:smooth val="1"/>
        </c:ser>
        <c:marker val="1"/>
        <c:axId val="229713024"/>
        <c:axId val="229714560"/>
      </c:lineChart>
      <c:catAx>
        <c:axId val="229713024"/>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29714560"/>
        <c:crosses val="autoZero"/>
        <c:lblAlgn val="ctr"/>
        <c:lblOffset val="0"/>
        <c:tickLblSkip val="1"/>
        <c:tickMarkSkip val="1"/>
        <c:noMultiLvlLbl val="1"/>
      </c:catAx>
      <c:valAx>
        <c:axId val="229714560"/>
        <c:scaling>
          <c:orientation val="minMax"/>
          <c:max val="1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29713024"/>
        <c:crosses val="autoZero"/>
        <c:crossBetween val="midCat"/>
        <c:majorUnit val="10"/>
      </c:valAx>
      <c:spPr>
        <a:noFill/>
        <a:ln w="12700">
          <a:solidFill>
            <a:sysClr val="window" lastClr="FFFFFF">
              <a:lumMod val="85000"/>
            </a:sysClr>
          </a:solidFill>
        </a:ln>
      </c:spPr>
    </c:plotArea>
    <c:legend>
      <c:legendPos val="b"/>
      <c:layout>
        <c:manualLayout>
          <c:xMode val="edge"/>
          <c:yMode val="edge"/>
          <c:x val="0.68716520824507465"/>
          <c:y val="0.65586395450568968"/>
          <c:w val="0.28507793668648562"/>
          <c:h val="0.21227307524059497"/>
        </c:manualLayout>
      </c:layout>
      <c:spPr>
        <a:solidFill>
          <a:sysClr val="window" lastClr="FFFFFF"/>
        </a:solidFill>
      </c:spPr>
      <c:txPr>
        <a:bodyPr/>
        <a:lstStyle/>
        <a:p>
          <a:pPr>
            <a:defRPr lang="lv-LV" sz="9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5.4794520547950934E-2"/>
          <c:w val="0.85980595199041165"/>
          <c:h val="0.69226748442159014"/>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Sheet1!$B$3:$U$3</c:f>
              <c:numCache>
                <c:formatCode>0.0</c:formatCode>
                <c:ptCount val="20"/>
                <c:pt idx="0">
                  <c:v>101</c:v>
                </c:pt>
                <c:pt idx="1">
                  <c:v>101</c:v>
                </c:pt>
                <c:pt idx="2">
                  <c:v>101.505</c:v>
                </c:pt>
                <c:pt idx="3">
                  <c:v>102.11403</c:v>
                </c:pt>
                <c:pt idx="4">
                  <c:v>102.72671418</c:v>
                </c:pt>
                <c:pt idx="5">
                  <c:v>103.03489432254</c:v>
                </c:pt>
                <c:pt idx="6">
                  <c:v>103.55006879415268</c:v>
                </c:pt>
                <c:pt idx="7">
                  <c:v>104.27491927571182</c:v>
                </c:pt>
                <c:pt idx="8">
                  <c:v>104.27491927571182</c:v>
                </c:pt>
                <c:pt idx="9">
                  <c:v>105.52621830702005</c:v>
                </c:pt>
                <c:pt idx="10">
                  <c:v>106.05384939855496</c:v>
                </c:pt>
                <c:pt idx="11">
                  <c:v>107.00833404314237</c:v>
                </c:pt>
                <c:pt idx="12">
                  <c:v>107.43806914968998</c:v>
                </c:pt>
                <c:pt idx="13">
                  <c:v>107.97525949543846</c:v>
                </c:pt>
                <c:pt idx="14">
                  <c:v>108.4071605334202</c:v>
                </c:pt>
                <c:pt idx="15">
                  <c:v>108.5155676939536</c:v>
                </c:pt>
                <c:pt idx="16">
                  <c:v>108.62408326164795</c:v>
                </c:pt>
                <c:pt idx="17">
                  <c:v>108.84133142817083</c:v>
                </c:pt>
                <c:pt idx="18">
                  <c:v>109.16785542245528</c:v>
                </c:pt>
                <c:pt idx="19">
                  <c:v>109.49535898872269</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Sheet1!$B$4:$U$4</c:f>
              <c:numCache>
                <c:formatCode>0.0</c:formatCode>
                <c:ptCount val="20"/>
                <c:pt idx="0">
                  <c:v>101.89999999999999</c:v>
                </c:pt>
                <c:pt idx="1">
                  <c:v>102.10379999999998</c:v>
                </c:pt>
                <c:pt idx="2">
                  <c:v>102.71642279999999</c:v>
                </c:pt>
                <c:pt idx="3">
                  <c:v>103.43543775959937</c:v>
                </c:pt>
                <c:pt idx="4">
                  <c:v>104.57322757495557</c:v>
                </c:pt>
                <c:pt idx="5">
                  <c:v>105.61895985070511</c:v>
                </c:pt>
                <c:pt idx="6">
                  <c:v>107.20324424846569</c:v>
                </c:pt>
                <c:pt idx="7">
                  <c:v>108.38247993519875</c:v>
                </c:pt>
                <c:pt idx="8">
                  <c:v>109.68306969442118</c:v>
                </c:pt>
                <c:pt idx="9">
                  <c:v>110.01211890350415</c:v>
                </c:pt>
                <c:pt idx="10">
                  <c:v>110.56217949802195</c:v>
                </c:pt>
                <c:pt idx="11">
                  <c:v>111.33611475450809</c:v>
                </c:pt>
                <c:pt idx="12">
                  <c:v>110.78065036471045</c:v>
                </c:pt>
                <c:pt idx="13">
                  <c:v>111.11299231580355</c:v>
                </c:pt>
                <c:pt idx="14">
                  <c:v>109.77963640801451</c:v>
                </c:pt>
                <c:pt idx="15">
                  <c:v>109.45029749879046</c:v>
                </c:pt>
                <c:pt idx="16">
                  <c:v>108.24634422630376</c:v>
                </c:pt>
                <c:pt idx="17">
                  <c:v>108.0298515378504</c:v>
                </c:pt>
                <c:pt idx="18">
                  <c:v>107.81379183477515</c:v>
                </c:pt>
                <c:pt idx="19">
                  <c:v>107.59816425110633</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Sheet1!$B$5:$U$5</c:f>
              <c:numCache>
                <c:formatCode>0.0</c:formatCode>
                <c:ptCount val="20"/>
                <c:pt idx="0">
                  <c:v>101.8</c:v>
                </c:pt>
                <c:pt idx="1">
                  <c:v>102.20720000000041</c:v>
                </c:pt>
                <c:pt idx="2">
                  <c:v>105.68224480000001</c:v>
                </c:pt>
                <c:pt idx="3">
                  <c:v>105.57656255520001</c:v>
                </c:pt>
                <c:pt idx="4">
                  <c:v>105.4709859926444</c:v>
                </c:pt>
                <c:pt idx="5">
                  <c:v>105.57645697863745</c:v>
                </c:pt>
                <c:pt idx="6">
                  <c:v>108.32144486008201</c:v>
                </c:pt>
                <c:pt idx="7">
                  <c:v>110.27123086756345</c:v>
                </c:pt>
                <c:pt idx="8">
                  <c:v>109.71987471322568</c:v>
                </c:pt>
                <c:pt idx="9">
                  <c:v>107.74491696838842</c:v>
                </c:pt>
                <c:pt idx="10">
                  <c:v>107.96040680232397</c:v>
                </c:pt>
                <c:pt idx="11">
                  <c:v>110.98329819278879</c:v>
                </c:pt>
                <c:pt idx="12">
                  <c:v>106.97854286424941</c:v>
                </c:pt>
                <c:pt idx="13">
                  <c:v>101.84357280676487</c:v>
                </c:pt>
                <c:pt idx="14">
                  <c:v>95.325584147132389</c:v>
                </c:pt>
                <c:pt idx="15">
                  <c:v>94.658305058102258</c:v>
                </c:pt>
                <c:pt idx="16">
                  <c:v>91.250606076010811</c:v>
                </c:pt>
                <c:pt idx="17">
                  <c:v>87.965584257274429</c:v>
                </c:pt>
                <c:pt idx="18">
                  <c:v>89.28506802113354</c:v>
                </c:pt>
                <c:pt idx="19">
                  <c:v>85.981520504351593</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Sheet1!$B$6:$U$6</c:f>
              <c:numCache>
                <c:formatCode>0.0</c:formatCode>
                <c:ptCount val="20"/>
                <c:pt idx="0">
                  <c:v>100.3</c:v>
                </c:pt>
                <c:pt idx="1">
                  <c:v>98.594899999999996</c:v>
                </c:pt>
                <c:pt idx="2">
                  <c:v>100.56679799999998</c:v>
                </c:pt>
                <c:pt idx="3">
                  <c:v>102.77926755599998</c:v>
                </c:pt>
                <c:pt idx="4">
                  <c:v>103.90983949911644</c:v>
                </c:pt>
                <c:pt idx="5">
                  <c:v>103.28638046212095</c:v>
                </c:pt>
                <c:pt idx="6">
                  <c:v>103.07980770119703</c:v>
                </c:pt>
                <c:pt idx="7">
                  <c:v>104.93524423981899</c:v>
                </c:pt>
                <c:pt idx="8">
                  <c:v>109.02771876517149</c:v>
                </c:pt>
                <c:pt idx="9">
                  <c:v>111.09924542170982</c:v>
                </c:pt>
                <c:pt idx="10">
                  <c:v>112.32133712134851</c:v>
                </c:pt>
                <c:pt idx="11">
                  <c:v>113.10758648119837</c:v>
                </c:pt>
                <c:pt idx="12">
                  <c:v>112.09125762221956</c:v>
                </c:pt>
                <c:pt idx="13">
                  <c:v>111.30661881886316</c:v>
                </c:pt>
                <c:pt idx="14">
                  <c:v>110.63877910594972</c:v>
                </c:pt>
                <c:pt idx="15">
                  <c:v>109.31111375667899</c:v>
                </c:pt>
                <c:pt idx="16">
                  <c:v>108.98318041540895</c:v>
                </c:pt>
                <c:pt idx="17">
                  <c:v>108.11131497208568</c:v>
                </c:pt>
                <c:pt idx="18">
                  <c:v>106.59775656247648</c:v>
                </c:pt>
                <c:pt idx="19">
                  <c:v>106.27796329278905</c:v>
                </c:pt>
              </c:numCache>
            </c:numRef>
          </c:val>
          <c:smooth val="1"/>
        </c:ser>
        <c:marker val="1"/>
        <c:axId val="229593472"/>
        <c:axId val="229595008"/>
      </c:lineChart>
      <c:catAx>
        <c:axId val="229593472"/>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229595008"/>
        <c:crosses val="autoZero"/>
        <c:auto val="1"/>
        <c:lblAlgn val="ctr"/>
        <c:lblOffset val="0"/>
        <c:tickLblSkip val="1"/>
        <c:tickMarkSkip val="1"/>
        <c:noMultiLvlLbl val="1"/>
      </c:catAx>
      <c:valAx>
        <c:axId val="229595008"/>
        <c:scaling>
          <c:orientation val="minMax"/>
          <c:max val="116"/>
          <c:min val="84"/>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229593472"/>
        <c:crosses val="autoZero"/>
        <c:crossBetween val="between"/>
        <c:majorUnit val="4"/>
      </c:valAx>
      <c:spPr>
        <a:solidFill>
          <a:sysClr val="window" lastClr="FFFFFF"/>
        </a:solidFill>
        <a:ln w="6350">
          <a:solidFill>
            <a:sysClr val="window" lastClr="FFFFFF">
              <a:lumMod val="75000"/>
            </a:sysClr>
          </a:solidFill>
        </a:ln>
      </c:spPr>
    </c:plotArea>
    <c:legend>
      <c:legendPos val="b"/>
      <c:layout>
        <c:manualLayout>
          <c:xMode val="edge"/>
          <c:yMode val="edge"/>
          <c:x val="0.24836919814990832"/>
          <c:y val="0.53371527777777783"/>
          <c:w val="0.44760214419451633"/>
          <c:h val="0.16507754629629634"/>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Sheet1!$B$4:$U$4</c:f>
              <c:numCache>
                <c:formatCode>0.000</c:formatCode>
                <c:ptCount val="12"/>
                <c:pt idx="0">
                  <c:v>4.8000000000000001E-2</c:v>
                </c:pt>
                <c:pt idx="1">
                  <c:v>4.1000000000000002E-2</c:v>
                </c:pt>
                <c:pt idx="2">
                  <c:v>3.3000000000000002E-2</c:v>
                </c:pt>
                <c:pt idx="3">
                  <c:v>2.8000000000000001E-2</c:v>
                </c:pt>
                <c:pt idx="4">
                  <c:v>7.0000000000000114E-3</c:v>
                </c:pt>
                <c:pt idx="5">
                  <c:v>1.2E-2</c:v>
                </c:pt>
                <c:pt idx="6">
                  <c:v>-9.0000000000000028E-3</c:v>
                </c:pt>
                <c:pt idx="7">
                  <c:v>-1.3000000000000001E-2</c:v>
                </c:pt>
                <c:pt idx="8">
                  <c:v>-2.5000000000000001E-2</c:v>
                </c:pt>
                <c:pt idx="9">
                  <c:v>-2.5000000000000001E-2</c:v>
                </c:pt>
                <c:pt idx="10">
                  <c:v>-2.0000000000000011E-2</c:v>
                </c:pt>
                <c:pt idx="11">
                  <c:v>-1.3999999999999999E-2</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Sheet1!$B$5:$U$5</c:f>
              <c:numCache>
                <c:formatCode>General</c:formatCode>
                <c:ptCount val="12"/>
                <c:pt idx="0">
                  <c:v>3.6000000000000011E-2</c:v>
                </c:pt>
                <c:pt idx="1">
                  <c:v>1.9000000000000107E-2</c:v>
                </c:pt>
                <c:pt idx="2">
                  <c:v>1.0000000000000041E-3</c:v>
                </c:pt>
                <c:pt idx="3">
                  <c:v>9.0000000000000028E-3</c:v>
                </c:pt>
                <c:pt idx="4">
                  <c:v>-1.2E-2</c:v>
                </c:pt>
                <c:pt idx="5">
                  <c:v>-6.9000000000000034E-2</c:v>
                </c:pt>
                <c:pt idx="6">
                  <c:v>-0.12400000000000012</c:v>
                </c:pt>
                <c:pt idx="7">
                  <c:v>-0.14300000000000004</c:v>
                </c:pt>
                <c:pt idx="8">
                  <c:v>-0.14600000000000021</c:v>
                </c:pt>
                <c:pt idx="9">
                  <c:v>-0.13900000000000001</c:v>
                </c:pt>
                <c:pt idx="10">
                  <c:v>-6.0000000000000032E-2</c:v>
                </c:pt>
                <c:pt idx="11">
                  <c:v>-9.4000000000000028E-2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Sheet1!$B$6:$U$6</c:f>
              <c:numCache>
                <c:formatCode>General</c:formatCode>
                <c:ptCount val="12"/>
                <c:pt idx="0" formatCode="0.000">
                  <c:v>5.5000000000000014E-2</c:v>
                </c:pt>
                <c:pt idx="1">
                  <c:v>7.6999999999999999E-2</c:v>
                </c:pt>
                <c:pt idx="2">
                  <c:v>8.6000000000000021E-2</c:v>
                </c:pt>
                <c:pt idx="3">
                  <c:v>7.5000000000000011E-2</c:v>
                </c:pt>
                <c:pt idx="4">
                  <c:v>1.8000000000000023E-2</c:v>
                </c:pt>
                <c:pt idx="5">
                  <c:v>-7.0000000000000114E-3</c:v>
                </c:pt>
                <c:pt idx="6">
                  <c:v>-3.4000000000000002E-2</c:v>
                </c:pt>
                <c:pt idx="7">
                  <c:v>-4.7000000000000014E-2</c:v>
                </c:pt>
                <c:pt idx="8">
                  <c:v>-1.2E-2</c:v>
                </c:pt>
                <c:pt idx="9">
                  <c:v>-1.7000000000000001E-2</c:v>
                </c:pt>
                <c:pt idx="10">
                  <c:v>-5.3000000000000012E-2</c:v>
                </c:pt>
                <c:pt idx="11">
                  <c:v>-3.6000000000000011E-2</c:v>
                </c:pt>
              </c:numCache>
            </c:numRef>
          </c:val>
        </c:ser>
        <c:gapWidth val="75"/>
        <c:overlap val="-25"/>
        <c:axId val="230034816"/>
        <c:axId val="230053376"/>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6"/>
            <c:spPr>
              <a:solidFill>
                <a:sysClr val="window" lastClr="FFFFFF">
                  <a:lumMod val="95000"/>
                </a:sysClr>
              </a:solidFill>
              <a:ln>
                <a:solidFill>
                  <a:sysClr val="windowText" lastClr="000000"/>
                </a:solidFill>
              </a:ln>
            </c:spPr>
          </c:marke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Sheet1!$B$3:$U$3</c:f>
              <c:numCache>
                <c:formatCode>0.000</c:formatCode>
                <c:ptCount val="12"/>
                <c:pt idx="0">
                  <c:v>1.6000000000000021E-2</c:v>
                </c:pt>
                <c:pt idx="1">
                  <c:v>2.3E-2</c:v>
                </c:pt>
                <c:pt idx="2">
                  <c:v>2.4E-2</c:v>
                </c:pt>
                <c:pt idx="3">
                  <c:v>2.6000000000000002E-2</c:v>
                </c:pt>
                <c:pt idx="4">
                  <c:v>2.7000000000000159E-2</c:v>
                </c:pt>
                <c:pt idx="5">
                  <c:v>2.1000000000000012E-2</c:v>
                </c:pt>
                <c:pt idx="6">
                  <c:v>1.9000000000000107E-2</c:v>
                </c:pt>
                <c:pt idx="7">
                  <c:v>1.7000000000000001E-2</c:v>
                </c:pt>
                <c:pt idx="8">
                  <c:v>8.0000000000000227E-3</c:v>
                </c:pt>
                <c:pt idx="9">
                  <c:v>1.0000000000000005E-2</c:v>
                </c:pt>
                <c:pt idx="10">
                  <c:v>5.0000000000000114E-3</c:v>
                </c:pt>
                <c:pt idx="11">
                  <c:v>1.0000000000000005E-2</c:v>
                </c:pt>
              </c:numCache>
            </c:numRef>
          </c:val>
        </c:ser>
        <c:marker val="1"/>
        <c:axId val="230034816"/>
        <c:axId val="230053376"/>
      </c:lineChart>
      <c:catAx>
        <c:axId val="23003481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30053376"/>
        <c:crosses val="autoZero"/>
        <c:auto val="1"/>
        <c:lblAlgn val="ctr"/>
        <c:lblOffset val="0"/>
        <c:tickLblSkip val="1"/>
        <c:tickMarkSkip val="1"/>
        <c:noMultiLvlLbl val="1"/>
      </c:catAx>
      <c:valAx>
        <c:axId val="230053376"/>
        <c:scaling>
          <c:orientation val="minMax"/>
          <c:max val="0.1"/>
          <c:min val="-0.1500000000000002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30034816"/>
        <c:crosses val="autoZero"/>
        <c:crossBetween val="between"/>
        <c:majorUnit val="0.05"/>
      </c:valAx>
      <c:spPr>
        <a:solidFill>
          <a:sysClr val="window" lastClr="FFFFFF"/>
        </a:solidFill>
        <a:ln w="6350">
          <a:solidFill>
            <a:sysClr val="window" lastClr="FFFFFF">
              <a:lumMod val="75000"/>
            </a:sysClr>
          </a:solidFill>
        </a:ln>
      </c:spPr>
    </c:plotArea>
    <c:legend>
      <c:legendPos val="b"/>
      <c:layout>
        <c:manualLayout>
          <c:xMode val="edge"/>
          <c:yMode val="edge"/>
          <c:x val="0.12689621718077321"/>
          <c:y val="0.47970543981481845"/>
          <c:w val="0.2834448169226419"/>
          <c:h val="0.3146070601851853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5.4794520547950934E-2"/>
          <c:w val="0.85980595199041165"/>
          <c:h val="0.7416561111111116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Sheet1!$B$3:$U$3</c:f>
              <c:numCache>
                <c:formatCode>0.0</c:formatCode>
                <c:ptCount val="20"/>
                <c:pt idx="0">
                  <c:v>100.6</c:v>
                </c:pt>
                <c:pt idx="1">
                  <c:v>103.71860000000002</c:v>
                </c:pt>
                <c:pt idx="2">
                  <c:v>105.48181619999997</c:v>
                </c:pt>
                <c:pt idx="3">
                  <c:v>107.69693434019995</c:v>
                </c:pt>
                <c:pt idx="4">
                  <c:v>109.52778222398284</c:v>
                </c:pt>
                <c:pt idx="5">
                  <c:v>109.52778222398284</c:v>
                </c:pt>
                <c:pt idx="6">
                  <c:v>110.29447669955123</c:v>
                </c:pt>
                <c:pt idx="7">
                  <c:v>112.1694828034428</c:v>
                </c:pt>
                <c:pt idx="8">
                  <c:v>111.9451438378367</c:v>
                </c:pt>
                <c:pt idx="9">
                  <c:v>110.82569239945764</c:v>
                </c:pt>
                <c:pt idx="10">
                  <c:v>108.83082993626809</c:v>
                </c:pt>
                <c:pt idx="11">
                  <c:v>105.13058171843414</c:v>
                </c:pt>
                <c:pt idx="12">
                  <c:v>98.730605796314435</c:v>
                </c:pt>
                <c:pt idx="13">
                  <c:v>95.966148834017631</c:v>
                </c:pt>
                <c:pt idx="14">
                  <c:v>94.814555048009424</c:v>
                </c:pt>
                <c:pt idx="15">
                  <c:v>93.866409497529318</c:v>
                </c:pt>
                <c:pt idx="16">
                  <c:v>93.678676678533549</c:v>
                </c:pt>
                <c:pt idx="17">
                  <c:v>95.926964918819095</c:v>
                </c:pt>
                <c:pt idx="18">
                  <c:v>96.310672778493696</c:v>
                </c:pt>
                <c:pt idx="19">
                  <c:v>95.540187396266418</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Sheet1!$B$4:$U$4</c:f>
              <c:numCache>
                <c:formatCode>0.0</c:formatCode>
                <c:ptCount val="20"/>
                <c:pt idx="0">
                  <c:v>111.5</c:v>
                </c:pt>
                <c:pt idx="1">
                  <c:v>108.824</c:v>
                </c:pt>
                <c:pt idx="2">
                  <c:v>124.49465600000062</c:v>
                </c:pt>
                <c:pt idx="3">
                  <c:v>126.86005446400041</c:v>
                </c:pt>
                <c:pt idx="4">
                  <c:v>126.98691451846398</c:v>
                </c:pt>
                <c:pt idx="5">
                  <c:v>126.98691451846398</c:v>
                </c:pt>
                <c:pt idx="6">
                  <c:v>122.66935942483622</c:v>
                </c:pt>
                <c:pt idx="7">
                  <c:v>123.77338365965932</c:v>
                </c:pt>
                <c:pt idx="8">
                  <c:v>114.86170003616371</c:v>
                </c:pt>
                <c:pt idx="9">
                  <c:v>114.28739153598335</c:v>
                </c:pt>
                <c:pt idx="10">
                  <c:v>102.97293977392064</c:v>
                </c:pt>
                <c:pt idx="11">
                  <c:v>93.499429314720317</c:v>
                </c:pt>
                <c:pt idx="12">
                  <c:v>82.24466722007412</c:v>
                </c:pt>
                <c:pt idx="13">
                  <c:v>72.622041155323885</c:v>
                </c:pt>
                <c:pt idx="14">
                  <c:v>67.538498274451229</c:v>
                </c:pt>
                <c:pt idx="15">
                  <c:v>64.431727353827313</c:v>
                </c:pt>
                <c:pt idx="16">
                  <c:v>65.720361900903882</c:v>
                </c:pt>
                <c:pt idx="17">
                  <c:v>61.119936567840334</c:v>
                </c:pt>
                <c:pt idx="18">
                  <c:v>61.670015996951548</c:v>
                </c:pt>
                <c:pt idx="19">
                  <c:v>71.968908668442026</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Sheet1!$B$5:$U$5</c:f>
              <c:numCache>
                <c:formatCode>0.0</c:formatCode>
                <c:ptCount val="20"/>
                <c:pt idx="0">
                  <c:v>102.8</c:v>
                </c:pt>
                <c:pt idx="1">
                  <c:v>107.42599999999999</c:v>
                </c:pt>
                <c:pt idx="2">
                  <c:v>113.54928199999999</c:v>
                </c:pt>
                <c:pt idx="3">
                  <c:v>114.91187338399997</c:v>
                </c:pt>
                <c:pt idx="4">
                  <c:v>118.8188770790555</c:v>
                </c:pt>
                <c:pt idx="5">
                  <c:v>119.0565148332141</c:v>
                </c:pt>
                <c:pt idx="6">
                  <c:v>117.50878014038182</c:v>
                </c:pt>
                <c:pt idx="7">
                  <c:v>115.98116599855776</c:v>
                </c:pt>
                <c:pt idx="8">
                  <c:v>111.10995702661791</c:v>
                </c:pt>
                <c:pt idx="9">
                  <c:v>106.22111891744665</c:v>
                </c:pt>
                <c:pt idx="10">
                  <c:v>98.573198355390559</c:v>
                </c:pt>
                <c:pt idx="11">
                  <c:v>90.095903296826918</c:v>
                </c:pt>
                <c:pt idx="12">
                  <c:v>78.6762295344313</c:v>
                </c:pt>
                <c:pt idx="13">
                  <c:v>69.864491826575389</c:v>
                </c:pt>
                <c:pt idx="14">
                  <c:v>58.616308642496762</c:v>
                </c:pt>
                <c:pt idx="15">
                  <c:v>53.164991938744549</c:v>
                </c:pt>
                <c:pt idx="16">
                  <c:v>51.46371219670506</c:v>
                </c:pt>
                <c:pt idx="17">
                  <c:v>48.736135450279413</c:v>
                </c:pt>
                <c:pt idx="18">
                  <c:v>51.806511983646757</c:v>
                </c:pt>
                <c:pt idx="19">
                  <c:v>51.858318495630378</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Sheet1!$B$6:$U$6</c:f>
              <c:numCache>
                <c:formatCode>0.0</c:formatCode>
                <c:ptCount val="20"/>
                <c:pt idx="0">
                  <c:v>102.89999999999999</c:v>
                </c:pt>
                <c:pt idx="1">
                  <c:v>108.97109999999999</c:v>
                </c:pt>
                <c:pt idx="2">
                  <c:v>114.52862609999997</c:v>
                </c:pt>
                <c:pt idx="3">
                  <c:v>123.11827305749929</c:v>
                </c:pt>
                <c:pt idx="4">
                  <c:v>133.21397144821498</c:v>
                </c:pt>
                <c:pt idx="5">
                  <c:v>137.47681853455703</c:v>
                </c:pt>
                <c:pt idx="6">
                  <c:v>139.53897081257702</c:v>
                </c:pt>
                <c:pt idx="7">
                  <c:v>142.19021125801521</c:v>
                </c:pt>
                <c:pt idx="8">
                  <c:v>137.92450492027459</c:v>
                </c:pt>
                <c:pt idx="9">
                  <c:v>136.40733536615159</c:v>
                </c:pt>
                <c:pt idx="10">
                  <c:v>129.99619060394252</c:v>
                </c:pt>
                <c:pt idx="11">
                  <c:v>119.46649916502319</c:v>
                </c:pt>
                <c:pt idx="12">
                  <c:v>89.556394398266619</c:v>
                </c:pt>
                <c:pt idx="13">
                  <c:v>72.540679462596032</c:v>
                </c:pt>
                <c:pt idx="14">
                  <c:v>67.172669182363919</c:v>
                </c:pt>
                <c:pt idx="15">
                  <c:v>67.239841851546259</c:v>
                </c:pt>
                <c:pt idx="16">
                  <c:v>64.214048968226692</c:v>
                </c:pt>
                <c:pt idx="17">
                  <c:v>71.66287864854047</c:v>
                </c:pt>
                <c:pt idx="18">
                  <c:v>80.764064236905696</c:v>
                </c:pt>
                <c:pt idx="19">
                  <c:v>78.906490759456858</c:v>
                </c:pt>
              </c:numCache>
            </c:numRef>
          </c:val>
          <c:smooth val="1"/>
        </c:ser>
        <c:marker val="1"/>
        <c:axId val="230071296"/>
        <c:axId val="230101760"/>
      </c:lineChart>
      <c:catAx>
        <c:axId val="230071296"/>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230101760"/>
        <c:crosses val="autoZero"/>
        <c:auto val="1"/>
        <c:lblAlgn val="ctr"/>
        <c:lblOffset val="0"/>
        <c:tickLblSkip val="1"/>
        <c:tickMarkSkip val="1"/>
        <c:noMultiLvlLbl val="1"/>
      </c:catAx>
      <c:valAx>
        <c:axId val="230101760"/>
        <c:scaling>
          <c:orientation val="minMax"/>
          <c:max val="15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230071296"/>
        <c:crosses val="autoZero"/>
        <c:crossBetween val="between"/>
        <c:majorUnit val="20"/>
      </c:valAx>
      <c:spPr>
        <a:solidFill>
          <a:sysClr val="window" lastClr="FFFFFF"/>
        </a:solidFill>
        <a:ln w="6350">
          <a:solidFill>
            <a:sysClr val="window" lastClr="FFFFFF">
              <a:lumMod val="75000"/>
            </a:sysClr>
          </a:solidFill>
        </a:ln>
      </c:spPr>
    </c:plotArea>
    <c:legend>
      <c:legendPos val="b"/>
      <c:layout>
        <c:manualLayout>
          <c:xMode val="edge"/>
          <c:yMode val="edge"/>
          <c:x val="0.18322261834534526"/>
          <c:y val="0.57781249999999951"/>
          <c:w val="0.43878598237110544"/>
          <c:h val="0.16654687500000001"/>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Sheet1!$B$4:$U$4</c:f>
              <c:numCache>
                <c:formatCode>0.000</c:formatCode>
                <c:ptCount val="12"/>
                <c:pt idx="0">
                  <c:v>-8.8000000000000064E-2</c:v>
                </c:pt>
                <c:pt idx="1">
                  <c:v>-9.8000000000000226E-2</c:v>
                </c:pt>
                <c:pt idx="2">
                  <c:v>-0.15900000000000086</c:v>
                </c:pt>
                <c:pt idx="3">
                  <c:v>-0.24000000000000021</c:v>
                </c:pt>
                <c:pt idx="4">
                  <c:v>-0.27900000000000008</c:v>
                </c:pt>
                <c:pt idx="5">
                  <c:v>-0.37100000000000088</c:v>
                </c:pt>
                <c:pt idx="6">
                  <c:v>-0.35900000000000032</c:v>
                </c:pt>
                <c:pt idx="7">
                  <c:v>-0.30200000000000032</c:v>
                </c:pt>
                <c:pt idx="8">
                  <c:v>-0.20300000000000001</c:v>
                </c:pt>
                <c:pt idx="9">
                  <c:v>-0.17100000000000001</c:v>
                </c:pt>
                <c:pt idx="10">
                  <c:v>-0.10300000000000002</c:v>
                </c:pt>
                <c:pt idx="11">
                  <c:v>0.11199999999999995</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Sheet1!$B$5:$U$5</c:f>
              <c:numCache>
                <c:formatCode>0.000</c:formatCode>
                <c:ptCount val="12"/>
                <c:pt idx="0">
                  <c:v>-7.5999999999999998E-2</c:v>
                </c:pt>
                <c:pt idx="1">
                  <c:v>-0.10700000000000012</c:v>
                </c:pt>
                <c:pt idx="2">
                  <c:v>-0.16200000000000001</c:v>
                </c:pt>
                <c:pt idx="3" formatCode="General">
                  <c:v>-0.17600000000000021</c:v>
                </c:pt>
                <c:pt idx="4" formatCode="General">
                  <c:v>-0.34100000000000008</c:v>
                </c:pt>
                <c:pt idx="5" formatCode="General">
                  <c:v>-0.36600000000000038</c:v>
                </c:pt>
                <c:pt idx="6" formatCode="General">
                  <c:v>-0.39400000000000207</c:v>
                </c:pt>
                <c:pt idx="7" formatCode="General">
                  <c:v>-0.38300000000000184</c:v>
                </c:pt>
                <c:pt idx="8" formatCode="General">
                  <c:v>-0.44400000000000001</c:v>
                </c:pt>
                <c:pt idx="9" formatCode="General">
                  <c:v>-0.35900000000000032</c:v>
                </c:pt>
                <c:pt idx="10" formatCode="General">
                  <c:v>3.0000000000000092E-3</c:v>
                </c:pt>
                <c:pt idx="11" formatCode="General">
                  <c:v>-1.8000000000000023E-2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Sheet1!$B$6:$U$6</c:f>
              <c:numCache>
                <c:formatCode>General</c:formatCode>
                <c:ptCount val="12"/>
                <c:pt idx="0" formatCode="0.000">
                  <c:v>3.0000000000000002E-2</c:v>
                </c:pt>
                <c:pt idx="1">
                  <c:v>-5.0000000000000114E-3</c:v>
                </c:pt>
                <c:pt idx="2">
                  <c:v>-4.5999999999999999E-2</c:v>
                </c:pt>
                <c:pt idx="3">
                  <c:v>-0.15900000000000086</c:v>
                </c:pt>
                <c:pt idx="4">
                  <c:v>-0.40200000000000002</c:v>
                </c:pt>
                <c:pt idx="5">
                  <c:v>-0.44400000000000001</c:v>
                </c:pt>
                <c:pt idx="6">
                  <c:v>-0.41000000000000031</c:v>
                </c:pt>
                <c:pt idx="7">
                  <c:v>-0.34100000000000008</c:v>
                </c:pt>
                <c:pt idx="8">
                  <c:v>-0.30000000000000032</c:v>
                </c:pt>
                <c:pt idx="9">
                  <c:v>-5.5000000000000014E-2</c:v>
                </c:pt>
                <c:pt idx="10">
                  <c:v>0.15000000000000024</c:v>
                </c:pt>
                <c:pt idx="11">
                  <c:v>0.13900000000000001</c:v>
                </c:pt>
              </c:numCache>
            </c:numRef>
          </c:val>
        </c:ser>
        <c:gapWidth val="75"/>
        <c:overlap val="-25"/>
        <c:axId val="262691072"/>
        <c:axId val="262701440"/>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Sheet1!$B$3:$U$3</c:f>
              <c:numCache>
                <c:formatCode>0.000</c:formatCode>
                <c:ptCount val="12"/>
                <c:pt idx="0">
                  <c:v>1.4999999999999998E-2</c:v>
                </c:pt>
                <c:pt idx="1">
                  <c:v>2.2000000000000016E-2</c:v>
                </c:pt>
                <c:pt idx="2">
                  <c:v>-5.0000000000000114E-3</c:v>
                </c:pt>
                <c:pt idx="3">
                  <c:v>-6.0000000000000032E-2</c:v>
                </c:pt>
                <c:pt idx="4">
                  <c:v>-0.12200000000000009</c:v>
                </c:pt>
                <c:pt idx="5">
                  <c:v>-0.14200000000000004</c:v>
                </c:pt>
                <c:pt idx="6">
                  <c:v>-0.12200000000000009</c:v>
                </c:pt>
                <c:pt idx="7">
                  <c:v>-0.1</c:v>
                </c:pt>
                <c:pt idx="8">
                  <c:v>-5.7000000000000023E-2</c:v>
                </c:pt>
                <c:pt idx="9">
                  <c:v>-1.0000000000000041E-3</c:v>
                </c:pt>
                <c:pt idx="10">
                  <c:v>9.0000000000000028E-3</c:v>
                </c:pt>
                <c:pt idx="11">
                  <c:v>3.0000000000000002E-2</c:v>
                </c:pt>
              </c:numCache>
            </c:numRef>
          </c:val>
        </c:ser>
        <c:marker val="1"/>
        <c:axId val="262691072"/>
        <c:axId val="262701440"/>
      </c:lineChart>
      <c:catAx>
        <c:axId val="26269107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2701440"/>
        <c:crosses val="autoZero"/>
        <c:auto val="1"/>
        <c:lblAlgn val="ctr"/>
        <c:lblOffset val="0"/>
        <c:tickLblSkip val="1"/>
        <c:tickMarkSkip val="1"/>
        <c:noMultiLvlLbl val="1"/>
      </c:catAx>
      <c:valAx>
        <c:axId val="262701440"/>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2691072"/>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25890941850090521"/>
          <c:y val="5.3432291666666923E-2"/>
          <c:w val="0.49906637907885659"/>
          <c:h val="0.17496585648148263"/>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1568049107928E-2"/>
          <c:y val="5.4794520547950934E-2"/>
          <c:w val="0.88586456008959791"/>
          <c:h val="0.78046180555555555"/>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Sheet1!$B$3:$U$3</c:f>
              <c:numCache>
                <c:formatCode>0.0</c:formatCode>
                <c:ptCount val="20"/>
                <c:pt idx="0">
                  <c:v>103.8</c:v>
                </c:pt>
                <c:pt idx="1">
                  <c:v>105.87599999999998</c:v>
                </c:pt>
                <c:pt idx="2">
                  <c:v>105.34662000000041</c:v>
                </c:pt>
                <c:pt idx="3">
                  <c:v>108.92840508</c:v>
                </c:pt>
                <c:pt idx="4">
                  <c:v>109.79983232064001</c:v>
                </c:pt>
                <c:pt idx="5">
                  <c:v>110.8978306438464</c:v>
                </c:pt>
                <c:pt idx="6">
                  <c:v>112.78309376479179</c:v>
                </c:pt>
                <c:pt idx="7">
                  <c:v>113.7981416086749</c:v>
                </c:pt>
                <c:pt idx="8">
                  <c:v>116.07410444084881</c:v>
                </c:pt>
                <c:pt idx="9">
                  <c:v>115.49373391864415</c:v>
                </c:pt>
                <c:pt idx="10">
                  <c:v>114.22330284553863</c:v>
                </c:pt>
                <c:pt idx="11">
                  <c:v>106.7987881605785</c:v>
                </c:pt>
                <c:pt idx="12">
                  <c:v>98.155544157794552</c:v>
                </c:pt>
                <c:pt idx="13">
                  <c:v>96.977677627901812</c:v>
                </c:pt>
                <c:pt idx="14">
                  <c:v>99.40211956859936</c:v>
                </c:pt>
                <c:pt idx="15">
                  <c:v>101.58896619910855</c:v>
                </c:pt>
                <c:pt idx="16">
                  <c:v>104.12869035408553</c:v>
                </c:pt>
                <c:pt idx="17">
                  <c:v>108.39796665860379</c:v>
                </c:pt>
                <c:pt idx="18">
                  <c:v>110.78272192509307</c:v>
                </c:pt>
                <c:pt idx="19">
                  <c:v>112.77681091974475</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Sheet1!$B$4:$U$4</c:f>
              <c:numCache>
                <c:formatCode>0.0</c:formatCode>
                <c:ptCount val="20"/>
                <c:pt idx="0">
                  <c:v>100.2</c:v>
                </c:pt>
                <c:pt idx="1">
                  <c:v>103.10579999999995</c:v>
                </c:pt>
                <c:pt idx="2">
                  <c:v>102.79648259999998</c:v>
                </c:pt>
                <c:pt idx="3">
                  <c:v>100.84334943059957</c:v>
                </c:pt>
                <c:pt idx="4">
                  <c:v>103.46527651579558</c:v>
                </c:pt>
                <c:pt idx="5">
                  <c:v>105.12072094004833</c:v>
                </c:pt>
                <c:pt idx="6">
                  <c:v>101.12613354432648</c:v>
                </c:pt>
                <c:pt idx="7">
                  <c:v>103.04753008166882</c:v>
                </c:pt>
                <c:pt idx="8">
                  <c:v>107.78771646542546</c:v>
                </c:pt>
                <c:pt idx="9">
                  <c:v>104.66187268792811</c:v>
                </c:pt>
                <c:pt idx="10">
                  <c:v>104.66187268792811</c:v>
                </c:pt>
                <c:pt idx="11">
                  <c:v>97.126217854397282</c:v>
                </c:pt>
                <c:pt idx="12">
                  <c:v>84.636095183907273</c:v>
                </c:pt>
                <c:pt idx="13">
                  <c:v>82.350920613941781</c:v>
                </c:pt>
                <c:pt idx="14">
                  <c:v>86.468466644638895</c:v>
                </c:pt>
                <c:pt idx="15">
                  <c:v>84.566160378456658</c:v>
                </c:pt>
                <c:pt idx="16">
                  <c:v>90.232093123813428</c:v>
                </c:pt>
                <c:pt idx="17">
                  <c:v>97.631124759966227</c:v>
                </c:pt>
                <c:pt idx="18">
                  <c:v>107.68713061024266</c:v>
                </c:pt>
                <c:pt idx="19">
                  <c:v>115.65597827539983</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Sheet1!$B$5:$U$5</c:f>
              <c:numCache>
                <c:formatCode>0.0</c:formatCode>
                <c:ptCount val="20"/>
                <c:pt idx="0">
                  <c:v>97.5</c:v>
                </c:pt>
                <c:pt idx="1">
                  <c:v>101.985</c:v>
                </c:pt>
                <c:pt idx="2">
                  <c:v>101.883015</c:v>
                </c:pt>
                <c:pt idx="3">
                  <c:v>99.132173594999557</c:v>
                </c:pt>
                <c:pt idx="4">
                  <c:v>109.14452312809499</c:v>
                </c:pt>
                <c:pt idx="5">
                  <c:v>110.56340192876021</c:v>
                </c:pt>
                <c:pt idx="6">
                  <c:v>109.6788947133294</c:v>
                </c:pt>
                <c:pt idx="7">
                  <c:v>110.55632587103678</c:v>
                </c:pt>
                <c:pt idx="8">
                  <c:v>112.98856504019959</c:v>
                </c:pt>
                <c:pt idx="9">
                  <c:v>114.68339351580258</c:v>
                </c:pt>
                <c:pt idx="10">
                  <c:v>110.09605777517046</c:v>
                </c:pt>
                <c:pt idx="11">
                  <c:v>105.58211940638847</c:v>
                </c:pt>
                <c:pt idx="12">
                  <c:v>96.54245913776117</c:v>
                </c:pt>
                <c:pt idx="13">
                  <c:v>93.935812741042227</c:v>
                </c:pt>
                <c:pt idx="14">
                  <c:v>95.532721557639107</c:v>
                </c:pt>
                <c:pt idx="15">
                  <c:v>100.59595580019455</c:v>
                </c:pt>
                <c:pt idx="16">
                  <c:v>100.29416793279414</c:v>
                </c:pt>
                <c:pt idx="17">
                  <c:v>102.09946295558402</c:v>
                </c:pt>
                <c:pt idx="18">
                  <c:v>110.26741999203119</c:v>
                </c:pt>
                <c:pt idx="19">
                  <c:v>114.45758195172839</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Sheet1!$B$6:$U$6</c:f>
              <c:numCache>
                <c:formatCode>0.0</c:formatCode>
                <c:ptCount val="20"/>
                <c:pt idx="0">
                  <c:v>101.69999999999999</c:v>
                </c:pt>
                <c:pt idx="1">
                  <c:v>104.85269999999998</c:v>
                </c:pt>
                <c:pt idx="2">
                  <c:v>103.27990949999999</c:v>
                </c:pt>
                <c:pt idx="3">
                  <c:v>105.75862732799995</c:v>
                </c:pt>
                <c:pt idx="4">
                  <c:v>103.43193752678357</c:v>
                </c:pt>
                <c:pt idx="5">
                  <c:v>104.98341658968573</c:v>
                </c:pt>
                <c:pt idx="6">
                  <c:v>110.86248791870773</c:v>
                </c:pt>
                <c:pt idx="7">
                  <c:v>108.42351318449656</c:v>
                </c:pt>
                <c:pt idx="8">
                  <c:v>118.50689991065428</c:v>
                </c:pt>
                <c:pt idx="9">
                  <c:v>123.60269660681288</c:v>
                </c:pt>
                <c:pt idx="10">
                  <c:v>119.89461570860882</c:v>
                </c:pt>
                <c:pt idx="11">
                  <c:v>115.21872569597343</c:v>
                </c:pt>
                <c:pt idx="12">
                  <c:v>105.79272057267885</c:v>
                </c:pt>
                <c:pt idx="13">
                  <c:v>100.50308454404494</c:v>
                </c:pt>
                <c:pt idx="14">
                  <c:v>103.31717091127832</c:v>
                </c:pt>
                <c:pt idx="15">
                  <c:v>107.96644360228572</c:v>
                </c:pt>
                <c:pt idx="16">
                  <c:v>109.69390669992229</c:v>
                </c:pt>
                <c:pt idx="17">
                  <c:v>120.553603463215</c:v>
                </c:pt>
                <c:pt idx="18">
                  <c:v>125.61685480866925</c:v>
                </c:pt>
                <c:pt idx="19">
                  <c:v>129.76221101735581</c:v>
                </c:pt>
              </c:numCache>
            </c:numRef>
          </c:val>
          <c:smooth val="1"/>
        </c:ser>
        <c:marker val="1"/>
        <c:axId val="262801280"/>
        <c:axId val="262802816"/>
      </c:lineChart>
      <c:catAx>
        <c:axId val="262801280"/>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262802816"/>
        <c:crosses val="autoZero"/>
        <c:auto val="1"/>
        <c:lblAlgn val="ctr"/>
        <c:lblOffset val="0"/>
        <c:tickLblSkip val="1"/>
        <c:tickMarkSkip val="1"/>
        <c:noMultiLvlLbl val="1"/>
      </c:catAx>
      <c:valAx>
        <c:axId val="262802816"/>
        <c:scaling>
          <c:orientation val="minMax"/>
          <c:max val="14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262801280"/>
        <c:crosses val="autoZero"/>
        <c:crossBetween val="between"/>
        <c:majorUnit val="10"/>
      </c:valAx>
      <c:spPr>
        <a:solidFill>
          <a:sysClr val="window" lastClr="FFFFFF"/>
        </a:solidFill>
        <a:ln w="6350">
          <a:solidFill>
            <a:sysClr val="window" lastClr="FFFFFF">
              <a:lumMod val="75000"/>
            </a:sysClr>
          </a:solidFill>
        </a:ln>
      </c:spPr>
    </c:plotArea>
    <c:legend>
      <c:legendPos val="b"/>
      <c:layout>
        <c:manualLayout>
          <c:xMode val="edge"/>
          <c:yMode val="edge"/>
          <c:x val="0.12241914386108967"/>
          <c:y val="0.62925925925925963"/>
          <c:w val="0.44325903887421225"/>
          <c:h val="0.18712615740741062"/>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7799000372480263"/>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Sheet1!$B$4:$U$4</c:f>
              <c:numCache>
                <c:formatCode>0.000</c:formatCode>
                <c:ptCount val="12"/>
                <c:pt idx="0">
                  <c:v>4.3000000000000003E-2</c:v>
                </c:pt>
                <c:pt idx="1">
                  <c:v>-2.0000000000000052E-3</c:v>
                </c:pt>
                <c:pt idx="2">
                  <c:v>3.7000000000000012E-2</c:v>
                </c:pt>
                <c:pt idx="3">
                  <c:v>-5.5999999999999994E-2</c:v>
                </c:pt>
                <c:pt idx="4">
                  <c:v>-0.21700000000000041</c:v>
                </c:pt>
                <c:pt idx="5">
                  <c:v>-0.21700000000000041</c:v>
                </c:pt>
                <c:pt idx="6">
                  <c:v>-0.17900000000000021</c:v>
                </c:pt>
                <c:pt idx="7">
                  <c:v>-0.13300000000000001</c:v>
                </c:pt>
                <c:pt idx="8">
                  <c:v>6.1000000000000013E-2</c:v>
                </c:pt>
                <c:pt idx="9">
                  <c:v>0.18000000000000024</c:v>
                </c:pt>
                <c:pt idx="10">
                  <c:v>0.24000000000000021</c:v>
                </c:pt>
                <c:pt idx="11">
                  <c:v>0.36500000000000032</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Sheet1!$B$5:$U$5</c:f>
              <c:numCache>
                <c:formatCode>0.000</c:formatCode>
                <c:ptCount val="12"/>
                <c:pt idx="0">
                  <c:v>7.5000000000000011E-2</c:v>
                </c:pt>
                <c:pt idx="1">
                  <c:v>3.2000000000000042E-2</c:v>
                </c:pt>
                <c:pt idx="2">
                  <c:v>1.6000000000000021E-2</c:v>
                </c:pt>
                <c:pt idx="3" formatCode="General">
                  <c:v>-3.7999999999999999E-2</c:v>
                </c:pt>
                <c:pt idx="4" formatCode="General">
                  <c:v>-0.19</c:v>
                </c:pt>
                <c:pt idx="5" formatCode="General">
                  <c:v>-0.18900000000000086</c:v>
                </c:pt>
                <c:pt idx="6" formatCode="General">
                  <c:v>-0.13800000000000001</c:v>
                </c:pt>
                <c:pt idx="7" formatCode="General">
                  <c:v>-3.9000000000000014E-2</c:v>
                </c:pt>
                <c:pt idx="8" formatCode="General">
                  <c:v>3.7999999999999999E-2</c:v>
                </c:pt>
                <c:pt idx="9" formatCode="General">
                  <c:v>7.5000000000000011E-2</c:v>
                </c:pt>
                <c:pt idx="10" formatCode="General">
                  <c:v>0.15500000000000044</c:v>
                </c:pt>
                <c:pt idx="11" formatCode="General">
                  <c:v>0.13800000000000001</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Sheet1!$B$6:$U$6</c:f>
              <c:numCache>
                <c:formatCode>General</c:formatCode>
                <c:ptCount val="12"/>
                <c:pt idx="0" formatCode="0.000">
                  <c:v>0.10099999999999998</c:v>
                </c:pt>
                <c:pt idx="1">
                  <c:v>0.15400000000000041</c:v>
                </c:pt>
                <c:pt idx="2">
                  <c:v>0.10500000000000002</c:v>
                </c:pt>
                <c:pt idx="3">
                  <c:v>0.10099999999999998</c:v>
                </c:pt>
                <c:pt idx="4">
                  <c:v>-0.12400000000000012</c:v>
                </c:pt>
                <c:pt idx="5">
                  <c:v>-0.21100000000000024</c:v>
                </c:pt>
                <c:pt idx="6">
                  <c:v>-0.14300000000000004</c:v>
                </c:pt>
                <c:pt idx="7">
                  <c:v>-2.1000000000000012E-2</c:v>
                </c:pt>
                <c:pt idx="8">
                  <c:v>5.5000000000000014E-2</c:v>
                </c:pt>
                <c:pt idx="9">
                  <c:v>0.21300000000000024</c:v>
                </c:pt>
                <c:pt idx="10">
                  <c:v>0.19600000000000001</c:v>
                </c:pt>
                <c:pt idx="11">
                  <c:v>0.17900000000000021</c:v>
                </c:pt>
              </c:numCache>
            </c:numRef>
          </c:val>
        </c:ser>
        <c:gapWidth val="75"/>
        <c:overlap val="-25"/>
        <c:axId val="230151296"/>
        <c:axId val="230153216"/>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Sheet1!$B$3:$U$3</c:f>
              <c:numCache>
                <c:formatCode>0.000</c:formatCode>
                <c:ptCount val="12"/>
                <c:pt idx="0">
                  <c:v>4.8000000000000001E-2</c:v>
                </c:pt>
                <c:pt idx="1">
                  <c:v>0.05</c:v>
                </c:pt>
                <c:pt idx="2">
                  <c:v>2.3E-2</c:v>
                </c:pt>
                <c:pt idx="3">
                  <c:v>-5.9000000000000323E-2</c:v>
                </c:pt>
                <c:pt idx="4">
                  <c:v>-0.15700000000000044</c:v>
                </c:pt>
                <c:pt idx="5">
                  <c:v>-0.16800000000000001</c:v>
                </c:pt>
                <c:pt idx="6">
                  <c:v>-0.12300000000000012</c:v>
                </c:pt>
                <c:pt idx="7">
                  <c:v>-4.5999999999999999E-2</c:v>
                </c:pt>
                <c:pt idx="8">
                  <c:v>6.2000000000000034E-2</c:v>
                </c:pt>
                <c:pt idx="9">
                  <c:v>0.12300000000000012</c:v>
                </c:pt>
                <c:pt idx="10">
                  <c:v>0.11</c:v>
                </c:pt>
                <c:pt idx="11">
                  <c:v>0.11599999999999998</c:v>
                </c:pt>
              </c:numCache>
            </c:numRef>
          </c:val>
        </c:ser>
        <c:marker val="1"/>
        <c:axId val="230151296"/>
        <c:axId val="230153216"/>
      </c:lineChart>
      <c:catAx>
        <c:axId val="23015129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30153216"/>
        <c:crosses val="autoZero"/>
        <c:auto val="1"/>
        <c:lblAlgn val="ctr"/>
        <c:lblOffset val="0"/>
        <c:tickLblSkip val="1"/>
        <c:tickMarkSkip val="1"/>
        <c:noMultiLvlLbl val="1"/>
      </c:catAx>
      <c:valAx>
        <c:axId val="230153216"/>
        <c:scaling>
          <c:orientation val="minMax"/>
          <c:max val="0.4"/>
          <c:min val="-0.24000000000000021"/>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30151296"/>
        <c:crosses val="autoZero"/>
        <c:crossBetween val="between"/>
        <c:majorUnit val="8.0000000000000043E-2"/>
      </c:valAx>
      <c:spPr>
        <a:solidFill>
          <a:sysClr val="window" lastClr="FFFFFF"/>
        </a:solidFill>
        <a:ln w="6350">
          <a:solidFill>
            <a:sysClr val="window" lastClr="FFFFFF">
              <a:lumMod val="75000"/>
            </a:sysClr>
          </a:solidFill>
        </a:ln>
      </c:spPr>
    </c:plotArea>
    <c:legend>
      <c:legendPos val="b"/>
      <c:layout>
        <c:manualLayout>
          <c:xMode val="edge"/>
          <c:yMode val="edge"/>
          <c:x val="0.40852437999706825"/>
          <c:y val="6.0781828703703702E-2"/>
          <c:w val="0.39785625806675856"/>
          <c:h val="0.16026678240741132"/>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42252088195815E-2"/>
          <c:y val="5.4794520547950934E-2"/>
          <c:w val="0.89889387605052429"/>
          <c:h val="0.7416561111111116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Sheet1!$B$3:$U$3</c:f>
              <c:numCache>
                <c:formatCode>0.0</c:formatCode>
                <c:ptCount val="20"/>
                <c:pt idx="0">
                  <c:v>103.5</c:v>
                </c:pt>
                <c:pt idx="1">
                  <c:v>105.15599999999998</c:v>
                </c:pt>
                <c:pt idx="2">
                  <c:v>105.15599999999998</c:v>
                </c:pt>
                <c:pt idx="3">
                  <c:v>108.10036799999995</c:v>
                </c:pt>
                <c:pt idx="4">
                  <c:v>109.82997388799957</c:v>
                </c:pt>
                <c:pt idx="5">
                  <c:v>110.04963383577599</c:v>
                </c:pt>
                <c:pt idx="6">
                  <c:v>112.58077541399828</c:v>
                </c:pt>
                <c:pt idx="7">
                  <c:v>113.03109851565409</c:v>
                </c:pt>
                <c:pt idx="8">
                  <c:v>114.95262719042053</c:v>
                </c:pt>
                <c:pt idx="9">
                  <c:v>113.80310091851671</c:v>
                </c:pt>
                <c:pt idx="10">
                  <c:v>113.12028231300488</c:v>
                </c:pt>
                <c:pt idx="11">
                  <c:v>107.35114791504233</c:v>
                </c:pt>
                <c:pt idx="12" formatCode="0.00">
                  <c:v>99.614106513551334</c:v>
                </c:pt>
                <c:pt idx="13" formatCode="0.00">
                  <c:v>96.725297424658919</c:v>
                </c:pt>
                <c:pt idx="14" formatCode="0.00">
                  <c:v>98.659803373152158</c:v>
                </c:pt>
                <c:pt idx="15">
                  <c:v>99.942380817002714</c:v>
                </c:pt>
                <c:pt idx="16">
                  <c:v>103.34042176478127</c:v>
                </c:pt>
                <c:pt idx="17">
                  <c:v>107.26735779184312</c:v>
                </c:pt>
                <c:pt idx="18">
                  <c:v>108.98363551651245</c:v>
                </c:pt>
                <c:pt idx="19">
                  <c:v>110.50940641374358</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Sheet1!$B$4:$U$4</c:f>
              <c:numCache>
                <c:formatCode>0.0</c:formatCode>
                <c:ptCount val="20"/>
                <c:pt idx="0">
                  <c:v>101.4</c:v>
                </c:pt>
                <c:pt idx="1">
                  <c:v>106.87560000000001</c:v>
                </c:pt>
                <c:pt idx="2">
                  <c:v>108.15810719999929</c:v>
                </c:pt>
                <c:pt idx="3">
                  <c:v>108.26626530719999</c:v>
                </c:pt>
                <c:pt idx="4">
                  <c:v>117.25236532769758</c:v>
                </c:pt>
                <c:pt idx="5">
                  <c:v>117.25236532769758</c:v>
                </c:pt>
                <c:pt idx="6">
                  <c:v>113.26578490655534</c:v>
                </c:pt>
                <c:pt idx="7">
                  <c:v>110.32087449898538</c:v>
                </c:pt>
                <c:pt idx="8">
                  <c:v>114.29242598094945</c:v>
                </c:pt>
                <c:pt idx="9">
                  <c:v>109.03497438582522</c:v>
                </c:pt>
                <c:pt idx="10">
                  <c:v>106.63620494933784</c:v>
                </c:pt>
                <c:pt idx="11">
                  <c:v>95.759312044504171</c:v>
                </c:pt>
                <c:pt idx="12" formatCode="0.00">
                  <c:v>76.945154832168001</c:v>
                </c:pt>
                <c:pt idx="13" formatCode="0.00">
                  <c:v>68.481187800629158</c:v>
                </c:pt>
                <c:pt idx="14" formatCode="0.00">
                  <c:v>69.097518490835327</c:v>
                </c:pt>
                <c:pt idx="15">
                  <c:v>72.621491933867759</c:v>
                </c:pt>
                <c:pt idx="16">
                  <c:v>78.576454272444224</c:v>
                </c:pt>
                <c:pt idx="17">
                  <c:v>84.705417705695638</c:v>
                </c:pt>
                <c:pt idx="18">
                  <c:v>89.618331932625026</c:v>
                </c:pt>
                <c:pt idx="19">
                  <c:v>94.547340188920415</c:v>
                </c:pt>
              </c:numCache>
            </c:numRef>
          </c:val>
          <c:smooth val="1"/>
        </c:ser>
        <c:ser>
          <c:idx val="2"/>
          <c:order val="2"/>
          <c:tx>
            <c:strRef>
              <c:f>Sheet1!$A$5</c:f>
              <c:strCache>
                <c:ptCount val="1"/>
                <c:pt idx="0">
                  <c:v>LV</c:v>
                </c:pt>
              </c:strCache>
            </c:strRef>
          </c:tx>
          <c:spPr>
            <a:ln>
              <a:solidFill>
                <a:srgbClr val="0070C0"/>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Sheet1!$B$5:$U$5</c:f>
              <c:numCache>
                <c:formatCode>0.0</c:formatCode>
                <c:ptCount val="20"/>
                <c:pt idx="0">
                  <c:v>101.4</c:v>
                </c:pt>
                <c:pt idx="1">
                  <c:v>104.6448</c:v>
                </c:pt>
                <c:pt idx="2">
                  <c:v>113.74889760000002</c:v>
                </c:pt>
                <c:pt idx="3">
                  <c:v>120.57383145599948</c:v>
                </c:pt>
                <c:pt idx="4">
                  <c:v>129.61686881520001</c:v>
                </c:pt>
                <c:pt idx="5">
                  <c:v>129.09840133994001</c:v>
                </c:pt>
                <c:pt idx="6">
                  <c:v>128.32381093189957</c:v>
                </c:pt>
                <c:pt idx="7">
                  <c:v>118.69952511200711</c:v>
                </c:pt>
                <c:pt idx="8">
                  <c:v>119.29302273756713</c:v>
                </c:pt>
                <c:pt idx="9">
                  <c:v>118.33867855566587</c:v>
                </c:pt>
                <c:pt idx="10">
                  <c:v>110.88334180665855</c:v>
                </c:pt>
                <c:pt idx="11">
                  <c:v>97.13380742263314</c:v>
                </c:pt>
                <c:pt idx="12" formatCode="0.00">
                  <c:v>81.891130346834558</c:v>
                </c:pt>
                <c:pt idx="13" formatCode="0.00">
                  <c:v>74.602819745966499</c:v>
                </c:pt>
                <c:pt idx="14" formatCode="0.00">
                  <c:v>73.632983089268933</c:v>
                </c:pt>
                <c:pt idx="15">
                  <c:v>72.675754309108058</c:v>
                </c:pt>
                <c:pt idx="16">
                  <c:v>79.216572196927771</c:v>
                </c:pt>
                <c:pt idx="17">
                  <c:v>78.186756758368148</c:v>
                </c:pt>
                <c:pt idx="18">
                  <c:v>82.956148920628578</c:v>
                </c:pt>
                <c:pt idx="19">
                  <c:v>83.785710409834849</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2006</c:v>
                  </c:pt>
                  <c:pt idx="4">
                    <c:v>2007</c:v>
                  </c:pt>
                  <c:pt idx="8">
                    <c:v>2008</c:v>
                  </c:pt>
                  <c:pt idx="12">
                    <c:v>2009</c:v>
                  </c:pt>
                  <c:pt idx="16">
                    <c:v>2010</c:v>
                  </c:pt>
                </c:lvl>
              </c:multiLvlStrCache>
            </c:multiLvlStrRef>
          </c:cat>
          <c:val>
            <c:numRef>
              <c:f>Sheet1!$B$6:$U$6</c:f>
              <c:numCache>
                <c:formatCode>0.0</c:formatCode>
                <c:ptCount val="20"/>
                <c:pt idx="0">
                  <c:v>105.69999999999999</c:v>
                </c:pt>
                <c:pt idx="1">
                  <c:v>102.52899999999998</c:v>
                </c:pt>
                <c:pt idx="2">
                  <c:v>107.14280499999997</c:v>
                </c:pt>
                <c:pt idx="3">
                  <c:v>108.74994707499995</c:v>
                </c:pt>
                <c:pt idx="4">
                  <c:v>118.86369215297429</c:v>
                </c:pt>
                <c:pt idx="5">
                  <c:v>120.52778384311658</c:v>
                </c:pt>
                <c:pt idx="6">
                  <c:v>117.03247811166531</c:v>
                </c:pt>
                <c:pt idx="7">
                  <c:v>113.28743881209213</c:v>
                </c:pt>
                <c:pt idx="8">
                  <c:v>142.28902314798862</c:v>
                </c:pt>
                <c:pt idx="9">
                  <c:v>134.46312687484928</c:v>
                </c:pt>
                <c:pt idx="10">
                  <c:v>129.35352805360591</c:v>
                </c:pt>
                <c:pt idx="11">
                  <c:v>111.6320947102607</c:v>
                </c:pt>
                <c:pt idx="12" formatCode="0.00">
                  <c:v>96.431559052658983</c:v>
                </c:pt>
                <c:pt idx="13" formatCode="0.00">
                  <c:v>90.838528627604759</c:v>
                </c:pt>
                <c:pt idx="14" formatCode="0.00">
                  <c:v>93.01865331466729</c:v>
                </c:pt>
                <c:pt idx="15">
                  <c:v>91.530354861632617</c:v>
                </c:pt>
                <c:pt idx="16">
                  <c:v>99.768086799179557</c:v>
                </c:pt>
                <c:pt idx="17">
                  <c:v>105.85394009392904</c:v>
                </c:pt>
                <c:pt idx="18">
                  <c:v>111.78176073918955</c:v>
                </c:pt>
                <c:pt idx="19">
                  <c:v>120.50073807684564</c:v>
                </c:pt>
              </c:numCache>
            </c:numRef>
          </c:val>
          <c:smooth val="1"/>
        </c:ser>
        <c:marker val="1"/>
        <c:axId val="262992640"/>
        <c:axId val="262994176"/>
      </c:lineChart>
      <c:catAx>
        <c:axId val="262992640"/>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262994176"/>
        <c:crosses val="autoZero"/>
        <c:auto val="1"/>
        <c:lblAlgn val="ctr"/>
        <c:lblOffset val="0"/>
        <c:tickLblSkip val="1"/>
        <c:tickMarkSkip val="1"/>
        <c:noMultiLvlLbl val="1"/>
      </c:catAx>
      <c:valAx>
        <c:axId val="262994176"/>
        <c:scaling>
          <c:orientation val="minMax"/>
          <c:max val="150"/>
          <c:min val="6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262992640"/>
        <c:crosses val="autoZero"/>
        <c:crossBetween val="between"/>
        <c:majorUnit val="15"/>
      </c:valAx>
      <c:spPr>
        <a:solidFill>
          <a:sysClr val="window" lastClr="FFFFFF"/>
        </a:solidFill>
        <a:ln w="6350">
          <a:solidFill>
            <a:sysClr val="window" lastClr="FFFFFF">
              <a:lumMod val="75000"/>
            </a:sysClr>
          </a:solidFill>
        </a:ln>
      </c:spPr>
    </c:plotArea>
    <c:legend>
      <c:legendPos val="b"/>
      <c:layout>
        <c:manualLayout>
          <c:xMode val="edge"/>
          <c:yMode val="edge"/>
          <c:x val="0.13979156514230587"/>
          <c:y val="0.57781249999999951"/>
          <c:w val="0.43878598237110555"/>
          <c:h val="0.16654687500000001"/>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Sheet1!$B$4:$U$4</c:f>
              <c:numCache>
                <c:formatCode>0.000</c:formatCode>
                <c:ptCount val="12"/>
                <c:pt idx="0">
                  <c:v>-2.6000000000000002E-2</c:v>
                </c:pt>
                <c:pt idx="1">
                  <c:v>-7.4000000000000024E-2</c:v>
                </c:pt>
                <c:pt idx="2">
                  <c:v>-5.3000000000000012E-2</c:v>
                </c:pt>
                <c:pt idx="3">
                  <c:v>-0.125</c:v>
                </c:pt>
                <c:pt idx="4">
                  <c:v>-0.32600000000000184</c:v>
                </c:pt>
                <c:pt idx="5">
                  <c:v>-0.37600000000000161</c:v>
                </c:pt>
                <c:pt idx="6">
                  <c:v>-0.35600000000000032</c:v>
                </c:pt>
                <c:pt idx="7">
                  <c:v>-0.24100000000000021</c:v>
                </c:pt>
                <c:pt idx="8">
                  <c:v>1.8000000000000023E-2</c:v>
                </c:pt>
                <c:pt idx="9">
                  <c:v>0.23</c:v>
                </c:pt>
                <c:pt idx="10">
                  <c:v>0.29000000000000031</c:v>
                </c:pt>
                <c:pt idx="11">
                  <c:v>0.30000000000000032</c:v>
                </c:pt>
              </c:numCache>
            </c:numRef>
          </c:val>
        </c:ser>
        <c:ser>
          <c:idx val="2"/>
          <c:order val="2"/>
          <c:tx>
            <c:strRef>
              <c:f>Sheet1!$A$5</c:f>
              <c:strCache>
                <c:ptCount val="1"/>
                <c:pt idx="0">
                  <c:v>LV</c:v>
                </c:pt>
              </c:strCache>
            </c:strRef>
          </c:tx>
          <c:spPr>
            <a:solidFill>
              <a:srgbClr val="0070C0"/>
            </a:solidFill>
            <a:ln w="3175">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Sheet1!$B$5:$U$5</c:f>
              <c:numCache>
                <c:formatCode>0.000</c:formatCode>
                <c:ptCount val="12"/>
                <c:pt idx="0">
                  <c:v>-5.9000000000000323E-2</c:v>
                </c:pt>
                <c:pt idx="1">
                  <c:v>-8.5000000000000006E-2</c:v>
                </c:pt>
                <c:pt idx="2">
                  <c:v>-0.11699999999999998</c:v>
                </c:pt>
                <c:pt idx="3">
                  <c:v>-0.18200000000000024</c:v>
                </c:pt>
                <c:pt idx="4">
                  <c:v>-0.34</c:v>
                </c:pt>
                <c:pt idx="5">
                  <c:v>-0.38800000000000184</c:v>
                </c:pt>
                <c:pt idx="6">
                  <c:v>-0.33900000000000208</c:v>
                </c:pt>
                <c:pt idx="7">
                  <c:v>-0.26500000000000001</c:v>
                </c:pt>
                <c:pt idx="8">
                  <c:v>-3.0000000000000002E-2</c:v>
                </c:pt>
                <c:pt idx="9">
                  <c:v>7.0999999999999994E-2</c:v>
                </c:pt>
                <c:pt idx="10">
                  <c:v>0.128</c:v>
                </c:pt>
                <c:pt idx="11">
                  <c:v>0.16700000000000001</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Sheet1!$B$6:$U$6</c:f>
              <c:numCache>
                <c:formatCode>General</c:formatCode>
                <c:ptCount val="12"/>
                <c:pt idx="0" formatCode="0.000">
                  <c:v>0.191</c:v>
                </c:pt>
                <c:pt idx="1">
                  <c:v>0.11900000000000002</c:v>
                </c:pt>
                <c:pt idx="2">
                  <c:v>0.12000000000000002</c:v>
                </c:pt>
                <c:pt idx="3" formatCode="0.000">
                  <c:v>-1.3000000000000001E-2</c:v>
                </c:pt>
                <c:pt idx="4" formatCode="0.000">
                  <c:v>-0.32600000000000184</c:v>
                </c:pt>
                <c:pt idx="5" formatCode="0.000">
                  <c:v>-0.33200000000000207</c:v>
                </c:pt>
                <c:pt idx="6" formatCode="0.000">
                  <c:v>-0.28300000000000008</c:v>
                </c:pt>
                <c:pt idx="7" formatCode="0.000">
                  <c:v>-0.18000000000000024</c:v>
                </c:pt>
                <c:pt idx="8" formatCode="0.000">
                  <c:v>2.8000000000000001E-2</c:v>
                </c:pt>
                <c:pt idx="9" formatCode="0.000">
                  <c:v>0.15600000000000044</c:v>
                </c:pt>
                <c:pt idx="10" formatCode="0.000">
                  <c:v>0.19400000000000001</c:v>
                </c:pt>
                <c:pt idx="11" formatCode="0.000">
                  <c:v>0.31300000000000161</c:v>
                </c:pt>
              </c:numCache>
            </c:numRef>
          </c:val>
        </c:ser>
        <c:gapWidth val="75"/>
        <c:overlap val="-25"/>
        <c:axId val="263315456"/>
        <c:axId val="263317376"/>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Sheet1!$B$1:$U$2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2008</c:v>
                  </c:pt>
                  <c:pt idx="4">
                    <c:v>2009</c:v>
                  </c:pt>
                  <c:pt idx="8">
                    <c:v>2010</c:v>
                  </c:pt>
                </c:lvl>
              </c:multiLvlStrCache>
            </c:multiLvlStrRef>
          </c:cat>
          <c:val>
            <c:numRef>
              <c:f>Sheet1!$B$3:$U$3</c:f>
              <c:numCache>
                <c:formatCode>0.000</c:formatCode>
                <c:ptCount val="12"/>
                <c:pt idx="0">
                  <c:v>4.0000000000000022E-2</c:v>
                </c:pt>
                <c:pt idx="1">
                  <c:v>4.2000000000000023E-2</c:v>
                </c:pt>
                <c:pt idx="2">
                  <c:v>1.2E-2</c:v>
                </c:pt>
                <c:pt idx="3">
                  <c:v>-4.9000000000000113E-2</c:v>
                </c:pt>
                <c:pt idx="4">
                  <c:v>-0.13800000000000001</c:v>
                </c:pt>
                <c:pt idx="5">
                  <c:v>-0.16400000000000001</c:v>
                </c:pt>
                <c:pt idx="6">
                  <c:v>-0.126</c:v>
                </c:pt>
                <c:pt idx="7">
                  <c:v>-6.4000000000000112E-2</c:v>
                </c:pt>
                <c:pt idx="8">
                  <c:v>3.4000000000000002E-2</c:v>
                </c:pt>
                <c:pt idx="9">
                  <c:v>0.11</c:v>
                </c:pt>
                <c:pt idx="10">
                  <c:v>9.9000000000000046E-2</c:v>
                </c:pt>
                <c:pt idx="11">
                  <c:v>0.115</c:v>
                </c:pt>
              </c:numCache>
            </c:numRef>
          </c:val>
        </c:ser>
        <c:marker val="1"/>
        <c:axId val="263315456"/>
        <c:axId val="263317376"/>
      </c:lineChart>
      <c:catAx>
        <c:axId val="26331545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3317376"/>
        <c:crosses val="autoZero"/>
        <c:auto val="1"/>
        <c:lblAlgn val="ctr"/>
        <c:lblOffset val="0"/>
        <c:tickLblSkip val="1"/>
        <c:tickMarkSkip val="1"/>
        <c:noMultiLvlLbl val="1"/>
      </c:catAx>
      <c:valAx>
        <c:axId val="263317376"/>
        <c:scaling>
          <c:orientation val="minMax"/>
          <c:max val="0.45"/>
          <c:min val="-0.45"/>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3315456"/>
        <c:crosses val="autoZero"/>
        <c:crossBetween val="between"/>
        <c:majorUnit val="0.15000000000000024"/>
      </c:valAx>
      <c:spPr>
        <a:solidFill>
          <a:sysClr val="window" lastClr="FFFFFF"/>
        </a:solidFill>
        <a:ln w="6350">
          <a:solidFill>
            <a:sysClr val="window" lastClr="FFFFFF">
              <a:lumMod val="75000"/>
            </a:sysClr>
          </a:solidFill>
        </a:ln>
      </c:spPr>
    </c:plotArea>
    <c:legend>
      <c:legendPos val="b"/>
      <c:layout>
        <c:manualLayout>
          <c:xMode val="edge"/>
          <c:yMode val="edge"/>
          <c:x val="0.36451997955701687"/>
          <c:y val="4.6082754629629713E-2"/>
          <c:w val="0.36265273771472406"/>
          <c:h val="0.19701446759259919"/>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41090527134E-2"/>
          <c:y val="2.8006088280060883E-2"/>
          <c:w val="0.92349256646254851"/>
          <c:h val="0.76170335429769465"/>
        </c:manualLayout>
      </c:layout>
      <c:lineChart>
        <c:grouping val="standard"/>
        <c:ser>
          <c:idx val="1"/>
          <c:order val="0"/>
          <c:tx>
            <c:strRef>
              <c:f>Sheet1!$A$3</c:f>
              <c:strCache>
                <c:ptCount val="1"/>
                <c:pt idx="0">
                  <c:v>Eksports</c:v>
                </c:pt>
              </c:strCache>
            </c:strRef>
          </c:tx>
          <c:spPr>
            <a:ln w="38100">
              <a:solidFill>
                <a:srgbClr val="0070C0"/>
              </a:solidFill>
              <a:prstDash val="solid"/>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Sheet1!$B$3:$BK$3</c:f>
              <c:numCache>
                <c:formatCode>0.0</c:formatCode>
                <c:ptCount val="38"/>
                <c:pt idx="0">
                  <c:v>336.9</c:v>
                </c:pt>
                <c:pt idx="1">
                  <c:v>380.9</c:v>
                </c:pt>
                <c:pt idx="2">
                  <c:v>383.2</c:v>
                </c:pt>
                <c:pt idx="3">
                  <c:v>410</c:v>
                </c:pt>
                <c:pt idx="4">
                  <c:v>407.7</c:v>
                </c:pt>
                <c:pt idx="5" formatCode="General">
                  <c:v>372.3</c:v>
                </c:pt>
                <c:pt idx="6" formatCode="General">
                  <c:v>400.9</c:v>
                </c:pt>
                <c:pt idx="7" formatCode="General">
                  <c:v>393.9</c:v>
                </c:pt>
                <c:pt idx="8" formatCode="General">
                  <c:v>441.7</c:v>
                </c:pt>
                <c:pt idx="9" formatCode="General">
                  <c:v>415.5</c:v>
                </c:pt>
                <c:pt idx="10" formatCode="General">
                  <c:v>331.7</c:v>
                </c:pt>
                <c:pt idx="11" formatCode="General">
                  <c:v>312.5</c:v>
                </c:pt>
                <c:pt idx="12" formatCode="General">
                  <c:v>265.5</c:v>
                </c:pt>
                <c:pt idx="13" formatCode="General">
                  <c:v>270.5</c:v>
                </c:pt>
                <c:pt idx="14" formatCode="General">
                  <c:v>302.89999999999969</c:v>
                </c:pt>
                <c:pt idx="15" formatCode="General">
                  <c:v>287.3</c:v>
                </c:pt>
                <c:pt idx="16" formatCode="General">
                  <c:v>284.7</c:v>
                </c:pt>
                <c:pt idx="17" formatCode="General">
                  <c:v>303.2</c:v>
                </c:pt>
                <c:pt idx="18" formatCode="General">
                  <c:v>282.7</c:v>
                </c:pt>
                <c:pt idx="19" formatCode="General">
                  <c:v>292.89999999999969</c:v>
                </c:pt>
                <c:pt idx="20" formatCode="General">
                  <c:v>359</c:v>
                </c:pt>
                <c:pt idx="21" formatCode="General">
                  <c:v>394.4</c:v>
                </c:pt>
                <c:pt idx="22" formatCode="General">
                  <c:v>341.9</c:v>
                </c:pt>
                <c:pt idx="23" formatCode="General">
                  <c:v>323.2</c:v>
                </c:pt>
                <c:pt idx="24" formatCode="General">
                  <c:v>273.60000000000002</c:v>
                </c:pt>
                <c:pt idx="25" formatCode="General">
                  <c:v>317.39999999999969</c:v>
                </c:pt>
                <c:pt idx="26" formatCode="General">
                  <c:v>374.5</c:v>
                </c:pt>
                <c:pt idx="27" formatCode="General">
                  <c:v>383.3</c:v>
                </c:pt>
                <c:pt idx="28" formatCode="General">
                  <c:v>382.9</c:v>
                </c:pt>
                <c:pt idx="29" formatCode="General">
                  <c:v>373.8</c:v>
                </c:pt>
                <c:pt idx="30" formatCode="General">
                  <c:v>399.3</c:v>
                </c:pt>
                <c:pt idx="31" formatCode="General">
                  <c:v>421.9</c:v>
                </c:pt>
                <c:pt idx="32" formatCode="General">
                  <c:v>470.5</c:v>
                </c:pt>
                <c:pt idx="33" formatCode="General">
                  <c:v>461.8</c:v>
                </c:pt>
                <c:pt idx="34" formatCode="General">
                  <c:v>479.7</c:v>
                </c:pt>
                <c:pt idx="35" formatCode="General">
                  <c:v>428.1</c:v>
                </c:pt>
                <c:pt idx="36" formatCode="General">
                  <c:v>414.4</c:v>
                </c:pt>
                <c:pt idx="37" formatCode="General">
                  <c:v>427.8</c:v>
                </c:pt>
              </c:numCache>
            </c:numRef>
          </c:val>
        </c:ser>
        <c:ser>
          <c:idx val="0"/>
          <c:order val="1"/>
          <c:tx>
            <c:strRef>
              <c:f>Sheet1!$A$4</c:f>
              <c:strCache>
                <c:ptCount val="1"/>
                <c:pt idx="0">
                  <c:v>Imports</c:v>
                </c:pt>
              </c:strCache>
            </c:strRef>
          </c:tx>
          <c:spPr>
            <a:ln w="25400">
              <a:solidFill>
                <a:srgbClr val="000000"/>
              </a:solidFill>
              <a:prstDash val="sysDot"/>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2011</c:v>
                  </c:pt>
                </c:lvl>
              </c:multiLvlStrCache>
            </c:multiLvlStrRef>
          </c:cat>
          <c:val>
            <c:numRef>
              <c:f>Sheet1!$B$4:$BK$4</c:f>
              <c:numCache>
                <c:formatCode>0.0</c:formatCode>
                <c:ptCount val="38"/>
                <c:pt idx="0">
                  <c:v>599.70000000000005</c:v>
                </c:pt>
                <c:pt idx="1">
                  <c:v>621.9</c:v>
                </c:pt>
                <c:pt idx="2">
                  <c:v>604.5</c:v>
                </c:pt>
                <c:pt idx="3">
                  <c:v>696.9</c:v>
                </c:pt>
                <c:pt idx="4">
                  <c:v>613.29999999999995</c:v>
                </c:pt>
                <c:pt idx="5" formatCode="General">
                  <c:v>617.9</c:v>
                </c:pt>
                <c:pt idx="6" formatCode="General">
                  <c:v>668.9</c:v>
                </c:pt>
                <c:pt idx="7" formatCode="General">
                  <c:v>605.5</c:v>
                </c:pt>
                <c:pt idx="8" formatCode="General">
                  <c:v>704.5</c:v>
                </c:pt>
                <c:pt idx="9" formatCode="General">
                  <c:v>669.2</c:v>
                </c:pt>
                <c:pt idx="10" formatCode="General">
                  <c:v>525.6</c:v>
                </c:pt>
                <c:pt idx="11" formatCode="General">
                  <c:v>521.5</c:v>
                </c:pt>
                <c:pt idx="12" formatCode="General">
                  <c:v>391</c:v>
                </c:pt>
                <c:pt idx="13" formatCode="General">
                  <c:v>380.3</c:v>
                </c:pt>
                <c:pt idx="14" formatCode="General">
                  <c:v>410.7</c:v>
                </c:pt>
                <c:pt idx="15" formatCode="General">
                  <c:v>372.4</c:v>
                </c:pt>
                <c:pt idx="16" formatCode="General">
                  <c:v>353.4</c:v>
                </c:pt>
                <c:pt idx="17" formatCode="General">
                  <c:v>361.6</c:v>
                </c:pt>
                <c:pt idx="18" formatCode="General">
                  <c:v>371.2</c:v>
                </c:pt>
                <c:pt idx="19" formatCode="General">
                  <c:v>372.6</c:v>
                </c:pt>
                <c:pt idx="20" formatCode="General">
                  <c:v>416.8</c:v>
                </c:pt>
                <c:pt idx="21" formatCode="General">
                  <c:v>410</c:v>
                </c:pt>
                <c:pt idx="22" formatCode="General">
                  <c:v>396.3</c:v>
                </c:pt>
                <c:pt idx="23" formatCode="General">
                  <c:v>403.3</c:v>
                </c:pt>
                <c:pt idx="24" formatCode="General">
                  <c:v>339.3</c:v>
                </c:pt>
                <c:pt idx="25" formatCode="General">
                  <c:v>373.9</c:v>
                </c:pt>
                <c:pt idx="26" formatCode="General">
                  <c:v>444.5</c:v>
                </c:pt>
                <c:pt idx="27" formatCode="General">
                  <c:v>419.4</c:v>
                </c:pt>
                <c:pt idx="28" formatCode="General">
                  <c:v>454</c:v>
                </c:pt>
                <c:pt idx="29" formatCode="General">
                  <c:v>439.9</c:v>
                </c:pt>
                <c:pt idx="30" formatCode="General">
                  <c:v>478</c:v>
                </c:pt>
                <c:pt idx="31" formatCode="General">
                  <c:v>513.5</c:v>
                </c:pt>
                <c:pt idx="32" formatCode="General">
                  <c:v>536</c:v>
                </c:pt>
                <c:pt idx="33" formatCode="General">
                  <c:v>521.20000000000005</c:v>
                </c:pt>
                <c:pt idx="34" formatCode="General">
                  <c:v>543.9</c:v>
                </c:pt>
                <c:pt idx="35" formatCode="General">
                  <c:v>524.4</c:v>
                </c:pt>
                <c:pt idx="36" formatCode="General">
                  <c:v>464.5</c:v>
                </c:pt>
                <c:pt idx="37" formatCode="General">
                  <c:v>494.3</c:v>
                </c:pt>
              </c:numCache>
            </c:numRef>
          </c:val>
        </c:ser>
        <c:marker val="1"/>
        <c:axId val="263529984"/>
        <c:axId val="263531520"/>
      </c:lineChart>
      <c:catAx>
        <c:axId val="26352998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3531520"/>
        <c:crosses val="autoZero"/>
        <c:auto val="1"/>
        <c:lblAlgn val="ctr"/>
        <c:lblOffset val="0"/>
        <c:tickLblSkip val="1"/>
        <c:tickMarkSkip val="1"/>
        <c:noMultiLvlLbl val="1"/>
      </c:catAx>
      <c:valAx>
        <c:axId val="263531520"/>
        <c:scaling>
          <c:orientation val="minMax"/>
          <c:max val="800"/>
          <c:min val="200"/>
        </c:scaling>
        <c:axPos val="l"/>
        <c:majorGridlines>
          <c:spPr>
            <a:ln w="6350">
              <a:solidFill>
                <a:sysClr val="window" lastClr="FFFFFF">
                  <a:lumMod val="85000"/>
                </a:sysClr>
              </a:solidFill>
              <a:prstDash val="solid"/>
            </a:ln>
          </c:spPr>
        </c:majorGridlines>
        <c:numFmt formatCode="0" sourceLinked="0"/>
        <c:majorTickMark val="none"/>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3529984"/>
        <c:crosses val="autoZero"/>
        <c:crossBetween val="between"/>
        <c:majorUnit val="100"/>
      </c:valAx>
      <c:spPr>
        <a:noFill/>
        <a:ln w="6350">
          <a:solidFill>
            <a:sysClr val="window" lastClr="FFFFFF">
              <a:lumMod val="75000"/>
            </a:sysClr>
          </a:solidFill>
        </a:ln>
      </c:spPr>
    </c:plotArea>
    <c:legend>
      <c:legendPos val="b"/>
      <c:layout>
        <c:manualLayout>
          <c:xMode val="edge"/>
          <c:yMode val="edge"/>
          <c:x val="0.80682635568902583"/>
          <c:y val="6.9451833267114516E-2"/>
          <c:w val="0.15540273042391844"/>
          <c:h val="0.19952060786922191"/>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65128475909663E-2"/>
          <c:y val="4.1334164037576122E-2"/>
          <c:w val="0.91929101270531965"/>
          <c:h val="0.7676233012610309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2010</c:v>
                  </c:pt>
                </c:lvl>
              </c:multiLvlStrCache>
            </c:multiLvlStrRef>
          </c:cat>
          <c:val>
            <c:numRef>
              <c:f>Sheet1!$B$3:$BL$3</c:f>
              <c:numCache>
                <c:formatCode>0.0</c:formatCode>
                <c:ptCount val="39"/>
                <c:pt idx="0">
                  <c:v>-3.4</c:v>
                </c:pt>
                <c:pt idx="1">
                  <c:v>-3.8</c:v>
                </c:pt>
                <c:pt idx="2">
                  <c:v>-5.3</c:v>
                </c:pt>
                <c:pt idx="3" formatCode="General">
                  <c:v>-8.3000000000000007</c:v>
                </c:pt>
                <c:pt idx="4" formatCode="General">
                  <c:v>-10.6</c:v>
                </c:pt>
                <c:pt idx="5" formatCode="General">
                  <c:v>-13.5</c:v>
                </c:pt>
                <c:pt idx="6" formatCode="General">
                  <c:v>-17.3</c:v>
                </c:pt>
                <c:pt idx="7" formatCode="General">
                  <c:v>-16.7</c:v>
                </c:pt>
                <c:pt idx="8">
                  <c:v>-20.5</c:v>
                </c:pt>
                <c:pt idx="9">
                  <c:v>-24.2</c:v>
                </c:pt>
                <c:pt idx="10">
                  <c:v>-28.5</c:v>
                </c:pt>
                <c:pt idx="11" formatCode="General">
                  <c:v>-32.700000000000003</c:v>
                </c:pt>
                <c:pt idx="12" formatCode="General">
                  <c:v>-35.9</c:v>
                </c:pt>
                <c:pt idx="13" formatCode="General">
                  <c:v>-38.1</c:v>
                </c:pt>
                <c:pt idx="14" formatCode="General">
                  <c:v>-37.6</c:v>
                </c:pt>
                <c:pt idx="15" formatCode="General">
                  <c:v>-39.6</c:v>
                </c:pt>
                <c:pt idx="16" formatCode="General">
                  <c:v>-40.4</c:v>
                </c:pt>
                <c:pt idx="17" formatCode="General">
                  <c:v>-39.200000000000003</c:v>
                </c:pt>
                <c:pt idx="18" formatCode="General">
                  <c:v>-39</c:v>
                </c:pt>
                <c:pt idx="19" formatCode="General">
                  <c:v>-37</c:v>
                </c:pt>
                <c:pt idx="20" formatCode="General">
                  <c:v>-36.200000000000003</c:v>
                </c:pt>
                <c:pt idx="21" formatCode="General">
                  <c:v>-35.700000000000003</c:v>
                </c:pt>
                <c:pt idx="22">
                  <c:v>-34.4</c:v>
                </c:pt>
                <c:pt idx="23">
                  <c:v>-34.800000000000004</c:v>
                </c:pt>
                <c:pt idx="24">
                  <c:v>-35.300000000000004</c:v>
                </c:pt>
                <c:pt idx="25">
                  <c:v>-34.700000000000003</c:v>
                </c:pt>
                <c:pt idx="26">
                  <c:v>-32.6</c:v>
                </c:pt>
                <c:pt idx="27">
                  <c:v>-30.2</c:v>
                </c:pt>
                <c:pt idx="28" formatCode="General">
                  <c:v>-30.4</c:v>
                </c:pt>
                <c:pt idx="29" formatCode="General">
                  <c:v>-32.300000000000004</c:v>
                </c:pt>
                <c:pt idx="30" formatCode="General">
                  <c:v>-31.5</c:v>
                </c:pt>
                <c:pt idx="31" formatCode="General">
                  <c:v>-30.6</c:v>
                </c:pt>
                <c:pt idx="32" formatCode="General">
                  <c:v>-28.7</c:v>
                </c:pt>
                <c:pt idx="33" formatCode="General">
                  <c:v>-27.2</c:v>
                </c:pt>
                <c:pt idx="34" formatCode="General">
                  <c:v>-28.1</c:v>
                </c:pt>
                <c:pt idx="35" formatCode="General">
                  <c:v>-28.4</c:v>
                </c:pt>
                <c:pt idx="36" formatCode="General">
                  <c:v>-27.9</c:v>
                </c:pt>
                <c:pt idx="37" formatCode="General">
                  <c:v>-25.6</c:v>
                </c:pt>
                <c:pt idx="38" formatCode="General">
                  <c:v>-27.2</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2010</c:v>
                  </c:pt>
                </c:lvl>
              </c:multiLvlStrCache>
            </c:multiLvlStrRef>
          </c:cat>
          <c:val>
            <c:numRef>
              <c:f>Sheet1!$B$4:$BL$4</c:f>
              <c:numCache>
                <c:formatCode>0.0</c:formatCode>
                <c:ptCount val="39"/>
                <c:pt idx="0">
                  <c:v>-3.1</c:v>
                </c:pt>
                <c:pt idx="1">
                  <c:v>-2.2999999999999998</c:v>
                </c:pt>
                <c:pt idx="2">
                  <c:v>-11.6</c:v>
                </c:pt>
                <c:pt idx="3" formatCode="General">
                  <c:v>-19</c:v>
                </c:pt>
                <c:pt idx="4" formatCode="General">
                  <c:v>-36.300000000000004</c:v>
                </c:pt>
                <c:pt idx="5" formatCode="General">
                  <c:v>-35.5</c:v>
                </c:pt>
                <c:pt idx="6" formatCode="General">
                  <c:v>-29.5</c:v>
                </c:pt>
                <c:pt idx="7" formatCode="General">
                  <c:v>-30.5</c:v>
                </c:pt>
                <c:pt idx="8">
                  <c:v>-35.200000000000003</c:v>
                </c:pt>
                <c:pt idx="9">
                  <c:v>-42.1</c:v>
                </c:pt>
                <c:pt idx="10">
                  <c:v>-54</c:v>
                </c:pt>
                <c:pt idx="11" formatCode="General">
                  <c:v>-58.2</c:v>
                </c:pt>
                <c:pt idx="12" formatCode="General">
                  <c:v>-64.7</c:v>
                </c:pt>
                <c:pt idx="13" formatCode="General">
                  <c:v>-69.5</c:v>
                </c:pt>
                <c:pt idx="14" formatCode="General">
                  <c:v>-75</c:v>
                </c:pt>
                <c:pt idx="15" formatCode="General">
                  <c:v>-76</c:v>
                </c:pt>
                <c:pt idx="16" formatCode="General">
                  <c:v>-69.5</c:v>
                </c:pt>
                <c:pt idx="17" formatCode="General">
                  <c:v>-70.7</c:v>
                </c:pt>
                <c:pt idx="18" formatCode="General">
                  <c:v>-70.3</c:v>
                </c:pt>
                <c:pt idx="19" formatCode="General">
                  <c:v>-68</c:v>
                </c:pt>
                <c:pt idx="20" formatCode="General">
                  <c:v>-63.7</c:v>
                </c:pt>
                <c:pt idx="21" formatCode="General">
                  <c:v>-56.5</c:v>
                </c:pt>
                <c:pt idx="22">
                  <c:v>-53.7</c:v>
                </c:pt>
                <c:pt idx="23">
                  <c:v>-54.4</c:v>
                </c:pt>
                <c:pt idx="24">
                  <c:v>-49.5</c:v>
                </c:pt>
                <c:pt idx="25">
                  <c:v>-45.9</c:v>
                </c:pt>
                <c:pt idx="26">
                  <c:v>-39.6</c:v>
                </c:pt>
                <c:pt idx="27">
                  <c:v>-30.6</c:v>
                </c:pt>
                <c:pt idx="28" formatCode="General">
                  <c:v>-25.2</c:v>
                </c:pt>
                <c:pt idx="29" formatCode="General">
                  <c:v>-11.5</c:v>
                </c:pt>
                <c:pt idx="30" formatCode="General">
                  <c:v>-19.5</c:v>
                </c:pt>
                <c:pt idx="31" formatCode="General">
                  <c:v>-17.600000000000001</c:v>
                </c:pt>
                <c:pt idx="32" formatCode="General">
                  <c:v>-18.8</c:v>
                </c:pt>
                <c:pt idx="33" formatCode="General">
                  <c:v>-24.1</c:v>
                </c:pt>
                <c:pt idx="34" formatCode="General">
                  <c:v>-17.100000000000001</c:v>
                </c:pt>
                <c:pt idx="35" formatCode="General">
                  <c:v>-16.7</c:v>
                </c:pt>
                <c:pt idx="36" formatCode="General">
                  <c:v>-13.4</c:v>
                </c:pt>
                <c:pt idx="37" formatCode="General">
                  <c:v>-4.5</c:v>
                </c:pt>
                <c:pt idx="38" formatCode="General">
                  <c:v>-3.4</c:v>
                </c:pt>
              </c:numCache>
            </c:numRef>
          </c:val>
        </c:ser>
        <c:ser>
          <c:idx val="2"/>
          <c:order val="2"/>
          <c:tx>
            <c:strRef>
              <c:f>Sheet1!$A$5</c:f>
              <c:strCache>
                <c:ptCount val="1"/>
                <c:pt idx="0">
                  <c:v>LV</c:v>
                </c:pt>
              </c:strCache>
            </c:strRef>
          </c:tx>
          <c:spPr>
            <a:ln w="28575">
              <a:solidFill>
                <a:srgbClr val="0070C0"/>
              </a:solidFill>
              <a:prstDash val="solid"/>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2010</c:v>
                  </c:pt>
                </c:lvl>
              </c:multiLvlStrCache>
            </c:multiLvlStrRef>
          </c:cat>
          <c:val>
            <c:numRef>
              <c:f>Sheet1!$B$5:$BL$5</c:f>
              <c:numCache>
                <c:formatCode>0.0</c:formatCode>
                <c:ptCount val="39"/>
                <c:pt idx="0">
                  <c:v>-5.4</c:v>
                </c:pt>
                <c:pt idx="1">
                  <c:v>-6.7</c:v>
                </c:pt>
                <c:pt idx="2">
                  <c:v>-13.4</c:v>
                </c:pt>
                <c:pt idx="3" formatCode="General">
                  <c:v>-24</c:v>
                </c:pt>
                <c:pt idx="4" formatCode="General">
                  <c:v>-27.9</c:v>
                </c:pt>
                <c:pt idx="5" formatCode="General">
                  <c:v>-30.5</c:v>
                </c:pt>
                <c:pt idx="6" formatCode="General">
                  <c:v>-36.300000000000004</c:v>
                </c:pt>
                <c:pt idx="7" formatCode="General">
                  <c:v>-42.9</c:v>
                </c:pt>
                <c:pt idx="8">
                  <c:v>-47</c:v>
                </c:pt>
                <c:pt idx="9">
                  <c:v>-47.2</c:v>
                </c:pt>
                <c:pt idx="10">
                  <c:v>-52.3</c:v>
                </c:pt>
                <c:pt idx="11" formatCode="General">
                  <c:v>-58.6</c:v>
                </c:pt>
                <c:pt idx="12" formatCode="General">
                  <c:v>-62.4</c:v>
                </c:pt>
                <c:pt idx="13" formatCode="General">
                  <c:v>-67.8</c:v>
                </c:pt>
                <c:pt idx="14" formatCode="General">
                  <c:v>-75.400000000000006</c:v>
                </c:pt>
                <c:pt idx="15" formatCode="General">
                  <c:v>-74.400000000000006</c:v>
                </c:pt>
                <c:pt idx="16" formatCode="General">
                  <c:v>-78.7</c:v>
                </c:pt>
                <c:pt idx="17" formatCode="General">
                  <c:v>-76.900000000000006</c:v>
                </c:pt>
                <c:pt idx="18" formatCode="General">
                  <c:v>-79.400000000000006</c:v>
                </c:pt>
                <c:pt idx="19" formatCode="General">
                  <c:v>-76.599999999999994</c:v>
                </c:pt>
                <c:pt idx="20" formatCode="General">
                  <c:v>-72.400000000000006</c:v>
                </c:pt>
                <c:pt idx="21" formatCode="General">
                  <c:v>-70.2</c:v>
                </c:pt>
                <c:pt idx="22">
                  <c:v>-69.2</c:v>
                </c:pt>
                <c:pt idx="23">
                  <c:v>-66.2</c:v>
                </c:pt>
                <c:pt idx="24">
                  <c:v>-65.900000000000006</c:v>
                </c:pt>
                <c:pt idx="25">
                  <c:v>-61.9</c:v>
                </c:pt>
                <c:pt idx="26">
                  <c:v>-61.2</c:v>
                </c:pt>
                <c:pt idx="27">
                  <c:v>-55.9</c:v>
                </c:pt>
                <c:pt idx="28" formatCode="General">
                  <c:v>-51.2</c:v>
                </c:pt>
                <c:pt idx="29" formatCode="General">
                  <c:v>-51.2</c:v>
                </c:pt>
                <c:pt idx="30" formatCode="General">
                  <c:v>-45.5</c:v>
                </c:pt>
                <c:pt idx="31" formatCode="General">
                  <c:v>-43.9</c:v>
                </c:pt>
                <c:pt idx="32" formatCode="General">
                  <c:v>-44.9</c:v>
                </c:pt>
                <c:pt idx="33" formatCode="General">
                  <c:v>-32.1</c:v>
                </c:pt>
                <c:pt idx="34" formatCode="General">
                  <c:v>-42</c:v>
                </c:pt>
                <c:pt idx="35" formatCode="General">
                  <c:v>-39.5</c:v>
                </c:pt>
                <c:pt idx="36" formatCode="General">
                  <c:v>-39.300000000000004</c:v>
                </c:pt>
                <c:pt idx="37" formatCode="General">
                  <c:v>-35</c:v>
                </c:pt>
                <c:pt idx="38" formatCode="General">
                  <c:v>-27.2</c:v>
                </c:pt>
              </c:numCache>
            </c:numRef>
          </c:val>
        </c:ser>
        <c:ser>
          <c:idx val="3"/>
          <c:order val="3"/>
          <c:tx>
            <c:strRef>
              <c:f>Sheet1!$A$6</c:f>
              <c:strCache>
                <c:ptCount val="1"/>
                <c:pt idx="0">
                  <c:v>LT</c:v>
                </c:pt>
              </c:strCache>
            </c:strRef>
          </c:tx>
          <c:spPr>
            <a:ln w="12700">
              <a:solidFill>
                <a:srgbClr val="000000"/>
              </a:solidFill>
              <a:prstDash val="sysDash"/>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2008</c:v>
                  </c:pt>
                  <c:pt idx="12">
                    <c:v>2009</c:v>
                  </c:pt>
                  <c:pt idx="24">
                    <c:v>2010</c:v>
                  </c:pt>
                  <c:pt idx="36">
                    <c:v>2010</c:v>
                  </c:pt>
                </c:lvl>
              </c:multiLvlStrCache>
            </c:multiLvlStrRef>
          </c:cat>
          <c:val>
            <c:numRef>
              <c:f>Sheet1!$B$6:$BL$6</c:f>
              <c:numCache>
                <c:formatCode>0.0</c:formatCode>
                <c:ptCount val="39"/>
                <c:pt idx="0">
                  <c:v>11.2</c:v>
                </c:pt>
                <c:pt idx="1">
                  <c:v>7.3</c:v>
                </c:pt>
                <c:pt idx="2">
                  <c:v>-4.5999999999999996</c:v>
                </c:pt>
                <c:pt idx="3" formatCode="General">
                  <c:v>-6.7</c:v>
                </c:pt>
                <c:pt idx="4" formatCode="General">
                  <c:v>-19.100000000000001</c:v>
                </c:pt>
                <c:pt idx="5" formatCode="General">
                  <c:v>-24.5</c:v>
                </c:pt>
                <c:pt idx="6" formatCode="General">
                  <c:v>-27.8</c:v>
                </c:pt>
                <c:pt idx="7" formatCode="General">
                  <c:v>-35.6</c:v>
                </c:pt>
                <c:pt idx="8">
                  <c:v>-33.5</c:v>
                </c:pt>
                <c:pt idx="9">
                  <c:v>-42.9</c:v>
                </c:pt>
                <c:pt idx="10">
                  <c:v>-49.2</c:v>
                </c:pt>
                <c:pt idx="11" formatCode="General">
                  <c:v>-56.3</c:v>
                </c:pt>
                <c:pt idx="12" formatCode="General">
                  <c:v>-64.099999999999994</c:v>
                </c:pt>
                <c:pt idx="13" formatCode="General">
                  <c:v>-69.3</c:v>
                </c:pt>
                <c:pt idx="14" formatCode="General">
                  <c:v>-85.2</c:v>
                </c:pt>
                <c:pt idx="15" formatCode="General">
                  <c:v>-89</c:v>
                </c:pt>
                <c:pt idx="16" formatCode="General">
                  <c:v>-92.9</c:v>
                </c:pt>
                <c:pt idx="17" formatCode="General">
                  <c:v>-91.9</c:v>
                </c:pt>
                <c:pt idx="18" formatCode="General">
                  <c:v>-86.2</c:v>
                </c:pt>
                <c:pt idx="19" formatCode="General">
                  <c:v>-85.7</c:v>
                </c:pt>
                <c:pt idx="20" formatCode="General">
                  <c:v>-80.5</c:v>
                </c:pt>
                <c:pt idx="21" formatCode="General">
                  <c:v>-81.099999999999994</c:v>
                </c:pt>
                <c:pt idx="22">
                  <c:v>-76.099999999999994</c:v>
                </c:pt>
                <c:pt idx="23">
                  <c:v>-72.7</c:v>
                </c:pt>
                <c:pt idx="24">
                  <c:v>-66.099999999999994</c:v>
                </c:pt>
                <c:pt idx="25">
                  <c:v>-63.8</c:v>
                </c:pt>
                <c:pt idx="26">
                  <c:v>-56.6</c:v>
                </c:pt>
                <c:pt idx="27">
                  <c:v>-47.2</c:v>
                </c:pt>
                <c:pt idx="28" formatCode="General">
                  <c:v>-40.4</c:v>
                </c:pt>
                <c:pt idx="29" formatCode="General">
                  <c:v>-34.200000000000003</c:v>
                </c:pt>
                <c:pt idx="30" formatCode="General">
                  <c:v>-33</c:v>
                </c:pt>
                <c:pt idx="31" formatCode="General">
                  <c:v>-28.8</c:v>
                </c:pt>
                <c:pt idx="32" formatCode="General">
                  <c:v>-29</c:v>
                </c:pt>
                <c:pt idx="33" formatCode="General">
                  <c:v>-29.4</c:v>
                </c:pt>
                <c:pt idx="34" formatCode="General">
                  <c:v>-33.1</c:v>
                </c:pt>
                <c:pt idx="35" formatCode="General">
                  <c:v>-38.6</c:v>
                </c:pt>
                <c:pt idx="36" formatCode="General">
                  <c:v>-36.5</c:v>
                </c:pt>
                <c:pt idx="37" formatCode="General">
                  <c:v>-31.1</c:v>
                </c:pt>
                <c:pt idx="38" formatCode="General">
                  <c:v>-22</c:v>
                </c:pt>
              </c:numCache>
            </c:numRef>
          </c:val>
        </c:ser>
        <c:marker val="1"/>
        <c:axId val="278833792"/>
        <c:axId val="278844160"/>
      </c:lineChart>
      <c:catAx>
        <c:axId val="278833792"/>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844160"/>
        <c:crosses val="autoZero"/>
        <c:lblAlgn val="ctr"/>
        <c:lblOffset val="0"/>
        <c:tickLblSkip val="1"/>
        <c:tickMarkSkip val="1"/>
        <c:noMultiLvlLbl val="1"/>
      </c:catAx>
      <c:valAx>
        <c:axId val="278844160"/>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78833792"/>
        <c:crosses val="autoZero"/>
        <c:crossBetween val="midCat"/>
      </c:valAx>
      <c:spPr>
        <a:noFill/>
        <a:ln w="12700">
          <a:solidFill>
            <a:sysClr val="window" lastClr="FFFFFF">
              <a:lumMod val="85000"/>
            </a:sysClr>
          </a:solidFill>
        </a:ln>
      </c:spPr>
    </c:plotArea>
    <c:legend>
      <c:legendPos val="b"/>
      <c:layout>
        <c:manualLayout>
          <c:xMode val="edge"/>
          <c:yMode val="edge"/>
          <c:x val="0.72079438346069136"/>
          <c:y val="0.57779299326714595"/>
          <c:w val="0.24342639590848344"/>
          <c:h val="0.19977828302227538"/>
        </c:manualLayout>
      </c:layout>
      <c:spPr>
        <a:solidFill>
          <a:sysClr val="window" lastClr="FFFFFF"/>
        </a:solidFill>
      </c:spPr>
      <c:txPr>
        <a:bodyPr/>
        <a:lstStyle/>
        <a:p>
          <a:pPr>
            <a:defRPr lang="lv-LV" sz="8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399"/>
        </c:manualLayout>
      </c:layout>
      <c:lineChart>
        <c:grouping val="standard"/>
        <c:ser>
          <c:idx val="1"/>
          <c:order val="0"/>
          <c:tx>
            <c:strRef>
              <c:f>Sheet1!$A$2</c:f>
              <c:strCache>
                <c:ptCount val="1"/>
                <c:pt idx="0">
                  <c:v>2008</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336.9</c:v>
                </c:pt>
                <c:pt idx="1">
                  <c:v>380.9</c:v>
                </c:pt>
                <c:pt idx="2">
                  <c:v>383.2</c:v>
                </c:pt>
                <c:pt idx="3">
                  <c:v>410</c:v>
                </c:pt>
                <c:pt idx="4">
                  <c:v>407.7</c:v>
                </c:pt>
                <c:pt idx="5">
                  <c:v>372.3</c:v>
                </c:pt>
                <c:pt idx="6">
                  <c:v>400.9</c:v>
                </c:pt>
                <c:pt idx="7">
                  <c:v>393.9</c:v>
                </c:pt>
                <c:pt idx="8">
                  <c:v>441.7</c:v>
                </c:pt>
                <c:pt idx="9">
                  <c:v>415.5</c:v>
                </c:pt>
                <c:pt idx="10">
                  <c:v>331.7</c:v>
                </c:pt>
                <c:pt idx="11">
                  <c:v>312.5</c:v>
                </c:pt>
              </c:numCache>
            </c:numRef>
          </c:val>
        </c:ser>
        <c:ser>
          <c:idx val="0"/>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265.5</c:v>
                </c:pt>
                <c:pt idx="1">
                  <c:v>270.5</c:v>
                </c:pt>
                <c:pt idx="2">
                  <c:v>302.89999999999969</c:v>
                </c:pt>
                <c:pt idx="3">
                  <c:v>287.3</c:v>
                </c:pt>
                <c:pt idx="4">
                  <c:v>284.7</c:v>
                </c:pt>
                <c:pt idx="5">
                  <c:v>303.2</c:v>
                </c:pt>
                <c:pt idx="6">
                  <c:v>282.7</c:v>
                </c:pt>
                <c:pt idx="7">
                  <c:v>292.89999999999969</c:v>
                </c:pt>
                <c:pt idx="8">
                  <c:v>359</c:v>
                </c:pt>
                <c:pt idx="9">
                  <c:v>394.4</c:v>
                </c:pt>
                <c:pt idx="10">
                  <c:v>341.9</c:v>
                </c:pt>
                <c:pt idx="11">
                  <c:v>323.2</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273.60000000000002</c:v>
                </c:pt>
                <c:pt idx="1">
                  <c:v>317.39999999999969</c:v>
                </c:pt>
                <c:pt idx="2">
                  <c:v>374.5</c:v>
                </c:pt>
                <c:pt idx="3">
                  <c:v>383.3</c:v>
                </c:pt>
                <c:pt idx="4">
                  <c:v>382.9</c:v>
                </c:pt>
                <c:pt idx="5">
                  <c:v>373.8</c:v>
                </c:pt>
                <c:pt idx="6">
                  <c:v>399.3</c:v>
                </c:pt>
                <c:pt idx="7">
                  <c:v>421.9</c:v>
                </c:pt>
                <c:pt idx="8">
                  <c:v>470.5</c:v>
                </c:pt>
                <c:pt idx="9">
                  <c:v>461.8</c:v>
                </c:pt>
                <c:pt idx="10">
                  <c:v>479.7</c:v>
                </c:pt>
                <c:pt idx="11">
                  <c:v>428.1</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414.4</c:v>
                </c:pt>
                <c:pt idx="1">
                  <c:v>427.8</c:v>
                </c:pt>
              </c:numCache>
            </c:numRef>
          </c:val>
        </c:ser>
        <c:marker val="1"/>
        <c:axId val="263430912"/>
        <c:axId val="263432448"/>
      </c:lineChart>
      <c:catAx>
        <c:axId val="263430912"/>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3432448"/>
        <c:crosses val="autoZero"/>
        <c:auto val="1"/>
        <c:lblAlgn val="ctr"/>
        <c:lblOffset val="0"/>
        <c:tickLblSkip val="1"/>
        <c:tickMarkSkip val="1"/>
        <c:noMultiLvlLbl val="1"/>
      </c:catAx>
      <c:valAx>
        <c:axId val="263432448"/>
        <c:scaling>
          <c:orientation val="minMax"/>
          <c:max val="800"/>
          <c:min val="2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3430912"/>
        <c:crosses val="autoZero"/>
        <c:crossBetween val="between"/>
        <c:majorUnit val="100"/>
      </c:valAx>
      <c:spPr>
        <a:noFill/>
        <a:ln w="6350">
          <a:noFill/>
        </a:ln>
      </c:spPr>
    </c:plotArea>
    <c:legend>
      <c:legendPos val="b"/>
      <c:layout>
        <c:manualLayout>
          <c:xMode val="edge"/>
          <c:yMode val="edge"/>
          <c:x val="0.15712231463236759"/>
          <c:y val="6.9230429292929385E-2"/>
          <c:w val="0.35738594920563255"/>
          <c:h val="0.26274936868686871"/>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421"/>
        </c:manualLayout>
      </c:layout>
      <c:lineChart>
        <c:grouping val="standard"/>
        <c:ser>
          <c:idx val="1"/>
          <c:order val="0"/>
          <c:tx>
            <c:strRef>
              <c:f>Sheet1!$A$2</c:f>
              <c:strCache>
                <c:ptCount val="1"/>
                <c:pt idx="0">
                  <c:v>2008</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599.70000000000005</c:v>
                </c:pt>
                <c:pt idx="1">
                  <c:v>621.9</c:v>
                </c:pt>
                <c:pt idx="2">
                  <c:v>604.5</c:v>
                </c:pt>
                <c:pt idx="3">
                  <c:v>696.9</c:v>
                </c:pt>
                <c:pt idx="4">
                  <c:v>613.29999999999995</c:v>
                </c:pt>
                <c:pt idx="5">
                  <c:v>617.9</c:v>
                </c:pt>
                <c:pt idx="6">
                  <c:v>668.9</c:v>
                </c:pt>
                <c:pt idx="7">
                  <c:v>605.5</c:v>
                </c:pt>
                <c:pt idx="8">
                  <c:v>704.5</c:v>
                </c:pt>
                <c:pt idx="9">
                  <c:v>669.2</c:v>
                </c:pt>
                <c:pt idx="10">
                  <c:v>525.6</c:v>
                </c:pt>
                <c:pt idx="11">
                  <c:v>521.5</c:v>
                </c:pt>
              </c:numCache>
            </c:numRef>
          </c:val>
        </c:ser>
        <c:ser>
          <c:idx val="0"/>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391</c:v>
                </c:pt>
                <c:pt idx="1">
                  <c:v>380.3</c:v>
                </c:pt>
                <c:pt idx="2">
                  <c:v>410.7</c:v>
                </c:pt>
                <c:pt idx="3">
                  <c:v>372.4</c:v>
                </c:pt>
                <c:pt idx="4">
                  <c:v>353.4</c:v>
                </c:pt>
                <c:pt idx="5">
                  <c:v>361.6</c:v>
                </c:pt>
                <c:pt idx="6">
                  <c:v>371.2</c:v>
                </c:pt>
                <c:pt idx="7">
                  <c:v>372.6</c:v>
                </c:pt>
                <c:pt idx="8">
                  <c:v>416.8</c:v>
                </c:pt>
                <c:pt idx="9">
                  <c:v>410</c:v>
                </c:pt>
                <c:pt idx="10">
                  <c:v>396.3</c:v>
                </c:pt>
                <c:pt idx="11">
                  <c:v>403.3</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339.3</c:v>
                </c:pt>
                <c:pt idx="1">
                  <c:v>373.9</c:v>
                </c:pt>
                <c:pt idx="2">
                  <c:v>444.5</c:v>
                </c:pt>
                <c:pt idx="3">
                  <c:v>419.4</c:v>
                </c:pt>
                <c:pt idx="4">
                  <c:v>454</c:v>
                </c:pt>
                <c:pt idx="5">
                  <c:v>439.9</c:v>
                </c:pt>
                <c:pt idx="6">
                  <c:v>478</c:v>
                </c:pt>
                <c:pt idx="7">
                  <c:v>513.5</c:v>
                </c:pt>
                <c:pt idx="8">
                  <c:v>536</c:v>
                </c:pt>
                <c:pt idx="9">
                  <c:v>521.20000000000005</c:v>
                </c:pt>
                <c:pt idx="10">
                  <c:v>543.9</c:v>
                </c:pt>
                <c:pt idx="11">
                  <c:v>524.4</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464.5</c:v>
                </c:pt>
                <c:pt idx="1">
                  <c:v>494.3</c:v>
                </c:pt>
              </c:numCache>
            </c:numRef>
          </c:val>
        </c:ser>
        <c:marker val="1"/>
        <c:axId val="264048640"/>
        <c:axId val="264050176"/>
      </c:lineChart>
      <c:catAx>
        <c:axId val="264048640"/>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4050176"/>
        <c:crosses val="autoZero"/>
        <c:auto val="1"/>
        <c:lblAlgn val="ctr"/>
        <c:lblOffset val="0"/>
        <c:tickLblSkip val="1"/>
        <c:tickMarkSkip val="1"/>
        <c:noMultiLvlLbl val="1"/>
      </c:catAx>
      <c:valAx>
        <c:axId val="264050176"/>
        <c:scaling>
          <c:orientation val="minMax"/>
          <c:max val="800"/>
          <c:min val="2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4048640"/>
        <c:crosses val="autoZero"/>
        <c:crossBetween val="between"/>
        <c:majorUnit val="100"/>
      </c:valAx>
      <c:spPr>
        <a:noFill/>
        <a:ln w="6350">
          <a:noFill/>
        </a:ln>
      </c:spPr>
    </c:plotArea>
    <c:legend>
      <c:legendPos val="b"/>
      <c:layout>
        <c:manualLayout>
          <c:xMode val="edge"/>
          <c:yMode val="edge"/>
          <c:x val="0.40853767800197477"/>
          <c:y val="0.63848547979797976"/>
          <c:w val="0.53511060262207943"/>
          <c:h val="0.15851957070707096"/>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70327414934E-2"/>
          <c:y val="3.493889435695538E-2"/>
          <c:w val="0.92349256646254851"/>
          <c:h val="0.78414622641512699"/>
        </c:manualLayout>
      </c:layout>
      <c:lineChart>
        <c:grouping val="standard"/>
        <c:ser>
          <c:idx val="1"/>
          <c:order val="0"/>
          <c:tx>
            <c:strRef>
              <c:f>Sheet1!$A$3</c:f>
              <c:strCache>
                <c:ptCount val="1"/>
                <c:pt idx="0">
                  <c:v>Eksports</c:v>
                </c:pt>
              </c:strCache>
            </c:strRef>
          </c:tx>
          <c:spPr>
            <a:ln w="38100">
              <a:solidFill>
                <a:srgbClr val="0070C0"/>
              </a:solidFill>
              <a:prstDash val="solid"/>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2007</c:v>
                  </c:pt>
                </c:lvl>
              </c:multiLvlStrCache>
            </c:multiLvlStrRef>
          </c:cat>
          <c:val>
            <c:numRef>
              <c:f>Sheet1!$B$3:$BK$3</c:f>
              <c:numCache>
                <c:formatCode>0.0</c:formatCode>
                <c:ptCount val="38"/>
                <c:pt idx="0">
                  <c:v>154</c:v>
                </c:pt>
                <c:pt idx="1">
                  <c:v>158</c:v>
                </c:pt>
                <c:pt idx="2">
                  <c:v>176.3</c:v>
                </c:pt>
                <c:pt idx="3">
                  <c:v>174.7</c:v>
                </c:pt>
                <c:pt idx="4">
                  <c:v>174.2</c:v>
                </c:pt>
                <c:pt idx="5">
                  <c:v>186.1</c:v>
                </c:pt>
                <c:pt idx="6">
                  <c:v>191.4</c:v>
                </c:pt>
                <c:pt idx="7">
                  <c:v>196.6</c:v>
                </c:pt>
                <c:pt idx="8">
                  <c:v>186.6</c:v>
                </c:pt>
                <c:pt idx="9">
                  <c:v>187.5</c:v>
                </c:pt>
                <c:pt idx="10">
                  <c:v>186.9</c:v>
                </c:pt>
                <c:pt idx="11">
                  <c:v>197.4</c:v>
                </c:pt>
                <c:pt idx="12">
                  <c:v>166.4</c:v>
                </c:pt>
                <c:pt idx="13">
                  <c:v>161.30000000000001</c:v>
                </c:pt>
                <c:pt idx="14">
                  <c:v>150.4</c:v>
                </c:pt>
                <c:pt idx="15">
                  <c:v>153.19999999999999</c:v>
                </c:pt>
                <c:pt idx="16">
                  <c:v>155.80000000000001</c:v>
                </c:pt>
                <c:pt idx="17">
                  <c:v>166.9</c:v>
                </c:pt>
                <c:pt idx="18">
                  <c:v>168.3</c:v>
                </c:pt>
                <c:pt idx="19">
                  <c:v>168.1</c:v>
                </c:pt>
                <c:pt idx="20">
                  <c:v>157.19999999999999</c:v>
                </c:pt>
                <c:pt idx="21">
                  <c:v>179.2</c:v>
                </c:pt>
                <c:pt idx="22">
                  <c:v>153.5</c:v>
                </c:pt>
                <c:pt idx="23">
                  <c:v>156.9</c:v>
                </c:pt>
                <c:pt idx="24">
                  <c:v>140.1</c:v>
                </c:pt>
                <c:pt idx="25">
                  <c:v>139.4</c:v>
                </c:pt>
                <c:pt idx="26">
                  <c:v>152.5</c:v>
                </c:pt>
                <c:pt idx="27">
                  <c:v>148.80000000000001</c:v>
                </c:pt>
                <c:pt idx="28">
                  <c:v>158.6</c:v>
                </c:pt>
                <c:pt idx="29">
                  <c:v>177.5</c:v>
                </c:pt>
                <c:pt idx="30">
                  <c:v>179.9</c:v>
                </c:pt>
                <c:pt idx="31">
                  <c:v>178.4</c:v>
                </c:pt>
                <c:pt idx="32">
                  <c:v>169.4</c:v>
                </c:pt>
                <c:pt idx="33">
                  <c:v>175.8</c:v>
                </c:pt>
                <c:pt idx="34" formatCode="General">
                  <c:v>172.6</c:v>
                </c:pt>
                <c:pt idx="35" formatCode="General">
                  <c:v>171.6</c:v>
                </c:pt>
                <c:pt idx="36" formatCode="General">
                  <c:v>147.4</c:v>
                </c:pt>
                <c:pt idx="37" formatCode="General">
                  <c:v>141.9</c:v>
                </c:pt>
              </c:numCache>
            </c:numRef>
          </c:val>
        </c:ser>
        <c:ser>
          <c:idx val="0"/>
          <c:order val="1"/>
          <c:tx>
            <c:strRef>
              <c:f>Sheet1!$A$4</c:f>
              <c:strCache>
                <c:ptCount val="1"/>
                <c:pt idx="0">
                  <c:v>Imports</c:v>
                </c:pt>
              </c:strCache>
            </c:strRef>
          </c:tx>
          <c:spPr>
            <a:ln w="25400">
              <a:solidFill>
                <a:srgbClr val="000000"/>
              </a:solidFill>
              <a:prstDash val="sysDot"/>
            </a:ln>
          </c:spPr>
          <c:marker>
            <c:symbol val="none"/>
          </c:marker>
          <c:cat>
            <c:multiLvlStrRef>
              <c:f>Sheet1!$B$1:$BK$2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2008</c:v>
                  </c:pt>
                  <c:pt idx="12">
                    <c:v>2009</c:v>
                  </c:pt>
                  <c:pt idx="24">
                    <c:v>2010</c:v>
                  </c:pt>
                  <c:pt idx="36">
                    <c:v>2007</c:v>
                  </c:pt>
                </c:lvl>
              </c:multiLvlStrCache>
            </c:multiLvlStrRef>
          </c:cat>
          <c:val>
            <c:numRef>
              <c:f>Sheet1!$B$4:$BK$4</c:f>
              <c:numCache>
                <c:formatCode>0.0</c:formatCode>
                <c:ptCount val="38"/>
                <c:pt idx="0">
                  <c:v>110.8</c:v>
                </c:pt>
                <c:pt idx="1">
                  <c:v>109.6</c:v>
                </c:pt>
                <c:pt idx="2">
                  <c:v>127.8</c:v>
                </c:pt>
                <c:pt idx="3">
                  <c:v>117.1</c:v>
                </c:pt>
                <c:pt idx="4">
                  <c:v>120.8</c:v>
                </c:pt>
                <c:pt idx="5">
                  <c:v>121.5</c:v>
                </c:pt>
                <c:pt idx="6">
                  <c:v>141.6</c:v>
                </c:pt>
                <c:pt idx="7">
                  <c:v>144.80000000000001</c:v>
                </c:pt>
                <c:pt idx="8">
                  <c:v>129.30000000000001</c:v>
                </c:pt>
                <c:pt idx="9">
                  <c:v>151.19999999999999</c:v>
                </c:pt>
                <c:pt idx="10">
                  <c:v>130.19999999999999</c:v>
                </c:pt>
                <c:pt idx="11">
                  <c:v>120.8</c:v>
                </c:pt>
                <c:pt idx="12">
                  <c:v>89</c:v>
                </c:pt>
                <c:pt idx="13">
                  <c:v>84.4</c:v>
                </c:pt>
                <c:pt idx="14">
                  <c:v>100.5</c:v>
                </c:pt>
                <c:pt idx="15">
                  <c:v>90.3</c:v>
                </c:pt>
                <c:pt idx="16">
                  <c:v>90.8</c:v>
                </c:pt>
                <c:pt idx="17">
                  <c:v>96.4</c:v>
                </c:pt>
                <c:pt idx="18">
                  <c:v>104.5</c:v>
                </c:pt>
                <c:pt idx="19">
                  <c:v>103.5</c:v>
                </c:pt>
                <c:pt idx="20">
                  <c:v>93.6</c:v>
                </c:pt>
                <c:pt idx="21">
                  <c:v>98.2</c:v>
                </c:pt>
                <c:pt idx="22">
                  <c:v>98.9</c:v>
                </c:pt>
                <c:pt idx="23">
                  <c:v>96.6</c:v>
                </c:pt>
                <c:pt idx="24">
                  <c:v>77.2</c:v>
                </c:pt>
                <c:pt idx="25">
                  <c:v>85.6</c:v>
                </c:pt>
                <c:pt idx="26">
                  <c:v>87.7</c:v>
                </c:pt>
                <c:pt idx="27">
                  <c:v>88</c:v>
                </c:pt>
                <c:pt idx="28">
                  <c:v>90.9</c:v>
                </c:pt>
                <c:pt idx="29">
                  <c:v>96.4</c:v>
                </c:pt>
                <c:pt idx="30">
                  <c:v>104.1</c:v>
                </c:pt>
                <c:pt idx="31">
                  <c:v>110.6</c:v>
                </c:pt>
                <c:pt idx="32">
                  <c:v>107.1</c:v>
                </c:pt>
                <c:pt idx="33">
                  <c:v>106.3</c:v>
                </c:pt>
                <c:pt idx="34" formatCode="General">
                  <c:v>110.6</c:v>
                </c:pt>
                <c:pt idx="35" formatCode="General">
                  <c:v>112.6</c:v>
                </c:pt>
                <c:pt idx="36" formatCode="General">
                  <c:v>85.4</c:v>
                </c:pt>
                <c:pt idx="37" formatCode="General">
                  <c:v>92.1</c:v>
                </c:pt>
              </c:numCache>
            </c:numRef>
          </c:val>
        </c:ser>
        <c:marker val="1"/>
        <c:axId val="264099328"/>
        <c:axId val="264100864"/>
      </c:lineChart>
      <c:catAx>
        <c:axId val="26409932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4100864"/>
        <c:crosses val="autoZero"/>
        <c:auto val="1"/>
        <c:lblAlgn val="ctr"/>
        <c:lblOffset val="0"/>
        <c:tickLblSkip val="1"/>
        <c:tickMarkSkip val="1"/>
        <c:noMultiLvlLbl val="1"/>
      </c:catAx>
      <c:valAx>
        <c:axId val="264100864"/>
        <c:scaling>
          <c:orientation val="minMax"/>
          <c:max val="220"/>
          <c:min val="60"/>
        </c:scaling>
        <c:axPos val="l"/>
        <c:majorGridlines>
          <c:spPr>
            <a:ln w="6350">
              <a:solidFill>
                <a:sysClr val="window" lastClr="FFFFFF">
                  <a:lumMod val="85000"/>
                </a:sysClr>
              </a:solidFill>
              <a:prstDash val="solid"/>
            </a:ln>
          </c:spPr>
        </c:majorGridlines>
        <c:numFmt formatCode="0" sourceLinked="0"/>
        <c:majorTickMark val="none"/>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4099328"/>
        <c:crosses val="autoZero"/>
        <c:crossBetween val="between"/>
      </c:valAx>
      <c:spPr>
        <a:noFill/>
        <a:ln w="6350">
          <a:solidFill>
            <a:sysClr val="window" lastClr="FFFFFF">
              <a:lumMod val="75000"/>
            </a:sysClr>
          </a:solidFill>
        </a:ln>
      </c:spPr>
    </c:plotArea>
    <c:legend>
      <c:legendPos val="b"/>
      <c:layout>
        <c:manualLayout>
          <c:xMode val="edge"/>
          <c:yMode val="edge"/>
          <c:x val="0.16655651894669235"/>
          <c:y val="0.62993762449717805"/>
          <c:w val="0.15540273042391844"/>
          <c:h val="0.16628634951007329"/>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421"/>
        </c:manualLayout>
      </c:layout>
      <c:lineChart>
        <c:grouping val="standard"/>
        <c:ser>
          <c:idx val="1"/>
          <c:order val="0"/>
          <c:tx>
            <c:strRef>
              <c:f>Sheet1!$A$2</c:f>
              <c:strCache>
                <c:ptCount val="1"/>
                <c:pt idx="0">
                  <c:v>2008</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154</c:v>
                </c:pt>
                <c:pt idx="1">
                  <c:v>158</c:v>
                </c:pt>
                <c:pt idx="2">
                  <c:v>176.3</c:v>
                </c:pt>
                <c:pt idx="3">
                  <c:v>174.7</c:v>
                </c:pt>
                <c:pt idx="4">
                  <c:v>174.2</c:v>
                </c:pt>
                <c:pt idx="5">
                  <c:v>186.1</c:v>
                </c:pt>
                <c:pt idx="6">
                  <c:v>191.4</c:v>
                </c:pt>
                <c:pt idx="7">
                  <c:v>196.6</c:v>
                </c:pt>
                <c:pt idx="8">
                  <c:v>186.6</c:v>
                </c:pt>
                <c:pt idx="9">
                  <c:v>187.5</c:v>
                </c:pt>
                <c:pt idx="10">
                  <c:v>186.9</c:v>
                </c:pt>
                <c:pt idx="11">
                  <c:v>197.4</c:v>
                </c:pt>
              </c:numCache>
            </c:numRef>
          </c:val>
        </c:ser>
        <c:ser>
          <c:idx val="0"/>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166.4</c:v>
                </c:pt>
                <c:pt idx="1">
                  <c:v>161.30000000000001</c:v>
                </c:pt>
                <c:pt idx="2">
                  <c:v>150.4</c:v>
                </c:pt>
                <c:pt idx="3">
                  <c:v>153.19999999999999</c:v>
                </c:pt>
                <c:pt idx="4">
                  <c:v>155.80000000000001</c:v>
                </c:pt>
                <c:pt idx="5">
                  <c:v>166.9</c:v>
                </c:pt>
                <c:pt idx="6">
                  <c:v>168.3</c:v>
                </c:pt>
                <c:pt idx="7">
                  <c:v>168.1</c:v>
                </c:pt>
                <c:pt idx="8">
                  <c:v>157.19999999999999</c:v>
                </c:pt>
                <c:pt idx="9">
                  <c:v>179.2</c:v>
                </c:pt>
                <c:pt idx="10">
                  <c:v>153.5</c:v>
                </c:pt>
                <c:pt idx="11">
                  <c:v>156.9</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140.1</c:v>
                </c:pt>
                <c:pt idx="1">
                  <c:v>139.4</c:v>
                </c:pt>
                <c:pt idx="2">
                  <c:v>152.5</c:v>
                </c:pt>
                <c:pt idx="3">
                  <c:v>148.80000000000001</c:v>
                </c:pt>
                <c:pt idx="4">
                  <c:v>158.6</c:v>
                </c:pt>
                <c:pt idx="5">
                  <c:v>177.5</c:v>
                </c:pt>
                <c:pt idx="6">
                  <c:v>179.9</c:v>
                </c:pt>
                <c:pt idx="7">
                  <c:v>178.4</c:v>
                </c:pt>
                <c:pt idx="8">
                  <c:v>169.4</c:v>
                </c:pt>
                <c:pt idx="9">
                  <c:v>175.8</c:v>
                </c:pt>
                <c:pt idx="10">
                  <c:v>172.6</c:v>
                </c:pt>
                <c:pt idx="11">
                  <c:v>171.6</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147.4</c:v>
                </c:pt>
                <c:pt idx="1">
                  <c:v>141.9</c:v>
                </c:pt>
              </c:numCache>
            </c:numRef>
          </c:val>
        </c:ser>
        <c:marker val="1"/>
        <c:axId val="263873280"/>
        <c:axId val="263874816"/>
      </c:lineChart>
      <c:catAx>
        <c:axId val="263873280"/>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3874816"/>
        <c:crosses val="autoZero"/>
        <c:auto val="1"/>
        <c:lblAlgn val="ctr"/>
        <c:lblOffset val="0"/>
        <c:tickLblSkip val="1"/>
        <c:tickMarkSkip val="1"/>
        <c:noMultiLvlLbl val="1"/>
      </c:catAx>
      <c:valAx>
        <c:axId val="263874816"/>
        <c:scaling>
          <c:orientation val="minMax"/>
          <c:max val="20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3873280"/>
        <c:crosses val="autoZero"/>
        <c:crossBetween val="between"/>
      </c:valAx>
      <c:spPr>
        <a:noFill/>
        <a:ln w="6350">
          <a:noFill/>
        </a:ln>
      </c:spPr>
    </c:plotArea>
    <c:legend>
      <c:legendPos val="b"/>
      <c:layout>
        <c:manualLayout>
          <c:xMode val="edge"/>
          <c:yMode val="edge"/>
          <c:x val="0.1441180716994567"/>
          <c:y val="0.54227335858585868"/>
          <c:w val="0.35738594920563277"/>
          <c:h val="0.26274936868686871"/>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443"/>
        </c:manualLayout>
      </c:layout>
      <c:lineChart>
        <c:grouping val="standard"/>
        <c:ser>
          <c:idx val="1"/>
          <c:order val="0"/>
          <c:tx>
            <c:strRef>
              <c:f>Sheet1!$A$2</c:f>
              <c:strCache>
                <c:ptCount val="1"/>
                <c:pt idx="0">
                  <c:v>2008</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110.8</c:v>
                </c:pt>
                <c:pt idx="1">
                  <c:v>109.6</c:v>
                </c:pt>
                <c:pt idx="2">
                  <c:v>127.8</c:v>
                </c:pt>
                <c:pt idx="3">
                  <c:v>117.1</c:v>
                </c:pt>
                <c:pt idx="4">
                  <c:v>120.8</c:v>
                </c:pt>
                <c:pt idx="5">
                  <c:v>121.5</c:v>
                </c:pt>
                <c:pt idx="6">
                  <c:v>141.6</c:v>
                </c:pt>
                <c:pt idx="7">
                  <c:v>144.80000000000001</c:v>
                </c:pt>
                <c:pt idx="8">
                  <c:v>129.30000000000001</c:v>
                </c:pt>
                <c:pt idx="9">
                  <c:v>151.19999999999999</c:v>
                </c:pt>
                <c:pt idx="10">
                  <c:v>130.19999999999999</c:v>
                </c:pt>
                <c:pt idx="11">
                  <c:v>120.8</c:v>
                </c:pt>
              </c:numCache>
            </c:numRef>
          </c:val>
        </c:ser>
        <c:ser>
          <c:idx val="0"/>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89</c:v>
                </c:pt>
                <c:pt idx="1">
                  <c:v>84.4</c:v>
                </c:pt>
                <c:pt idx="2">
                  <c:v>100.5</c:v>
                </c:pt>
                <c:pt idx="3">
                  <c:v>90.3</c:v>
                </c:pt>
                <c:pt idx="4">
                  <c:v>90.8</c:v>
                </c:pt>
                <c:pt idx="5">
                  <c:v>96.4</c:v>
                </c:pt>
                <c:pt idx="6">
                  <c:v>104.5</c:v>
                </c:pt>
                <c:pt idx="7">
                  <c:v>103.5</c:v>
                </c:pt>
                <c:pt idx="8">
                  <c:v>93.6</c:v>
                </c:pt>
                <c:pt idx="9">
                  <c:v>98.2</c:v>
                </c:pt>
                <c:pt idx="10">
                  <c:v>98.9</c:v>
                </c:pt>
                <c:pt idx="11">
                  <c:v>96.6</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77.2</c:v>
                </c:pt>
                <c:pt idx="1">
                  <c:v>85.6</c:v>
                </c:pt>
                <c:pt idx="2">
                  <c:v>87.7</c:v>
                </c:pt>
                <c:pt idx="3">
                  <c:v>88</c:v>
                </c:pt>
                <c:pt idx="4">
                  <c:v>90.9</c:v>
                </c:pt>
                <c:pt idx="5">
                  <c:v>96.4</c:v>
                </c:pt>
                <c:pt idx="6">
                  <c:v>104.1</c:v>
                </c:pt>
                <c:pt idx="7">
                  <c:v>110.6</c:v>
                </c:pt>
                <c:pt idx="8">
                  <c:v>107.1</c:v>
                </c:pt>
                <c:pt idx="9">
                  <c:v>106.3</c:v>
                </c:pt>
                <c:pt idx="10">
                  <c:v>110.6</c:v>
                </c:pt>
                <c:pt idx="11">
                  <c:v>112.6</c:v>
                </c:pt>
              </c:numCache>
            </c:numRef>
          </c:val>
        </c:ser>
        <c:ser>
          <c:idx val="3"/>
          <c:order val="3"/>
          <c:tx>
            <c:strRef>
              <c:f>Sheet1!$A$5</c:f>
              <c:strCache>
                <c:ptCount val="1"/>
                <c:pt idx="0">
                  <c:v>2011</c:v>
                </c:pt>
              </c:strCache>
            </c:strRef>
          </c:tx>
          <c:spPr>
            <a:ln w="38100">
              <a:solidFill>
                <a:srgbClr val="0070C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85.4</c:v>
                </c:pt>
                <c:pt idx="1">
                  <c:v>92.1</c:v>
                </c:pt>
              </c:numCache>
            </c:numRef>
          </c:val>
        </c:ser>
        <c:marker val="1"/>
        <c:axId val="264364032"/>
        <c:axId val="264365568"/>
      </c:lineChart>
      <c:catAx>
        <c:axId val="264364032"/>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4365568"/>
        <c:crosses val="autoZero"/>
        <c:auto val="1"/>
        <c:lblAlgn val="ctr"/>
        <c:lblOffset val="0"/>
        <c:tickLblSkip val="1"/>
        <c:tickMarkSkip val="1"/>
        <c:noMultiLvlLbl val="1"/>
      </c:catAx>
      <c:valAx>
        <c:axId val="264365568"/>
        <c:scaling>
          <c:orientation val="minMax"/>
          <c:max val="20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64364032"/>
        <c:crosses val="autoZero"/>
        <c:crossBetween val="between"/>
      </c:valAx>
      <c:spPr>
        <a:noFill/>
        <a:ln w="6350">
          <a:noFill/>
        </a:ln>
      </c:spPr>
    </c:plotArea>
    <c:legend>
      <c:legendPos val="b"/>
      <c:layout>
        <c:manualLayout>
          <c:xMode val="edge"/>
          <c:yMode val="edge"/>
          <c:x val="0.1441180716994567"/>
          <c:y val="2.9142045454545486E-2"/>
          <c:w val="0.35738594920563294"/>
          <c:h val="0.26274936868686871"/>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7470469097457"/>
          <c:y val="3.6529680365296795E-2"/>
          <c:w val="0.83329436136420054"/>
          <c:h val="0.8582868055555557"/>
        </c:manualLayout>
      </c:layout>
      <c:barChart>
        <c:barDir val="col"/>
        <c:grouping val="stacked"/>
        <c:ser>
          <c:idx val="1"/>
          <c:order val="0"/>
          <c:tx>
            <c:strRef>
              <c:f>Sheet1!$A$3</c:f>
              <c:strCache>
                <c:ptCount val="1"/>
                <c:pt idx="0">
                  <c:v>Tekošais un kapitāla konts</c:v>
                </c:pt>
              </c:strCache>
            </c:strRef>
          </c:tx>
          <c:spPr>
            <a:solidFill>
              <a:sysClr val="window" lastClr="FFFFFF">
                <a:lumMod val="75000"/>
              </a:sysClr>
            </a:solidFill>
            <a:ln w="6350">
              <a:solidFill>
                <a:sysClr val="windowText" lastClr="000000"/>
              </a:solidFill>
              <a:prstDash val="solid"/>
            </a:ln>
          </c:spP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Sheet1!$B$3:$Y$3</c:f>
              <c:numCache>
                <c:formatCode>0.000</c:formatCode>
                <c:ptCount val="16"/>
                <c:pt idx="0">
                  <c:v>-0.22489182418583464</c:v>
                </c:pt>
                <c:pt idx="1">
                  <c:v>-0.2220241208194568</c:v>
                </c:pt>
                <c:pt idx="2">
                  <c:v>-0.24293954505800724</c:v>
                </c:pt>
                <c:pt idx="3">
                  <c:v>-0.13619898140044542</c:v>
                </c:pt>
                <c:pt idx="4">
                  <c:v>-0.1571340204482104</c:v>
                </c:pt>
                <c:pt idx="5">
                  <c:v>-0.12328232730595792</c:v>
                </c:pt>
                <c:pt idx="6">
                  <c:v>-0.11834370341603258</c:v>
                </c:pt>
                <c:pt idx="7">
                  <c:v>-6.713021171703655E-2</c:v>
                </c:pt>
                <c:pt idx="8">
                  <c:v>4.1015342821166451E-2</c:v>
                </c:pt>
                <c:pt idx="9">
                  <c:v>0.16418183467511965</c:v>
                </c:pt>
                <c:pt idx="10">
                  <c:v>0.10703404259942477</c:v>
                </c:pt>
                <c:pt idx="11">
                  <c:v>0.12979845754609987</c:v>
                </c:pt>
                <c:pt idx="12">
                  <c:v>0.12026612077789173</c:v>
                </c:pt>
                <c:pt idx="13">
                  <c:v>7.2648586725642603E-2</c:v>
                </c:pt>
                <c:pt idx="14">
                  <c:v>3.1872776273771705E-2</c:v>
                </c:pt>
                <c:pt idx="15" formatCode="General">
                  <c:v>7.9435025627942694E-3</c:v>
                </c:pt>
              </c:numCache>
            </c:numRef>
          </c:val>
        </c:ser>
        <c:ser>
          <c:idx val="0"/>
          <c:order val="1"/>
          <c:tx>
            <c:strRef>
              <c:f>Sheet1!$A$4</c:f>
              <c:strCache>
                <c:ptCount val="1"/>
                <c:pt idx="0">
                  <c:v>Finanšu konts</c:v>
                </c:pt>
              </c:strCache>
            </c:strRef>
          </c:tx>
          <c:spPr>
            <a:solidFill>
              <a:srgbClr val="0070C0"/>
            </a:solidFill>
            <a:ln w="6350">
              <a:solidFill>
                <a:sysClr val="windowText" lastClr="000000"/>
              </a:solidFill>
            </a:ln>
          </c:spP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Sheet1!$B$4:$Y$4</c:f>
              <c:numCache>
                <c:formatCode>0.000</c:formatCode>
                <c:ptCount val="16"/>
                <c:pt idx="0">
                  <c:v>0.26529600836421607</c:v>
                </c:pt>
                <c:pt idx="1">
                  <c:v>0.23160789581885782</c:v>
                </c:pt>
                <c:pt idx="2">
                  <c:v>0.26072577179984718</c:v>
                </c:pt>
                <c:pt idx="3">
                  <c:v>0.12099989590641926</c:v>
                </c:pt>
                <c:pt idx="4">
                  <c:v>0.1943121002523579</c:v>
                </c:pt>
                <c:pt idx="5">
                  <c:v>0.11863648979675899</c:v>
                </c:pt>
                <c:pt idx="6">
                  <c:v>0.1324418950545882</c:v>
                </c:pt>
                <c:pt idx="7">
                  <c:v>9.4660726958003608E-2</c:v>
                </c:pt>
                <c:pt idx="8">
                  <c:v>-4.1982543241415038E-2</c:v>
                </c:pt>
                <c:pt idx="9">
                  <c:v>-0.19085689205942521</c:v>
                </c:pt>
                <c:pt idx="10">
                  <c:v>-0.11553964807281304</c:v>
                </c:pt>
                <c:pt idx="11">
                  <c:v>-0.12385325241629028</c:v>
                </c:pt>
                <c:pt idx="12">
                  <c:v>-0.12692615078307931</c:v>
                </c:pt>
                <c:pt idx="13">
                  <c:v>-5.807431921782643E-2</c:v>
                </c:pt>
                <c:pt idx="14">
                  <c:v>-4.6882453565709879E-2</c:v>
                </c:pt>
                <c:pt idx="15" formatCode="General">
                  <c:v>5.8271679384001704E-3</c:v>
                </c:pt>
              </c:numCache>
            </c:numRef>
          </c:val>
        </c:ser>
        <c:gapWidth val="20"/>
        <c:overlap val="100"/>
        <c:axId val="264323072"/>
        <c:axId val="264324608"/>
      </c:barChart>
      <c:lineChart>
        <c:grouping val="standard"/>
        <c:ser>
          <c:idx val="2"/>
          <c:order val="2"/>
          <c:tx>
            <c:strRef>
              <c:f>Sheet1!$A$5</c:f>
              <c:strCache>
                <c:ptCount val="1"/>
                <c:pt idx="0">
                  <c:v>Rezerves aktīvi</c:v>
                </c:pt>
              </c:strCache>
            </c:strRef>
          </c:tx>
          <c:spPr>
            <a:ln w="15875">
              <a:solidFill>
                <a:sysClr val="windowText" lastClr="000000"/>
              </a:solidFill>
            </a:ln>
          </c:spPr>
          <c:marker>
            <c:symbol val="none"/>
          </c:marke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Sheet1!$B$5:$Y$5</c:f>
              <c:numCache>
                <c:formatCode>0.000</c:formatCode>
                <c:ptCount val="16"/>
                <c:pt idx="0">
                  <c:v>-1.4718898159458395E-2</c:v>
                </c:pt>
                <c:pt idx="1">
                  <c:v>-4.3182066663967775E-2</c:v>
                </c:pt>
                <c:pt idx="2">
                  <c:v>-4.9270191794377673E-2</c:v>
                </c:pt>
                <c:pt idx="3">
                  <c:v>-2.6272366189361688E-2</c:v>
                </c:pt>
                <c:pt idx="4">
                  <c:v>-5.3675019874948403E-2</c:v>
                </c:pt>
                <c:pt idx="5">
                  <c:v>-1.1878017549291978E-2</c:v>
                </c:pt>
                <c:pt idx="6">
                  <c:v>6.0829760877017316E-3</c:v>
                </c:pt>
                <c:pt idx="7">
                  <c:v>0.13413751934817567</c:v>
                </c:pt>
                <c:pt idx="8">
                  <c:v>0.10004479346946277</c:v>
                </c:pt>
                <c:pt idx="9">
                  <c:v>9.5323661853680006E-2</c:v>
                </c:pt>
                <c:pt idx="10">
                  <c:v>-0.36272992684868882</c:v>
                </c:pt>
                <c:pt idx="11">
                  <c:v>-3.9997846030392761E-2</c:v>
                </c:pt>
                <c:pt idx="12">
                  <c:v>-0.1578777639124522</c:v>
                </c:pt>
                <c:pt idx="13">
                  <c:v>5.1805474896778912E-2</c:v>
                </c:pt>
                <c:pt idx="14">
                  <c:v>-9.9234020314717231E-2</c:v>
                </c:pt>
                <c:pt idx="15" formatCode="General">
                  <c:v>3.041143864369044E-2</c:v>
                </c:pt>
              </c:numCache>
            </c:numRef>
          </c:val>
        </c:ser>
        <c:marker val="1"/>
        <c:axId val="264323072"/>
        <c:axId val="264324608"/>
      </c:lineChart>
      <c:catAx>
        <c:axId val="26432307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64324608"/>
        <c:crosses val="autoZero"/>
        <c:auto val="1"/>
        <c:lblAlgn val="ctr"/>
        <c:lblOffset val="0"/>
        <c:tickLblSkip val="1"/>
        <c:tickMarkSkip val="1"/>
        <c:noMultiLvlLbl val="1"/>
      </c:catAx>
      <c:valAx>
        <c:axId val="26432460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64323072"/>
        <c:crosses val="autoZero"/>
        <c:crossBetween val="between"/>
      </c:valAx>
      <c:spPr>
        <a:noFill/>
        <a:ln w="25395">
          <a:noFill/>
        </a:ln>
      </c:spPr>
    </c:plotArea>
    <c:legend>
      <c:legendPos val="b"/>
      <c:layout>
        <c:manualLayout>
          <c:xMode val="edge"/>
          <c:yMode val="edge"/>
          <c:x val="0.31049280224327025"/>
          <c:y val="1.9443554881376644E-2"/>
          <c:w val="0.68607408841630868"/>
          <c:h val="0.1116498605747228"/>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7470469097457"/>
          <c:y val="3.6529680365296795E-2"/>
          <c:w val="0.83329436136420054"/>
          <c:h val="0.8582868055555557"/>
        </c:manualLayout>
      </c:layout>
      <c:barChart>
        <c:barDir val="col"/>
        <c:grouping val="stacked"/>
        <c:ser>
          <c:idx val="0"/>
          <c:order val="1"/>
          <c:tx>
            <c:strRef>
              <c:f>Sheet1!$A$4</c:f>
              <c:strCache>
                <c:ptCount val="1"/>
                <c:pt idx="0">
                  <c:v>Preces</c:v>
                </c:pt>
              </c:strCache>
            </c:strRef>
          </c:tx>
          <c:spPr>
            <a:solidFill>
              <a:sysClr val="window" lastClr="FFFFFF"/>
            </a:solidFill>
            <a:ln w="3175">
              <a:solidFill>
                <a:sysClr val="windowText" lastClr="000000"/>
              </a:solidFill>
            </a:ln>
          </c:spP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Sheet1!$B$4:$Y$4</c:f>
              <c:numCache>
                <c:formatCode>0.000</c:formatCode>
                <c:ptCount val="16"/>
                <c:pt idx="0">
                  <c:v>-0.25449136663837174</c:v>
                </c:pt>
                <c:pt idx="1">
                  <c:v>-0.24942600623441091</c:v>
                </c:pt>
                <c:pt idx="2">
                  <c:v>-0.25486647309279886</c:v>
                </c:pt>
                <c:pt idx="3">
                  <c:v>-0.20510466384294054</c:v>
                </c:pt>
                <c:pt idx="4">
                  <c:v>-0.19327271307503766</c:v>
                </c:pt>
                <c:pt idx="5">
                  <c:v>-0.17678130150982563</c:v>
                </c:pt>
                <c:pt idx="6">
                  <c:v>-0.17709809598077494</c:v>
                </c:pt>
                <c:pt idx="7">
                  <c:v>-0.16139764560016892</c:v>
                </c:pt>
                <c:pt idx="8">
                  <c:v>-0.10373224507166075</c:v>
                </c:pt>
                <c:pt idx="9">
                  <c:v>-6.3529149011780375E-2</c:v>
                </c:pt>
                <c:pt idx="10">
                  <c:v>-7.0186766333323533E-2</c:v>
                </c:pt>
                <c:pt idx="11">
                  <c:v>-4.6721219370910096E-2</c:v>
                </c:pt>
                <c:pt idx="12">
                  <c:v>-6.7371461420899864E-2</c:v>
                </c:pt>
                <c:pt idx="13">
                  <c:v>-5.5146737098352439E-2</c:v>
                </c:pt>
                <c:pt idx="14">
                  <c:v>-7.1614998739065572E-2</c:v>
                </c:pt>
                <c:pt idx="15" formatCode="General">
                  <c:v>-6.3779947584479441E-2</c:v>
                </c:pt>
              </c:numCache>
            </c:numRef>
          </c:val>
        </c:ser>
        <c:ser>
          <c:idx val="2"/>
          <c:order val="2"/>
          <c:tx>
            <c:strRef>
              <c:f>Sheet1!$A$5</c:f>
              <c:strCache>
                <c:ptCount val="1"/>
                <c:pt idx="0">
                  <c:v>Pakalpojumi</c:v>
                </c:pt>
              </c:strCache>
            </c:strRef>
          </c:tx>
          <c:spPr>
            <a:solidFill>
              <a:srgbClr val="0070C0"/>
            </a:solidFill>
            <a:ln w="3175">
              <a:solidFill>
                <a:sysClr val="windowText" lastClr="000000"/>
              </a:solidFill>
            </a:ln>
          </c:spP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Sheet1!$B$5:$Y$5</c:f>
              <c:numCache>
                <c:formatCode>0.000</c:formatCode>
                <c:ptCount val="16"/>
                <c:pt idx="0">
                  <c:v>2.9761288586157651E-2</c:v>
                </c:pt>
                <c:pt idx="1">
                  <c:v>4.075858333078592E-2</c:v>
                </c:pt>
                <c:pt idx="2">
                  <c:v>3.7030767828543976E-2</c:v>
                </c:pt>
                <c:pt idx="3">
                  <c:v>3.0967247512009365E-2</c:v>
                </c:pt>
                <c:pt idx="4">
                  <c:v>3.7364636476999842E-2</c:v>
                </c:pt>
                <c:pt idx="5">
                  <c:v>4.2052013743057892E-2</c:v>
                </c:pt>
                <c:pt idx="6">
                  <c:v>3.7905290209247232E-2</c:v>
                </c:pt>
                <c:pt idx="7">
                  <c:v>4.1664485119142003E-2</c:v>
                </c:pt>
                <c:pt idx="8">
                  <c:v>6.1749701830245529E-2</c:v>
                </c:pt>
                <c:pt idx="9">
                  <c:v>5.9397658642494133E-2</c:v>
                </c:pt>
                <c:pt idx="10">
                  <c:v>5.9632365380944026E-2</c:v>
                </c:pt>
                <c:pt idx="11">
                  <c:v>6.0946134262652947E-2</c:v>
                </c:pt>
                <c:pt idx="12">
                  <c:v>6.36208129442941E-2</c:v>
                </c:pt>
                <c:pt idx="13">
                  <c:v>6.6697957852364001E-2</c:v>
                </c:pt>
                <c:pt idx="14">
                  <c:v>6.2499810100236787E-2</c:v>
                </c:pt>
                <c:pt idx="15" formatCode="General">
                  <c:v>5.5256627316371834E-2</c:v>
                </c:pt>
              </c:numCache>
            </c:numRef>
          </c:val>
        </c:ser>
        <c:ser>
          <c:idx val="3"/>
          <c:order val="3"/>
          <c:tx>
            <c:strRef>
              <c:f>Sheet1!$A$6</c:f>
              <c:strCache>
                <c:ptCount val="1"/>
                <c:pt idx="0">
                  <c:v>Pārējie</c:v>
                </c:pt>
              </c:strCache>
            </c:strRef>
          </c:tx>
          <c:spPr>
            <a:solidFill>
              <a:sysClr val="window" lastClr="FFFFFF">
                <a:lumMod val="75000"/>
              </a:sysClr>
            </a:solidFill>
            <a:ln>
              <a:solidFill>
                <a:sysClr val="windowText" lastClr="000000"/>
              </a:solidFill>
            </a:ln>
          </c:spP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Sheet1!$B$6:$Y$6</c:f>
              <c:numCache>
                <c:formatCode>0.000</c:formatCode>
                <c:ptCount val="16"/>
                <c:pt idx="0">
                  <c:v>-1.9312488354278401E-2</c:v>
                </c:pt>
                <c:pt idx="1">
                  <c:v>-2.0709766665372342E-2</c:v>
                </c:pt>
                <c:pt idx="2">
                  <c:v>-3.0494394604236932E-2</c:v>
                </c:pt>
                <c:pt idx="3">
                  <c:v>-5.1691117592787316E-3</c:v>
                </c:pt>
                <c:pt idx="4">
                  <c:v>-1.1406607997258161E-2</c:v>
                </c:pt>
                <c:pt idx="5">
                  <c:v>-1.5589898033445721E-2</c:v>
                </c:pt>
                <c:pt idx="6">
                  <c:v>1.1975113709906927E-2</c:v>
                </c:pt>
                <c:pt idx="7">
                  <c:v>3.9943827916581555E-2</c:v>
                </c:pt>
                <c:pt idx="8">
                  <c:v>5.3256473139937643E-2</c:v>
                </c:pt>
                <c:pt idx="9">
                  <c:v>0.14130894596399796</c:v>
                </c:pt>
                <c:pt idx="10">
                  <c:v>0.10020472433612063</c:v>
                </c:pt>
                <c:pt idx="11">
                  <c:v>9.2882157630110304E-2</c:v>
                </c:pt>
                <c:pt idx="12">
                  <c:v>9.0050616228039546E-2</c:v>
                </c:pt>
                <c:pt idx="13">
                  <c:v>4.6936778545914506E-2</c:v>
                </c:pt>
                <c:pt idx="14">
                  <c:v>2.0326870664588388E-2</c:v>
                </c:pt>
                <c:pt idx="15" formatCode="General">
                  <c:v>5.2473502330867153E-3</c:v>
                </c:pt>
              </c:numCache>
            </c:numRef>
          </c:val>
        </c:ser>
        <c:gapWidth val="30"/>
        <c:overlap val="100"/>
        <c:axId val="264469888"/>
        <c:axId val="264848896"/>
      </c:barChart>
      <c:lineChart>
        <c:grouping val="standard"/>
        <c:ser>
          <c:idx val="1"/>
          <c:order val="0"/>
          <c:tx>
            <c:strRef>
              <c:f>Sheet1!$A$3</c:f>
              <c:strCache>
                <c:ptCount val="1"/>
                <c:pt idx="0">
                  <c:v>Tekošais konts</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Sheet1!$B$3:$Y$3</c:f>
              <c:numCache>
                <c:formatCode>0.000</c:formatCode>
                <c:ptCount val="16"/>
                <c:pt idx="0">
                  <c:v>-0.24404256640649297</c:v>
                </c:pt>
                <c:pt idx="1">
                  <c:v>-0.22937718956899741</c:v>
                </c:pt>
                <c:pt idx="2">
                  <c:v>-0.24830405854090462</c:v>
                </c:pt>
                <c:pt idx="3">
                  <c:v>-0.17928281656837844</c:v>
                </c:pt>
                <c:pt idx="4">
                  <c:v>-0.1673146845952963</c:v>
                </c:pt>
                <c:pt idx="5">
                  <c:v>-0.15031918580021358</c:v>
                </c:pt>
                <c:pt idx="6">
                  <c:v>-0.12719383725343372</c:v>
                </c:pt>
                <c:pt idx="7">
                  <c:v>-7.9813913381624899E-2</c:v>
                </c:pt>
                <c:pt idx="8">
                  <c:v>1.1273929898522559E-2</c:v>
                </c:pt>
                <c:pt idx="9">
                  <c:v>0.13720739393072112</c:v>
                </c:pt>
                <c:pt idx="10">
                  <c:v>8.9681365739483529E-2</c:v>
                </c:pt>
                <c:pt idx="11">
                  <c:v>0.10710707252185347</c:v>
                </c:pt>
                <c:pt idx="12">
                  <c:v>8.6335020540934643E-2</c:v>
                </c:pt>
                <c:pt idx="13">
                  <c:v>5.8487999299926111E-2</c:v>
                </c:pt>
                <c:pt idx="14">
                  <c:v>1.1242065987888969E-2</c:v>
                </c:pt>
                <c:pt idx="15" formatCode="General">
                  <c:v>-3.2759700350209952E-3</c:v>
                </c:pt>
              </c:numCache>
            </c:numRef>
          </c:val>
        </c:ser>
        <c:marker val="1"/>
        <c:axId val="264469888"/>
        <c:axId val="264848896"/>
      </c:lineChart>
      <c:catAx>
        <c:axId val="26446988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64848896"/>
        <c:crosses val="autoZero"/>
        <c:auto val="1"/>
        <c:lblAlgn val="ctr"/>
        <c:lblOffset val="0"/>
        <c:tickLblSkip val="1"/>
        <c:tickMarkSkip val="1"/>
        <c:noMultiLvlLbl val="1"/>
      </c:catAx>
      <c:valAx>
        <c:axId val="264848896"/>
        <c:scaling>
          <c:orientation val="minMax"/>
          <c:max val="0.30000000000000032"/>
          <c:min val="-0.3000000000000003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64469888"/>
        <c:crosses val="autoZero"/>
        <c:crossBetween val="between"/>
        <c:majorUnit val="0.1"/>
      </c:valAx>
      <c:spPr>
        <a:noFill/>
        <a:ln w="25395">
          <a:noFill/>
        </a:ln>
      </c:spPr>
    </c:plotArea>
    <c:legend>
      <c:legendPos val="b"/>
      <c:layout>
        <c:manualLayout>
          <c:xMode val="edge"/>
          <c:yMode val="edge"/>
          <c:x val="0.13749950743613357"/>
          <c:y val="1.5037181808687794E-2"/>
          <c:w val="0.4512974740351946"/>
          <c:h val="0.1733390835923673"/>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372937293731765"/>
          <c:h val="0.86164375000000126"/>
        </c:manualLayout>
      </c:layout>
      <c:barChart>
        <c:barDir val="col"/>
        <c:grouping val="stacked"/>
        <c:ser>
          <c:idx val="0"/>
          <c:order val="1"/>
          <c:tx>
            <c:strRef>
              <c:f>Sheet1!$A$4</c:f>
              <c:strCache>
                <c:ptCount val="1"/>
                <c:pt idx="0">
                  <c:v>ĀTI</c:v>
                </c:pt>
              </c:strCache>
            </c:strRef>
          </c:tx>
          <c:spPr>
            <a:solidFill>
              <a:sysClr val="window" lastClr="FFFFFF"/>
            </a:solidFill>
            <a:ln w="3175">
              <a:solidFill>
                <a:sysClr val="windowText" lastClr="000000"/>
              </a:solidFill>
            </a:ln>
          </c:spP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Sheet1!$B$4:$Y$4</c:f>
              <c:numCache>
                <c:formatCode>0.000</c:formatCode>
                <c:ptCount val="16"/>
                <c:pt idx="0">
                  <c:v>6.9356742096437024E-2</c:v>
                </c:pt>
                <c:pt idx="1">
                  <c:v>0.11406895415953734</c:v>
                </c:pt>
                <c:pt idx="2">
                  <c:v>6.0311714691214963E-2</c:v>
                </c:pt>
                <c:pt idx="3">
                  <c:v>3.4002322306448181E-2</c:v>
                </c:pt>
                <c:pt idx="4">
                  <c:v>6.8173138450902684E-2</c:v>
                </c:pt>
                <c:pt idx="5">
                  <c:v>4.4638356273952046E-2</c:v>
                </c:pt>
                <c:pt idx="6">
                  <c:v>3.8072273866556691E-2</c:v>
                </c:pt>
                <c:pt idx="7">
                  <c:v>-2.7579676875325899E-2</c:v>
                </c:pt>
                <c:pt idx="8">
                  <c:v>9.7022292156186078E-3</c:v>
                </c:pt>
                <c:pt idx="9">
                  <c:v>-2.0417945158357386E-2</c:v>
                </c:pt>
                <c:pt idx="10">
                  <c:v>2.9862746224085454E-2</c:v>
                </c:pt>
                <c:pt idx="11">
                  <c:v>5.8518249445243965E-3</c:v>
                </c:pt>
                <c:pt idx="12">
                  <c:v>-3.6489953870529092E-2</c:v>
                </c:pt>
                <c:pt idx="13">
                  <c:v>1.5974415477999378E-2</c:v>
                </c:pt>
                <c:pt idx="14">
                  <c:v>2.3182963104754786E-2</c:v>
                </c:pt>
                <c:pt idx="15">
                  <c:v>4.4703945079666962E-2</c:v>
                </c:pt>
              </c:numCache>
            </c:numRef>
          </c:val>
        </c:ser>
        <c:ser>
          <c:idx val="2"/>
          <c:order val="2"/>
          <c:tx>
            <c:strRef>
              <c:f>Sheet1!$A$5</c:f>
              <c:strCache>
                <c:ptCount val="1"/>
                <c:pt idx="0">
                  <c:v>Portfeļinvestīcijas</c:v>
                </c:pt>
              </c:strCache>
            </c:strRef>
          </c:tx>
          <c:spPr>
            <a:solidFill>
              <a:srgbClr val="0070C0"/>
            </a:solidFill>
            <a:ln w="3175">
              <a:solidFill>
                <a:sysClr val="windowText" lastClr="000000"/>
              </a:solidFill>
            </a:ln>
          </c:spP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Sheet1!$B$5:$Y$5</c:f>
              <c:numCache>
                <c:formatCode>0.000</c:formatCode>
                <c:ptCount val="16"/>
                <c:pt idx="0">
                  <c:v>-2.0185917475828735E-2</c:v>
                </c:pt>
                <c:pt idx="1">
                  <c:v>-4.9846645830217924E-2</c:v>
                </c:pt>
                <c:pt idx="2">
                  <c:v>-1.7395606828036092E-2</c:v>
                </c:pt>
                <c:pt idx="3">
                  <c:v>1.8732102246927548E-2</c:v>
                </c:pt>
                <c:pt idx="4">
                  <c:v>8.8347910072221425E-2</c:v>
                </c:pt>
                <c:pt idx="5">
                  <c:v>-2.9551358177069203E-2</c:v>
                </c:pt>
                <c:pt idx="6">
                  <c:v>2.6717385169513514E-3</c:v>
                </c:pt>
                <c:pt idx="7">
                  <c:v>-2.2393124450465145E-2</c:v>
                </c:pt>
                <c:pt idx="8">
                  <c:v>6.0117551121075974E-2</c:v>
                </c:pt>
                <c:pt idx="9">
                  <c:v>2.0717328518450595E-2</c:v>
                </c:pt>
                <c:pt idx="10">
                  <c:v>-1.3037789411762906E-3</c:v>
                </c:pt>
                <c:pt idx="11">
                  <c:v>1.1081115320482379E-2</c:v>
                </c:pt>
                <c:pt idx="12">
                  <c:v>-7.2909802162056071E-3</c:v>
                </c:pt>
                <c:pt idx="13">
                  <c:v>-1.9665714672118785E-2</c:v>
                </c:pt>
                <c:pt idx="14">
                  <c:v>4.2233707359907221E-3</c:v>
                </c:pt>
                <c:pt idx="15">
                  <c:v>-4.3167428160586323E-2</c:v>
                </c:pt>
              </c:numCache>
            </c:numRef>
          </c:val>
        </c:ser>
        <c:ser>
          <c:idx val="3"/>
          <c:order val="3"/>
          <c:tx>
            <c:strRef>
              <c:f>Sheet1!$A$6</c:f>
              <c:strCache>
                <c:ptCount val="1"/>
                <c:pt idx="0">
                  <c:v>Citi ieguldījumi</c:v>
                </c:pt>
              </c:strCache>
            </c:strRef>
          </c:tx>
          <c:spPr>
            <a:solidFill>
              <a:sysClr val="window" lastClr="FFFFFF">
                <a:lumMod val="75000"/>
              </a:sysClr>
            </a:solidFill>
            <a:ln>
              <a:solidFill>
                <a:sysClr val="windowText" lastClr="000000"/>
              </a:solidFill>
            </a:ln>
          </c:spP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Sheet1!$B$6:$Y$6</c:f>
              <c:numCache>
                <c:formatCode>0.000</c:formatCode>
                <c:ptCount val="16"/>
                <c:pt idx="0">
                  <c:v>0.21612518374360778</c:v>
                </c:pt>
                <c:pt idx="1">
                  <c:v>0.21059519373683813</c:v>
                </c:pt>
                <c:pt idx="2">
                  <c:v>0.26707985573104531</c:v>
                </c:pt>
                <c:pt idx="3">
                  <c:v>9.4514126020573686E-2</c:v>
                </c:pt>
                <c:pt idx="4">
                  <c:v>9.1439420650917549E-2</c:v>
                </c:pt>
                <c:pt idx="5">
                  <c:v>0.1154514568651948</c:v>
                </c:pt>
                <c:pt idx="6">
                  <c:v>8.5591051775191454E-2</c:v>
                </c:pt>
                <c:pt idx="7">
                  <c:v>1.0520589752798121E-2</c:v>
                </c:pt>
                <c:pt idx="8">
                  <c:v>-0.21184711704757253</c:v>
                </c:pt>
                <c:pt idx="9">
                  <c:v>-0.28647993727319837</c:v>
                </c:pt>
                <c:pt idx="10">
                  <c:v>0.21863131149296694</c:v>
                </c:pt>
                <c:pt idx="11">
                  <c:v>-0.10075721992247567</c:v>
                </c:pt>
                <c:pt idx="12">
                  <c:v>7.4732547216107573E-2</c:v>
                </c:pt>
                <c:pt idx="13">
                  <c:v>-0.1061884949204859</c:v>
                </c:pt>
                <c:pt idx="14">
                  <c:v>2.4975616870391168E-2</c:v>
                </c:pt>
                <c:pt idx="15">
                  <c:v>-2.6120787624370922E-2</c:v>
                </c:pt>
              </c:numCache>
            </c:numRef>
          </c:val>
        </c:ser>
        <c:gapWidth val="30"/>
        <c:overlap val="100"/>
        <c:axId val="264891392"/>
        <c:axId val="264897664"/>
      </c:barChart>
      <c:lineChart>
        <c:grouping val="standard"/>
        <c:ser>
          <c:idx val="1"/>
          <c:order val="0"/>
          <c:tx>
            <c:strRef>
              <c:f>Sheet1!$A$3</c:f>
              <c:strCache>
                <c:ptCount val="1"/>
                <c:pt idx="0">
                  <c:v>Finanšu konts</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2007</c:v>
                  </c:pt>
                  <c:pt idx="4">
                    <c:v>2008</c:v>
                  </c:pt>
                  <c:pt idx="8">
                    <c:v>2009</c:v>
                  </c:pt>
                  <c:pt idx="12">
                    <c:v>2010</c:v>
                  </c:pt>
                </c:lvl>
              </c:multiLvlStrCache>
            </c:multiLvlStrRef>
          </c:cat>
          <c:val>
            <c:numRef>
              <c:f>Sheet1!$B$3:$Y$3</c:f>
              <c:numCache>
                <c:formatCode>0.000</c:formatCode>
                <c:ptCount val="16"/>
                <c:pt idx="0">
                  <c:v>0.25057711020475781</c:v>
                </c:pt>
                <c:pt idx="1">
                  <c:v>0.23160789581885782</c:v>
                </c:pt>
                <c:pt idx="2">
                  <c:v>0.26072577179984718</c:v>
                </c:pt>
                <c:pt idx="3">
                  <c:v>0.12099989590641926</c:v>
                </c:pt>
                <c:pt idx="4">
                  <c:v>0.1943121002523579</c:v>
                </c:pt>
                <c:pt idx="5">
                  <c:v>0.11863648979675899</c:v>
                </c:pt>
                <c:pt idx="6">
                  <c:v>0.1324418950545882</c:v>
                </c:pt>
                <c:pt idx="7">
                  <c:v>9.4660726958003608E-2</c:v>
                </c:pt>
                <c:pt idx="8">
                  <c:v>-4.1982543241415038E-2</c:v>
                </c:pt>
                <c:pt idx="9">
                  <c:v>-0.19085689205942521</c:v>
                </c:pt>
                <c:pt idx="10">
                  <c:v>-0.11553964807281304</c:v>
                </c:pt>
                <c:pt idx="11">
                  <c:v>-0.12385325241629028</c:v>
                </c:pt>
                <c:pt idx="12">
                  <c:v>-0.12692615078307931</c:v>
                </c:pt>
                <c:pt idx="13">
                  <c:v>-5.807431921782643E-2</c:v>
                </c:pt>
                <c:pt idx="14">
                  <c:v>-4.6882453565709879E-2</c:v>
                </c:pt>
                <c:pt idx="15">
                  <c:v>5.8271679384001704E-3</c:v>
                </c:pt>
              </c:numCache>
            </c:numRef>
          </c:val>
        </c:ser>
        <c:marker val="1"/>
        <c:axId val="264891392"/>
        <c:axId val="264897664"/>
      </c:lineChart>
      <c:catAx>
        <c:axId val="26489139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64897664"/>
        <c:crosses val="autoZero"/>
        <c:auto val="1"/>
        <c:lblAlgn val="ctr"/>
        <c:lblOffset val="0"/>
        <c:tickLblSkip val="1"/>
        <c:tickMarkSkip val="1"/>
        <c:noMultiLvlLbl val="1"/>
      </c:catAx>
      <c:valAx>
        <c:axId val="264897664"/>
        <c:scaling>
          <c:orientation val="minMax"/>
          <c:max val="0.4"/>
          <c:min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264891392"/>
        <c:crosses val="autoZero"/>
        <c:crossBetween val="between"/>
        <c:majorUnit val="0.1"/>
      </c:valAx>
      <c:spPr>
        <a:noFill/>
        <a:ln w="25395">
          <a:noFill/>
        </a:ln>
      </c:spPr>
    </c:plotArea>
    <c:legend>
      <c:legendPos val="b"/>
      <c:layout>
        <c:manualLayout>
          <c:xMode val="edge"/>
          <c:yMode val="edge"/>
          <c:x val="0.38274581268621777"/>
          <c:y val="2.3395759264919797E-2"/>
          <c:w val="0.56884554187466241"/>
          <c:h val="0.16115563552563689"/>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5.1260642895492273E-2"/>
          <c:y val="3.1591111111111202E-2"/>
          <c:w val="0.84323373485599051"/>
          <c:h val="0.67908750000000062"/>
        </c:manualLayout>
      </c:layout>
      <c:lineChart>
        <c:grouping val="standard"/>
        <c:ser>
          <c:idx val="3"/>
          <c:order val="0"/>
          <c:tx>
            <c:strRef>
              <c:f>Sheet1!$A$3</c:f>
              <c:strCache>
                <c:ptCount val="1"/>
                <c:pt idx="0">
                  <c:v>Pret galvenajām tirdzniecības partnervalstīm</c:v>
                </c:pt>
              </c:strCache>
            </c:strRef>
          </c:tx>
          <c:spPr>
            <a:ln w="38100">
              <a:solidFill>
                <a:schemeClr val="tx1"/>
              </a:solidFill>
              <a:prstDash val="solid"/>
            </a:ln>
          </c:spPr>
          <c:marker>
            <c:symbol val="none"/>
          </c:marker>
          <c:cat>
            <c:multiLvlStrRef>
              <c:f>Sheet1!$B$1:$AY$2</c:f>
              <c:multiLvlStrCache>
                <c:ptCount val="5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lvl>
                <c:lvl>
                  <c:pt idx="0">
                    <c:v>2007</c:v>
                  </c:pt>
                  <c:pt idx="12">
                    <c:v>2008</c:v>
                  </c:pt>
                  <c:pt idx="24">
                    <c:v>2009</c:v>
                  </c:pt>
                  <c:pt idx="36">
                    <c:v>2010</c:v>
                  </c:pt>
                  <c:pt idx="48">
                    <c:v>2011</c:v>
                  </c:pt>
                </c:lvl>
              </c:multiLvlStrCache>
            </c:multiLvlStrRef>
          </c:cat>
          <c:val>
            <c:numRef>
              <c:f>Sheet1!$B$3:$AY$3</c:f>
              <c:numCache>
                <c:formatCode>0.0</c:formatCode>
                <c:ptCount val="50"/>
                <c:pt idx="0">
                  <c:v>100.31152647975082</c:v>
                </c:pt>
                <c:pt idx="1">
                  <c:v>100.70093457943925</c:v>
                </c:pt>
                <c:pt idx="2">
                  <c:v>101.86915887850452</c:v>
                </c:pt>
                <c:pt idx="3">
                  <c:v>102.10280373831777</c:v>
                </c:pt>
                <c:pt idx="4">
                  <c:v>102.33644859813077</c:v>
                </c:pt>
                <c:pt idx="5">
                  <c:v>103.34890965732089</c:v>
                </c:pt>
                <c:pt idx="6">
                  <c:v>104.36137071651076</c:v>
                </c:pt>
                <c:pt idx="7">
                  <c:v>105.68535825545148</c:v>
                </c:pt>
                <c:pt idx="8">
                  <c:v>107.00934579439254</c:v>
                </c:pt>
                <c:pt idx="9">
                  <c:v>108.25545171339554</c:v>
                </c:pt>
                <c:pt idx="10">
                  <c:v>109.26791277258565</c:v>
                </c:pt>
                <c:pt idx="11">
                  <c:v>110.12461059190032</c:v>
                </c:pt>
                <c:pt idx="12">
                  <c:v>111.60436137071648</c:v>
                </c:pt>
                <c:pt idx="13">
                  <c:v>112.38317757009334</c:v>
                </c:pt>
                <c:pt idx="14">
                  <c:v>113.39563862928348</c:v>
                </c:pt>
                <c:pt idx="15">
                  <c:v>114.33021806853584</c:v>
                </c:pt>
                <c:pt idx="16">
                  <c:v>114.40809968847363</c:v>
                </c:pt>
                <c:pt idx="17">
                  <c:v>114.79750778816218</c:v>
                </c:pt>
                <c:pt idx="18">
                  <c:v>114.95327102803739</c:v>
                </c:pt>
                <c:pt idx="19">
                  <c:v>114.95327102803739</c:v>
                </c:pt>
                <c:pt idx="20">
                  <c:v>115.80996884735201</c:v>
                </c:pt>
                <c:pt idx="21">
                  <c:v>116.66666666666667</c:v>
                </c:pt>
                <c:pt idx="22">
                  <c:v>116.90031152647963</c:v>
                </c:pt>
                <c:pt idx="23">
                  <c:v>119.54828660436139</c:v>
                </c:pt>
                <c:pt idx="24">
                  <c:v>122.50778816199366</c:v>
                </c:pt>
                <c:pt idx="25">
                  <c:v>125.07788161993767</c:v>
                </c:pt>
                <c:pt idx="26">
                  <c:v>124.9221183800623</c:v>
                </c:pt>
                <c:pt idx="27">
                  <c:v>123.13084112149517</c:v>
                </c:pt>
                <c:pt idx="28">
                  <c:v>121.96261682242975</c:v>
                </c:pt>
                <c:pt idx="29">
                  <c:v>121.651090342679</c:v>
                </c:pt>
                <c:pt idx="30">
                  <c:v>121.18380062305285</c:v>
                </c:pt>
                <c:pt idx="31">
                  <c:v>120.1713395638628</c:v>
                </c:pt>
                <c:pt idx="32">
                  <c:v>119.62616822429901</c:v>
                </c:pt>
                <c:pt idx="33">
                  <c:v>119.31464174454834</c:v>
                </c:pt>
                <c:pt idx="34">
                  <c:v>118.14641744548281</c:v>
                </c:pt>
                <c:pt idx="35">
                  <c:v>117.91277258566964</c:v>
                </c:pt>
                <c:pt idx="36">
                  <c:v>115.8878504672897</c:v>
                </c:pt>
                <c:pt idx="37">
                  <c:v>114.56386292834897</c:v>
                </c:pt>
                <c:pt idx="38">
                  <c:v>113.47352024922122</c:v>
                </c:pt>
                <c:pt idx="39">
                  <c:v>113.31775700934585</c:v>
                </c:pt>
                <c:pt idx="40">
                  <c:v>113.00623052959487</c:v>
                </c:pt>
                <c:pt idx="41">
                  <c:v>113.31775700934585</c:v>
                </c:pt>
                <c:pt idx="42">
                  <c:v>114.018691588785</c:v>
                </c:pt>
                <c:pt idx="43">
                  <c:v>113.78504672897191</c:v>
                </c:pt>
                <c:pt idx="44">
                  <c:v>113.70716510903422</c:v>
                </c:pt>
                <c:pt idx="45">
                  <c:v>114.48598130841106</c:v>
                </c:pt>
                <c:pt idx="46">
                  <c:v>114.48598130841106</c:v>
                </c:pt>
                <c:pt idx="47">
                  <c:v>113.62928348909652</c:v>
                </c:pt>
                <c:pt idx="48">
                  <c:v>113.08411214953264</c:v>
                </c:pt>
                <c:pt idx="49">
                  <c:v>113.16199376947046</c:v>
                </c:pt>
              </c:numCache>
            </c:numRef>
          </c:val>
        </c:ser>
        <c:ser>
          <c:idx val="4"/>
          <c:order val="1"/>
          <c:tx>
            <c:strRef>
              <c:f>Sheet1!$A$4</c:f>
              <c:strCache>
                <c:ptCount val="1"/>
                <c:pt idx="0">
                  <c:v>Pret attīstīto valstu valūtām</c:v>
                </c:pt>
              </c:strCache>
            </c:strRef>
          </c:tx>
          <c:spPr>
            <a:ln w="25400">
              <a:solidFill>
                <a:srgbClr val="0070C0"/>
              </a:solidFill>
              <a:prstDash val="solid"/>
            </a:ln>
          </c:spPr>
          <c:marker>
            <c:symbol val="none"/>
          </c:marker>
          <c:cat>
            <c:multiLvlStrRef>
              <c:f>Sheet1!$B$1:$AY$2</c:f>
              <c:multiLvlStrCache>
                <c:ptCount val="5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lvl>
                <c:lvl>
                  <c:pt idx="0">
                    <c:v>2007</c:v>
                  </c:pt>
                  <c:pt idx="12">
                    <c:v>2008</c:v>
                  </c:pt>
                  <c:pt idx="24">
                    <c:v>2009</c:v>
                  </c:pt>
                  <c:pt idx="36">
                    <c:v>2010</c:v>
                  </c:pt>
                  <c:pt idx="48">
                    <c:v>2011</c:v>
                  </c:pt>
                </c:lvl>
              </c:multiLvlStrCache>
            </c:multiLvlStrRef>
          </c:cat>
          <c:val>
            <c:numRef>
              <c:f>Sheet1!$B$4:$AY$4</c:f>
              <c:numCache>
                <c:formatCode>0.0</c:formatCode>
                <c:ptCount val="50"/>
                <c:pt idx="0">
                  <c:v>100.42643923240924</c:v>
                </c:pt>
                <c:pt idx="1">
                  <c:v>100.99502487562188</c:v>
                </c:pt>
                <c:pt idx="2">
                  <c:v>102.48756218905471</c:v>
                </c:pt>
                <c:pt idx="3">
                  <c:v>102.84292821606248</c:v>
                </c:pt>
                <c:pt idx="4">
                  <c:v>103.34044065387349</c:v>
                </c:pt>
                <c:pt idx="5">
                  <c:v>104.47761194029859</c:v>
                </c:pt>
                <c:pt idx="6">
                  <c:v>105.68585643212485</c:v>
                </c:pt>
                <c:pt idx="7">
                  <c:v>107.32054015636089</c:v>
                </c:pt>
                <c:pt idx="8">
                  <c:v>108.95522388059715</c:v>
                </c:pt>
                <c:pt idx="9">
                  <c:v>110.51883439943131</c:v>
                </c:pt>
                <c:pt idx="10">
                  <c:v>111.86922530206114</c:v>
                </c:pt>
                <c:pt idx="11">
                  <c:v>113.36176261549389</c:v>
                </c:pt>
                <c:pt idx="12">
                  <c:v>115.636105188344</c:v>
                </c:pt>
                <c:pt idx="13">
                  <c:v>116.84434968017079</c:v>
                </c:pt>
                <c:pt idx="14">
                  <c:v>118.33688699360333</c:v>
                </c:pt>
                <c:pt idx="15">
                  <c:v>120.18479033404395</c:v>
                </c:pt>
                <c:pt idx="16">
                  <c:v>120.5401563610519</c:v>
                </c:pt>
                <c:pt idx="17">
                  <c:v>121.3219616204691</c:v>
                </c:pt>
                <c:pt idx="18">
                  <c:v>121.96162046908337</c:v>
                </c:pt>
                <c:pt idx="19">
                  <c:v>122.10376687988617</c:v>
                </c:pt>
                <c:pt idx="20">
                  <c:v>123.02771855010653</c:v>
                </c:pt>
                <c:pt idx="21">
                  <c:v>124.37810945273624</c:v>
                </c:pt>
                <c:pt idx="22">
                  <c:v>125.01776830135042</c:v>
                </c:pt>
                <c:pt idx="23">
                  <c:v>127.57640369580672</c:v>
                </c:pt>
                <c:pt idx="24">
                  <c:v>129.70859985785361</c:v>
                </c:pt>
                <c:pt idx="25">
                  <c:v>129.99289267945989</c:v>
                </c:pt>
                <c:pt idx="26">
                  <c:v>130.70362473347524</c:v>
                </c:pt>
                <c:pt idx="27">
                  <c:v>129.06894100923984</c:v>
                </c:pt>
                <c:pt idx="28">
                  <c:v>127.86069651741298</c:v>
                </c:pt>
                <c:pt idx="29">
                  <c:v>127.43425728500377</c:v>
                </c:pt>
                <c:pt idx="30">
                  <c:v>127.14996446339752</c:v>
                </c:pt>
                <c:pt idx="31">
                  <c:v>125.65742714996451</c:v>
                </c:pt>
                <c:pt idx="32">
                  <c:v>125.37313432835825</c:v>
                </c:pt>
                <c:pt idx="33">
                  <c:v>125.30206112295649</c:v>
                </c:pt>
                <c:pt idx="34">
                  <c:v>124.16488983653144</c:v>
                </c:pt>
                <c:pt idx="35">
                  <c:v>123.73845060412226</c:v>
                </c:pt>
                <c:pt idx="36">
                  <c:v>122.24591329068943</c:v>
                </c:pt>
                <c:pt idx="37">
                  <c:v>121.17981520966595</c:v>
                </c:pt>
                <c:pt idx="38">
                  <c:v>120.82444918265806</c:v>
                </c:pt>
                <c:pt idx="39">
                  <c:v>120.89552238805965</c:v>
                </c:pt>
                <c:pt idx="40">
                  <c:v>120.46908315565031</c:v>
                </c:pt>
                <c:pt idx="41">
                  <c:v>120.54015636105188</c:v>
                </c:pt>
                <c:pt idx="42">
                  <c:v>121.03766879886292</c:v>
                </c:pt>
                <c:pt idx="43">
                  <c:v>120.89552238805965</c:v>
                </c:pt>
                <c:pt idx="44">
                  <c:v>120.68230277185478</c:v>
                </c:pt>
                <c:pt idx="45">
                  <c:v>121.39303482587066</c:v>
                </c:pt>
                <c:pt idx="46">
                  <c:v>121.25088841506751</c:v>
                </c:pt>
                <c:pt idx="47">
                  <c:v>120.39800995024876</c:v>
                </c:pt>
                <c:pt idx="48">
                  <c:v>120.61122956645346</c:v>
                </c:pt>
                <c:pt idx="49">
                  <c:v>120.96659559346125</c:v>
                </c:pt>
              </c:numCache>
            </c:numRef>
          </c:val>
        </c:ser>
        <c:ser>
          <c:idx val="16"/>
          <c:order val="2"/>
          <c:tx>
            <c:strRef>
              <c:f>Sheet1!$A$5</c:f>
              <c:strCache>
                <c:ptCount val="1"/>
                <c:pt idx="0">
                  <c:v>Pret attīstības valstu valūtām</c:v>
                </c:pt>
              </c:strCache>
            </c:strRef>
          </c:tx>
          <c:spPr>
            <a:ln w="28575">
              <a:solidFill>
                <a:srgbClr val="0070C0"/>
              </a:solidFill>
              <a:prstDash val="dash"/>
            </a:ln>
          </c:spPr>
          <c:marker>
            <c:symbol val="none"/>
          </c:marker>
          <c:cat>
            <c:multiLvlStrRef>
              <c:f>Sheet1!$B$1:$AY$2</c:f>
              <c:multiLvlStrCache>
                <c:ptCount val="5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lvl>
                <c:lvl>
                  <c:pt idx="0">
                    <c:v>2007</c:v>
                  </c:pt>
                  <c:pt idx="12">
                    <c:v>2008</c:v>
                  </c:pt>
                  <c:pt idx="24">
                    <c:v>2009</c:v>
                  </c:pt>
                  <c:pt idx="36">
                    <c:v>2010</c:v>
                  </c:pt>
                  <c:pt idx="48">
                    <c:v>2011</c:v>
                  </c:pt>
                </c:lvl>
              </c:multiLvlStrCache>
            </c:multiLvlStrRef>
          </c:cat>
          <c:val>
            <c:numRef>
              <c:f>Sheet1!$B$5:$AY$5</c:f>
              <c:numCache>
                <c:formatCode>0.0</c:formatCode>
                <c:ptCount val="50"/>
                <c:pt idx="0">
                  <c:v>100.18165304268847</c:v>
                </c:pt>
                <c:pt idx="1">
                  <c:v>100.27247956403271</c:v>
                </c:pt>
                <c:pt idx="2">
                  <c:v>100.72661217075377</c:v>
                </c:pt>
                <c:pt idx="3">
                  <c:v>100.81743869209811</c:v>
                </c:pt>
                <c:pt idx="4">
                  <c:v>100.63578564940954</c:v>
                </c:pt>
                <c:pt idx="5">
                  <c:v>101.27157129881928</c:v>
                </c:pt>
                <c:pt idx="6">
                  <c:v>102.08900999091752</c:v>
                </c:pt>
                <c:pt idx="7">
                  <c:v>102.99727520435972</c:v>
                </c:pt>
                <c:pt idx="8">
                  <c:v>103.81471389645775</c:v>
                </c:pt>
                <c:pt idx="9">
                  <c:v>104.35967302452318</c:v>
                </c:pt>
                <c:pt idx="10">
                  <c:v>104.81380563124442</c:v>
                </c:pt>
                <c:pt idx="11">
                  <c:v>104.72297910990017</c:v>
                </c:pt>
                <c:pt idx="12">
                  <c:v>105.35876475930978</c:v>
                </c:pt>
                <c:pt idx="13">
                  <c:v>105.72207084468654</c:v>
                </c:pt>
                <c:pt idx="14">
                  <c:v>106.1762034514079</c:v>
                </c:pt>
                <c:pt idx="15">
                  <c:v>106.26702997275221</c:v>
                </c:pt>
                <c:pt idx="16">
                  <c:v>106.17620345140789</c:v>
                </c:pt>
                <c:pt idx="17">
                  <c:v>106.08537693006348</c:v>
                </c:pt>
                <c:pt idx="18">
                  <c:v>105.81289736603084</c:v>
                </c:pt>
                <c:pt idx="19">
                  <c:v>105.63124432334259</c:v>
                </c:pt>
                <c:pt idx="20">
                  <c:v>106.35785649409634</c:v>
                </c:pt>
                <c:pt idx="21">
                  <c:v>106.90281562216175</c:v>
                </c:pt>
                <c:pt idx="22">
                  <c:v>106.72116257947329</c:v>
                </c:pt>
                <c:pt idx="23">
                  <c:v>109.44595821980027</c:v>
                </c:pt>
                <c:pt idx="24">
                  <c:v>113.07901907356948</c:v>
                </c:pt>
                <c:pt idx="25">
                  <c:v>117.80199818346949</c:v>
                </c:pt>
                <c:pt idx="26">
                  <c:v>116.80290644868305</c:v>
                </c:pt>
                <c:pt idx="27">
                  <c:v>114.89554950045407</c:v>
                </c:pt>
                <c:pt idx="28">
                  <c:v>113.62397820163476</c:v>
                </c:pt>
                <c:pt idx="29">
                  <c:v>113.62397820163476</c:v>
                </c:pt>
                <c:pt idx="30">
                  <c:v>112.89736603088105</c:v>
                </c:pt>
                <c:pt idx="31">
                  <c:v>112.44323342416006</c:v>
                </c:pt>
                <c:pt idx="32">
                  <c:v>111.62579473206158</c:v>
                </c:pt>
                <c:pt idx="33">
                  <c:v>111.08083560399641</c:v>
                </c:pt>
                <c:pt idx="34">
                  <c:v>109.80926430517736</c:v>
                </c:pt>
                <c:pt idx="35">
                  <c:v>109.80926430517736</c:v>
                </c:pt>
                <c:pt idx="36">
                  <c:v>107.35694822888281</c:v>
                </c:pt>
                <c:pt idx="37">
                  <c:v>105.81289736603084</c:v>
                </c:pt>
                <c:pt idx="38">
                  <c:v>104.08719346049052</c:v>
                </c:pt>
                <c:pt idx="39">
                  <c:v>103.72388737511358</c:v>
                </c:pt>
                <c:pt idx="40">
                  <c:v>103.63306085376922</c:v>
                </c:pt>
                <c:pt idx="41">
                  <c:v>103.99636693914637</c:v>
                </c:pt>
                <c:pt idx="42">
                  <c:v>104.90463215258843</c:v>
                </c:pt>
                <c:pt idx="43">
                  <c:v>104.63215258855581</c:v>
                </c:pt>
                <c:pt idx="44">
                  <c:v>104.63215258855581</c:v>
                </c:pt>
                <c:pt idx="45">
                  <c:v>105.449591280654</c:v>
                </c:pt>
                <c:pt idx="46">
                  <c:v>105.63124432334259</c:v>
                </c:pt>
                <c:pt idx="47">
                  <c:v>104.72297910990015</c:v>
                </c:pt>
                <c:pt idx="48">
                  <c:v>103.72388737511361</c:v>
                </c:pt>
                <c:pt idx="49">
                  <c:v>103.63306085376922</c:v>
                </c:pt>
              </c:numCache>
            </c:numRef>
          </c:val>
        </c:ser>
        <c:marker val="1"/>
        <c:axId val="265093504"/>
        <c:axId val="265095040"/>
      </c:lineChart>
      <c:catAx>
        <c:axId val="265093504"/>
        <c:scaling>
          <c:orientation val="minMax"/>
        </c:scaling>
        <c:axPos val="b"/>
        <c:majorGridlines>
          <c:spPr>
            <a:ln>
              <a:solidFill>
                <a:schemeClr val="bg1">
                  <a:lumMod val="85000"/>
                </a:schemeClr>
              </a:solidFill>
            </a:ln>
          </c:spPr>
        </c:majorGridlines>
        <c:numFmt formatCode="General" sourceLinked="1"/>
        <c:tickLblPos val="nextTo"/>
        <c:spPr>
          <a:ln w="2564">
            <a:solidFill>
              <a:srgbClr val="000000"/>
            </a:solidFill>
            <a:prstDash val="solid"/>
          </a:ln>
        </c:spPr>
        <c:txPr>
          <a:bodyPr rot="0" vert="horz"/>
          <a:lstStyle/>
          <a:p>
            <a:pPr algn="just">
              <a:defRPr lang="lv-LV" sz="700">
                <a:latin typeface="Arial" pitchFamily="34" charset="0"/>
                <a:cs typeface="Arial" pitchFamily="34" charset="0"/>
              </a:defRPr>
            </a:pPr>
            <a:endParaRPr lang="lv-LV"/>
          </a:p>
        </c:txPr>
        <c:crossAx val="265095040"/>
        <c:crossesAt val="0"/>
        <c:lblAlgn val="ctr"/>
        <c:lblOffset val="0"/>
        <c:tickLblSkip val="2"/>
        <c:tickMarkSkip val="2"/>
        <c:noMultiLvlLbl val="1"/>
      </c:catAx>
      <c:valAx>
        <c:axId val="265095040"/>
        <c:scaling>
          <c:orientation val="minMax"/>
          <c:min val="95"/>
        </c:scaling>
        <c:axPos val="l"/>
        <c:majorGridlines>
          <c:spPr>
            <a:ln>
              <a:solidFill>
                <a:schemeClr val="bg1">
                  <a:lumMod val="85000"/>
                </a:schemeClr>
              </a:solidFill>
            </a:ln>
          </c:spPr>
        </c:majorGridlines>
        <c:numFmt formatCode="0" sourceLinked="0"/>
        <c:tickLblPos val="nextTo"/>
        <c:spPr>
          <a:ln w="2564">
            <a:solidFill>
              <a:srgbClr val="000000"/>
            </a:solidFill>
            <a:prstDash val="solid"/>
          </a:ln>
        </c:spPr>
        <c:txPr>
          <a:bodyPr rot="0" vert="horz"/>
          <a:lstStyle/>
          <a:p>
            <a:pPr>
              <a:defRPr lang="lv-LV" sz="900">
                <a:latin typeface="Arial" pitchFamily="34" charset="0"/>
                <a:cs typeface="Arial" pitchFamily="34" charset="0"/>
              </a:defRPr>
            </a:pPr>
            <a:endParaRPr lang="lv-LV"/>
          </a:p>
        </c:txPr>
        <c:crossAx val="265093504"/>
        <c:crosses val="autoZero"/>
        <c:crossBetween val="midCat"/>
      </c:valAx>
      <c:spPr>
        <a:noFill/>
        <a:ln w="23661">
          <a:noFill/>
        </a:ln>
      </c:spPr>
    </c:plotArea>
    <c:legend>
      <c:legendPos val="r"/>
      <c:layout>
        <c:manualLayout>
          <c:xMode val="edge"/>
          <c:yMode val="edge"/>
          <c:x val="8.1771566633641005E-2"/>
          <c:y val="0.82289791666669021"/>
          <c:w val="0.86402600337210911"/>
          <c:h val="0.14964895833333344"/>
        </c:manualLayout>
      </c:layout>
      <c:spPr>
        <a:solidFill>
          <a:schemeClr val="bg1"/>
        </a:solidFill>
        <a:ln w="2564">
          <a:noFill/>
          <a:prstDash val="solid"/>
        </a:ln>
      </c:spPr>
      <c:txPr>
        <a:bodyPr/>
        <a:lstStyle/>
        <a:p>
          <a:pPr>
            <a:defRPr lang="lv-LV" sz="90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741" b="0" i="0" u="none" strike="noStrike" baseline="0">
          <a:solidFill>
            <a:srgbClr val="000000"/>
          </a:solidFill>
          <a:latin typeface="Garamond"/>
          <a:ea typeface="Garamond"/>
          <a:cs typeface="Garamond"/>
        </a:defRPr>
      </a:pPr>
      <a:endParaRPr lang="lv-LV"/>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5.1260642895492273E-2"/>
          <c:y val="3.1591111111111202E-2"/>
          <c:w val="0.84165058837843965"/>
          <c:h val="0.67908750000000062"/>
        </c:manualLayout>
      </c:layout>
      <c:lineChart>
        <c:grouping val="standard"/>
        <c:ser>
          <c:idx val="3"/>
          <c:order val="0"/>
          <c:tx>
            <c:strRef>
              <c:f>Sheet1!$A$3</c:f>
              <c:strCache>
                <c:ptCount val="1"/>
                <c:pt idx="0">
                  <c:v>Pret galvenajām tirdzniecības partnervalstīm</c:v>
                </c:pt>
              </c:strCache>
            </c:strRef>
          </c:tx>
          <c:spPr>
            <a:ln w="38100">
              <a:solidFill>
                <a:schemeClr val="tx1"/>
              </a:solidFill>
              <a:prstDash val="solid"/>
            </a:ln>
          </c:spPr>
          <c:marker>
            <c:symbol val="none"/>
          </c:marker>
          <c:cat>
            <c:multiLvlStrRef>
              <c:f>Sheet1!$B$1:$AX$2</c:f>
              <c:multiLvlStrCache>
                <c:ptCount val="4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lvl>
                <c:lvl>
                  <c:pt idx="0">
                    <c:v>2007</c:v>
                  </c:pt>
                  <c:pt idx="12">
                    <c:v>2008</c:v>
                  </c:pt>
                  <c:pt idx="24">
                    <c:v>2009</c:v>
                  </c:pt>
                  <c:pt idx="36">
                    <c:v>2010</c:v>
                  </c:pt>
                  <c:pt idx="48">
                    <c:v>2011</c:v>
                  </c:pt>
                </c:lvl>
              </c:multiLvlStrCache>
            </c:multiLvlStrRef>
          </c:cat>
          <c:val>
            <c:numRef>
              <c:f>Sheet1!$B$3:$AX$3</c:f>
              <c:numCache>
                <c:formatCode>0.0</c:formatCode>
                <c:ptCount val="49"/>
                <c:pt idx="0">
                  <c:v>103.55329949238579</c:v>
                </c:pt>
                <c:pt idx="1">
                  <c:v>103.97631133671733</c:v>
                </c:pt>
                <c:pt idx="2">
                  <c:v>104.65313028764805</c:v>
                </c:pt>
                <c:pt idx="3">
                  <c:v>104.73773265651427</c:v>
                </c:pt>
                <c:pt idx="4">
                  <c:v>105.66835871404383</c:v>
                </c:pt>
                <c:pt idx="5">
                  <c:v>106.42978003384084</c:v>
                </c:pt>
                <c:pt idx="6">
                  <c:v>106.93739424703892</c:v>
                </c:pt>
                <c:pt idx="7">
                  <c:v>108.79864636209813</c:v>
                </c:pt>
                <c:pt idx="8">
                  <c:v>108.4602368866328</c:v>
                </c:pt>
                <c:pt idx="9">
                  <c:v>110.91370558375631</c:v>
                </c:pt>
                <c:pt idx="10">
                  <c:v>109.81387478849405</c:v>
                </c:pt>
                <c:pt idx="11">
                  <c:v>110.06768189509303</c:v>
                </c:pt>
                <c:pt idx="12">
                  <c:v>112.43654822335024</c:v>
                </c:pt>
                <c:pt idx="13">
                  <c:v>113.19796954314739</c:v>
                </c:pt>
                <c:pt idx="14">
                  <c:v>111.75972927241961</c:v>
                </c:pt>
                <c:pt idx="15">
                  <c:v>111.92893401015228</c:v>
                </c:pt>
                <c:pt idx="16">
                  <c:v>110.40609137055826</c:v>
                </c:pt>
                <c:pt idx="17">
                  <c:v>109.64467005076141</c:v>
                </c:pt>
                <c:pt idx="18">
                  <c:v>107.95262267343485</c:v>
                </c:pt>
                <c:pt idx="19">
                  <c:v>109.89847715736023</c:v>
                </c:pt>
                <c:pt idx="20">
                  <c:v>110.32148900169204</c:v>
                </c:pt>
                <c:pt idx="21">
                  <c:v>110.32148900169204</c:v>
                </c:pt>
                <c:pt idx="22">
                  <c:v>112.85956006768178</c:v>
                </c:pt>
                <c:pt idx="23">
                  <c:v>117.59729272419629</c:v>
                </c:pt>
                <c:pt idx="24">
                  <c:v>120.30456852791876</c:v>
                </c:pt>
                <c:pt idx="25">
                  <c:v>119.37394247038904</c:v>
                </c:pt>
                <c:pt idx="26">
                  <c:v>119.54314720812181</c:v>
                </c:pt>
                <c:pt idx="27">
                  <c:v>117.00507614213177</c:v>
                </c:pt>
                <c:pt idx="28">
                  <c:v>115.22842639593905</c:v>
                </c:pt>
                <c:pt idx="29">
                  <c:v>113.79018612521149</c:v>
                </c:pt>
                <c:pt idx="30">
                  <c:v>113.28257191201338</c:v>
                </c:pt>
                <c:pt idx="31">
                  <c:v>111.92893401015228</c:v>
                </c:pt>
                <c:pt idx="32">
                  <c:v>111.84433164128592</c:v>
                </c:pt>
                <c:pt idx="33">
                  <c:v>112.43654822335023</c:v>
                </c:pt>
                <c:pt idx="34">
                  <c:v>110.32148900169202</c:v>
                </c:pt>
                <c:pt idx="35">
                  <c:v>111.50592216582061</c:v>
                </c:pt>
                <c:pt idx="36">
                  <c:v>109.64467005076138</c:v>
                </c:pt>
                <c:pt idx="37">
                  <c:v>108.12182741116749</c:v>
                </c:pt>
                <c:pt idx="38">
                  <c:v>107.02199661590522</c:v>
                </c:pt>
                <c:pt idx="39">
                  <c:v>105.92216582064296</c:v>
                </c:pt>
                <c:pt idx="40">
                  <c:v>105.58375634517766</c:v>
                </c:pt>
                <c:pt idx="41">
                  <c:v>105.32994923857865</c:v>
                </c:pt>
                <c:pt idx="42">
                  <c:v>105.83756345177675</c:v>
                </c:pt>
                <c:pt idx="43">
                  <c:v>106.00676818950917</c:v>
                </c:pt>
                <c:pt idx="44">
                  <c:v>106.93739424703892</c:v>
                </c:pt>
                <c:pt idx="45">
                  <c:v>107.44500846023686</c:v>
                </c:pt>
                <c:pt idx="46">
                  <c:v>107.02199661590522</c:v>
                </c:pt>
                <c:pt idx="47">
                  <c:v>105.49915397631145</c:v>
                </c:pt>
                <c:pt idx="48">
                  <c:v>106.17597292724172</c:v>
                </c:pt>
              </c:numCache>
            </c:numRef>
          </c:val>
        </c:ser>
        <c:ser>
          <c:idx val="4"/>
          <c:order val="1"/>
          <c:tx>
            <c:strRef>
              <c:f>Sheet1!$A$4</c:f>
              <c:strCache>
                <c:ptCount val="1"/>
                <c:pt idx="0">
                  <c:v>Pret attīstīto valstu valūtām</c:v>
                </c:pt>
              </c:strCache>
            </c:strRef>
          </c:tx>
          <c:spPr>
            <a:ln w="25400">
              <a:solidFill>
                <a:srgbClr val="0070C0"/>
              </a:solidFill>
              <a:prstDash val="solid"/>
            </a:ln>
          </c:spPr>
          <c:marker>
            <c:symbol val="none"/>
          </c:marker>
          <c:cat>
            <c:multiLvlStrRef>
              <c:f>Sheet1!$B$1:$AX$2</c:f>
              <c:multiLvlStrCache>
                <c:ptCount val="4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lvl>
                <c:lvl>
                  <c:pt idx="0">
                    <c:v>2007</c:v>
                  </c:pt>
                  <c:pt idx="12">
                    <c:v>2008</c:v>
                  </c:pt>
                  <c:pt idx="24">
                    <c:v>2009</c:v>
                  </c:pt>
                  <c:pt idx="36">
                    <c:v>2010</c:v>
                  </c:pt>
                  <c:pt idx="48">
                    <c:v>2011</c:v>
                  </c:pt>
                </c:lvl>
              </c:multiLvlStrCache>
            </c:multiLvlStrRef>
          </c:cat>
          <c:val>
            <c:numRef>
              <c:f>Sheet1!$B$4:$AX$4</c:f>
              <c:numCache>
                <c:formatCode>0.0</c:formatCode>
                <c:ptCount val="49"/>
                <c:pt idx="0">
                  <c:v>103.46215780998388</c:v>
                </c:pt>
                <c:pt idx="1">
                  <c:v>103.9452495974235</c:v>
                </c:pt>
                <c:pt idx="2">
                  <c:v>104.91143317230276</c:v>
                </c:pt>
                <c:pt idx="3">
                  <c:v>105.55555555555543</c:v>
                </c:pt>
                <c:pt idx="4">
                  <c:v>107.00483091787429</c:v>
                </c:pt>
                <c:pt idx="5">
                  <c:v>107.72946859903381</c:v>
                </c:pt>
                <c:pt idx="6">
                  <c:v>108.13204508856673</c:v>
                </c:pt>
                <c:pt idx="7">
                  <c:v>110.22544283413831</c:v>
                </c:pt>
                <c:pt idx="8">
                  <c:v>110.30595813204488</c:v>
                </c:pt>
                <c:pt idx="9">
                  <c:v>113.12399355877618</c:v>
                </c:pt>
                <c:pt idx="10">
                  <c:v>112.80193236714975</c:v>
                </c:pt>
                <c:pt idx="11">
                  <c:v>113.52657004830918</c:v>
                </c:pt>
                <c:pt idx="12">
                  <c:v>115.94202898550741</c:v>
                </c:pt>
                <c:pt idx="13">
                  <c:v>116.82769726247975</c:v>
                </c:pt>
                <c:pt idx="14">
                  <c:v>116.02254428341381</c:v>
                </c:pt>
                <c:pt idx="15">
                  <c:v>116.82769726247975</c:v>
                </c:pt>
                <c:pt idx="16">
                  <c:v>115.37842190016092</c:v>
                </c:pt>
                <c:pt idx="17">
                  <c:v>115.86151368760081</c:v>
                </c:pt>
                <c:pt idx="18">
                  <c:v>114.73429951690819</c:v>
                </c:pt>
                <c:pt idx="19">
                  <c:v>116.98872785829305</c:v>
                </c:pt>
                <c:pt idx="20">
                  <c:v>117.06924315619968</c:v>
                </c:pt>
                <c:pt idx="21">
                  <c:v>117.06924315619968</c:v>
                </c:pt>
                <c:pt idx="22">
                  <c:v>119.08212560386474</c:v>
                </c:pt>
                <c:pt idx="23">
                  <c:v>121.90016103059583</c:v>
                </c:pt>
                <c:pt idx="24">
                  <c:v>122.38325281803534</c:v>
                </c:pt>
                <c:pt idx="25">
                  <c:v>119.64573268921096</c:v>
                </c:pt>
                <c:pt idx="26">
                  <c:v>120.12882447665039</c:v>
                </c:pt>
                <c:pt idx="27">
                  <c:v>117.6328502415459</c:v>
                </c:pt>
                <c:pt idx="28">
                  <c:v>115.86151368760083</c:v>
                </c:pt>
                <c:pt idx="29">
                  <c:v>114.65378421900147</c:v>
                </c:pt>
                <c:pt idx="30">
                  <c:v>114.41223832528181</c:v>
                </c:pt>
                <c:pt idx="31">
                  <c:v>112.72141706924326</c:v>
                </c:pt>
                <c:pt idx="32">
                  <c:v>113.04347826086958</c:v>
                </c:pt>
                <c:pt idx="33">
                  <c:v>114.0096618357488</c:v>
                </c:pt>
                <c:pt idx="34">
                  <c:v>112.07729468599051</c:v>
                </c:pt>
                <c:pt idx="35">
                  <c:v>112.88244766505635</c:v>
                </c:pt>
                <c:pt idx="36">
                  <c:v>111.43317230273745</c:v>
                </c:pt>
                <c:pt idx="37">
                  <c:v>110.38647342995168</c:v>
                </c:pt>
                <c:pt idx="38">
                  <c:v>109.66183574879227</c:v>
                </c:pt>
                <c:pt idx="39">
                  <c:v>108.69565217391305</c:v>
                </c:pt>
                <c:pt idx="40">
                  <c:v>108.53462157809984</c:v>
                </c:pt>
                <c:pt idx="41">
                  <c:v>108.13204508856673</c:v>
                </c:pt>
                <c:pt idx="42">
                  <c:v>108.37359098228652</c:v>
                </c:pt>
                <c:pt idx="43">
                  <c:v>108.77616747181962</c:v>
                </c:pt>
                <c:pt idx="44">
                  <c:v>109.74235104669876</c:v>
                </c:pt>
                <c:pt idx="45">
                  <c:v>110.38647342995165</c:v>
                </c:pt>
                <c:pt idx="46">
                  <c:v>110.22544283413831</c:v>
                </c:pt>
                <c:pt idx="47">
                  <c:v>108.77616747181962</c:v>
                </c:pt>
                <c:pt idx="48">
                  <c:v>109.50080515297894</c:v>
                </c:pt>
              </c:numCache>
            </c:numRef>
          </c:val>
        </c:ser>
        <c:ser>
          <c:idx val="16"/>
          <c:order val="2"/>
          <c:tx>
            <c:strRef>
              <c:f>Sheet1!$A$5</c:f>
              <c:strCache>
                <c:ptCount val="1"/>
                <c:pt idx="0">
                  <c:v>Pret attīstības valstu valūtām</c:v>
                </c:pt>
              </c:strCache>
            </c:strRef>
          </c:tx>
          <c:spPr>
            <a:ln w="28575">
              <a:solidFill>
                <a:srgbClr val="0070C0"/>
              </a:solidFill>
              <a:prstDash val="dash"/>
            </a:ln>
          </c:spPr>
          <c:marker>
            <c:symbol val="none"/>
          </c:marker>
          <c:cat>
            <c:multiLvlStrRef>
              <c:f>Sheet1!$B$1:$AX$2</c:f>
              <c:multiLvlStrCache>
                <c:ptCount val="4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lvl>
                <c:lvl>
                  <c:pt idx="0">
                    <c:v>2007</c:v>
                  </c:pt>
                  <c:pt idx="12">
                    <c:v>2008</c:v>
                  </c:pt>
                  <c:pt idx="24">
                    <c:v>2009</c:v>
                  </c:pt>
                  <c:pt idx="36">
                    <c:v>2010</c:v>
                  </c:pt>
                  <c:pt idx="48">
                    <c:v>2011</c:v>
                  </c:pt>
                </c:lvl>
              </c:multiLvlStrCache>
            </c:multiLvlStrRef>
          </c:cat>
          <c:val>
            <c:numRef>
              <c:f>Sheet1!$B$5:$AX$5</c:f>
              <c:numCache>
                <c:formatCode>0.0</c:formatCode>
                <c:ptCount val="49"/>
                <c:pt idx="0">
                  <c:v>103.91425908667308</c:v>
                </c:pt>
                <c:pt idx="1">
                  <c:v>104.19384902143524</c:v>
                </c:pt>
                <c:pt idx="2">
                  <c:v>104.19384902143524</c:v>
                </c:pt>
                <c:pt idx="3">
                  <c:v>103.44827586206898</c:v>
                </c:pt>
                <c:pt idx="4">
                  <c:v>103.54147250698959</c:v>
                </c:pt>
                <c:pt idx="5">
                  <c:v>104.28704566635602</c:v>
                </c:pt>
                <c:pt idx="6">
                  <c:v>104.9394221808015</c:v>
                </c:pt>
                <c:pt idx="7">
                  <c:v>106.43056849953406</c:v>
                </c:pt>
                <c:pt idx="8">
                  <c:v>105.40540540540543</c:v>
                </c:pt>
                <c:pt idx="9">
                  <c:v>107.2693383038209</c:v>
                </c:pt>
                <c:pt idx="10">
                  <c:v>105.03261882572231</c:v>
                </c:pt>
                <c:pt idx="11">
                  <c:v>104.38024231127675</c:v>
                </c:pt>
                <c:pt idx="12">
                  <c:v>106.61696178937581</c:v>
                </c:pt>
                <c:pt idx="13">
                  <c:v>107.36253494874188</c:v>
                </c:pt>
                <c:pt idx="14">
                  <c:v>105.31220876048454</c:v>
                </c:pt>
                <c:pt idx="15">
                  <c:v>104.65983224603897</c:v>
                </c:pt>
                <c:pt idx="16">
                  <c:v>103.16868592730665</c:v>
                </c:pt>
                <c:pt idx="17">
                  <c:v>101.304753028891</c:v>
                </c:pt>
                <c:pt idx="18">
                  <c:v>99.254426840633769</c:v>
                </c:pt>
                <c:pt idx="19">
                  <c:v>100.74557315936629</c:v>
                </c:pt>
                <c:pt idx="20">
                  <c:v>101.58434296365324</c:v>
                </c:pt>
                <c:pt idx="21">
                  <c:v>101.49114631873256</c:v>
                </c:pt>
                <c:pt idx="22">
                  <c:v>104.56663560111855</c:v>
                </c:pt>
                <c:pt idx="23">
                  <c:v>110.90400745573162</c:v>
                </c:pt>
                <c:pt idx="24">
                  <c:v>115.84342963653312</c:v>
                </c:pt>
                <c:pt idx="25">
                  <c:v>116.77539608574095</c:v>
                </c:pt>
                <c:pt idx="26">
                  <c:v>116.58900279589938</c:v>
                </c:pt>
                <c:pt idx="27">
                  <c:v>113.97949673811749</c:v>
                </c:pt>
                <c:pt idx="28">
                  <c:v>112.30195712954338</c:v>
                </c:pt>
                <c:pt idx="29">
                  <c:v>110.62441752096925</c:v>
                </c:pt>
                <c:pt idx="30">
                  <c:v>109.87884436160294</c:v>
                </c:pt>
                <c:pt idx="31">
                  <c:v>108.94687791239521</c:v>
                </c:pt>
                <c:pt idx="32">
                  <c:v>108.38769804287051</c:v>
                </c:pt>
                <c:pt idx="33">
                  <c:v>108.57409133271196</c:v>
                </c:pt>
                <c:pt idx="34">
                  <c:v>106.33737185461317</c:v>
                </c:pt>
                <c:pt idx="35">
                  <c:v>107.92171481826658</c:v>
                </c:pt>
                <c:pt idx="36">
                  <c:v>105.59179869524718</c:v>
                </c:pt>
                <c:pt idx="37">
                  <c:v>103.72786579683135</c:v>
                </c:pt>
                <c:pt idx="38">
                  <c:v>102.14352283317804</c:v>
                </c:pt>
                <c:pt idx="39">
                  <c:v>100.93196644920809</c:v>
                </c:pt>
                <c:pt idx="40">
                  <c:v>100.55917986952464</c:v>
                </c:pt>
                <c:pt idx="41">
                  <c:v>100.46598322460396</c:v>
                </c:pt>
                <c:pt idx="42">
                  <c:v>101.11835973904944</c:v>
                </c:pt>
                <c:pt idx="43">
                  <c:v>101.02516309412866</c:v>
                </c:pt>
                <c:pt idx="44">
                  <c:v>102.05032618825726</c:v>
                </c:pt>
                <c:pt idx="45">
                  <c:v>102.42311276794042</c:v>
                </c:pt>
                <c:pt idx="46">
                  <c:v>101.67753960857414</c:v>
                </c:pt>
                <c:pt idx="47">
                  <c:v>100.09319664492089</c:v>
                </c:pt>
                <c:pt idx="48">
                  <c:v>100.7455731593663</c:v>
                </c:pt>
              </c:numCache>
            </c:numRef>
          </c:val>
        </c:ser>
        <c:marker val="1"/>
        <c:axId val="263899776"/>
        <c:axId val="264450432"/>
      </c:lineChart>
      <c:catAx>
        <c:axId val="263899776"/>
        <c:scaling>
          <c:orientation val="minMax"/>
        </c:scaling>
        <c:axPos val="b"/>
        <c:majorGridlines>
          <c:spPr>
            <a:ln>
              <a:solidFill>
                <a:schemeClr val="bg1">
                  <a:lumMod val="85000"/>
                </a:schemeClr>
              </a:solidFill>
            </a:ln>
          </c:spPr>
        </c:majorGridlines>
        <c:numFmt formatCode="General" sourceLinked="1"/>
        <c:tickLblPos val="nextTo"/>
        <c:spPr>
          <a:ln w="2564">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264450432"/>
        <c:crossesAt val="0"/>
        <c:lblAlgn val="ctr"/>
        <c:lblOffset val="0"/>
        <c:tickLblSkip val="2"/>
        <c:tickMarkSkip val="2"/>
        <c:noMultiLvlLbl val="1"/>
      </c:catAx>
      <c:valAx>
        <c:axId val="264450432"/>
        <c:scaling>
          <c:orientation val="minMax"/>
          <c:max val="135"/>
          <c:min val="95"/>
        </c:scaling>
        <c:axPos val="l"/>
        <c:majorGridlines>
          <c:spPr>
            <a:ln>
              <a:solidFill>
                <a:schemeClr val="bg1">
                  <a:lumMod val="85000"/>
                </a:schemeClr>
              </a:solidFill>
            </a:ln>
          </c:spPr>
        </c:majorGridlines>
        <c:numFmt formatCode="0" sourceLinked="0"/>
        <c:tickLblPos val="nextTo"/>
        <c:spPr>
          <a:ln w="2564">
            <a:solidFill>
              <a:srgbClr val="000000"/>
            </a:solidFill>
            <a:prstDash val="solid"/>
          </a:ln>
        </c:spPr>
        <c:txPr>
          <a:bodyPr rot="0" vert="horz"/>
          <a:lstStyle/>
          <a:p>
            <a:pPr>
              <a:defRPr lang="lv-LV" sz="900">
                <a:latin typeface="Arial" pitchFamily="34" charset="0"/>
                <a:cs typeface="Arial" pitchFamily="34" charset="0"/>
              </a:defRPr>
            </a:pPr>
            <a:endParaRPr lang="lv-LV"/>
          </a:p>
        </c:txPr>
        <c:crossAx val="263899776"/>
        <c:crosses val="autoZero"/>
        <c:crossBetween val="between"/>
      </c:valAx>
      <c:spPr>
        <a:noFill/>
        <a:ln w="23661">
          <a:noFill/>
        </a:ln>
      </c:spPr>
    </c:plotArea>
    <c:legend>
      <c:legendPos val="r"/>
      <c:layout>
        <c:manualLayout>
          <c:xMode val="edge"/>
          <c:yMode val="edge"/>
          <c:x val="0.10384662182128235"/>
          <c:y val="0.82730763888890002"/>
          <c:w val="0.86402600337210911"/>
          <c:h val="0.16728784722222606"/>
        </c:manualLayout>
      </c:layout>
      <c:spPr>
        <a:solidFill>
          <a:schemeClr val="bg1"/>
        </a:solidFill>
        <a:ln w="2564">
          <a:noFill/>
          <a:prstDash val="solid"/>
        </a:ln>
      </c:spPr>
      <c:txPr>
        <a:bodyPr/>
        <a:lstStyle/>
        <a:p>
          <a:pPr>
            <a:defRPr lang="lv-LV" sz="90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741" b="0" i="0" u="none" strike="noStrike" baseline="0">
          <a:solidFill>
            <a:srgbClr val="000000"/>
          </a:solidFill>
          <a:latin typeface="Garamond"/>
          <a:ea typeface="Garamond"/>
          <a:cs typeface="Garamond"/>
        </a:defRPr>
      </a:pPr>
      <a:endParaRPr lang="lv-LV"/>
    </a:p>
  </c:txPr>
  <c:externalData r:id="rId1"/>
</c:chartSpace>
</file>

<file path=word/drawings/drawing1.xml><?xml version="1.0" encoding="utf-8"?>
<c:userShapes xmlns:c="http://schemas.openxmlformats.org/drawingml/2006/chart">
  <cdr:relSizeAnchor xmlns:cdr="http://schemas.openxmlformats.org/drawingml/2006/chartDrawing">
    <cdr:from>
      <cdr:x>0.85614</cdr:x>
      <cdr:y>0.09794</cdr:y>
    </cdr:from>
    <cdr:to>
      <cdr:x>0.97752</cdr:x>
      <cdr:y>0.23239</cdr:y>
    </cdr:to>
    <cdr:sp macro="" textlink="">
      <cdr:nvSpPr>
        <cdr:cNvPr id="1025" name="Text Box 1"/>
        <cdr:cNvSpPr txBox="1">
          <a:spLocks xmlns:a="http://schemas.openxmlformats.org/drawingml/2006/main" noChangeArrowheads="1"/>
        </cdr:cNvSpPr>
      </cdr:nvSpPr>
      <cdr:spPr bwMode="auto">
        <a:xfrm xmlns:a="http://schemas.openxmlformats.org/drawingml/2006/main">
          <a:off x="4032599" y="166609"/>
          <a:ext cx="571727" cy="22872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0.87902</cdr:x>
      <cdr:y>0.67114</cdr:y>
    </cdr:from>
    <cdr:to>
      <cdr:x>0.9667</cdr:x>
      <cdr:y>0.7771</cdr:y>
    </cdr:to>
    <cdr:sp macro="" textlink="">
      <cdr:nvSpPr>
        <cdr:cNvPr id="1028" name="Text Box 4"/>
        <cdr:cNvSpPr txBox="1">
          <a:spLocks xmlns:a="http://schemas.openxmlformats.org/drawingml/2006/main" noChangeArrowheads="1"/>
        </cdr:cNvSpPr>
      </cdr:nvSpPr>
      <cdr:spPr bwMode="auto">
        <a:xfrm xmlns:a="http://schemas.openxmlformats.org/drawingml/2006/main">
          <a:off x="4140370" y="1141752"/>
          <a:ext cx="412993" cy="1802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0.7891</cdr:x>
      <cdr:y>0.47441</cdr:y>
    </cdr:from>
    <cdr:to>
      <cdr:x>0.91048</cdr:x>
      <cdr:y>0.58685</cdr:y>
    </cdr:to>
    <cdr:sp macro="" textlink="">
      <cdr:nvSpPr>
        <cdr:cNvPr id="5" name="Text Box 1"/>
        <cdr:cNvSpPr txBox="1">
          <a:spLocks xmlns:a="http://schemas.openxmlformats.org/drawingml/2006/main" noChangeArrowheads="1"/>
        </cdr:cNvSpPr>
      </cdr:nvSpPr>
      <cdr:spPr bwMode="auto">
        <a:xfrm xmlns:a="http://schemas.openxmlformats.org/drawingml/2006/main">
          <a:off x="3716859" y="807065"/>
          <a:ext cx="571727" cy="19128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0.23797</cdr:x>
      <cdr:y>0.48862</cdr:y>
    </cdr:from>
    <cdr:to>
      <cdr:x>0.35935</cdr:x>
      <cdr:y>0.60106</cdr:y>
    </cdr:to>
    <cdr:sp macro="" textlink="">
      <cdr:nvSpPr>
        <cdr:cNvPr id="6" name="Text Box 1"/>
        <cdr:cNvSpPr txBox="1">
          <a:spLocks xmlns:a="http://schemas.openxmlformats.org/drawingml/2006/main" noChangeArrowheads="1"/>
        </cdr:cNvSpPr>
      </cdr:nvSpPr>
      <cdr:spPr bwMode="auto">
        <a:xfrm xmlns:a="http://schemas.openxmlformats.org/drawingml/2006/main">
          <a:off x="1120908" y="831247"/>
          <a:ext cx="571727" cy="19128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2.xml><?xml version="1.0" encoding="utf-8"?>
<c:userShapes xmlns:c="http://schemas.openxmlformats.org/drawingml/2006/chart">
  <cdr:relSizeAnchor xmlns:cdr="http://schemas.openxmlformats.org/drawingml/2006/chartDrawing">
    <cdr:from>
      <cdr:x>0.81273</cdr:x>
      <cdr:y>0.06434</cdr:y>
    </cdr:from>
    <cdr:to>
      <cdr:x>0.92923</cdr:x>
      <cdr:y>0.16938</cdr:y>
    </cdr:to>
    <cdr:sp macro="" textlink="">
      <cdr:nvSpPr>
        <cdr:cNvPr id="1028" name="Text Box 4"/>
        <cdr:cNvSpPr txBox="1">
          <a:spLocks xmlns:a="http://schemas.openxmlformats.org/drawingml/2006/main" noChangeArrowheads="1"/>
        </cdr:cNvSpPr>
      </cdr:nvSpPr>
      <cdr:spPr bwMode="auto">
        <a:xfrm xmlns:a="http://schemas.openxmlformats.org/drawingml/2006/main">
          <a:off x="2341821" y="102622"/>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0.85809</cdr:x>
      <cdr:y>0.58995</cdr:y>
    </cdr:from>
    <cdr:to>
      <cdr:x>0.95428</cdr:x>
      <cdr:y>0.71871</cdr:y>
    </cdr:to>
    <cdr:sp macro="" textlink="">
      <cdr:nvSpPr>
        <cdr:cNvPr id="3" name="Text Box 2"/>
        <cdr:cNvSpPr txBox="1">
          <a:spLocks xmlns:a="http://schemas.openxmlformats.org/drawingml/2006/main" noChangeArrowheads="1"/>
        </cdr:cNvSpPr>
      </cdr:nvSpPr>
      <cdr:spPr bwMode="auto">
        <a:xfrm xmlns:a="http://schemas.openxmlformats.org/drawingml/2006/main">
          <a:off x="2472532" y="940895"/>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0.82671</cdr:x>
      <cdr:y>0.35617</cdr:y>
    </cdr:from>
    <cdr:to>
      <cdr:x>0.94321</cdr:x>
      <cdr:y>0.46121</cdr:y>
    </cdr:to>
    <cdr:sp macro="" textlink="">
      <cdr:nvSpPr>
        <cdr:cNvPr id="5" name="Text Box 4"/>
        <cdr:cNvSpPr txBox="1">
          <a:spLocks xmlns:a="http://schemas.openxmlformats.org/drawingml/2006/main" noChangeArrowheads="1"/>
        </cdr:cNvSpPr>
      </cdr:nvSpPr>
      <cdr:spPr bwMode="auto">
        <a:xfrm xmlns:a="http://schemas.openxmlformats.org/drawingml/2006/main">
          <a:off x="2382091" y="568053"/>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0.16719</cdr:x>
      <cdr:y>0.25646</cdr:y>
    </cdr:from>
    <cdr:to>
      <cdr:x>0.28369</cdr:x>
      <cdr:y>0.3615</cdr:y>
    </cdr:to>
    <cdr:sp macro="" textlink="">
      <cdr:nvSpPr>
        <cdr:cNvPr id="6" name="Text Box 4"/>
        <cdr:cNvSpPr txBox="1">
          <a:spLocks xmlns:a="http://schemas.openxmlformats.org/drawingml/2006/main" noChangeArrowheads="1"/>
        </cdr:cNvSpPr>
      </cdr:nvSpPr>
      <cdr:spPr bwMode="auto">
        <a:xfrm xmlns:a="http://schemas.openxmlformats.org/drawingml/2006/main">
          <a:off x="481739" y="409024"/>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3.xml><?xml version="1.0" encoding="utf-8"?>
<c:userShapes xmlns:c="http://schemas.openxmlformats.org/drawingml/2006/chart">
  <cdr:relSizeAnchor xmlns:cdr="http://schemas.openxmlformats.org/drawingml/2006/chartDrawing">
    <cdr:from>
      <cdr:x>0.86562</cdr:x>
      <cdr:y>0.17184</cdr:y>
    </cdr:from>
    <cdr:to>
      <cdr:x>0.98212</cdr:x>
      <cdr:y>0.27688</cdr:y>
    </cdr:to>
    <cdr:sp macro="" textlink="">
      <cdr:nvSpPr>
        <cdr:cNvPr id="1028" name="Text Box 4"/>
        <cdr:cNvSpPr txBox="1">
          <a:spLocks xmlns:a="http://schemas.openxmlformats.org/drawingml/2006/main" noChangeArrowheads="1"/>
        </cdr:cNvSpPr>
      </cdr:nvSpPr>
      <cdr:spPr bwMode="auto">
        <a:xfrm xmlns:a="http://schemas.openxmlformats.org/drawingml/2006/main">
          <a:off x="2494221" y="274072"/>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0.86194</cdr:x>
      <cdr:y>0.68582</cdr:y>
    </cdr:from>
    <cdr:to>
      <cdr:x>0.95813</cdr:x>
      <cdr:y>0.81458</cdr:y>
    </cdr:to>
    <cdr:sp macro="" textlink="">
      <cdr:nvSpPr>
        <cdr:cNvPr id="3" name="Text Box 2"/>
        <cdr:cNvSpPr txBox="1">
          <a:spLocks xmlns:a="http://schemas.openxmlformats.org/drawingml/2006/main" noChangeArrowheads="1"/>
        </cdr:cNvSpPr>
      </cdr:nvSpPr>
      <cdr:spPr bwMode="auto">
        <a:xfrm xmlns:a="http://schemas.openxmlformats.org/drawingml/2006/main">
          <a:off x="2483615" y="1093801"/>
          <a:ext cx="277165"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0.83746</cdr:x>
      <cdr:y>0.47905</cdr:y>
    </cdr:from>
    <cdr:to>
      <cdr:x>0.95396</cdr:x>
      <cdr:y>0.5841</cdr:y>
    </cdr:to>
    <cdr:sp macro="" textlink="">
      <cdr:nvSpPr>
        <cdr:cNvPr id="5" name="Text Box 4"/>
        <cdr:cNvSpPr txBox="1">
          <a:spLocks xmlns:a="http://schemas.openxmlformats.org/drawingml/2006/main" noChangeArrowheads="1"/>
        </cdr:cNvSpPr>
      </cdr:nvSpPr>
      <cdr:spPr bwMode="auto">
        <a:xfrm xmlns:a="http://schemas.openxmlformats.org/drawingml/2006/main">
          <a:off x="2413076" y="76403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0.21933</cdr:x>
      <cdr:y>0.59372</cdr:y>
    </cdr:from>
    <cdr:to>
      <cdr:x>0.33583</cdr:x>
      <cdr:y>0.69877</cdr:y>
    </cdr:to>
    <cdr:sp macro="" textlink="">
      <cdr:nvSpPr>
        <cdr:cNvPr id="6" name="Text Box 4"/>
        <cdr:cNvSpPr txBox="1">
          <a:spLocks xmlns:a="http://schemas.openxmlformats.org/drawingml/2006/main" noChangeArrowheads="1"/>
        </cdr:cNvSpPr>
      </cdr:nvSpPr>
      <cdr:spPr bwMode="auto">
        <a:xfrm xmlns:a="http://schemas.openxmlformats.org/drawingml/2006/main">
          <a:off x="631978" y="946913"/>
          <a:ext cx="335686" cy="1675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4.xml><?xml version="1.0" encoding="utf-8"?>
<c:userShapes xmlns:c="http://schemas.openxmlformats.org/drawingml/2006/chart">
  <cdr:relSizeAnchor xmlns:cdr="http://schemas.openxmlformats.org/drawingml/2006/chartDrawing">
    <cdr:from>
      <cdr:x>0.86232</cdr:x>
      <cdr:y>0.08226</cdr:y>
    </cdr:from>
    <cdr:to>
      <cdr:x>0.97882</cdr:x>
      <cdr:y>0.1873</cdr:y>
    </cdr:to>
    <cdr:sp macro="" textlink="">
      <cdr:nvSpPr>
        <cdr:cNvPr id="1028" name="Text Box 4"/>
        <cdr:cNvSpPr txBox="1">
          <a:spLocks xmlns:a="http://schemas.openxmlformats.org/drawingml/2006/main" noChangeArrowheads="1"/>
        </cdr:cNvSpPr>
      </cdr:nvSpPr>
      <cdr:spPr bwMode="auto">
        <a:xfrm xmlns:a="http://schemas.openxmlformats.org/drawingml/2006/main">
          <a:off x="2484696" y="13119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0.85148</cdr:x>
      <cdr:y>0.45259</cdr:y>
    </cdr:from>
    <cdr:to>
      <cdr:x>0.94767</cdr:x>
      <cdr:y>0.58135</cdr:y>
    </cdr:to>
    <cdr:sp macro="" textlink="">
      <cdr:nvSpPr>
        <cdr:cNvPr id="3" name="Text Box 2"/>
        <cdr:cNvSpPr txBox="1">
          <a:spLocks xmlns:a="http://schemas.openxmlformats.org/drawingml/2006/main" noChangeArrowheads="1"/>
        </cdr:cNvSpPr>
      </cdr:nvSpPr>
      <cdr:spPr bwMode="auto">
        <a:xfrm xmlns:a="http://schemas.openxmlformats.org/drawingml/2006/main">
          <a:off x="2453470" y="721827"/>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0.7871</cdr:x>
      <cdr:y>0.21926</cdr:y>
    </cdr:from>
    <cdr:to>
      <cdr:x>0.9036</cdr:x>
      <cdr:y>0.3243</cdr:y>
    </cdr:to>
    <cdr:sp macro="" textlink="">
      <cdr:nvSpPr>
        <cdr:cNvPr id="5" name="Text Box 4"/>
        <cdr:cNvSpPr txBox="1">
          <a:spLocks xmlns:a="http://schemas.openxmlformats.org/drawingml/2006/main" noChangeArrowheads="1"/>
        </cdr:cNvSpPr>
      </cdr:nvSpPr>
      <cdr:spPr bwMode="auto">
        <a:xfrm xmlns:a="http://schemas.openxmlformats.org/drawingml/2006/main">
          <a:off x="2267980" y="349693"/>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0.18001</cdr:x>
      <cdr:y>0.49845</cdr:y>
    </cdr:from>
    <cdr:to>
      <cdr:x>0.29651</cdr:x>
      <cdr:y>0.60349</cdr:y>
    </cdr:to>
    <cdr:sp macro="" textlink="">
      <cdr:nvSpPr>
        <cdr:cNvPr id="6" name="Text Box 4"/>
        <cdr:cNvSpPr txBox="1">
          <a:spLocks xmlns:a="http://schemas.openxmlformats.org/drawingml/2006/main" noChangeArrowheads="1"/>
        </cdr:cNvSpPr>
      </cdr:nvSpPr>
      <cdr:spPr bwMode="auto">
        <a:xfrm xmlns:a="http://schemas.openxmlformats.org/drawingml/2006/main">
          <a:off x="518679" y="794968"/>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5.xml><?xml version="1.0" encoding="utf-8"?>
<c:userShapes xmlns:c="http://schemas.openxmlformats.org/drawingml/2006/chart">
  <cdr:relSizeAnchor xmlns:cdr="http://schemas.openxmlformats.org/drawingml/2006/chartDrawing">
    <cdr:from>
      <cdr:x>0.84909</cdr:x>
      <cdr:y>0.10615</cdr:y>
    </cdr:from>
    <cdr:to>
      <cdr:x>0.96559</cdr:x>
      <cdr:y>0.21119</cdr:y>
    </cdr:to>
    <cdr:sp macro="" textlink="">
      <cdr:nvSpPr>
        <cdr:cNvPr id="1028" name="Text Box 4"/>
        <cdr:cNvSpPr txBox="1">
          <a:spLocks xmlns:a="http://schemas.openxmlformats.org/drawingml/2006/main" noChangeArrowheads="1"/>
        </cdr:cNvSpPr>
      </cdr:nvSpPr>
      <cdr:spPr bwMode="auto">
        <a:xfrm xmlns:a="http://schemas.openxmlformats.org/drawingml/2006/main">
          <a:off x="2446596" y="16929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0.84817</cdr:x>
      <cdr:y>0.33319</cdr:y>
    </cdr:from>
    <cdr:to>
      <cdr:x>0.94436</cdr:x>
      <cdr:y>0.46195</cdr:y>
    </cdr:to>
    <cdr:sp macro="" textlink="">
      <cdr:nvSpPr>
        <cdr:cNvPr id="3" name="Text Box 2"/>
        <cdr:cNvSpPr txBox="1">
          <a:spLocks xmlns:a="http://schemas.openxmlformats.org/drawingml/2006/main" noChangeArrowheads="1"/>
        </cdr:cNvSpPr>
      </cdr:nvSpPr>
      <cdr:spPr bwMode="auto">
        <a:xfrm xmlns:a="http://schemas.openxmlformats.org/drawingml/2006/main">
          <a:off x="2443937" y="531404"/>
          <a:ext cx="277164" cy="2053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0.84306</cdr:x>
      <cdr:y>0.70153</cdr:y>
    </cdr:from>
    <cdr:to>
      <cdr:x>0.95956</cdr:x>
      <cdr:y>0.80657</cdr:y>
    </cdr:to>
    <cdr:sp macro="" textlink="">
      <cdr:nvSpPr>
        <cdr:cNvPr id="5" name="Text Box 4"/>
        <cdr:cNvSpPr txBox="1">
          <a:spLocks xmlns:a="http://schemas.openxmlformats.org/drawingml/2006/main" noChangeArrowheads="1"/>
        </cdr:cNvSpPr>
      </cdr:nvSpPr>
      <cdr:spPr bwMode="auto">
        <a:xfrm xmlns:a="http://schemas.openxmlformats.org/drawingml/2006/main">
          <a:off x="2429207" y="1118862"/>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0.16146</cdr:x>
      <cdr:y>0.70153</cdr:y>
    </cdr:from>
    <cdr:to>
      <cdr:x>0.27796</cdr:x>
      <cdr:y>0.80657</cdr:y>
    </cdr:to>
    <cdr:sp macro="" textlink="">
      <cdr:nvSpPr>
        <cdr:cNvPr id="6" name="Text Box 4"/>
        <cdr:cNvSpPr txBox="1">
          <a:spLocks xmlns:a="http://schemas.openxmlformats.org/drawingml/2006/main" noChangeArrowheads="1"/>
        </cdr:cNvSpPr>
      </cdr:nvSpPr>
      <cdr:spPr bwMode="auto">
        <a:xfrm xmlns:a="http://schemas.openxmlformats.org/drawingml/2006/main">
          <a:off x="465241" y="1118859"/>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6.xml><?xml version="1.0" encoding="utf-8"?>
<c:userShapes xmlns:c="http://schemas.openxmlformats.org/drawingml/2006/chart">
  <cdr:relSizeAnchor xmlns:cdr="http://schemas.openxmlformats.org/drawingml/2006/chartDrawing">
    <cdr:from>
      <cdr:x>0.88244</cdr:x>
      <cdr:y>0.57291</cdr:y>
    </cdr:from>
    <cdr:to>
      <cdr:x>0.99894</cdr:x>
      <cdr:y>0.67795</cdr:y>
    </cdr:to>
    <cdr:sp macro="" textlink="">
      <cdr:nvSpPr>
        <cdr:cNvPr id="1028" name="Text Box 4"/>
        <cdr:cNvSpPr txBox="1">
          <a:spLocks xmlns:a="http://schemas.openxmlformats.org/drawingml/2006/main" noChangeArrowheads="1"/>
        </cdr:cNvSpPr>
      </cdr:nvSpPr>
      <cdr:spPr bwMode="auto">
        <a:xfrm xmlns:a="http://schemas.openxmlformats.org/drawingml/2006/main">
          <a:off x="2542686" y="91372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0.81181</cdr:x>
      <cdr:y>0.0405</cdr:y>
    </cdr:from>
    <cdr:to>
      <cdr:x>0.908</cdr:x>
      <cdr:y>0.16926</cdr:y>
    </cdr:to>
    <cdr:sp macro="" textlink="">
      <cdr:nvSpPr>
        <cdr:cNvPr id="3" name="Text Box 2"/>
        <cdr:cNvSpPr txBox="1">
          <a:spLocks xmlns:a="http://schemas.openxmlformats.org/drawingml/2006/main" noChangeArrowheads="1"/>
        </cdr:cNvSpPr>
      </cdr:nvSpPr>
      <cdr:spPr bwMode="auto">
        <a:xfrm xmlns:a="http://schemas.openxmlformats.org/drawingml/2006/main">
          <a:off x="2339175" y="64600"/>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0.88244</cdr:x>
      <cdr:y>0.33185</cdr:y>
    </cdr:from>
    <cdr:to>
      <cdr:x>0.99894</cdr:x>
      <cdr:y>0.43689</cdr:y>
    </cdr:to>
    <cdr:sp macro="" textlink="">
      <cdr:nvSpPr>
        <cdr:cNvPr id="5" name="Text Box 4"/>
        <cdr:cNvSpPr txBox="1">
          <a:spLocks xmlns:a="http://schemas.openxmlformats.org/drawingml/2006/main" noChangeArrowheads="1"/>
        </cdr:cNvSpPr>
      </cdr:nvSpPr>
      <cdr:spPr bwMode="auto">
        <a:xfrm xmlns:a="http://schemas.openxmlformats.org/drawingml/2006/main">
          <a:off x="2542686" y="529265"/>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0.14565</cdr:x>
      <cdr:y>0.30692</cdr:y>
    </cdr:from>
    <cdr:to>
      <cdr:x>0.26215</cdr:x>
      <cdr:y>0.41196</cdr:y>
    </cdr:to>
    <cdr:sp macro="" textlink="">
      <cdr:nvSpPr>
        <cdr:cNvPr id="6" name="Text Box 4"/>
        <cdr:cNvSpPr txBox="1">
          <a:spLocks xmlns:a="http://schemas.openxmlformats.org/drawingml/2006/main" noChangeArrowheads="1"/>
        </cdr:cNvSpPr>
      </cdr:nvSpPr>
      <cdr:spPr bwMode="auto">
        <a:xfrm xmlns:a="http://schemas.openxmlformats.org/drawingml/2006/main">
          <a:off x="419685" y="489506"/>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7.xml><?xml version="1.0" encoding="utf-8"?>
<c:userShapes xmlns:c="http://schemas.openxmlformats.org/drawingml/2006/chart">
  <cdr:relSizeAnchor xmlns:cdr="http://schemas.openxmlformats.org/drawingml/2006/chartDrawing">
    <cdr:from>
      <cdr:x>0.85294</cdr:x>
      <cdr:y>0.08912</cdr:y>
    </cdr:from>
    <cdr:to>
      <cdr:x>0.96944</cdr:x>
      <cdr:y>0.19416</cdr:y>
    </cdr:to>
    <cdr:sp macro="" textlink="">
      <cdr:nvSpPr>
        <cdr:cNvPr id="1028" name="Text Box 4"/>
        <cdr:cNvSpPr txBox="1">
          <a:spLocks xmlns:a="http://schemas.openxmlformats.org/drawingml/2006/main" noChangeArrowheads="1"/>
        </cdr:cNvSpPr>
      </cdr:nvSpPr>
      <cdr:spPr bwMode="auto">
        <a:xfrm xmlns:a="http://schemas.openxmlformats.org/drawingml/2006/main">
          <a:off x="2457682" y="142133"/>
          <a:ext cx="335685"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0.85809</cdr:x>
      <cdr:y>0.58995</cdr:y>
    </cdr:from>
    <cdr:to>
      <cdr:x>0.95428</cdr:x>
      <cdr:y>0.71871</cdr:y>
    </cdr:to>
    <cdr:sp macro="" textlink="">
      <cdr:nvSpPr>
        <cdr:cNvPr id="3" name="Text Box 2"/>
        <cdr:cNvSpPr txBox="1">
          <a:spLocks xmlns:a="http://schemas.openxmlformats.org/drawingml/2006/main" noChangeArrowheads="1"/>
        </cdr:cNvSpPr>
      </cdr:nvSpPr>
      <cdr:spPr bwMode="auto">
        <a:xfrm xmlns:a="http://schemas.openxmlformats.org/drawingml/2006/main">
          <a:off x="2472532" y="940895"/>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0.85158</cdr:x>
      <cdr:y>0.34971</cdr:y>
    </cdr:from>
    <cdr:to>
      <cdr:x>0.96808</cdr:x>
      <cdr:y>0.45475</cdr:y>
    </cdr:to>
    <cdr:sp macro="" textlink="">
      <cdr:nvSpPr>
        <cdr:cNvPr id="5" name="Text Box 4"/>
        <cdr:cNvSpPr txBox="1">
          <a:spLocks xmlns:a="http://schemas.openxmlformats.org/drawingml/2006/main" noChangeArrowheads="1"/>
        </cdr:cNvSpPr>
      </cdr:nvSpPr>
      <cdr:spPr bwMode="auto">
        <a:xfrm xmlns:a="http://schemas.openxmlformats.org/drawingml/2006/main">
          <a:off x="2453758" y="557744"/>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0.23069</cdr:x>
      <cdr:y>0.45939</cdr:y>
    </cdr:from>
    <cdr:to>
      <cdr:x>0.34719</cdr:x>
      <cdr:y>0.56443</cdr:y>
    </cdr:to>
    <cdr:sp macro="" textlink="">
      <cdr:nvSpPr>
        <cdr:cNvPr id="6" name="Text Box 4"/>
        <cdr:cNvSpPr txBox="1">
          <a:spLocks xmlns:a="http://schemas.openxmlformats.org/drawingml/2006/main" noChangeArrowheads="1"/>
        </cdr:cNvSpPr>
      </cdr:nvSpPr>
      <cdr:spPr bwMode="auto">
        <a:xfrm xmlns:a="http://schemas.openxmlformats.org/drawingml/2006/main">
          <a:off x="664719" y="732676"/>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E4C77-900F-4F23-A9C5-EF9C4B84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12954</TotalTime>
  <Pages>54</Pages>
  <Words>11791</Words>
  <Characters>78180</Characters>
  <Application>Microsoft Office Word</Application>
  <DocSecurity>0</DocSecurity>
  <Lines>3553</Lines>
  <Paragraphs>2306</Paragraphs>
  <ScaleCrop>false</ScaleCrop>
  <HeadingPairs>
    <vt:vector size="2" baseType="variant">
      <vt:variant>
        <vt:lpstr>Title</vt:lpstr>
      </vt:variant>
      <vt:variant>
        <vt:i4>1</vt:i4>
      </vt:variant>
    </vt:vector>
  </HeadingPairs>
  <TitlesOfParts>
    <vt:vector size="1" baseType="lpstr">
      <vt:lpstr/>
    </vt:vector>
  </TitlesOfParts>
  <Company>LR Ekonomikas ministrija</Company>
  <LinksUpToDate>false</LinksUpToDate>
  <CharactersWithSpaces>87665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SalminsJ</dc:creator>
  <cp:keywords/>
  <dc:description/>
  <cp:lastModifiedBy>SalminsJ</cp:lastModifiedBy>
  <cp:revision>229</cp:revision>
  <cp:lastPrinted>2011-04-18T07:03:00Z</cp:lastPrinted>
  <dcterms:created xsi:type="dcterms:W3CDTF">2010-06-15T15:16:00Z</dcterms:created>
  <dcterms:modified xsi:type="dcterms:W3CDTF">2011-04-18T07:33:00Z</dcterms:modified>
</cp:coreProperties>
</file>