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rawings/drawing1.xml" ContentType="application/vnd.openxmlformats-officedocument.drawingml.chartshapes+xml"/>
  <Override PartName="/word/charts/chart35.xml" ContentType="application/vnd.openxmlformats-officedocument.drawingml.chart+xml"/>
  <Override PartName="/word/drawings/drawing2.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11.xml" ContentType="application/vnd.openxmlformats-officedocument.themeOverride+xml"/>
  <Override PartName="/word/charts/chart39.xml" ContentType="application/vnd.openxmlformats-officedocument.drawingml.chart+xml"/>
  <Override PartName="/word/theme/themeOverride12.xml" ContentType="application/vnd.openxmlformats-officedocument.themeOverride+xml"/>
  <Override PartName="/word/charts/chart40.xml" ContentType="application/vnd.openxmlformats-officedocument.drawingml.chart+xml"/>
  <Override PartName="/word/theme/themeOverride13.xml" ContentType="application/vnd.openxmlformats-officedocument.themeOverride+xml"/>
  <Override PartName="/word/charts/chart41.xml" ContentType="application/vnd.openxmlformats-officedocument.drawingml.chart+xml"/>
  <Override PartName="/word/theme/themeOverride14.xml" ContentType="application/vnd.openxmlformats-officedocument.themeOverride+xml"/>
  <Override PartName="/word/charts/chart42.xml" ContentType="application/vnd.openxmlformats-officedocument.drawingml.chart+xml"/>
  <Override PartName="/word/theme/themeOverride15.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16.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theme/themeOverride17.xml" ContentType="application/vnd.openxmlformats-officedocument.themeOverride+xml"/>
  <Override PartName="/word/charts/chart49.xml" ContentType="application/vnd.openxmlformats-officedocument.drawingml.chart+xml"/>
  <Override PartName="/word/theme/themeOverride18.xml" ContentType="application/vnd.openxmlformats-officedocument.themeOverride+xml"/>
  <Override PartName="/word/charts/chart50.xml" ContentType="application/vnd.openxmlformats-officedocument.drawingml.chart+xml"/>
  <Override PartName="/word/theme/themeOverride19.xml" ContentType="application/vnd.openxmlformats-officedocument.themeOverride+xml"/>
  <Override PartName="/word/charts/chart51.xml" ContentType="application/vnd.openxmlformats-officedocument.drawingml.chart+xml"/>
  <Override PartName="/word/theme/themeOverride20.xml" ContentType="application/vnd.openxmlformats-officedocument.themeOverride+xml"/>
  <Override PartName="/word/charts/chart52.xml" ContentType="application/vnd.openxmlformats-officedocument.drawingml.chart+xml"/>
  <Override PartName="/word/theme/themeOverride21.xml" ContentType="application/vnd.openxmlformats-officedocument.themeOverride+xml"/>
  <Override PartName="/word/charts/chart53.xml" ContentType="application/vnd.openxmlformats-officedocument.drawingml.chart+xml"/>
  <Override PartName="/word/theme/themeOverride22.xml" ContentType="application/vnd.openxmlformats-officedocument.themeOverride+xml"/>
  <Override PartName="/word/charts/chart54.xml" ContentType="application/vnd.openxmlformats-officedocument.drawingml.chart+xml"/>
  <Override PartName="/word/theme/themeOverride23.xml" ContentType="application/vnd.openxmlformats-officedocument.themeOverride+xml"/>
  <Override PartName="/word/charts/chart55.xml" ContentType="application/vnd.openxmlformats-officedocument.drawingml.chart+xml"/>
  <Override PartName="/word/theme/themeOverride24.xml" ContentType="application/vnd.openxmlformats-officedocument.themeOverride+xml"/>
  <Override PartName="/word/charts/chart56.xml" ContentType="application/vnd.openxmlformats-officedocument.drawingml.chart+xml"/>
  <Override PartName="/word/theme/themeOverride25.xml" ContentType="application/vnd.openxmlformats-officedocument.themeOverride+xml"/>
  <Override PartName="/word/charts/chart57.xml" ContentType="application/vnd.openxmlformats-officedocument.drawingml.chart+xml"/>
  <Override PartName="/word/theme/themeOverride26.xml" ContentType="application/vnd.openxmlformats-officedocument.themeOverride+xml"/>
  <Override PartName="/word/charts/chart58.xml" ContentType="application/vnd.openxmlformats-officedocument.drawingml.chart+xml"/>
  <Override PartName="/word/theme/themeOverride27.xml" ContentType="application/vnd.openxmlformats-officedocument.themeOverride+xml"/>
  <Override PartName="/word/charts/chart59.xml" ContentType="application/vnd.openxmlformats-officedocument.drawingml.chart+xml"/>
  <Override PartName="/word/theme/themeOverride28.xml" ContentType="application/vnd.openxmlformats-officedocument.themeOverride+xml"/>
  <Override PartName="/word/charts/chart60.xml" ContentType="application/vnd.openxmlformats-officedocument.drawingml.chart+xml"/>
  <Override PartName="/word/theme/themeOverride29.xml" ContentType="application/vnd.openxmlformats-officedocument.themeOverride+xml"/>
  <Override PartName="/word/charts/chart61.xml" ContentType="application/vnd.openxmlformats-officedocument.drawingml.chart+xml"/>
  <Override PartName="/word/theme/themeOverride30.xml" ContentType="application/vnd.openxmlformats-officedocument.themeOverride+xml"/>
  <Override PartName="/word/charts/chart62.xml" ContentType="application/vnd.openxmlformats-officedocument.drawingml.chart+xml"/>
  <Override PartName="/word/theme/themeOverride31.xml" ContentType="application/vnd.openxmlformats-officedocument.themeOverride+xml"/>
  <Override PartName="/word/charts/chart63.xml" ContentType="application/vnd.openxmlformats-officedocument.drawingml.chart+xml"/>
  <Override PartName="/word/theme/themeOverride32.xml" ContentType="application/vnd.openxmlformats-officedocument.themeOverride+xml"/>
  <Override PartName="/word/charts/chart64.xml" ContentType="application/vnd.openxmlformats-officedocument.drawingml.chart+xml"/>
  <Override PartName="/word/theme/themeOverride33.xml" ContentType="application/vnd.openxmlformats-officedocument.themeOverride+xml"/>
  <Override PartName="/word/charts/chart65.xml" ContentType="application/vnd.openxmlformats-officedocument.drawingml.chart+xml"/>
  <Override PartName="/word/theme/themeOverride34.xml" ContentType="application/vnd.openxmlformats-officedocument.themeOverride+xml"/>
  <Override PartName="/word/charts/chart66.xml" ContentType="application/vnd.openxmlformats-officedocument.drawingml.chart+xml"/>
  <Override PartName="/word/theme/themeOverride35.xml" ContentType="application/vnd.openxmlformats-officedocument.themeOverride+xml"/>
  <Override PartName="/word/charts/chart67.xml" ContentType="application/vnd.openxmlformats-officedocument.drawingml.chart+xml"/>
  <Override PartName="/word/theme/themeOverride36.xml" ContentType="application/vnd.openxmlformats-officedocument.themeOverride+xml"/>
  <Override PartName="/word/charts/chart68.xml" ContentType="application/vnd.openxmlformats-officedocument.drawingml.chart+xml"/>
  <Override PartName="/word/theme/themeOverride37.xml" ContentType="application/vnd.openxmlformats-officedocument.themeOverride+xml"/>
  <Override PartName="/word/charts/chart69.xml" ContentType="application/vnd.openxmlformats-officedocument.drawingml.chart+xml"/>
  <Override PartName="/word/theme/themeOverride38.xml" ContentType="application/vnd.openxmlformats-officedocument.themeOverride+xml"/>
  <Override PartName="/word/charts/chart70.xml" ContentType="application/vnd.openxmlformats-officedocument.drawingml.chart+xml"/>
  <Override PartName="/word/theme/themeOverride39.xml" ContentType="application/vnd.openxmlformats-officedocument.themeOverride+xml"/>
  <Override PartName="/word/charts/chart71.xml" ContentType="application/vnd.openxmlformats-officedocument.drawingml.chart+xml"/>
  <Override PartName="/word/theme/themeOverride40.xml" ContentType="application/vnd.openxmlformats-officedocument.themeOverride+xml"/>
  <Override PartName="/word/charts/chart72.xml" ContentType="application/vnd.openxmlformats-officedocument.drawingml.chart+xml"/>
  <Override PartName="/word/theme/themeOverride41.xml" ContentType="application/vnd.openxmlformats-officedocument.themeOverride+xml"/>
  <Override PartName="/word/charts/chart73.xml" ContentType="application/vnd.openxmlformats-officedocument.drawingml.chart+xml"/>
  <Override PartName="/word/theme/themeOverride42.xml" ContentType="application/vnd.openxmlformats-officedocument.themeOverride+xml"/>
  <Override PartName="/word/charts/chart74.xml" ContentType="application/vnd.openxmlformats-officedocument.drawingml.chart+xml"/>
  <Override PartName="/word/theme/themeOverride43.xml" ContentType="application/vnd.openxmlformats-officedocument.themeOverride+xml"/>
  <Override PartName="/word/charts/chart75.xml" ContentType="application/vnd.openxmlformats-officedocument.drawingml.chart+xml"/>
  <Override PartName="/word/charts/chart76.xml" ContentType="application/vnd.openxmlformats-officedocument.drawingml.chart+xml"/>
  <Override PartName="/word/theme/themeOverride44.xml" ContentType="application/vnd.openxmlformats-officedocument.themeOverride+xml"/>
  <Override PartName="/word/charts/chart77.xml" ContentType="application/vnd.openxmlformats-officedocument.drawingml.chart+xml"/>
  <Override PartName="/word/theme/themeOverride45.xml" ContentType="application/vnd.openxmlformats-officedocument.themeOverride+xml"/>
  <Override PartName="/word/charts/chart78.xml" ContentType="application/vnd.openxmlformats-officedocument.drawingml.chart+xml"/>
  <Override PartName="/word/theme/themeOverride46.xml" ContentType="application/vnd.openxmlformats-officedocument.themeOverride+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CB9" w:rsidRDefault="00687CB9" w:rsidP="0077399B">
      <w:pPr>
        <w:spacing w:after="0" w:line="240" w:lineRule="auto"/>
        <w:jc w:val="center"/>
        <w:rPr>
          <w:sz w:val="48"/>
          <w:szCs w:val="48"/>
        </w:rPr>
      </w:pPr>
      <w:bookmarkStart w:id="0" w:name="_Toc293074216"/>
    </w:p>
    <w:p w:rsidR="00687CB9" w:rsidRDefault="00687CB9" w:rsidP="0077399B">
      <w:pPr>
        <w:spacing w:after="0" w:line="240" w:lineRule="auto"/>
        <w:jc w:val="center"/>
        <w:rPr>
          <w:sz w:val="48"/>
          <w:szCs w:val="48"/>
        </w:rPr>
      </w:pPr>
    </w:p>
    <w:p w:rsidR="00687CB9" w:rsidRDefault="00687CB9" w:rsidP="0077399B">
      <w:pPr>
        <w:spacing w:after="0" w:line="240" w:lineRule="auto"/>
        <w:jc w:val="center"/>
        <w:rPr>
          <w:sz w:val="40"/>
          <w:szCs w:val="40"/>
        </w:rPr>
      </w:pPr>
    </w:p>
    <w:p w:rsidR="00687CB9" w:rsidRDefault="00687CB9" w:rsidP="0077399B">
      <w:pPr>
        <w:spacing w:after="0" w:line="240" w:lineRule="auto"/>
        <w:jc w:val="center"/>
        <w:rPr>
          <w:sz w:val="40"/>
          <w:szCs w:val="40"/>
        </w:rPr>
      </w:pPr>
    </w:p>
    <w:p w:rsidR="00687CB9" w:rsidRDefault="00687CB9" w:rsidP="0077399B">
      <w:pPr>
        <w:spacing w:after="0" w:line="240" w:lineRule="auto"/>
        <w:jc w:val="center"/>
        <w:rPr>
          <w:sz w:val="40"/>
          <w:szCs w:val="40"/>
        </w:rPr>
      </w:pPr>
    </w:p>
    <w:p w:rsidR="00687CB9" w:rsidRDefault="00687CB9" w:rsidP="0077399B">
      <w:pPr>
        <w:spacing w:after="0" w:line="240" w:lineRule="auto"/>
        <w:jc w:val="center"/>
        <w:rPr>
          <w:sz w:val="40"/>
          <w:szCs w:val="40"/>
        </w:rPr>
      </w:pPr>
    </w:p>
    <w:p w:rsidR="00687CB9" w:rsidRDefault="00CE2B15" w:rsidP="0077399B">
      <w:pPr>
        <w:spacing w:after="0" w:line="240" w:lineRule="auto"/>
        <w:jc w:val="center"/>
        <w:rPr>
          <w:b/>
          <w:sz w:val="48"/>
          <w:szCs w:val="44"/>
        </w:rPr>
      </w:pPr>
      <w:r w:rsidRPr="00CD7B6E">
        <w:rPr>
          <w:b/>
          <w:iCs/>
          <w:sz w:val="48"/>
          <w:szCs w:val="44"/>
        </w:rPr>
        <w:t>Informatīvais ziņojums par darba tirgus vidēja un ilgtermiņa prognozēm</w:t>
      </w:r>
    </w:p>
    <w:p w:rsidR="00687CB9" w:rsidRDefault="00687CB9" w:rsidP="0077399B">
      <w:pPr>
        <w:spacing w:after="0" w:line="240" w:lineRule="auto"/>
        <w:jc w:val="center"/>
        <w:rPr>
          <w:sz w:val="48"/>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sz w:val="44"/>
          <w:szCs w:val="44"/>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687CB9" w:rsidP="0077399B">
      <w:pPr>
        <w:spacing w:after="0" w:line="240" w:lineRule="auto"/>
        <w:jc w:val="center"/>
        <w:rPr>
          <w:b/>
          <w:sz w:val="32"/>
          <w:szCs w:val="40"/>
        </w:rPr>
      </w:pPr>
    </w:p>
    <w:p w:rsidR="00687CB9" w:rsidRDefault="00CE2B15" w:rsidP="0077399B">
      <w:pPr>
        <w:spacing w:after="0" w:line="240" w:lineRule="auto"/>
        <w:jc w:val="center"/>
        <w:rPr>
          <w:b/>
          <w:sz w:val="32"/>
          <w:szCs w:val="40"/>
        </w:rPr>
      </w:pPr>
      <w:r w:rsidRPr="00CD7B6E">
        <w:rPr>
          <w:b/>
          <w:sz w:val="32"/>
          <w:szCs w:val="40"/>
        </w:rPr>
        <w:t>201</w:t>
      </w:r>
      <w:r>
        <w:rPr>
          <w:b/>
          <w:sz w:val="32"/>
          <w:szCs w:val="40"/>
        </w:rPr>
        <w:t>3</w:t>
      </w:r>
    </w:p>
    <w:p w:rsidR="00687CB9" w:rsidRDefault="00CE2B15" w:rsidP="0077399B">
      <w:pPr>
        <w:pStyle w:val="Heading1"/>
        <w:pBdr>
          <w:bottom w:val="thinThickThinSmallGap" w:sz="24" w:space="1" w:color="8064A2" w:themeColor="accent4"/>
        </w:pBdr>
        <w:rPr>
          <w:sz w:val="36"/>
          <w:szCs w:val="36"/>
        </w:rPr>
      </w:pPr>
      <w:r w:rsidRPr="00CD7B6E">
        <w:rPr>
          <w:sz w:val="28"/>
          <w:szCs w:val="28"/>
        </w:rPr>
        <w:br w:type="page"/>
      </w:r>
      <w:bookmarkStart w:id="1" w:name="_Toc357503106"/>
      <w:r w:rsidRPr="00CE2B15">
        <w:rPr>
          <w:sz w:val="36"/>
          <w:szCs w:val="36"/>
        </w:rPr>
        <w:lastRenderedPageBreak/>
        <w:t>Ievads</w:t>
      </w:r>
      <w:bookmarkEnd w:id="1"/>
    </w:p>
    <w:p w:rsidR="00687CB9" w:rsidRDefault="00687CB9" w:rsidP="0077399B">
      <w:pPr>
        <w:spacing w:after="0" w:line="240" w:lineRule="auto"/>
        <w:jc w:val="both"/>
        <w:rPr>
          <w:sz w:val="26"/>
          <w:szCs w:val="28"/>
        </w:rPr>
      </w:pPr>
    </w:p>
    <w:p w:rsidR="00687CB9" w:rsidRPr="00C03686" w:rsidRDefault="00CE2B15" w:rsidP="00C03686">
      <w:pPr>
        <w:spacing w:after="0" w:line="240" w:lineRule="auto"/>
        <w:ind w:firstLine="567"/>
        <w:jc w:val="both"/>
        <w:rPr>
          <w:sz w:val="26"/>
          <w:szCs w:val="28"/>
        </w:rPr>
      </w:pPr>
      <w:r w:rsidRPr="00C03686">
        <w:rPr>
          <w:sz w:val="26"/>
          <w:szCs w:val="28"/>
        </w:rPr>
        <w:t xml:space="preserve">Izpildot </w:t>
      </w:r>
      <w:r w:rsidRPr="00C03686">
        <w:rPr>
          <w:i/>
          <w:sz w:val="26"/>
          <w:szCs w:val="28"/>
        </w:rPr>
        <w:t xml:space="preserve">Valdības rīcības plāna Deklarācijas par Valda </w:t>
      </w:r>
      <w:proofErr w:type="spellStart"/>
      <w:r w:rsidRPr="00C03686">
        <w:rPr>
          <w:i/>
          <w:sz w:val="26"/>
          <w:szCs w:val="28"/>
        </w:rPr>
        <w:t>Dombrovska</w:t>
      </w:r>
      <w:proofErr w:type="spellEnd"/>
      <w:r w:rsidRPr="00C03686">
        <w:rPr>
          <w:i/>
          <w:sz w:val="26"/>
          <w:szCs w:val="28"/>
        </w:rPr>
        <w:t xml:space="preserve"> vadītā Ministru kabineta iecerēto darbību īstenošanai</w:t>
      </w:r>
      <w:r w:rsidRPr="00C03686">
        <w:rPr>
          <w:sz w:val="26"/>
          <w:szCs w:val="28"/>
        </w:rPr>
        <w:t xml:space="preserve"> 58.3.pasākumu, kā arī Ministru kabineta 2009. gada 14. jūlija </w:t>
      </w:r>
      <w:proofErr w:type="spellStart"/>
      <w:r w:rsidRPr="00C03686">
        <w:rPr>
          <w:sz w:val="26"/>
          <w:szCs w:val="28"/>
        </w:rPr>
        <w:t>protokollēmumu</w:t>
      </w:r>
      <w:proofErr w:type="spellEnd"/>
      <w:r w:rsidRPr="00C03686">
        <w:rPr>
          <w:sz w:val="26"/>
          <w:szCs w:val="28"/>
        </w:rPr>
        <w:t xml:space="preserve"> Nr.48 24.§,</w:t>
      </w:r>
      <w:r w:rsidRPr="00C03686">
        <w:rPr>
          <w:i/>
          <w:sz w:val="26"/>
          <w:szCs w:val="28"/>
        </w:rPr>
        <w:t xml:space="preserve"> </w:t>
      </w:r>
      <w:r w:rsidRPr="00C03686">
        <w:rPr>
          <w:sz w:val="26"/>
          <w:szCs w:val="28"/>
        </w:rPr>
        <w:t xml:space="preserve">Ekonomikas ministrija ir sagatavojusi </w:t>
      </w:r>
      <w:r w:rsidRPr="00C03686">
        <w:rPr>
          <w:b/>
          <w:i/>
          <w:iCs/>
          <w:sz w:val="26"/>
          <w:szCs w:val="28"/>
        </w:rPr>
        <w:t>Informatīvo ziņojumu par darba tirgus vidēja un ilgtermiņa prognozēm</w:t>
      </w:r>
      <w:r w:rsidRPr="00C03686">
        <w:rPr>
          <w:i/>
          <w:iCs/>
          <w:sz w:val="26"/>
          <w:szCs w:val="28"/>
        </w:rPr>
        <w:t xml:space="preserve"> </w:t>
      </w:r>
      <w:r w:rsidRPr="00C03686">
        <w:rPr>
          <w:sz w:val="26"/>
          <w:szCs w:val="28"/>
        </w:rPr>
        <w:t>(turpmāk – Ziņojums).</w:t>
      </w:r>
    </w:p>
    <w:p w:rsidR="00687CB9" w:rsidRPr="00C03686" w:rsidRDefault="00CE2B15" w:rsidP="00C03686">
      <w:pPr>
        <w:spacing w:after="0" w:line="240" w:lineRule="auto"/>
        <w:ind w:firstLine="567"/>
        <w:jc w:val="both"/>
        <w:rPr>
          <w:sz w:val="26"/>
        </w:rPr>
      </w:pPr>
      <w:r w:rsidRPr="00C03686">
        <w:rPr>
          <w:sz w:val="26"/>
          <w:szCs w:val="28"/>
        </w:rPr>
        <w:t xml:space="preserve">Ziņojumā ir raksturota esošā situācija darba tirgū, kā arī iekļautas Ekonomikas ministrijas sagatavotās vidēja termiņa darba tirgus prognozes laika periodam līdz 2020.gadam un ilgtermiņa darba tirgus prognozes līdz 2030.gadam. Darba tirgus prognozes balstās uz Ekonomikas ministrijas izstrādātajiem tautsaimniecības attīstības un demogrāfijas scenārijiem. </w:t>
      </w:r>
      <w:r w:rsidRPr="00C03686">
        <w:rPr>
          <w:sz w:val="26"/>
        </w:rPr>
        <w:t>Veiktie aprēķini balstīti uz 2011.gada tautas skaitīšanas rezultātiem</w:t>
      </w:r>
      <w:r w:rsidR="00B40358">
        <w:rPr>
          <w:sz w:val="26"/>
        </w:rPr>
        <w:t>.</w:t>
      </w:r>
    </w:p>
    <w:p w:rsidR="00687CB9" w:rsidRPr="00C03686" w:rsidRDefault="00CE2B15" w:rsidP="00C03686">
      <w:pPr>
        <w:spacing w:after="0" w:line="240" w:lineRule="auto"/>
        <w:ind w:firstLine="567"/>
        <w:jc w:val="both"/>
        <w:rPr>
          <w:sz w:val="26"/>
        </w:rPr>
      </w:pPr>
      <w:r w:rsidRPr="00C03686">
        <w:rPr>
          <w:sz w:val="26"/>
          <w:szCs w:val="26"/>
        </w:rPr>
        <w:t>Ekonomikas ministrija</w:t>
      </w:r>
      <w:r w:rsidR="000E76F4">
        <w:rPr>
          <w:sz w:val="26"/>
          <w:szCs w:val="26"/>
        </w:rPr>
        <w:t>i</w:t>
      </w:r>
      <w:r w:rsidRPr="00C03686">
        <w:rPr>
          <w:sz w:val="26"/>
          <w:szCs w:val="26"/>
        </w:rPr>
        <w:t xml:space="preserve"> darba tirgus prognozes ir viens no instrumentiem, kas ļauj priekšlaicīgi paredzēt darba tirgus neatbilstību veidošanos nākotnē</w:t>
      </w:r>
      <w:r w:rsidRPr="00C03686">
        <w:rPr>
          <w:sz w:val="26"/>
          <w:szCs w:val="28"/>
        </w:rPr>
        <w:t xml:space="preserve">. Tās parāda iespējamās darba tirgus attīstības tendences un iespējamos riskus, saglabājoties </w:t>
      </w:r>
      <w:r w:rsidRPr="00C03686">
        <w:rPr>
          <w:sz w:val="26"/>
          <w:szCs w:val="26"/>
        </w:rPr>
        <w:t>esošai izglītības sistēmai un izglītības piedāvājuma struktūrai.</w:t>
      </w:r>
      <w:r w:rsidRPr="00C03686">
        <w:rPr>
          <w:sz w:val="26"/>
        </w:rPr>
        <w:t xml:space="preserve"> Prognozes ir tikai viens no posmiem darbaspēka piedāvājuma pielāgošanas procesā. Tā ir kvantitatīva bāze tālākām diskusijām starp nodarbinātības, izglītības un struktūrpolitikas veidotājiem, sociālajiem partneriem, zinātniekiem un citām iesaistītām pusēm,</w:t>
      </w:r>
      <w:r w:rsidRPr="00C03686">
        <w:rPr>
          <w:sz w:val="26"/>
          <w:szCs w:val="26"/>
        </w:rPr>
        <w:t xml:space="preserve"> lai savlaicīgi sagatavotos un pielāgotos sagaidāmajām strukturālajām izmaiņām tautsaimniecībā.</w:t>
      </w:r>
    </w:p>
    <w:p w:rsidR="00687CB9" w:rsidRPr="00C03686" w:rsidRDefault="00CE2B15" w:rsidP="00C03686">
      <w:pPr>
        <w:spacing w:after="0" w:line="240" w:lineRule="auto"/>
        <w:ind w:firstLine="567"/>
        <w:jc w:val="both"/>
        <w:rPr>
          <w:sz w:val="26"/>
          <w:szCs w:val="28"/>
        </w:rPr>
      </w:pPr>
      <w:r w:rsidRPr="00C03686">
        <w:rPr>
          <w:sz w:val="26"/>
          <w:szCs w:val="28"/>
        </w:rPr>
        <w:t xml:space="preserve">Darba tirgus prognozes ir izskatītas Tautsaimniecības Padomes sēdē, kā arī ekonomikas ministra vadītajā </w:t>
      </w:r>
      <w:r w:rsidRPr="00C03686">
        <w:rPr>
          <w:i/>
          <w:sz w:val="26"/>
          <w:szCs w:val="28"/>
        </w:rPr>
        <w:t>Darba tirgus prognozēšanas konsultatīvajā padomē</w:t>
      </w:r>
      <w:r w:rsidRPr="00C03686">
        <w:rPr>
          <w:sz w:val="26"/>
          <w:szCs w:val="28"/>
        </w:rPr>
        <w:t>, kuras sastāvā ir gan valsts pārvaldes institūciju, gan nevalstisko organizāciju pārstāvji.</w:t>
      </w:r>
    </w:p>
    <w:p w:rsidR="00687CB9" w:rsidRPr="00EB30C9" w:rsidRDefault="00CE2B15" w:rsidP="00C03686">
      <w:pPr>
        <w:spacing w:after="0" w:line="240" w:lineRule="auto"/>
        <w:ind w:firstLine="567"/>
        <w:jc w:val="both"/>
        <w:rPr>
          <w:sz w:val="26"/>
          <w:szCs w:val="28"/>
        </w:rPr>
      </w:pPr>
      <w:r w:rsidRPr="00EB30C9">
        <w:rPr>
          <w:sz w:val="26"/>
          <w:szCs w:val="28"/>
        </w:rPr>
        <w:t xml:space="preserve">Informācija izklāstīta </w:t>
      </w:r>
      <w:r w:rsidR="00B40358">
        <w:rPr>
          <w:sz w:val="26"/>
          <w:szCs w:val="28"/>
        </w:rPr>
        <w:t>5</w:t>
      </w:r>
      <w:r w:rsidRPr="00EB30C9">
        <w:rPr>
          <w:sz w:val="26"/>
          <w:szCs w:val="28"/>
        </w:rPr>
        <w:t xml:space="preserve"> nodaļās un pielikumā. Ziņojums sastāv no tautsaim</w:t>
      </w:r>
      <w:r w:rsidR="00C976C0">
        <w:rPr>
          <w:sz w:val="26"/>
          <w:szCs w:val="28"/>
        </w:rPr>
        <w:softHyphen/>
      </w:r>
      <w:r w:rsidRPr="00EB30C9">
        <w:rPr>
          <w:sz w:val="26"/>
          <w:szCs w:val="28"/>
        </w:rPr>
        <w:t>niecības un darba tirgus tendenču raksturojuma, tautsaimniecības attīstības scenāriju apraksta, darba tirgus vidēja termiņa un ilgtermiņa prognozēm, ES prognozētajām prasmju pieprasījuma un piedāvājuma izmaiņām līdz 2020.gadam, kopsavilkuma ar priekšlikumiem un pielikuma ar detalizētu informāciju.</w:t>
      </w:r>
    </w:p>
    <w:p w:rsidR="00687CB9" w:rsidRDefault="00CE2B15" w:rsidP="00C03686">
      <w:pPr>
        <w:spacing w:after="0" w:line="240" w:lineRule="auto"/>
        <w:ind w:firstLine="567"/>
        <w:jc w:val="both"/>
        <w:rPr>
          <w:sz w:val="26"/>
        </w:rPr>
      </w:pPr>
      <w:r w:rsidRPr="00EB30C9">
        <w:rPr>
          <w:sz w:val="26"/>
        </w:rPr>
        <w:t>Visa statistiskā informācija, izņemot īpaši norādītos gadījumus, ir ņemta no Latvijas Republikas Centrālās statistikas pārvaldes datu bāzes. Ziņojumā ir izmantoti arī Eiropas Statistikas biroja (</w:t>
      </w:r>
      <w:proofErr w:type="spellStart"/>
      <w:r w:rsidRPr="00EB30C9">
        <w:rPr>
          <w:sz w:val="26"/>
        </w:rPr>
        <w:t>Eurostat</w:t>
      </w:r>
      <w:proofErr w:type="spellEnd"/>
      <w:r w:rsidRPr="00EB30C9">
        <w:rPr>
          <w:sz w:val="26"/>
        </w:rPr>
        <w:t xml:space="preserve">), Nodarbinātības valsts aģentūras un </w:t>
      </w:r>
      <w:r w:rsidRPr="00EB30C9">
        <w:rPr>
          <w:sz w:val="26"/>
          <w:szCs w:val="28"/>
        </w:rPr>
        <w:t xml:space="preserve">Eiropas Profesionālās izglītības attīstības centra (CEDEFOP) </w:t>
      </w:r>
      <w:r w:rsidRPr="00EB30C9">
        <w:rPr>
          <w:sz w:val="26"/>
        </w:rPr>
        <w:t>dati.</w:t>
      </w:r>
    </w:p>
    <w:p w:rsidR="00687CB9" w:rsidRDefault="00CE2B15" w:rsidP="0077399B">
      <w:pPr>
        <w:pStyle w:val="Heading1"/>
        <w:pBdr>
          <w:bottom w:val="thinThickThinSmallGap" w:sz="24" w:space="1" w:color="8064A2" w:themeColor="accent4"/>
        </w:pBdr>
        <w:rPr>
          <w:sz w:val="36"/>
          <w:szCs w:val="36"/>
        </w:rPr>
      </w:pPr>
      <w:r w:rsidRPr="00CD7B6E">
        <w:rPr>
          <w:b w:val="0"/>
          <w:sz w:val="36"/>
          <w:szCs w:val="28"/>
        </w:rPr>
        <w:br w:type="page"/>
      </w:r>
      <w:bookmarkStart w:id="2" w:name="_Toc357503107"/>
      <w:r w:rsidRPr="00CE2B15">
        <w:rPr>
          <w:sz w:val="36"/>
          <w:szCs w:val="36"/>
        </w:rPr>
        <w:lastRenderedPageBreak/>
        <w:t>Saturs</w:t>
      </w:r>
      <w:bookmarkEnd w:id="2"/>
    </w:p>
    <w:p w:rsidR="00687CB9" w:rsidRDefault="00687CB9" w:rsidP="0077399B">
      <w:pPr>
        <w:spacing w:after="0" w:line="240" w:lineRule="auto"/>
        <w:jc w:val="center"/>
        <w:rPr>
          <w:sz w:val="28"/>
          <w:szCs w:val="28"/>
        </w:rPr>
      </w:pPr>
    </w:p>
    <w:p w:rsidR="00B40358" w:rsidRPr="00B40358" w:rsidRDefault="00CE2B15">
      <w:pPr>
        <w:pStyle w:val="TOC1"/>
        <w:rPr>
          <w:rFonts w:eastAsiaTheme="minorEastAsia"/>
          <w:b w:val="0"/>
          <w:bCs w:val="0"/>
          <w:sz w:val="22"/>
          <w:szCs w:val="22"/>
          <w:lang w:eastAsia="lv-LV"/>
        </w:rPr>
      </w:pPr>
      <w:r w:rsidRPr="00B40358">
        <w:rPr>
          <w:szCs w:val="26"/>
        </w:rPr>
        <w:fldChar w:fldCharType="begin"/>
      </w:r>
      <w:r w:rsidRPr="00B40358">
        <w:rPr>
          <w:szCs w:val="26"/>
        </w:rPr>
        <w:instrText xml:space="preserve"> TOC \o "1-3" \h \z \u </w:instrText>
      </w:r>
      <w:r w:rsidRPr="00B40358">
        <w:rPr>
          <w:szCs w:val="26"/>
        </w:rPr>
        <w:fldChar w:fldCharType="separate"/>
      </w:r>
      <w:hyperlink w:anchor="_Toc357503106" w:history="1">
        <w:r w:rsidR="00B40358" w:rsidRPr="00B40358">
          <w:rPr>
            <w:rStyle w:val="Hyperlink"/>
          </w:rPr>
          <w:t>Ievads</w:t>
        </w:r>
        <w:r w:rsidR="00B40358" w:rsidRPr="00B40358">
          <w:rPr>
            <w:webHidden/>
          </w:rPr>
          <w:tab/>
        </w:r>
        <w:r w:rsidR="00B40358" w:rsidRPr="00B40358">
          <w:rPr>
            <w:webHidden/>
          </w:rPr>
          <w:fldChar w:fldCharType="begin"/>
        </w:r>
        <w:r w:rsidR="00B40358" w:rsidRPr="00B40358">
          <w:rPr>
            <w:webHidden/>
          </w:rPr>
          <w:instrText xml:space="preserve"> PAGEREF _Toc357503106 \h </w:instrText>
        </w:r>
        <w:r w:rsidR="00B40358" w:rsidRPr="00B40358">
          <w:rPr>
            <w:webHidden/>
          </w:rPr>
        </w:r>
        <w:r w:rsidR="00B40358" w:rsidRPr="00B40358">
          <w:rPr>
            <w:webHidden/>
          </w:rPr>
          <w:fldChar w:fldCharType="separate"/>
        </w:r>
        <w:r w:rsidR="00F5785D">
          <w:rPr>
            <w:webHidden/>
          </w:rPr>
          <w:t>2</w:t>
        </w:r>
        <w:r w:rsidR="00B40358" w:rsidRPr="00B40358">
          <w:rPr>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07" w:history="1">
        <w:r w:rsidR="00B40358" w:rsidRPr="00B40358">
          <w:rPr>
            <w:rStyle w:val="Hyperlink"/>
          </w:rPr>
          <w:t>Saturs</w:t>
        </w:r>
        <w:r w:rsidR="00B40358" w:rsidRPr="00B40358">
          <w:rPr>
            <w:webHidden/>
          </w:rPr>
          <w:tab/>
        </w:r>
        <w:r w:rsidR="00B40358" w:rsidRPr="00B40358">
          <w:rPr>
            <w:webHidden/>
          </w:rPr>
          <w:fldChar w:fldCharType="begin"/>
        </w:r>
        <w:r w:rsidR="00B40358" w:rsidRPr="00B40358">
          <w:rPr>
            <w:webHidden/>
          </w:rPr>
          <w:instrText xml:space="preserve"> PAGEREF _Toc357503107 \h </w:instrText>
        </w:r>
        <w:r w:rsidR="00B40358" w:rsidRPr="00B40358">
          <w:rPr>
            <w:webHidden/>
          </w:rPr>
        </w:r>
        <w:r w:rsidR="00B40358" w:rsidRPr="00B40358">
          <w:rPr>
            <w:webHidden/>
          </w:rPr>
          <w:fldChar w:fldCharType="separate"/>
        </w:r>
        <w:r w:rsidR="00F5785D">
          <w:rPr>
            <w:webHidden/>
          </w:rPr>
          <w:t>3</w:t>
        </w:r>
        <w:r w:rsidR="00B40358" w:rsidRPr="00B40358">
          <w:rPr>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08" w:history="1">
        <w:r w:rsidR="00B40358" w:rsidRPr="00B40358">
          <w:rPr>
            <w:rStyle w:val="Hyperlink"/>
          </w:rPr>
          <w:t>Saīsinājumi</w:t>
        </w:r>
        <w:r w:rsidR="00B40358" w:rsidRPr="00B40358">
          <w:rPr>
            <w:webHidden/>
          </w:rPr>
          <w:tab/>
        </w:r>
        <w:r w:rsidR="00B40358" w:rsidRPr="00B40358">
          <w:rPr>
            <w:webHidden/>
          </w:rPr>
          <w:fldChar w:fldCharType="begin"/>
        </w:r>
        <w:r w:rsidR="00B40358" w:rsidRPr="00B40358">
          <w:rPr>
            <w:webHidden/>
          </w:rPr>
          <w:instrText xml:space="preserve"> PAGEREF _Toc357503108 \h </w:instrText>
        </w:r>
        <w:r w:rsidR="00B40358" w:rsidRPr="00B40358">
          <w:rPr>
            <w:webHidden/>
          </w:rPr>
        </w:r>
        <w:r w:rsidR="00B40358" w:rsidRPr="00B40358">
          <w:rPr>
            <w:webHidden/>
          </w:rPr>
          <w:fldChar w:fldCharType="separate"/>
        </w:r>
        <w:r w:rsidR="00F5785D">
          <w:rPr>
            <w:webHidden/>
          </w:rPr>
          <w:t>4</w:t>
        </w:r>
        <w:r w:rsidR="00B40358" w:rsidRPr="00B40358">
          <w:rPr>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09" w:history="1">
        <w:r w:rsidR="00B40358" w:rsidRPr="00B40358">
          <w:rPr>
            <w:rStyle w:val="Hyperlink"/>
          </w:rPr>
          <w:t>1. Tautsaimniecības un darba tirgus attīstība</w:t>
        </w:r>
        <w:r w:rsidR="00B40358" w:rsidRPr="00B40358">
          <w:rPr>
            <w:webHidden/>
          </w:rPr>
          <w:tab/>
        </w:r>
        <w:r w:rsidR="00B40358" w:rsidRPr="00B40358">
          <w:rPr>
            <w:webHidden/>
          </w:rPr>
          <w:fldChar w:fldCharType="begin"/>
        </w:r>
        <w:r w:rsidR="00B40358" w:rsidRPr="00B40358">
          <w:rPr>
            <w:webHidden/>
          </w:rPr>
          <w:instrText xml:space="preserve"> PAGEREF _Toc357503109 \h </w:instrText>
        </w:r>
        <w:r w:rsidR="00B40358" w:rsidRPr="00B40358">
          <w:rPr>
            <w:webHidden/>
          </w:rPr>
        </w:r>
        <w:r w:rsidR="00B40358" w:rsidRPr="00B40358">
          <w:rPr>
            <w:webHidden/>
          </w:rPr>
          <w:fldChar w:fldCharType="separate"/>
        </w:r>
        <w:r w:rsidR="00F5785D">
          <w:rPr>
            <w:webHidden/>
          </w:rPr>
          <w:t>5</w:t>
        </w:r>
        <w:r w:rsidR="00B40358" w:rsidRPr="00B40358">
          <w:rPr>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0" w:history="1">
        <w:r w:rsidR="00B40358" w:rsidRPr="00B40358">
          <w:rPr>
            <w:rStyle w:val="Hyperlink"/>
            <w:rFonts w:ascii="Times New Roman" w:hAnsi="Times New Roman"/>
            <w:noProof/>
          </w:rPr>
          <w:t>1.1. Makroekonomiskā situācija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_Toc357503110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5</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1" w:history="1">
        <w:r w:rsidR="00B40358" w:rsidRPr="00B40358">
          <w:rPr>
            <w:rStyle w:val="Hyperlink"/>
            <w:rFonts w:ascii="Times New Roman" w:hAnsi="Times New Roman"/>
            <w:noProof/>
          </w:rPr>
          <w:t>1.2. Nodarbinātības un bezdarba vispārīgs raksturojums</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_Toc357503111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7</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2" w:history="1">
        <w:r w:rsidR="00B40358" w:rsidRPr="00B40358">
          <w:rPr>
            <w:rStyle w:val="Hyperlink"/>
            <w:rFonts w:ascii="Times New Roman" w:hAnsi="Times New Roman"/>
            <w:noProof/>
          </w:rPr>
          <w:t>1.3. Darbaspēka izmaksas un produktivitāte</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_Toc357503112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8</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3" w:history="1">
        <w:r w:rsidR="00B40358" w:rsidRPr="00B40358">
          <w:rPr>
            <w:rStyle w:val="Hyperlink"/>
            <w:rFonts w:ascii="Times New Roman" w:hAnsi="Times New Roman"/>
            <w:noProof/>
          </w:rPr>
          <w:t>1.4. Situācija ES darba tirgū</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_Toc357503113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11</w:t>
        </w:r>
        <w:r w:rsidR="00B40358" w:rsidRPr="00B40358">
          <w:rPr>
            <w:rFonts w:ascii="Times New Roman" w:hAnsi="Times New Roman"/>
            <w:noProof/>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14" w:history="1">
        <w:r w:rsidR="00B40358" w:rsidRPr="00B40358">
          <w:rPr>
            <w:rStyle w:val="Hyperlink"/>
          </w:rPr>
          <w:t>2. Darbaspēka pieprasījums un piedāvājums</w:t>
        </w:r>
        <w:r w:rsidR="00B40358" w:rsidRPr="00B40358">
          <w:rPr>
            <w:webHidden/>
          </w:rPr>
          <w:tab/>
        </w:r>
        <w:r w:rsidR="00B40358" w:rsidRPr="00B40358">
          <w:rPr>
            <w:webHidden/>
          </w:rPr>
          <w:fldChar w:fldCharType="begin"/>
        </w:r>
        <w:r w:rsidR="00B40358" w:rsidRPr="00B40358">
          <w:rPr>
            <w:webHidden/>
          </w:rPr>
          <w:instrText xml:space="preserve"> PAGEREF _Toc357503114 \h </w:instrText>
        </w:r>
        <w:r w:rsidR="00B40358" w:rsidRPr="00B40358">
          <w:rPr>
            <w:webHidden/>
          </w:rPr>
        </w:r>
        <w:r w:rsidR="00B40358" w:rsidRPr="00B40358">
          <w:rPr>
            <w:webHidden/>
          </w:rPr>
          <w:fldChar w:fldCharType="separate"/>
        </w:r>
        <w:r w:rsidR="00F5785D">
          <w:rPr>
            <w:webHidden/>
          </w:rPr>
          <w:t>15</w:t>
        </w:r>
        <w:r w:rsidR="00B40358" w:rsidRPr="00B40358">
          <w:rPr>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5" w:history="1">
        <w:r w:rsidR="00B40358" w:rsidRPr="00B40358">
          <w:rPr>
            <w:rStyle w:val="Hyperlink"/>
            <w:rFonts w:ascii="Times New Roman" w:hAnsi="Times New Roman"/>
            <w:noProof/>
          </w:rPr>
          <w:t>2.1. Darbaspēka pieprasījuma izmaiņas un struktūra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_Toc357503115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15</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6" w:history="1">
        <w:r w:rsidR="00B40358" w:rsidRPr="00B40358">
          <w:rPr>
            <w:rStyle w:val="Hyperlink"/>
            <w:rFonts w:ascii="Times New Roman" w:hAnsi="Times New Roman"/>
            <w:noProof/>
          </w:rPr>
          <w:t>2.2. Demogrāfiskā situācija un darbaspēka piedāvājums</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_Toc357503116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16</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7" w:history="1">
        <w:r w:rsidR="00B40358" w:rsidRPr="00B40358">
          <w:rPr>
            <w:rStyle w:val="Hyperlink"/>
            <w:rFonts w:ascii="Times New Roman" w:hAnsi="Times New Roman"/>
            <w:noProof/>
          </w:rPr>
          <w:t>2.3. Darba tirgus pieprasījuma un piedāvājuma atbilstība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_Toc357503117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25</w:t>
        </w:r>
        <w:r w:rsidR="00B40358" w:rsidRPr="00B40358">
          <w:rPr>
            <w:rFonts w:ascii="Times New Roman" w:hAnsi="Times New Roman"/>
            <w:noProof/>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18" w:history="1">
        <w:r w:rsidR="00B40358" w:rsidRPr="00B40358">
          <w:rPr>
            <w:rStyle w:val="Hyperlink"/>
          </w:rPr>
          <w:t>3. Darba tirgus vidēja un ilgtermiņa prognozes</w:t>
        </w:r>
        <w:r w:rsidR="00B40358" w:rsidRPr="00B40358">
          <w:rPr>
            <w:webHidden/>
          </w:rPr>
          <w:tab/>
        </w:r>
        <w:r w:rsidR="00B40358" w:rsidRPr="00B40358">
          <w:rPr>
            <w:webHidden/>
          </w:rPr>
          <w:fldChar w:fldCharType="begin"/>
        </w:r>
        <w:r w:rsidR="00B40358" w:rsidRPr="00B40358">
          <w:rPr>
            <w:webHidden/>
          </w:rPr>
          <w:instrText xml:space="preserve"> PAGEREF _Toc357503118 \h </w:instrText>
        </w:r>
        <w:r w:rsidR="00B40358" w:rsidRPr="00B40358">
          <w:rPr>
            <w:webHidden/>
          </w:rPr>
        </w:r>
        <w:r w:rsidR="00B40358" w:rsidRPr="00B40358">
          <w:rPr>
            <w:webHidden/>
          </w:rPr>
          <w:fldChar w:fldCharType="separate"/>
        </w:r>
        <w:r w:rsidR="00F5785D">
          <w:rPr>
            <w:webHidden/>
          </w:rPr>
          <w:t>32</w:t>
        </w:r>
        <w:r w:rsidR="00B40358" w:rsidRPr="00B40358">
          <w:rPr>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19" w:history="1">
        <w:r w:rsidR="00B40358" w:rsidRPr="00B40358">
          <w:rPr>
            <w:rStyle w:val="Hyperlink"/>
            <w:rFonts w:ascii="Times New Roman" w:hAnsi="Times New Roman"/>
            <w:noProof/>
          </w:rPr>
          <w:t>3.1. Ekonomikas ministrijas darba tirgus prognožu izstrādes metodoloģija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_Toc357503119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32</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20" w:history="1">
        <w:r w:rsidR="00B40358" w:rsidRPr="00B40358">
          <w:rPr>
            <w:rStyle w:val="Hyperlink"/>
            <w:rFonts w:ascii="Times New Roman" w:hAnsi="Times New Roman"/>
            <w:noProof/>
          </w:rPr>
          <w:t>3.2. Vidēja un ilgtermiņa attīstības scenārijs</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_Toc357503120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33</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21" w:history="1">
        <w:r w:rsidR="00B40358" w:rsidRPr="00B40358">
          <w:rPr>
            <w:rStyle w:val="Hyperlink"/>
            <w:rFonts w:ascii="Times New Roman" w:hAnsi="Times New Roman"/>
            <w:noProof/>
          </w:rPr>
          <w:t>3.3. Darbaspēka pieprasījuma prognozes</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_Toc357503121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40</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22" w:history="1">
        <w:r w:rsidR="00B40358" w:rsidRPr="00B40358">
          <w:rPr>
            <w:rStyle w:val="Hyperlink"/>
            <w:rFonts w:ascii="Times New Roman" w:hAnsi="Times New Roman"/>
            <w:noProof/>
          </w:rPr>
          <w:t>3.4. Darbaspēka piedāvājuma prognozes un pietiekamība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_Toc357503122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45</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23" w:history="1">
        <w:r w:rsidR="00B40358" w:rsidRPr="00B40358">
          <w:rPr>
            <w:rStyle w:val="Hyperlink"/>
            <w:rFonts w:ascii="Times New Roman" w:hAnsi="Times New Roman"/>
            <w:noProof/>
          </w:rPr>
          <w:t>3.5. Darbaspēka pieprasījuma un piedāvājuma atbilstība</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_Toc357503123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48</w:t>
        </w:r>
        <w:r w:rsidR="00B40358" w:rsidRPr="00B40358">
          <w:rPr>
            <w:rFonts w:ascii="Times New Roman" w:hAnsi="Times New Roman"/>
            <w:noProof/>
            <w:webHidden/>
          </w:rPr>
          <w:fldChar w:fldCharType="end"/>
        </w:r>
      </w:hyperlink>
    </w:p>
    <w:p w:rsidR="00B40358" w:rsidRPr="00B40358" w:rsidRDefault="00593A0E">
      <w:pPr>
        <w:pStyle w:val="TOC2"/>
        <w:rPr>
          <w:rFonts w:ascii="Times New Roman" w:eastAsiaTheme="minorEastAsia" w:hAnsi="Times New Roman"/>
          <w:i w:val="0"/>
          <w:iCs w:val="0"/>
          <w:noProof/>
          <w:lang w:eastAsia="lv-LV"/>
        </w:rPr>
      </w:pPr>
      <w:hyperlink w:anchor="_Toc357503124" w:history="1">
        <w:r w:rsidR="00B40358" w:rsidRPr="00B40358">
          <w:rPr>
            <w:rStyle w:val="Hyperlink"/>
            <w:rFonts w:ascii="Times New Roman" w:hAnsi="Times New Roman"/>
            <w:noProof/>
          </w:rPr>
          <w:t>3.6. Prasmju pieprasījuma un piedāvājuma izmaiņas ES</w:t>
        </w:r>
        <w:r w:rsidR="00B40358" w:rsidRPr="00B40358">
          <w:rPr>
            <w:rFonts w:ascii="Times New Roman" w:hAnsi="Times New Roman"/>
            <w:noProof/>
            <w:webHidden/>
          </w:rPr>
          <w:tab/>
        </w:r>
        <w:r w:rsidR="00B40358" w:rsidRPr="00B40358">
          <w:rPr>
            <w:rFonts w:ascii="Times New Roman" w:hAnsi="Times New Roman"/>
            <w:noProof/>
            <w:webHidden/>
          </w:rPr>
          <w:fldChar w:fldCharType="begin"/>
        </w:r>
        <w:r w:rsidR="00B40358" w:rsidRPr="00B40358">
          <w:rPr>
            <w:rFonts w:ascii="Times New Roman" w:hAnsi="Times New Roman"/>
            <w:noProof/>
            <w:webHidden/>
          </w:rPr>
          <w:instrText xml:space="preserve"> PAGEREF _Toc357503124 \h </w:instrText>
        </w:r>
        <w:r w:rsidR="00B40358" w:rsidRPr="00B40358">
          <w:rPr>
            <w:rFonts w:ascii="Times New Roman" w:hAnsi="Times New Roman"/>
            <w:noProof/>
            <w:webHidden/>
          </w:rPr>
        </w:r>
        <w:r w:rsidR="00B40358" w:rsidRPr="00B40358">
          <w:rPr>
            <w:rFonts w:ascii="Times New Roman" w:hAnsi="Times New Roman"/>
            <w:noProof/>
            <w:webHidden/>
          </w:rPr>
          <w:fldChar w:fldCharType="separate"/>
        </w:r>
        <w:r w:rsidR="00F5785D">
          <w:rPr>
            <w:rFonts w:ascii="Times New Roman" w:hAnsi="Times New Roman"/>
            <w:noProof/>
            <w:webHidden/>
          </w:rPr>
          <w:t>53</w:t>
        </w:r>
        <w:r w:rsidR="00B40358" w:rsidRPr="00B40358">
          <w:rPr>
            <w:rFonts w:ascii="Times New Roman" w:hAnsi="Times New Roman"/>
            <w:noProof/>
            <w:webHidden/>
          </w:rPr>
          <w:fldChar w:fldCharType="end"/>
        </w:r>
      </w:hyperlink>
    </w:p>
    <w:p w:rsidR="00B40358" w:rsidRPr="00B40358" w:rsidRDefault="00593A0E">
      <w:pPr>
        <w:pStyle w:val="TOC3"/>
        <w:tabs>
          <w:tab w:val="right" w:leader="dot" w:pos="9061"/>
        </w:tabs>
        <w:rPr>
          <w:rFonts w:eastAsiaTheme="minorEastAsia"/>
          <w:noProof/>
          <w:lang w:eastAsia="lv-LV"/>
        </w:rPr>
      </w:pPr>
      <w:hyperlink w:anchor="_Toc357503125" w:history="1">
        <w:r w:rsidR="00B40358" w:rsidRPr="00B40358">
          <w:rPr>
            <w:rStyle w:val="Hyperlink"/>
            <w:noProof/>
          </w:rPr>
          <w:t>3.6.1 Vispārējās darba tirgus attīstības tendences ES</w:t>
        </w:r>
        <w:r w:rsidR="00B40358" w:rsidRPr="00B40358">
          <w:rPr>
            <w:noProof/>
            <w:webHidden/>
          </w:rPr>
          <w:tab/>
        </w:r>
        <w:r w:rsidR="00B40358" w:rsidRPr="00B40358">
          <w:rPr>
            <w:noProof/>
            <w:webHidden/>
          </w:rPr>
          <w:fldChar w:fldCharType="begin"/>
        </w:r>
        <w:r w:rsidR="00B40358" w:rsidRPr="00B40358">
          <w:rPr>
            <w:noProof/>
            <w:webHidden/>
          </w:rPr>
          <w:instrText xml:space="preserve"> PAGEREF _Toc357503125 \h </w:instrText>
        </w:r>
        <w:r w:rsidR="00B40358" w:rsidRPr="00B40358">
          <w:rPr>
            <w:noProof/>
            <w:webHidden/>
          </w:rPr>
        </w:r>
        <w:r w:rsidR="00B40358" w:rsidRPr="00B40358">
          <w:rPr>
            <w:noProof/>
            <w:webHidden/>
          </w:rPr>
          <w:fldChar w:fldCharType="separate"/>
        </w:r>
        <w:r w:rsidR="00F5785D">
          <w:rPr>
            <w:noProof/>
            <w:webHidden/>
          </w:rPr>
          <w:t>53</w:t>
        </w:r>
        <w:r w:rsidR="00B40358" w:rsidRPr="00B40358">
          <w:rPr>
            <w:noProof/>
            <w:webHidden/>
          </w:rPr>
          <w:fldChar w:fldCharType="end"/>
        </w:r>
      </w:hyperlink>
    </w:p>
    <w:p w:rsidR="00B40358" w:rsidRPr="00B40358" w:rsidRDefault="00593A0E">
      <w:pPr>
        <w:pStyle w:val="TOC3"/>
        <w:tabs>
          <w:tab w:val="right" w:leader="dot" w:pos="9061"/>
        </w:tabs>
        <w:rPr>
          <w:rFonts w:eastAsiaTheme="minorEastAsia"/>
          <w:noProof/>
          <w:lang w:eastAsia="lv-LV"/>
        </w:rPr>
      </w:pPr>
      <w:hyperlink w:anchor="_Toc357503126" w:history="1">
        <w:r w:rsidR="00B40358" w:rsidRPr="00B40358">
          <w:rPr>
            <w:rStyle w:val="Hyperlink"/>
            <w:noProof/>
          </w:rPr>
          <w:t>3.6.2. Prasmju pieprasījuma tendences ES</w:t>
        </w:r>
        <w:r w:rsidR="00B40358" w:rsidRPr="00B40358">
          <w:rPr>
            <w:noProof/>
            <w:webHidden/>
          </w:rPr>
          <w:tab/>
        </w:r>
        <w:r w:rsidR="00B40358" w:rsidRPr="00B40358">
          <w:rPr>
            <w:noProof/>
            <w:webHidden/>
          </w:rPr>
          <w:fldChar w:fldCharType="begin"/>
        </w:r>
        <w:r w:rsidR="00B40358" w:rsidRPr="00B40358">
          <w:rPr>
            <w:noProof/>
            <w:webHidden/>
          </w:rPr>
          <w:instrText xml:space="preserve"> PAGEREF _Toc357503126 \h </w:instrText>
        </w:r>
        <w:r w:rsidR="00B40358" w:rsidRPr="00B40358">
          <w:rPr>
            <w:noProof/>
            <w:webHidden/>
          </w:rPr>
        </w:r>
        <w:r w:rsidR="00B40358" w:rsidRPr="00B40358">
          <w:rPr>
            <w:noProof/>
            <w:webHidden/>
          </w:rPr>
          <w:fldChar w:fldCharType="separate"/>
        </w:r>
        <w:r w:rsidR="00F5785D">
          <w:rPr>
            <w:noProof/>
            <w:webHidden/>
          </w:rPr>
          <w:t>54</w:t>
        </w:r>
        <w:r w:rsidR="00B40358" w:rsidRPr="00B40358">
          <w:rPr>
            <w:noProof/>
            <w:webHidden/>
          </w:rPr>
          <w:fldChar w:fldCharType="end"/>
        </w:r>
      </w:hyperlink>
    </w:p>
    <w:p w:rsidR="00B40358" w:rsidRPr="00B40358" w:rsidRDefault="00593A0E">
      <w:pPr>
        <w:pStyle w:val="TOC3"/>
        <w:tabs>
          <w:tab w:val="right" w:leader="dot" w:pos="9061"/>
        </w:tabs>
        <w:rPr>
          <w:rFonts w:eastAsiaTheme="minorEastAsia"/>
          <w:noProof/>
          <w:lang w:eastAsia="lv-LV"/>
        </w:rPr>
      </w:pPr>
      <w:hyperlink w:anchor="_Toc357503127" w:history="1">
        <w:r w:rsidR="00B40358" w:rsidRPr="00B40358">
          <w:rPr>
            <w:rStyle w:val="Hyperlink"/>
            <w:noProof/>
          </w:rPr>
          <w:t>3.6.3. Prasmju piedāvājuma tendences ES</w:t>
        </w:r>
        <w:r w:rsidR="00B40358" w:rsidRPr="00B40358">
          <w:rPr>
            <w:noProof/>
            <w:webHidden/>
          </w:rPr>
          <w:tab/>
        </w:r>
        <w:r w:rsidR="00B40358" w:rsidRPr="00B40358">
          <w:rPr>
            <w:noProof/>
            <w:webHidden/>
          </w:rPr>
          <w:fldChar w:fldCharType="begin"/>
        </w:r>
        <w:r w:rsidR="00B40358" w:rsidRPr="00B40358">
          <w:rPr>
            <w:noProof/>
            <w:webHidden/>
          </w:rPr>
          <w:instrText xml:space="preserve"> PAGEREF _Toc357503127 \h </w:instrText>
        </w:r>
        <w:r w:rsidR="00B40358" w:rsidRPr="00B40358">
          <w:rPr>
            <w:noProof/>
            <w:webHidden/>
          </w:rPr>
        </w:r>
        <w:r w:rsidR="00B40358" w:rsidRPr="00B40358">
          <w:rPr>
            <w:noProof/>
            <w:webHidden/>
          </w:rPr>
          <w:fldChar w:fldCharType="separate"/>
        </w:r>
        <w:r w:rsidR="00F5785D">
          <w:rPr>
            <w:noProof/>
            <w:webHidden/>
          </w:rPr>
          <w:t>57</w:t>
        </w:r>
        <w:r w:rsidR="00B40358" w:rsidRPr="00B40358">
          <w:rPr>
            <w:noProof/>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28" w:history="1">
        <w:r w:rsidR="00B40358" w:rsidRPr="00B40358">
          <w:rPr>
            <w:rStyle w:val="Hyperlink"/>
          </w:rPr>
          <w:t>4. Darba tirgus apsteidzošo pārkārtojumu sistēma</w:t>
        </w:r>
        <w:r w:rsidR="00B40358" w:rsidRPr="00B40358">
          <w:rPr>
            <w:webHidden/>
          </w:rPr>
          <w:tab/>
        </w:r>
        <w:r w:rsidR="00B40358" w:rsidRPr="00B40358">
          <w:rPr>
            <w:webHidden/>
          </w:rPr>
          <w:fldChar w:fldCharType="begin"/>
        </w:r>
        <w:r w:rsidR="00B40358" w:rsidRPr="00B40358">
          <w:rPr>
            <w:webHidden/>
          </w:rPr>
          <w:instrText xml:space="preserve"> PAGEREF _Toc357503128 \h </w:instrText>
        </w:r>
        <w:r w:rsidR="00B40358" w:rsidRPr="00B40358">
          <w:rPr>
            <w:webHidden/>
          </w:rPr>
        </w:r>
        <w:r w:rsidR="00B40358" w:rsidRPr="00B40358">
          <w:rPr>
            <w:webHidden/>
          </w:rPr>
          <w:fldChar w:fldCharType="separate"/>
        </w:r>
        <w:r w:rsidR="00F5785D">
          <w:rPr>
            <w:webHidden/>
          </w:rPr>
          <w:t>60</w:t>
        </w:r>
        <w:r w:rsidR="00B40358" w:rsidRPr="00B40358">
          <w:rPr>
            <w:webHidden/>
          </w:rPr>
          <w:fldChar w:fldCharType="end"/>
        </w:r>
      </w:hyperlink>
    </w:p>
    <w:p w:rsidR="00B40358" w:rsidRPr="00B40358" w:rsidRDefault="00593A0E">
      <w:pPr>
        <w:pStyle w:val="TOC1"/>
        <w:rPr>
          <w:rFonts w:eastAsiaTheme="minorEastAsia"/>
          <w:b w:val="0"/>
          <w:bCs w:val="0"/>
          <w:sz w:val="22"/>
          <w:szCs w:val="22"/>
          <w:lang w:eastAsia="lv-LV"/>
        </w:rPr>
      </w:pPr>
      <w:hyperlink w:anchor="_Toc357503129" w:history="1">
        <w:r w:rsidR="00B40358" w:rsidRPr="00B40358">
          <w:rPr>
            <w:rStyle w:val="Hyperlink"/>
          </w:rPr>
          <w:t>5. Kopsavilkums un priekšlikumi</w:t>
        </w:r>
        <w:r w:rsidR="00B40358" w:rsidRPr="00B40358">
          <w:rPr>
            <w:webHidden/>
          </w:rPr>
          <w:tab/>
        </w:r>
        <w:r w:rsidR="00B40358" w:rsidRPr="00B40358">
          <w:rPr>
            <w:webHidden/>
          </w:rPr>
          <w:fldChar w:fldCharType="begin"/>
        </w:r>
        <w:r w:rsidR="00B40358" w:rsidRPr="00B40358">
          <w:rPr>
            <w:webHidden/>
          </w:rPr>
          <w:instrText xml:space="preserve"> PAGEREF _Toc357503129 \h </w:instrText>
        </w:r>
        <w:r w:rsidR="00B40358" w:rsidRPr="00B40358">
          <w:rPr>
            <w:webHidden/>
          </w:rPr>
        </w:r>
        <w:r w:rsidR="00B40358" w:rsidRPr="00B40358">
          <w:rPr>
            <w:webHidden/>
          </w:rPr>
          <w:fldChar w:fldCharType="separate"/>
        </w:r>
        <w:r w:rsidR="00F5785D">
          <w:rPr>
            <w:webHidden/>
          </w:rPr>
          <w:t>64</w:t>
        </w:r>
        <w:r w:rsidR="00B40358" w:rsidRPr="00B40358">
          <w:rPr>
            <w:webHidden/>
          </w:rPr>
          <w:fldChar w:fldCharType="end"/>
        </w:r>
      </w:hyperlink>
    </w:p>
    <w:p w:rsidR="00687CB9" w:rsidRPr="00303CEA" w:rsidRDefault="00CE2B15" w:rsidP="0077399B">
      <w:pPr>
        <w:tabs>
          <w:tab w:val="right" w:leader="dot" w:pos="9214"/>
        </w:tabs>
        <w:spacing w:after="0" w:line="240" w:lineRule="auto"/>
        <w:ind w:right="142"/>
        <w:jc w:val="both"/>
        <w:rPr>
          <w:sz w:val="18"/>
          <w:szCs w:val="26"/>
        </w:rPr>
      </w:pPr>
      <w:r w:rsidRPr="00B40358">
        <w:rPr>
          <w:sz w:val="26"/>
          <w:szCs w:val="26"/>
        </w:rPr>
        <w:fldChar w:fldCharType="end"/>
      </w:r>
    </w:p>
    <w:p w:rsidR="00687CB9" w:rsidRPr="00303CEA" w:rsidRDefault="00CE2B15" w:rsidP="0077399B">
      <w:pPr>
        <w:tabs>
          <w:tab w:val="left" w:pos="5160"/>
        </w:tabs>
        <w:spacing w:after="0" w:line="240" w:lineRule="auto"/>
        <w:ind w:right="142"/>
        <w:jc w:val="both"/>
        <w:rPr>
          <w:sz w:val="26"/>
          <w:szCs w:val="26"/>
        </w:rPr>
      </w:pPr>
      <w:r w:rsidRPr="00303CEA">
        <w:rPr>
          <w:b/>
          <w:sz w:val="26"/>
          <w:szCs w:val="26"/>
        </w:rPr>
        <w:t>Pielikums.</w:t>
      </w:r>
      <w:r w:rsidRPr="00303CEA">
        <w:rPr>
          <w:sz w:val="26"/>
          <w:szCs w:val="26"/>
        </w:rPr>
        <w:t xml:space="preserve"> Detalizētas darba tirgus vidēja un ilgtermiņa prognozes</w:t>
      </w:r>
    </w:p>
    <w:p w:rsidR="00687CB9" w:rsidRPr="00303CEA" w:rsidRDefault="00687CB9" w:rsidP="005546B4">
      <w:pPr>
        <w:pStyle w:val="ListParagraph"/>
        <w:spacing w:after="0" w:line="240" w:lineRule="auto"/>
        <w:ind w:left="0"/>
        <w:contextualSpacing w:val="0"/>
        <w:rPr>
          <w:sz w:val="26"/>
          <w:szCs w:val="26"/>
        </w:rPr>
      </w:pPr>
    </w:p>
    <w:p w:rsidR="00687CB9" w:rsidRDefault="00CE2B15" w:rsidP="0077399B">
      <w:pPr>
        <w:spacing w:after="0" w:line="240" w:lineRule="auto"/>
        <w:rPr>
          <w:rFonts w:eastAsia="Times New Roman"/>
          <w:bCs/>
          <w:sz w:val="26"/>
          <w:szCs w:val="26"/>
        </w:rPr>
      </w:pPr>
      <w:r w:rsidRPr="00CD7B6E">
        <w:rPr>
          <w:sz w:val="26"/>
          <w:szCs w:val="26"/>
        </w:rPr>
        <w:br w:type="page"/>
      </w:r>
    </w:p>
    <w:p w:rsidR="00687CB9" w:rsidRDefault="00CE2B15" w:rsidP="0077399B">
      <w:pPr>
        <w:pStyle w:val="Heading1"/>
        <w:pBdr>
          <w:bottom w:val="thinThickThinSmallGap" w:sz="24" w:space="1" w:color="8064A2" w:themeColor="accent4"/>
        </w:pBdr>
        <w:rPr>
          <w:sz w:val="36"/>
          <w:szCs w:val="36"/>
        </w:rPr>
      </w:pPr>
      <w:bookmarkStart w:id="3" w:name="_Toc357503108"/>
      <w:r w:rsidRPr="00CE2B15">
        <w:rPr>
          <w:sz w:val="36"/>
          <w:szCs w:val="36"/>
        </w:rPr>
        <w:lastRenderedPageBreak/>
        <w:t>Saīsinājumi</w:t>
      </w:r>
      <w:bookmarkEnd w:id="3"/>
    </w:p>
    <w:p w:rsidR="00CE2B15" w:rsidRPr="00CD7B6E" w:rsidRDefault="00CE2B15" w:rsidP="0077399B">
      <w:pPr>
        <w:spacing w:after="0" w:line="240" w:lineRule="auto"/>
      </w:pPr>
    </w:p>
    <w:tbl>
      <w:tblPr>
        <w:tblW w:w="0" w:type="auto"/>
        <w:tblLayout w:type="fixed"/>
        <w:tblLook w:val="0400" w:firstRow="0" w:lastRow="0" w:firstColumn="0" w:lastColumn="0" w:noHBand="0" w:noVBand="1"/>
      </w:tblPr>
      <w:tblGrid>
        <w:gridCol w:w="1526"/>
        <w:gridCol w:w="6520"/>
      </w:tblGrid>
      <w:tr w:rsidR="00CE2B15" w:rsidRPr="00CD7B6E" w:rsidTr="00687CB9">
        <w:tc>
          <w:tcPr>
            <w:tcW w:w="1526" w:type="dxa"/>
          </w:tcPr>
          <w:p w:rsidR="00687CB9" w:rsidRDefault="00CE2B15" w:rsidP="00C12DD4">
            <w:pPr>
              <w:spacing w:before="120" w:after="0" w:line="240" w:lineRule="auto"/>
              <w:rPr>
                <w:sz w:val="26"/>
                <w:szCs w:val="26"/>
              </w:rPr>
            </w:pPr>
            <w:r w:rsidRPr="00CD7B6E">
              <w:rPr>
                <w:sz w:val="26"/>
                <w:szCs w:val="26"/>
              </w:rPr>
              <w:t>CEDEFOP</w:t>
            </w:r>
          </w:p>
          <w:p w:rsidR="00CE2B15" w:rsidRPr="00CD7B6E" w:rsidRDefault="00CE2B15" w:rsidP="00C12DD4">
            <w:pPr>
              <w:spacing w:before="120" w:after="0" w:line="240" w:lineRule="auto"/>
              <w:rPr>
                <w:sz w:val="26"/>
                <w:szCs w:val="26"/>
              </w:rPr>
            </w:pPr>
            <w:r w:rsidRPr="00CD7B6E">
              <w:rPr>
                <w:sz w:val="26"/>
                <w:szCs w:val="26"/>
              </w:rPr>
              <w:t>CSP</w:t>
            </w:r>
          </w:p>
        </w:tc>
        <w:tc>
          <w:tcPr>
            <w:tcW w:w="6520" w:type="dxa"/>
          </w:tcPr>
          <w:p w:rsidR="00687CB9" w:rsidRDefault="00CE2B15" w:rsidP="00C12DD4">
            <w:pPr>
              <w:spacing w:before="120" w:after="0" w:line="240" w:lineRule="auto"/>
              <w:rPr>
                <w:sz w:val="26"/>
                <w:szCs w:val="26"/>
              </w:rPr>
            </w:pPr>
            <w:r w:rsidRPr="00CD7B6E">
              <w:rPr>
                <w:sz w:val="26"/>
                <w:szCs w:val="26"/>
              </w:rPr>
              <w:t>Eiropas Profesionālās izglītības attīstības centrs</w:t>
            </w:r>
          </w:p>
          <w:p w:rsidR="00CE2B15" w:rsidRPr="00CD7B6E" w:rsidRDefault="00CE2B15" w:rsidP="00C12DD4">
            <w:pPr>
              <w:spacing w:before="120" w:after="0" w:line="240" w:lineRule="auto"/>
              <w:rPr>
                <w:sz w:val="26"/>
                <w:szCs w:val="26"/>
              </w:rPr>
            </w:pPr>
            <w:r w:rsidRPr="00CD7B6E">
              <w:rPr>
                <w:sz w:val="26"/>
                <w:szCs w:val="26"/>
              </w:rPr>
              <w:t>Centrālā statistikas pārvalde</w:t>
            </w:r>
          </w:p>
        </w:tc>
      </w:tr>
      <w:tr w:rsidR="00CE2B15" w:rsidRPr="00CD7B6E" w:rsidTr="00687CB9">
        <w:tc>
          <w:tcPr>
            <w:tcW w:w="1526" w:type="dxa"/>
          </w:tcPr>
          <w:p w:rsidR="00CE2B15" w:rsidRPr="00CD7B6E" w:rsidRDefault="00CE2B15" w:rsidP="00C12DD4">
            <w:pPr>
              <w:spacing w:before="120" w:after="0" w:line="240" w:lineRule="auto"/>
              <w:rPr>
                <w:sz w:val="26"/>
                <w:szCs w:val="26"/>
              </w:rPr>
            </w:pPr>
            <w:r w:rsidRPr="00CD7B6E">
              <w:rPr>
                <w:sz w:val="26"/>
                <w:szCs w:val="26"/>
              </w:rPr>
              <w:t>DOM</w:t>
            </w:r>
          </w:p>
        </w:tc>
        <w:tc>
          <w:tcPr>
            <w:tcW w:w="6520" w:type="dxa"/>
          </w:tcPr>
          <w:p w:rsidR="00CE2B15" w:rsidRPr="00CD7B6E" w:rsidRDefault="00CE2B15" w:rsidP="00C12DD4">
            <w:pPr>
              <w:spacing w:before="120" w:after="0" w:line="240" w:lineRule="auto"/>
              <w:rPr>
                <w:sz w:val="26"/>
                <w:szCs w:val="26"/>
              </w:rPr>
            </w:pPr>
            <w:r w:rsidRPr="00CD7B6E">
              <w:rPr>
                <w:sz w:val="26"/>
                <w:szCs w:val="26"/>
              </w:rPr>
              <w:t>dinamiskais optimizācijas modelis</w:t>
            </w:r>
          </w:p>
        </w:tc>
      </w:tr>
      <w:tr w:rsidR="00CE2B15" w:rsidRPr="00CD7B6E" w:rsidTr="00687CB9">
        <w:tc>
          <w:tcPr>
            <w:tcW w:w="1526" w:type="dxa"/>
          </w:tcPr>
          <w:p w:rsidR="00CE2B15" w:rsidRPr="00CD7B6E" w:rsidRDefault="00CE2B15" w:rsidP="00C12DD4">
            <w:pPr>
              <w:spacing w:before="120" w:after="0" w:line="240" w:lineRule="auto"/>
              <w:rPr>
                <w:sz w:val="26"/>
                <w:szCs w:val="26"/>
              </w:rPr>
            </w:pPr>
            <w:r>
              <w:rPr>
                <w:sz w:val="26"/>
                <w:szCs w:val="26"/>
              </w:rPr>
              <w:t>DSA</w:t>
            </w:r>
          </w:p>
        </w:tc>
        <w:tc>
          <w:tcPr>
            <w:tcW w:w="6520" w:type="dxa"/>
          </w:tcPr>
          <w:p w:rsidR="00CE2B15" w:rsidRPr="00B858DF" w:rsidRDefault="00CE2B15" w:rsidP="00C12DD4">
            <w:pPr>
              <w:spacing w:before="120" w:after="0" w:line="240" w:lineRule="auto"/>
              <w:rPr>
                <w:sz w:val="26"/>
                <w:szCs w:val="26"/>
              </w:rPr>
            </w:pPr>
            <w:r>
              <w:rPr>
                <w:sz w:val="26"/>
                <w:szCs w:val="26"/>
              </w:rPr>
              <w:t xml:space="preserve">Darbaspēka </w:t>
            </w:r>
            <w:proofErr w:type="spellStart"/>
            <w:r>
              <w:rPr>
                <w:sz w:val="26"/>
                <w:szCs w:val="26"/>
              </w:rPr>
              <w:t>izlasveida</w:t>
            </w:r>
            <w:proofErr w:type="spellEnd"/>
            <w:r>
              <w:rPr>
                <w:sz w:val="26"/>
                <w:szCs w:val="26"/>
              </w:rPr>
              <w:t xml:space="preserve"> </w:t>
            </w:r>
            <w:r w:rsidRPr="00B858DF">
              <w:rPr>
                <w:sz w:val="26"/>
                <w:szCs w:val="26"/>
              </w:rPr>
              <w:t>apsekojums</w:t>
            </w:r>
          </w:p>
        </w:tc>
      </w:tr>
      <w:tr w:rsidR="00CE2B15" w:rsidRPr="00CD7B6E" w:rsidTr="00687CB9">
        <w:tc>
          <w:tcPr>
            <w:tcW w:w="1526" w:type="dxa"/>
          </w:tcPr>
          <w:p w:rsidR="00CE2B15" w:rsidRPr="00CD7B6E" w:rsidRDefault="00CE2B15" w:rsidP="00C12DD4">
            <w:pPr>
              <w:spacing w:before="120" w:after="0" w:line="240" w:lineRule="auto"/>
              <w:rPr>
                <w:sz w:val="26"/>
                <w:szCs w:val="26"/>
              </w:rPr>
            </w:pPr>
            <w:r w:rsidRPr="00CD7B6E">
              <w:rPr>
                <w:sz w:val="26"/>
                <w:szCs w:val="26"/>
              </w:rPr>
              <w:t>EK</w:t>
            </w:r>
          </w:p>
        </w:tc>
        <w:tc>
          <w:tcPr>
            <w:tcW w:w="6520" w:type="dxa"/>
          </w:tcPr>
          <w:p w:rsidR="00CE2B15" w:rsidRPr="00CD7B6E" w:rsidRDefault="00CE2B15" w:rsidP="00C12DD4">
            <w:pPr>
              <w:spacing w:before="120" w:after="0" w:line="240" w:lineRule="auto"/>
              <w:rPr>
                <w:sz w:val="26"/>
                <w:szCs w:val="26"/>
              </w:rPr>
            </w:pPr>
            <w:r w:rsidRPr="00CD7B6E">
              <w:rPr>
                <w:sz w:val="26"/>
                <w:szCs w:val="26"/>
              </w:rPr>
              <w:t>Eiropas Komisija</w:t>
            </w:r>
          </w:p>
        </w:tc>
      </w:tr>
      <w:tr w:rsidR="00CE2B15" w:rsidRPr="00CD7B6E" w:rsidTr="00687CB9">
        <w:tc>
          <w:tcPr>
            <w:tcW w:w="1526" w:type="dxa"/>
          </w:tcPr>
          <w:p w:rsidR="00CE2B15" w:rsidRPr="00CD7B6E" w:rsidRDefault="00CE2B15" w:rsidP="00C12DD4">
            <w:pPr>
              <w:spacing w:before="120" w:after="0" w:line="240" w:lineRule="auto"/>
              <w:rPr>
                <w:sz w:val="26"/>
                <w:szCs w:val="26"/>
              </w:rPr>
            </w:pPr>
            <w:r w:rsidRPr="00CD7B6E">
              <w:rPr>
                <w:sz w:val="26"/>
                <w:szCs w:val="26"/>
              </w:rPr>
              <w:t>EM</w:t>
            </w:r>
          </w:p>
        </w:tc>
        <w:tc>
          <w:tcPr>
            <w:tcW w:w="6520" w:type="dxa"/>
          </w:tcPr>
          <w:p w:rsidR="00CE2B15" w:rsidRPr="00CD7B6E" w:rsidRDefault="00CE2B15" w:rsidP="00C12DD4">
            <w:pPr>
              <w:spacing w:before="120" w:after="0" w:line="240" w:lineRule="auto"/>
              <w:rPr>
                <w:sz w:val="26"/>
                <w:szCs w:val="26"/>
              </w:rPr>
            </w:pPr>
            <w:r w:rsidRPr="00CD7B6E">
              <w:rPr>
                <w:sz w:val="26"/>
                <w:szCs w:val="26"/>
              </w:rPr>
              <w:t>Ekonomikas ministrija</w:t>
            </w:r>
          </w:p>
        </w:tc>
      </w:tr>
      <w:tr w:rsidR="00CE2B15" w:rsidRPr="00CD7B6E" w:rsidTr="00687CB9">
        <w:tc>
          <w:tcPr>
            <w:tcW w:w="1526" w:type="dxa"/>
          </w:tcPr>
          <w:p w:rsidR="00CE2B15" w:rsidRPr="00CD7B6E" w:rsidRDefault="00CE2B15" w:rsidP="00C12DD4">
            <w:pPr>
              <w:spacing w:before="120" w:after="0" w:line="240" w:lineRule="auto"/>
              <w:rPr>
                <w:sz w:val="26"/>
                <w:szCs w:val="26"/>
              </w:rPr>
            </w:pPr>
            <w:r w:rsidRPr="00CD7B6E">
              <w:rPr>
                <w:sz w:val="26"/>
                <w:szCs w:val="26"/>
              </w:rPr>
              <w:t>ES</w:t>
            </w:r>
          </w:p>
        </w:tc>
        <w:tc>
          <w:tcPr>
            <w:tcW w:w="6520" w:type="dxa"/>
          </w:tcPr>
          <w:p w:rsidR="00CE2B15" w:rsidRPr="00CD7B6E" w:rsidRDefault="00CE2B15" w:rsidP="00C12DD4">
            <w:pPr>
              <w:spacing w:before="120" w:after="0" w:line="240" w:lineRule="auto"/>
              <w:rPr>
                <w:sz w:val="26"/>
                <w:szCs w:val="26"/>
              </w:rPr>
            </w:pPr>
            <w:r w:rsidRPr="00CD7B6E">
              <w:rPr>
                <w:sz w:val="26"/>
                <w:szCs w:val="26"/>
              </w:rPr>
              <w:t>Eiropas Savienība</w:t>
            </w:r>
          </w:p>
        </w:tc>
      </w:tr>
      <w:tr w:rsidR="00232700" w:rsidRPr="00CD7B6E" w:rsidTr="00687CB9">
        <w:tblPrEx>
          <w:tblLook w:val="04A0" w:firstRow="1" w:lastRow="0" w:firstColumn="1" w:lastColumn="0" w:noHBand="0" w:noVBand="1"/>
        </w:tblPrEx>
        <w:tc>
          <w:tcPr>
            <w:tcW w:w="1526" w:type="dxa"/>
          </w:tcPr>
          <w:p w:rsidR="00232700" w:rsidRPr="00CD7B6E" w:rsidRDefault="00232700" w:rsidP="00232700">
            <w:pPr>
              <w:spacing w:before="120" w:after="0" w:line="240" w:lineRule="auto"/>
              <w:rPr>
                <w:sz w:val="26"/>
                <w:szCs w:val="26"/>
              </w:rPr>
            </w:pPr>
            <w:r w:rsidRPr="00CD7B6E">
              <w:rPr>
                <w:sz w:val="26"/>
                <w:szCs w:val="26"/>
              </w:rPr>
              <w:t>IKP</w:t>
            </w:r>
          </w:p>
        </w:tc>
        <w:tc>
          <w:tcPr>
            <w:tcW w:w="6520" w:type="dxa"/>
          </w:tcPr>
          <w:p w:rsidR="00232700" w:rsidRPr="00CD7B6E" w:rsidRDefault="00232700" w:rsidP="00C12DD4">
            <w:pPr>
              <w:spacing w:before="120" w:after="0" w:line="240" w:lineRule="auto"/>
              <w:rPr>
                <w:sz w:val="26"/>
                <w:szCs w:val="26"/>
              </w:rPr>
            </w:pPr>
            <w:r w:rsidRPr="00CD7B6E">
              <w:rPr>
                <w:sz w:val="26"/>
                <w:szCs w:val="26"/>
              </w:rPr>
              <w:t>iekšzemes kopprodukts</w:t>
            </w:r>
          </w:p>
        </w:tc>
      </w:tr>
      <w:tr w:rsidR="00232700" w:rsidRPr="00CD7B6E" w:rsidTr="00687CB9">
        <w:tblPrEx>
          <w:tblLook w:val="04A0" w:firstRow="1" w:lastRow="0" w:firstColumn="1" w:lastColumn="0" w:noHBand="0" w:noVBand="1"/>
        </w:tblPrEx>
        <w:tc>
          <w:tcPr>
            <w:tcW w:w="1526" w:type="dxa"/>
          </w:tcPr>
          <w:p w:rsidR="00232700" w:rsidRPr="00CD7B6E" w:rsidRDefault="00232700" w:rsidP="00C12DD4">
            <w:pPr>
              <w:spacing w:before="120" w:after="0" w:line="240" w:lineRule="auto"/>
              <w:rPr>
                <w:sz w:val="26"/>
                <w:szCs w:val="26"/>
              </w:rPr>
            </w:pPr>
            <w:r>
              <w:rPr>
                <w:sz w:val="26"/>
                <w:szCs w:val="26"/>
              </w:rPr>
              <w:t>IKT</w:t>
            </w:r>
          </w:p>
        </w:tc>
        <w:tc>
          <w:tcPr>
            <w:tcW w:w="6520" w:type="dxa"/>
          </w:tcPr>
          <w:p w:rsidR="00232700" w:rsidRPr="00CD7B6E" w:rsidRDefault="00232700" w:rsidP="00C12DD4">
            <w:pPr>
              <w:spacing w:before="120" w:after="0" w:line="240" w:lineRule="auto"/>
              <w:rPr>
                <w:sz w:val="26"/>
                <w:szCs w:val="26"/>
              </w:rPr>
            </w:pPr>
            <w:r>
              <w:rPr>
                <w:sz w:val="26"/>
                <w:szCs w:val="26"/>
              </w:rPr>
              <w:t>informācijas un komunikācijas tehnoloģijas</w:t>
            </w:r>
          </w:p>
        </w:tc>
      </w:tr>
      <w:tr w:rsidR="00232700" w:rsidRPr="00CD7B6E" w:rsidTr="00687CB9">
        <w:tblPrEx>
          <w:tblLook w:val="04A0" w:firstRow="1" w:lastRow="0" w:firstColumn="1" w:lastColumn="0" w:noHBand="0" w:noVBand="1"/>
        </w:tblPrEx>
        <w:tc>
          <w:tcPr>
            <w:tcW w:w="1526" w:type="dxa"/>
          </w:tcPr>
          <w:p w:rsidR="00232700" w:rsidRDefault="00232700" w:rsidP="00C12DD4">
            <w:pPr>
              <w:spacing w:before="120" w:after="0" w:line="240" w:lineRule="auto"/>
              <w:rPr>
                <w:sz w:val="26"/>
                <w:szCs w:val="26"/>
              </w:rPr>
            </w:pPr>
            <w:r w:rsidRPr="00CD7B6E">
              <w:rPr>
                <w:sz w:val="26"/>
                <w:szCs w:val="26"/>
              </w:rPr>
              <w:t>ISCED</w:t>
            </w:r>
          </w:p>
        </w:tc>
        <w:tc>
          <w:tcPr>
            <w:tcW w:w="6520" w:type="dxa"/>
          </w:tcPr>
          <w:p w:rsidR="00232700" w:rsidRDefault="00232700" w:rsidP="00232700">
            <w:pPr>
              <w:spacing w:before="120" w:after="0" w:line="240" w:lineRule="auto"/>
              <w:rPr>
                <w:sz w:val="26"/>
                <w:szCs w:val="26"/>
              </w:rPr>
            </w:pPr>
            <w:r w:rsidRPr="00CD7B6E">
              <w:rPr>
                <w:sz w:val="26"/>
                <w:szCs w:val="26"/>
              </w:rPr>
              <w:t>Starptautiskā standartizētā izglītības klasifikācija</w:t>
            </w:r>
          </w:p>
        </w:tc>
      </w:tr>
      <w:tr w:rsidR="00232700" w:rsidRPr="00CD7B6E" w:rsidTr="000E76F4">
        <w:tblPrEx>
          <w:tblLook w:val="04A0" w:firstRow="1" w:lastRow="0" w:firstColumn="1" w:lastColumn="0" w:noHBand="0" w:noVBand="1"/>
        </w:tblPrEx>
        <w:tc>
          <w:tcPr>
            <w:tcW w:w="1526" w:type="dxa"/>
          </w:tcPr>
          <w:p w:rsidR="00232700" w:rsidRPr="00CD7B6E" w:rsidRDefault="00232700" w:rsidP="000E76F4">
            <w:pPr>
              <w:spacing w:before="120" w:after="0" w:line="240" w:lineRule="auto"/>
              <w:rPr>
                <w:sz w:val="26"/>
                <w:szCs w:val="26"/>
              </w:rPr>
            </w:pPr>
            <w:r w:rsidRPr="00CD7B6E">
              <w:rPr>
                <w:sz w:val="26"/>
                <w:szCs w:val="26"/>
              </w:rPr>
              <w:t>ISCO</w:t>
            </w:r>
          </w:p>
        </w:tc>
        <w:tc>
          <w:tcPr>
            <w:tcW w:w="6520" w:type="dxa"/>
          </w:tcPr>
          <w:p w:rsidR="00232700" w:rsidRPr="00CD7B6E" w:rsidRDefault="00232700" w:rsidP="000E76F4">
            <w:pPr>
              <w:spacing w:before="120" w:after="0" w:line="240" w:lineRule="auto"/>
              <w:rPr>
                <w:sz w:val="26"/>
                <w:szCs w:val="26"/>
              </w:rPr>
            </w:pPr>
            <w:r w:rsidRPr="00CD7B6E">
              <w:rPr>
                <w:sz w:val="26"/>
                <w:szCs w:val="26"/>
              </w:rPr>
              <w:t>Standartizētais profesiju klasifikators</w:t>
            </w:r>
          </w:p>
        </w:tc>
      </w:tr>
      <w:tr w:rsidR="00232700" w:rsidRPr="00CD7B6E" w:rsidTr="00687CB9">
        <w:tblPrEx>
          <w:tblLook w:val="04A0" w:firstRow="1" w:lastRow="0" w:firstColumn="1" w:lastColumn="0" w:noHBand="0" w:noVBand="1"/>
        </w:tblPrEx>
        <w:tc>
          <w:tcPr>
            <w:tcW w:w="1526" w:type="dxa"/>
          </w:tcPr>
          <w:p w:rsidR="00232700" w:rsidRPr="00CD7B6E" w:rsidRDefault="00232700" w:rsidP="00C12DD4">
            <w:pPr>
              <w:spacing w:before="120" w:after="0" w:line="240" w:lineRule="auto"/>
              <w:rPr>
                <w:sz w:val="26"/>
                <w:szCs w:val="26"/>
              </w:rPr>
            </w:pPr>
            <w:r>
              <w:rPr>
                <w:sz w:val="26"/>
                <w:szCs w:val="26"/>
              </w:rPr>
              <w:t>IT</w:t>
            </w:r>
          </w:p>
        </w:tc>
        <w:tc>
          <w:tcPr>
            <w:tcW w:w="6520" w:type="dxa"/>
          </w:tcPr>
          <w:p w:rsidR="00232700" w:rsidRPr="00CD7B6E" w:rsidRDefault="00232700" w:rsidP="00C12DD4">
            <w:pPr>
              <w:spacing w:before="120" w:after="0" w:line="240" w:lineRule="auto"/>
              <w:rPr>
                <w:sz w:val="26"/>
                <w:szCs w:val="26"/>
              </w:rPr>
            </w:pPr>
            <w:r>
              <w:rPr>
                <w:sz w:val="26"/>
                <w:szCs w:val="26"/>
              </w:rPr>
              <w:t>informācijas tehnoloģijas</w:t>
            </w:r>
          </w:p>
        </w:tc>
      </w:tr>
      <w:tr w:rsidR="00232700" w:rsidRPr="00CD7B6E" w:rsidTr="00687CB9">
        <w:tblPrEx>
          <w:tblLook w:val="04A0" w:firstRow="1" w:lastRow="0" w:firstColumn="1" w:lastColumn="0" w:noHBand="0" w:noVBand="1"/>
        </w:tblPrEx>
        <w:tc>
          <w:tcPr>
            <w:tcW w:w="1526" w:type="dxa"/>
          </w:tcPr>
          <w:p w:rsidR="00232700" w:rsidRPr="00CD7B6E" w:rsidRDefault="00232700" w:rsidP="00C12DD4">
            <w:pPr>
              <w:spacing w:before="120" w:after="0" w:line="240" w:lineRule="auto"/>
              <w:rPr>
                <w:sz w:val="26"/>
                <w:szCs w:val="26"/>
              </w:rPr>
            </w:pPr>
            <w:r w:rsidRPr="00CD7B6E">
              <w:rPr>
                <w:sz w:val="26"/>
                <w:szCs w:val="26"/>
              </w:rPr>
              <w:t>IZM</w:t>
            </w:r>
          </w:p>
        </w:tc>
        <w:tc>
          <w:tcPr>
            <w:tcW w:w="6520" w:type="dxa"/>
          </w:tcPr>
          <w:p w:rsidR="00232700" w:rsidRPr="00CD7B6E" w:rsidRDefault="00232700" w:rsidP="00C12DD4">
            <w:pPr>
              <w:spacing w:before="120" w:after="0" w:line="240" w:lineRule="auto"/>
              <w:rPr>
                <w:sz w:val="26"/>
                <w:szCs w:val="26"/>
              </w:rPr>
            </w:pPr>
            <w:r w:rsidRPr="00CD7B6E">
              <w:rPr>
                <w:sz w:val="26"/>
                <w:szCs w:val="26"/>
              </w:rPr>
              <w:t>Izglītības un zinātnes ministrija</w:t>
            </w:r>
          </w:p>
        </w:tc>
      </w:tr>
      <w:tr w:rsidR="00CE2B15" w:rsidRPr="00CD7B6E" w:rsidTr="00687CB9">
        <w:tblPrEx>
          <w:tblLook w:val="04A0" w:firstRow="1" w:lastRow="0" w:firstColumn="1" w:lastColumn="0" w:noHBand="0" w:noVBand="1"/>
        </w:tblPrEx>
        <w:tc>
          <w:tcPr>
            <w:tcW w:w="1526" w:type="dxa"/>
          </w:tcPr>
          <w:p w:rsidR="00CE2B15" w:rsidRPr="00CD7B6E" w:rsidRDefault="00CE2B15" w:rsidP="00C12DD4">
            <w:pPr>
              <w:spacing w:before="120" w:after="0" w:line="240" w:lineRule="auto"/>
              <w:rPr>
                <w:sz w:val="26"/>
                <w:szCs w:val="26"/>
              </w:rPr>
            </w:pPr>
            <w:r w:rsidRPr="00CD7B6E">
              <w:rPr>
                <w:sz w:val="26"/>
                <w:szCs w:val="26"/>
              </w:rPr>
              <w:t>LM</w:t>
            </w:r>
          </w:p>
        </w:tc>
        <w:tc>
          <w:tcPr>
            <w:tcW w:w="6520" w:type="dxa"/>
          </w:tcPr>
          <w:p w:rsidR="00CE2B15" w:rsidRPr="00CD7B6E" w:rsidRDefault="00CE2B15" w:rsidP="00C12DD4">
            <w:pPr>
              <w:spacing w:before="120" w:after="0" w:line="240" w:lineRule="auto"/>
              <w:rPr>
                <w:sz w:val="26"/>
                <w:szCs w:val="26"/>
              </w:rPr>
            </w:pPr>
            <w:r w:rsidRPr="00CD7B6E">
              <w:rPr>
                <w:sz w:val="26"/>
                <w:szCs w:val="26"/>
              </w:rPr>
              <w:t>Labklājības ministrija</w:t>
            </w:r>
          </w:p>
        </w:tc>
      </w:tr>
      <w:tr w:rsidR="00CE2B15" w:rsidRPr="00CD7B6E" w:rsidTr="00687CB9">
        <w:tblPrEx>
          <w:tblLook w:val="04A0" w:firstRow="1" w:lastRow="0" w:firstColumn="1" w:lastColumn="0" w:noHBand="0" w:noVBand="1"/>
        </w:tblPrEx>
        <w:tc>
          <w:tcPr>
            <w:tcW w:w="1526" w:type="dxa"/>
          </w:tcPr>
          <w:p w:rsidR="00CE2B15" w:rsidRPr="00CD7B6E" w:rsidRDefault="00CE2B15" w:rsidP="00C12DD4">
            <w:pPr>
              <w:spacing w:before="120" w:after="0" w:line="240" w:lineRule="auto"/>
              <w:rPr>
                <w:sz w:val="26"/>
                <w:szCs w:val="26"/>
              </w:rPr>
            </w:pPr>
            <w:r>
              <w:rPr>
                <w:sz w:val="26"/>
                <w:szCs w:val="26"/>
              </w:rPr>
              <w:t>NVA</w:t>
            </w:r>
          </w:p>
        </w:tc>
        <w:tc>
          <w:tcPr>
            <w:tcW w:w="6520" w:type="dxa"/>
          </w:tcPr>
          <w:p w:rsidR="00CE2B15" w:rsidRPr="00CD7B6E" w:rsidRDefault="00CE2B15" w:rsidP="00C12DD4">
            <w:pPr>
              <w:spacing w:before="120" w:after="0" w:line="240" w:lineRule="auto"/>
              <w:rPr>
                <w:sz w:val="26"/>
                <w:szCs w:val="26"/>
              </w:rPr>
            </w:pPr>
            <w:r>
              <w:rPr>
                <w:sz w:val="26"/>
                <w:szCs w:val="26"/>
              </w:rPr>
              <w:t>Nodarbinātības valsts aģentūra</w:t>
            </w:r>
          </w:p>
        </w:tc>
      </w:tr>
      <w:tr w:rsidR="00CE2B15" w:rsidRPr="00CD7B6E" w:rsidTr="00687CB9">
        <w:tblPrEx>
          <w:tblLook w:val="04A0" w:firstRow="1" w:lastRow="0" w:firstColumn="1" w:lastColumn="0" w:noHBand="0" w:noVBand="1"/>
        </w:tblPrEx>
        <w:tc>
          <w:tcPr>
            <w:tcW w:w="1526" w:type="dxa"/>
          </w:tcPr>
          <w:p w:rsidR="00CE2B15" w:rsidRPr="00CD7B6E" w:rsidRDefault="00CE2B15" w:rsidP="00C12DD4">
            <w:pPr>
              <w:spacing w:before="120" w:after="0" w:line="240" w:lineRule="auto"/>
              <w:rPr>
                <w:sz w:val="26"/>
                <w:szCs w:val="26"/>
              </w:rPr>
            </w:pPr>
            <w:r w:rsidRPr="00CD7B6E">
              <w:rPr>
                <w:sz w:val="26"/>
                <w:szCs w:val="26"/>
              </w:rPr>
              <w:t>ULC</w:t>
            </w:r>
          </w:p>
        </w:tc>
        <w:tc>
          <w:tcPr>
            <w:tcW w:w="6520" w:type="dxa"/>
          </w:tcPr>
          <w:p w:rsidR="00CE2B15" w:rsidRPr="00CD7B6E" w:rsidRDefault="00CE2B15" w:rsidP="00C12DD4">
            <w:pPr>
              <w:spacing w:before="120" w:after="0" w:line="240" w:lineRule="auto"/>
              <w:rPr>
                <w:sz w:val="26"/>
                <w:szCs w:val="26"/>
              </w:rPr>
            </w:pPr>
            <w:r w:rsidRPr="00CD7B6E">
              <w:rPr>
                <w:sz w:val="26"/>
                <w:szCs w:val="26"/>
              </w:rPr>
              <w:t>produkcijas vienības darbaspēka izmaksas</w:t>
            </w:r>
          </w:p>
        </w:tc>
      </w:tr>
    </w:tbl>
    <w:p w:rsidR="00687CB9" w:rsidRDefault="00687CB9" w:rsidP="0077399B">
      <w:pPr>
        <w:spacing w:after="0" w:line="240" w:lineRule="auto"/>
      </w:pPr>
    </w:p>
    <w:p w:rsidR="00687CB9" w:rsidRDefault="00CE2B15" w:rsidP="0077399B">
      <w:pPr>
        <w:pStyle w:val="Taksts11"/>
        <w:ind w:firstLine="0"/>
        <w:jc w:val="center"/>
        <w:rPr>
          <w:lang w:val="lv-LV"/>
        </w:rPr>
      </w:pPr>
      <w:r w:rsidRPr="00CD7B6E">
        <w:rPr>
          <w:lang w:val="lv-LV"/>
        </w:rPr>
        <w:br w:type="page"/>
      </w:r>
    </w:p>
    <w:p w:rsidR="00687CB9" w:rsidRDefault="00826C45" w:rsidP="0077399B">
      <w:pPr>
        <w:pStyle w:val="Heading1"/>
        <w:pBdr>
          <w:bottom w:val="thinThickThinSmallGap" w:sz="24" w:space="1" w:color="8064A2" w:themeColor="accent4"/>
        </w:pBdr>
        <w:rPr>
          <w:sz w:val="36"/>
          <w:szCs w:val="36"/>
        </w:rPr>
      </w:pPr>
      <w:bookmarkStart w:id="4" w:name="_Toc357503109"/>
      <w:r w:rsidRPr="00AE1980">
        <w:rPr>
          <w:sz w:val="36"/>
          <w:szCs w:val="36"/>
        </w:rPr>
        <w:lastRenderedPageBreak/>
        <w:t>1. Tautsaimniecības un darba tirgus attīstība</w:t>
      </w:r>
      <w:bookmarkEnd w:id="0"/>
      <w:bookmarkEnd w:id="4"/>
    </w:p>
    <w:p w:rsidR="00687CB9" w:rsidRDefault="00687CB9" w:rsidP="0077399B">
      <w:pPr>
        <w:pStyle w:val="Taksts11"/>
        <w:ind w:firstLine="0"/>
        <w:jc w:val="left"/>
        <w:rPr>
          <w:color w:val="000000"/>
          <w:sz w:val="28"/>
          <w:szCs w:val="26"/>
          <w:lang w:val="lv-LV"/>
        </w:rPr>
      </w:pPr>
    </w:p>
    <w:p w:rsidR="00687CB9" w:rsidRDefault="00826C45" w:rsidP="0077399B">
      <w:pPr>
        <w:pStyle w:val="Heading2"/>
        <w:pBdr>
          <w:bottom w:val="thinThickSmallGap" w:sz="18" w:space="1" w:color="8064A2" w:themeColor="accent4"/>
        </w:pBdr>
        <w:spacing w:before="0" w:after="0" w:line="240" w:lineRule="auto"/>
        <w:rPr>
          <w:szCs w:val="28"/>
        </w:rPr>
      </w:pPr>
      <w:bookmarkStart w:id="5" w:name="_Toc293074217"/>
      <w:bookmarkStart w:id="6" w:name="_Toc357503110"/>
      <w:r w:rsidRPr="00CD7B6E">
        <w:rPr>
          <w:szCs w:val="28"/>
        </w:rPr>
        <w:t>1.1. Makroekonomiskā situācija</w:t>
      </w:r>
      <w:bookmarkEnd w:id="5"/>
      <w:bookmarkEnd w:id="6"/>
    </w:p>
    <w:p w:rsidR="00687CB9" w:rsidRDefault="00687CB9" w:rsidP="0077399B">
      <w:pPr>
        <w:pStyle w:val="BodyTextIndent3"/>
        <w:suppressAutoHyphens/>
        <w:ind w:firstLine="0"/>
        <w:jc w:val="left"/>
        <w:rPr>
          <w:sz w:val="26"/>
          <w:szCs w:val="26"/>
        </w:rPr>
      </w:pPr>
    </w:p>
    <w:p w:rsidR="00687CB9" w:rsidRDefault="00EC0849" w:rsidP="0077399B">
      <w:pPr>
        <w:spacing w:after="0" w:line="240" w:lineRule="auto"/>
        <w:ind w:firstLine="426"/>
        <w:jc w:val="both"/>
        <w:rPr>
          <w:sz w:val="26"/>
          <w:szCs w:val="26"/>
        </w:rPr>
      </w:pPr>
      <w:r w:rsidRPr="00EC0849">
        <w:rPr>
          <w:sz w:val="26"/>
          <w:szCs w:val="26"/>
        </w:rPr>
        <w:t xml:space="preserve">Vēl 2012.gada sākumā Latvijas tautsaimniecības perspektīvas tika vērtētas ļoti piesardzīgi, jo bija bažas par lielo nenoteiktību ārējos tirgos, īpaši </w:t>
      </w:r>
      <w:proofErr w:type="spellStart"/>
      <w:r w:rsidRPr="00EC0849">
        <w:rPr>
          <w:sz w:val="26"/>
          <w:szCs w:val="26"/>
        </w:rPr>
        <w:t>eirozonā</w:t>
      </w:r>
      <w:proofErr w:type="spellEnd"/>
      <w:r w:rsidRPr="00EC0849">
        <w:rPr>
          <w:sz w:val="26"/>
          <w:szCs w:val="26"/>
        </w:rPr>
        <w:t>. Tomēr Latvijas ekonomika bija noturīga pret ārējās vides satricinājumiem un izaugsme visa 2012.gada garumā bija stabila – IKP pieauga caurmērā par 1,3% ik ceturksni un kopumā 2012.gadā IKP par 5,6% pārsniedza 2011.gada līmeni. Lai arī pēdējos divus gadus Latvijas ekonomikā ir vērojama straujākā izaugsme ES, tomēr IKP vēl ir par 12% mazāks nekā bija pirms krīzes – 2007.gadā.</w:t>
      </w:r>
    </w:p>
    <w:p w:rsidR="00687CB9" w:rsidRDefault="00826C45" w:rsidP="0077399B">
      <w:pPr>
        <w:pStyle w:val="BodyTextIndent2"/>
        <w:spacing w:after="0" w:line="240" w:lineRule="auto"/>
        <w:ind w:left="924" w:firstLine="284"/>
        <w:jc w:val="right"/>
        <w:rPr>
          <w:sz w:val="26"/>
          <w:szCs w:val="26"/>
        </w:rPr>
      </w:pPr>
      <w:r w:rsidRPr="00CD7B6E">
        <w:rPr>
          <w:sz w:val="26"/>
          <w:szCs w:val="26"/>
        </w:rPr>
        <w:t>1.1. attēls</w:t>
      </w:r>
    </w:p>
    <w:p w:rsidR="00826C45" w:rsidRPr="00CD7B6E" w:rsidRDefault="00826C45"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b/>
          <w:bCs/>
          <w:spacing w:val="-2"/>
          <w:sz w:val="26"/>
          <w:szCs w:val="26"/>
        </w:rPr>
      </w:pPr>
      <w:r w:rsidRPr="00CD7B6E">
        <w:rPr>
          <w:b/>
          <w:bCs/>
          <w:spacing w:val="-2"/>
          <w:sz w:val="26"/>
          <w:szCs w:val="26"/>
        </w:rPr>
        <w:t>IKP dinamika</w:t>
      </w:r>
    </w:p>
    <w:tbl>
      <w:tblPr>
        <w:tblW w:w="9612" w:type="dxa"/>
        <w:jc w:val="center"/>
        <w:tblLook w:val="01E0" w:firstRow="1" w:lastRow="1" w:firstColumn="1" w:lastColumn="1" w:noHBand="0" w:noVBand="0"/>
      </w:tblPr>
      <w:tblGrid>
        <w:gridCol w:w="4821"/>
        <w:gridCol w:w="4791"/>
      </w:tblGrid>
      <w:tr w:rsidR="00826C45" w:rsidRPr="00CD7B6E" w:rsidTr="004B7CE9">
        <w:trPr>
          <w:trHeight w:val="205"/>
          <w:jc w:val="center"/>
        </w:trPr>
        <w:tc>
          <w:tcPr>
            <w:tcW w:w="4821" w:type="dxa"/>
            <w:vAlign w:val="bottom"/>
          </w:tcPr>
          <w:p w:rsidR="00826C45" w:rsidRPr="00CD7B6E" w:rsidRDefault="00826C45" w:rsidP="0077399B">
            <w:pPr>
              <w:spacing w:after="0" w:line="240" w:lineRule="auto"/>
              <w:jc w:val="center"/>
              <w:rPr>
                <w:rFonts w:eastAsia="Times New Roman"/>
                <w:szCs w:val="20"/>
                <w:lang w:eastAsia="lv-LV"/>
              </w:rPr>
            </w:pPr>
            <w:r w:rsidRPr="00CD7B6E">
              <w:rPr>
                <w:rFonts w:eastAsia="Times New Roman"/>
                <w:bCs/>
                <w:color w:val="000000"/>
                <w:szCs w:val="20"/>
              </w:rPr>
              <w:t>2005.gads = 100</w:t>
            </w:r>
          </w:p>
        </w:tc>
        <w:tc>
          <w:tcPr>
            <w:tcW w:w="4791" w:type="dxa"/>
            <w:vAlign w:val="bottom"/>
          </w:tcPr>
          <w:p w:rsidR="00826C45" w:rsidRPr="00CD7B6E" w:rsidRDefault="00826C45" w:rsidP="0077399B">
            <w:pPr>
              <w:tabs>
                <w:tab w:val="center" w:pos="2415"/>
              </w:tabs>
              <w:spacing w:after="0" w:line="240" w:lineRule="auto"/>
              <w:jc w:val="center"/>
              <w:rPr>
                <w:rFonts w:eastAsia="Times New Roman"/>
                <w:szCs w:val="20"/>
                <w:lang w:eastAsia="lv-LV"/>
              </w:rPr>
            </w:pPr>
            <w:r w:rsidRPr="00CD7B6E">
              <w:rPr>
                <w:rFonts w:eastAsia="Times New Roman"/>
                <w:bCs/>
                <w:color w:val="000000"/>
                <w:szCs w:val="20"/>
              </w:rPr>
              <w:t>% pret iepriekšējo gadu</w:t>
            </w:r>
          </w:p>
        </w:tc>
      </w:tr>
      <w:tr w:rsidR="00826C45" w:rsidRPr="00CD7B6E" w:rsidTr="004B7CE9">
        <w:trPr>
          <w:trHeight w:val="2862"/>
          <w:jc w:val="center"/>
        </w:trPr>
        <w:tc>
          <w:tcPr>
            <w:tcW w:w="4821" w:type="dxa"/>
          </w:tcPr>
          <w:p w:rsidR="00826C45" w:rsidRPr="00CD7B6E" w:rsidRDefault="00826C45" w:rsidP="0077399B">
            <w:pPr>
              <w:spacing w:after="0" w:line="240" w:lineRule="auto"/>
              <w:jc w:val="center"/>
              <w:rPr>
                <w:rFonts w:eastAsia="Times New Roman"/>
              </w:rPr>
            </w:pPr>
            <w:r w:rsidRPr="00CD7B6E">
              <w:rPr>
                <w:rFonts w:eastAsia="Times New Roman"/>
                <w:noProof/>
                <w:sz w:val="20"/>
                <w:szCs w:val="20"/>
                <w:lang w:eastAsia="lv-LV"/>
              </w:rPr>
              <w:drawing>
                <wp:inline distT="0" distB="0" distL="0" distR="0" wp14:anchorId="5D51A967" wp14:editId="20DCAF3C">
                  <wp:extent cx="2876550" cy="2160000"/>
                  <wp:effectExtent l="0" t="0" r="0" b="0"/>
                  <wp:docPr id="78"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791" w:type="dxa"/>
          </w:tcPr>
          <w:p w:rsidR="00826C45" w:rsidRPr="00CD7B6E" w:rsidRDefault="00826C45" w:rsidP="0077399B">
            <w:pPr>
              <w:spacing w:after="0" w:line="240" w:lineRule="auto"/>
              <w:jc w:val="center"/>
              <w:rPr>
                <w:rFonts w:eastAsia="Times New Roman"/>
              </w:rPr>
            </w:pPr>
            <w:r w:rsidRPr="00CD7B6E">
              <w:rPr>
                <w:rFonts w:eastAsia="Times New Roman"/>
                <w:noProof/>
                <w:sz w:val="20"/>
                <w:szCs w:val="20"/>
                <w:lang w:eastAsia="lv-LV"/>
              </w:rPr>
              <w:drawing>
                <wp:inline distT="0" distB="0" distL="0" distR="0" wp14:anchorId="4D3B49F7" wp14:editId="76917945">
                  <wp:extent cx="2876550" cy="216000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C03686" w:rsidRPr="00C03686" w:rsidRDefault="00C03686" w:rsidP="00C03686">
      <w:pPr>
        <w:spacing w:after="0" w:line="240" w:lineRule="auto"/>
        <w:ind w:firstLine="364"/>
        <w:jc w:val="both"/>
        <w:rPr>
          <w:spacing w:val="-2"/>
          <w:sz w:val="8"/>
          <w:szCs w:val="20"/>
        </w:rPr>
      </w:pPr>
    </w:p>
    <w:p w:rsidR="00687CB9" w:rsidRPr="00EB30C9" w:rsidRDefault="00FE51FD" w:rsidP="00C03686">
      <w:pPr>
        <w:spacing w:after="0" w:line="240" w:lineRule="auto"/>
        <w:ind w:firstLine="364"/>
        <w:jc w:val="both"/>
        <w:rPr>
          <w:sz w:val="28"/>
          <w:szCs w:val="26"/>
        </w:rPr>
      </w:pPr>
      <w:r w:rsidRPr="00EB30C9">
        <w:rPr>
          <w:spacing w:val="-2"/>
          <w:szCs w:val="20"/>
        </w:rPr>
        <w:t>Avots: CSP</w:t>
      </w:r>
    </w:p>
    <w:p w:rsidR="00687CB9" w:rsidRDefault="00687CB9" w:rsidP="0077399B">
      <w:pPr>
        <w:spacing w:after="0" w:line="240" w:lineRule="auto"/>
        <w:ind w:firstLine="426"/>
        <w:jc w:val="both"/>
        <w:rPr>
          <w:sz w:val="24"/>
          <w:szCs w:val="12"/>
        </w:rPr>
      </w:pPr>
    </w:p>
    <w:p w:rsidR="00687CB9" w:rsidRDefault="00F765B2" w:rsidP="0077399B">
      <w:pPr>
        <w:spacing w:after="0" w:line="240" w:lineRule="auto"/>
        <w:ind w:firstLine="426"/>
        <w:jc w:val="both"/>
        <w:rPr>
          <w:sz w:val="26"/>
          <w:szCs w:val="26"/>
        </w:rPr>
      </w:pPr>
      <w:r w:rsidRPr="00F765B2">
        <w:rPr>
          <w:sz w:val="26"/>
          <w:szCs w:val="26"/>
        </w:rPr>
        <w:t xml:space="preserve">Galvenais ekonomikas dzinējspēks joprojām ir eksports. Pat saglabājoties </w:t>
      </w:r>
      <w:r>
        <w:rPr>
          <w:sz w:val="26"/>
          <w:szCs w:val="26"/>
        </w:rPr>
        <w:t>vājam</w:t>
      </w:r>
      <w:r w:rsidRPr="00F765B2">
        <w:rPr>
          <w:sz w:val="26"/>
          <w:szCs w:val="26"/>
        </w:rPr>
        <w:t xml:space="preserve"> pieprasījumam </w:t>
      </w:r>
      <w:r>
        <w:rPr>
          <w:sz w:val="26"/>
          <w:szCs w:val="26"/>
        </w:rPr>
        <w:t>ārējos tirgos</w:t>
      </w:r>
      <w:r w:rsidRPr="00F765B2">
        <w:rPr>
          <w:sz w:val="26"/>
          <w:szCs w:val="26"/>
        </w:rPr>
        <w:t xml:space="preserve">, kopumā Latvijas preču un pakalpojumu eksports </w:t>
      </w:r>
      <w:r>
        <w:rPr>
          <w:sz w:val="26"/>
          <w:szCs w:val="26"/>
        </w:rPr>
        <w:t>2012.gadā pieauga par 7,1%. Eksporta apjomi ievērojami pārsniedz pirmskrīzes līmeni un 2012.gad</w:t>
      </w:r>
      <w:r w:rsidR="000E76F4">
        <w:rPr>
          <w:sz w:val="26"/>
          <w:szCs w:val="26"/>
        </w:rPr>
        <w:t>ā tie bija par 18% lielāki nekā</w:t>
      </w:r>
      <w:r>
        <w:rPr>
          <w:sz w:val="26"/>
          <w:szCs w:val="26"/>
        </w:rPr>
        <w:t xml:space="preserve"> 2007.gadā.</w:t>
      </w:r>
    </w:p>
    <w:p w:rsidR="00687CB9" w:rsidRDefault="00F765B2" w:rsidP="0077399B">
      <w:pPr>
        <w:spacing w:after="0" w:line="240" w:lineRule="auto"/>
        <w:ind w:firstLine="426"/>
        <w:jc w:val="both"/>
        <w:rPr>
          <w:sz w:val="26"/>
          <w:szCs w:val="26"/>
        </w:rPr>
      </w:pPr>
      <w:r w:rsidRPr="00F765B2">
        <w:rPr>
          <w:sz w:val="26"/>
          <w:szCs w:val="26"/>
        </w:rPr>
        <w:t xml:space="preserve">Turpina palielināties iekšzemes pieprasījums. Investīciju apjomi </w:t>
      </w:r>
      <w:r>
        <w:rPr>
          <w:sz w:val="26"/>
          <w:szCs w:val="26"/>
        </w:rPr>
        <w:t xml:space="preserve">2012.gadā </w:t>
      </w:r>
      <w:r w:rsidRPr="00F765B2">
        <w:rPr>
          <w:sz w:val="26"/>
          <w:szCs w:val="26"/>
        </w:rPr>
        <w:t xml:space="preserve">par 12,3% pārsniedza 2011.gada līmeni. Vienlaikus straujāku investīciju kāpumu ierobežo vājā kreditēšana un uzņēmēju nogaidošā pozīcija, ņemot vērā neskaidrību par turpmāko situācijas attīstību ārējā vidē. </w:t>
      </w:r>
      <w:r>
        <w:rPr>
          <w:sz w:val="26"/>
          <w:szCs w:val="26"/>
        </w:rPr>
        <w:t>Uzlaboj</w:t>
      </w:r>
      <w:r w:rsidR="00CE2B15">
        <w:rPr>
          <w:sz w:val="26"/>
          <w:szCs w:val="26"/>
        </w:rPr>
        <w:t xml:space="preserve">oties situācijai darba tirgū, </w:t>
      </w:r>
      <w:r>
        <w:rPr>
          <w:sz w:val="26"/>
          <w:szCs w:val="26"/>
        </w:rPr>
        <w:t>pieaug p</w:t>
      </w:r>
      <w:r w:rsidRPr="00F765B2">
        <w:rPr>
          <w:sz w:val="26"/>
          <w:szCs w:val="26"/>
        </w:rPr>
        <w:t xml:space="preserve">rivātais patēriņš </w:t>
      </w:r>
      <w:r>
        <w:rPr>
          <w:sz w:val="26"/>
          <w:szCs w:val="26"/>
        </w:rPr>
        <w:t xml:space="preserve">– 2012.gadā tas bija par </w:t>
      </w:r>
      <w:r w:rsidRPr="00F765B2">
        <w:rPr>
          <w:sz w:val="26"/>
          <w:szCs w:val="26"/>
        </w:rPr>
        <w:t>5,4</w:t>
      </w:r>
      <w:r w:rsidR="00886C81">
        <w:rPr>
          <w:sz w:val="26"/>
          <w:szCs w:val="26"/>
        </w:rPr>
        <w:t xml:space="preserve">% </w:t>
      </w:r>
      <w:r>
        <w:rPr>
          <w:sz w:val="26"/>
          <w:szCs w:val="26"/>
        </w:rPr>
        <w:t>lielāks nekā 2011.gadā.</w:t>
      </w:r>
    </w:p>
    <w:p w:rsidR="00687CB9" w:rsidRDefault="00AE1980" w:rsidP="0077399B">
      <w:pPr>
        <w:spacing w:after="0" w:line="240" w:lineRule="auto"/>
        <w:ind w:firstLine="426"/>
        <w:jc w:val="both"/>
        <w:rPr>
          <w:sz w:val="26"/>
          <w:szCs w:val="26"/>
        </w:rPr>
      </w:pPr>
      <w:r w:rsidRPr="00F765B2">
        <w:rPr>
          <w:sz w:val="26"/>
          <w:szCs w:val="26"/>
        </w:rPr>
        <w:t>Krīzes laikā, samazinoties kopējam algu līmenim un cenām iekšējā tirgū, uzlabojās Latvijas ražotāju konkurētspēja, kas bija pamats eksporta pieaugumam un līdz ar to arī tirgojamo nozaru attīstībai.</w:t>
      </w:r>
      <w:r>
        <w:rPr>
          <w:sz w:val="26"/>
          <w:szCs w:val="26"/>
        </w:rPr>
        <w:t xml:space="preserve"> </w:t>
      </w:r>
      <w:r w:rsidRPr="00F765B2">
        <w:rPr>
          <w:sz w:val="26"/>
          <w:szCs w:val="26"/>
        </w:rPr>
        <w:t>Par tirgojamo nozaru lomas palielināšanos tautsaimniecībā liecina nozaru struktūra. 2008. gadā tirgojamās nozares (lauksaimniecības, mežsaimniecības, rūpniecības, kā arī transporta pakalpojumu nozares) veidoja vien 26% no kopējās pievienotās vērtības, pašlaik šo nozaru īpatsvars ir sasniedzis 37 procentus.</w:t>
      </w:r>
    </w:p>
    <w:p w:rsidR="00687CB9" w:rsidRDefault="00AE1980" w:rsidP="0077399B">
      <w:pPr>
        <w:spacing w:after="0" w:line="240" w:lineRule="auto"/>
        <w:rPr>
          <w:sz w:val="26"/>
          <w:szCs w:val="26"/>
        </w:rPr>
      </w:pPr>
      <w:r>
        <w:rPr>
          <w:sz w:val="26"/>
          <w:szCs w:val="26"/>
        </w:rPr>
        <w:br w:type="page"/>
      </w:r>
    </w:p>
    <w:p w:rsidR="00687CB9" w:rsidRDefault="00AE1980" w:rsidP="0077399B">
      <w:pPr>
        <w:spacing w:after="0" w:line="240" w:lineRule="auto"/>
        <w:ind w:firstLine="426"/>
        <w:jc w:val="both"/>
        <w:rPr>
          <w:sz w:val="26"/>
          <w:szCs w:val="26"/>
        </w:rPr>
      </w:pPr>
      <w:r w:rsidRPr="00F765B2">
        <w:rPr>
          <w:sz w:val="26"/>
          <w:szCs w:val="26"/>
        </w:rPr>
        <w:lastRenderedPageBreak/>
        <w:t>2012.gadā apstrādes rūpniecībā ražošanas apjomi pieauga par 9,3%.</w:t>
      </w:r>
      <w:r>
        <w:rPr>
          <w:sz w:val="26"/>
          <w:szCs w:val="26"/>
        </w:rPr>
        <w:t xml:space="preserve"> </w:t>
      </w:r>
      <w:r w:rsidRPr="00F765B2">
        <w:rPr>
          <w:sz w:val="26"/>
          <w:szCs w:val="26"/>
        </w:rPr>
        <w:t>Ņemot vērā nozares pieaugošo īpatsvaru tautsaimniecībā, ražošanas apjomu palielinājums 2012.gadā veidoja vairāk nekā ¼ daļu no visas ekonomikas izaugsmes. No apstrādes nozarēm 2012.gadā straujākais izlaides apjomu pieaugums bija elektrisko un optisko iekārtu ražošanā, metālapstrādē, transportlīdzekļu ražošanā, kā arī papīra ražošanā un poligrāfijā.</w:t>
      </w:r>
    </w:p>
    <w:p w:rsidR="00826C45" w:rsidRPr="00CD7B6E" w:rsidRDefault="00826C45" w:rsidP="0077399B">
      <w:pPr>
        <w:spacing w:after="0" w:line="240" w:lineRule="auto"/>
        <w:ind w:left="924" w:firstLine="284"/>
        <w:jc w:val="right"/>
        <w:rPr>
          <w:sz w:val="26"/>
          <w:szCs w:val="26"/>
        </w:rPr>
      </w:pPr>
      <w:r w:rsidRPr="00CD7B6E">
        <w:rPr>
          <w:sz w:val="26"/>
          <w:szCs w:val="26"/>
        </w:rPr>
        <w:t>1.2. attēls</w:t>
      </w:r>
    </w:p>
    <w:tbl>
      <w:tblPr>
        <w:tblW w:w="9612" w:type="dxa"/>
        <w:jc w:val="center"/>
        <w:tblLook w:val="01E0" w:firstRow="1" w:lastRow="1" w:firstColumn="1" w:lastColumn="1" w:noHBand="0" w:noVBand="0"/>
      </w:tblPr>
      <w:tblGrid>
        <w:gridCol w:w="4821"/>
        <w:gridCol w:w="4791"/>
      </w:tblGrid>
      <w:tr w:rsidR="00B066AA" w:rsidRPr="00CD7B6E" w:rsidTr="006B0B56">
        <w:trPr>
          <w:trHeight w:val="205"/>
          <w:jc w:val="center"/>
        </w:trPr>
        <w:tc>
          <w:tcPr>
            <w:tcW w:w="4821" w:type="dxa"/>
          </w:tcPr>
          <w:p w:rsidR="00B066AA" w:rsidRPr="00CD7B6E" w:rsidRDefault="006B0B56" w:rsidP="0077399B">
            <w:pPr>
              <w:spacing w:after="0" w:line="240" w:lineRule="auto"/>
              <w:jc w:val="center"/>
              <w:rPr>
                <w:rFonts w:eastAsia="Times New Roman"/>
                <w:szCs w:val="20"/>
                <w:lang w:eastAsia="lv-LV"/>
              </w:rPr>
            </w:pPr>
            <w:r>
              <w:rPr>
                <w:b/>
                <w:sz w:val="26"/>
                <w:szCs w:val="26"/>
              </w:rPr>
              <w:t>IKP</w:t>
            </w:r>
            <w:r w:rsidRPr="00CD7B6E">
              <w:rPr>
                <w:b/>
                <w:sz w:val="26"/>
                <w:szCs w:val="26"/>
              </w:rPr>
              <w:t xml:space="preserve"> un tā izlietojuma posteņu izmaiņas</w:t>
            </w:r>
            <w:r w:rsidR="00AE1980">
              <w:rPr>
                <w:b/>
                <w:sz w:val="26"/>
                <w:szCs w:val="26"/>
              </w:rPr>
              <w:br/>
            </w:r>
            <w:r w:rsidR="00B066AA" w:rsidRPr="00CD7B6E">
              <w:rPr>
                <w:rFonts w:eastAsia="Times New Roman"/>
                <w:bCs/>
                <w:color w:val="000000"/>
                <w:szCs w:val="20"/>
              </w:rPr>
              <w:t>2005.gads = 100</w:t>
            </w:r>
          </w:p>
        </w:tc>
        <w:tc>
          <w:tcPr>
            <w:tcW w:w="4791" w:type="dxa"/>
          </w:tcPr>
          <w:p w:rsidR="00B066AA" w:rsidRPr="00CD7B6E" w:rsidRDefault="006B0B56" w:rsidP="0077399B">
            <w:pPr>
              <w:tabs>
                <w:tab w:val="center" w:pos="2415"/>
              </w:tabs>
              <w:spacing w:after="0" w:line="240" w:lineRule="auto"/>
              <w:jc w:val="center"/>
              <w:rPr>
                <w:rFonts w:eastAsia="Times New Roman"/>
                <w:szCs w:val="20"/>
                <w:lang w:eastAsia="lv-LV"/>
              </w:rPr>
            </w:pPr>
            <w:r w:rsidRPr="00CD7B6E">
              <w:rPr>
                <w:b/>
                <w:sz w:val="26"/>
                <w:szCs w:val="26"/>
              </w:rPr>
              <w:t>Tautsaimniecības struktūra</w:t>
            </w:r>
            <w:r w:rsidR="00AE1980">
              <w:rPr>
                <w:b/>
                <w:sz w:val="26"/>
                <w:szCs w:val="26"/>
              </w:rPr>
              <w:br/>
            </w:r>
            <w:r w:rsidRPr="006B0B56">
              <w:rPr>
                <w:rFonts w:eastAsia="Times New Roman"/>
                <w:bCs/>
                <w:color w:val="000000"/>
                <w:szCs w:val="20"/>
              </w:rPr>
              <w:t>2012.gadā</w:t>
            </w:r>
            <w:r w:rsidRPr="00CD7B6E">
              <w:rPr>
                <w:rFonts w:eastAsia="Times New Roman"/>
                <w:bCs/>
                <w:color w:val="000000"/>
                <w:szCs w:val="20"/>
              </w:rPr>
              <w:t xml:space="preserve"> </w:t>
            </w:r>
            <w:r w:rsidR="00B066AA" w:rsidRPr="00CD7B6E">
              <w:rPr>
                <w:rFonts w:eastAsia="Times New Roman"/>
                <w:bCs/>
                <w:color w:val="000000"/>
                <w:szCs w:val="20"/>
              </w:rPr>
              <w:t>%</w:t>
            </w:r>
          </w:p>
        </w:tc>
      </w:tr>
      <w:tr w:rsidR="00B066AA" w:rsidRPr="00CD7B6E" w:rsidTr="006B0B56">
        <w:trPr>
          <w:trHeight w:val="2862"/>
          <w:jc w:val="center"/>
        </w:trPr>
        <w:tc>
          <w:tcPr>
            <w:tcW w:w="4821" w:type="dxa"/>
          </w:tcPr>
          <w:p w:rsidR="00B066AA" w:rsidRPr="00CD7B6E" w:rsidRDefault="00B066AA" w:rsidP="0077399B">
            <w:pPr>
              <w:spacing w:after="0" w:line="240" w:lineRule="auto"/>
              <w:jc w:val="center"/>
              <w:rPr>
                <w:rFonts w:eastAsia="Times New Roman"/>
              </w:rPr>
            </w:pPr>
            <w:r w:rsidRPr="00CD7B6E">
              <w:rPr>
                <w:rFonts w:eastAsia="Times New Roman"/>
                <w:noProof/>
                <w:sz w:val="20"/>
                <w:szCs w:val="20"/>
                <w:lang w:eastAsia="lv-LV"/>
              </w:rPr>
              <w:drawing>
                <wp:inline distT="0" distB="0" distL="0" distR="0" wp14:anchorId="45E64586" wp14:editId="2E061074">
                  <wp:extent cx="2880000" cy="2160000"/>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91" w:type="dxa"/>
          </w:tcPr>
          <w:p w:rsidR="00B066AA" w:rsidRPr="00CD7B6E" w:rsidRDefault="006B0B56" w:rsidP="0077399B">
            <w:pPr>
              <w:spacing w:after="0" w:line="240" w:lineRule="auto"/>
              <w:jc w:val="center"/>
              <w:rPr>
                <w:rFonts w:eastAsia="Times New Roman"/>
              </w:rPr>
            </w:pPr>
            <w:r w:rsidRPr="00AE1980">
              <w:rPr>
                <w:rFonts w:ascii="Garamond" w:hAnsi="Garamond"/>
                <w:noProof/>
                <w:sz w:val="19"/>
                <w:lang w:eastAsia="lv-LV"/>
              </w:rPr>
              <w:drawing>
                <wp:inline distT="0" distB="0" distL="0" distR="0" wp14:anchorId="39B205C3" wp14:editId="7D93D896">
                  <wp:extent cx="2880000" cy="216000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C03686" w:rsidRPr="00C03686" w:rsidRDefault="00C03686" w:rsidP="0077399B">
      <w:pPr>
        <w:spacing w:after="0" w:line="240" w:lineRule="auto"/>
        <w:ind w:firstLine="426"/>
        <w:jc w:val="both"/>
        <w:rPr>
          <w:spacing w:val="-2"/>
          <w:sz w:val="8"/>
          <w:szCs w:val="20"/>
        </w:rPr>
      </w:pPr>
    </w:p>
    <w:p w:rsidR="00687CB9" w:rsidRPr="00EB30C9" w:rsidRDefault="00FE51FD" w:rsidP="0077399B">
      <w:pPr>
        <w:spacing w:after="0" w:line="240" w:lineRule="auto"/>
        <w:ind w:firstLine="426"/>
        <w:jc w:val="both"/>
        <w:rPr>
          <w:spacing w:val="-2"/>
          <w:szCs w:val="20"/>
        </w:rPr>
      </w:pPr>
      <w:r w:rsidRPr="00EB30C9">
        <w:rPr>
          <w:spacing w:val="-2"/>
          <w:szCs w:val="20"/>
        </w:rPr>
        <w:t>Avots: CSP</w:t>
      </w:r>
    </w:p>
    <w:p w:rsidR="00687CB9" w:rsidRDefault="00687CB9" w:rsidP="0077399B">
      <w:pPr>
        <w:spacing w:after="0" w:line="240" w:lineRule="auto"/>
        <w:ind w:firstLine="426"/>
        <w:jc w:val="both"/>
        <w:rPr>
          <w:sz w:val="26"/>
          <w:szCs w:val="26"/>
        </w:rPr>
      </w:pPr>
    </w:p>
    <w:p w:rsidR="00687CB9" w:rsidRDefault="00F765B2" w:rsidP="0077399B">
      <w:pPr>
        <w:spacing w:after="0" w:line="240" w:lineRule="auto"/>
        <w:ind w:firstLine="426"/>
        <w:jc w:val="both"/>
        <w:rPr>
          <w:sz w:val="26"/>
          <w:szCs w:val="26"/>
        </w:rPr>
      </w:pPr>
      <w:bookmarkStart w:id="7" w:name="_MON_1400590509"/>
      <w:bookmarkEnd w:id="7"/>
      <w:r w:rsidRPr="00F765B2">
        <w:rPr>
          <w:sz w:val="26"/>
          <w:szCs w:val="26"/>
        </w:rPr>
        <w:t>2012.gadā transporta un uzglabāšanas nozares sniegto pakalpojumu apjomi bija</w:t>
      </w:r>
      <w:r w:rsidR="00FE51FD">
        <w:rPr>
          <w:sz w:val="26"/>
          <w:szCs w:val="26"/>
        </w:rPr>
        <w:t xml:space="preserve"> par 4% lielāki nekā 2011.gadā, bet </w:t>
      </w:r>
      <w:r w:rsidRPr="00F765B2">
        <w:rPr>
          <w:sz w:val="26"/>
          <w:szCs w:val="26"/>
        </w:rPr>
        <w:t xml:space="preserve">lauksaimniecības un mežsaimniecības nozares apjomi </w:t>
      </w:r>
      <w:r w:rsidR="00FE51FD">
        <w:rPr>
          <w:sz w:val="26"/>
          <w:szCs w:val="26"/>
        </w:rPr>
        <w:t xml:space="preserve">pieauga </w:t>
      </w:r>
      <w:r w:rsidRPr="00F765B2">
        <w:rPr>
          <w:sz w:val="26"/>
          <w:szCs w:val="26"/>
        </w:rPr>
        <w:t>par 6,9%</w:t>
      </w:r>
      <w:r w:rsidR="00FE51FD">
        <w:rPr>
          <w:sz w:val="26"/>
          <w:szCs w:val="26"/>
        </w:rPr>
        <w:t>. Tirgojamās nozarēs apjomi jau pārsniedz 2007.gada līmeni.</w:t>
      </w:r>
    </w:p>
    <w:p w:rsidR="00687CB9" w:rsidRDefault="00F765B2" w:rsidP="0077399B">
      <w:pPr>
        <w:spacing w:after="0" w:line="240" w:lineRule="auto"/>
        <w:ind w:firstLine="426"/>
        <w:jc w:val="both"/>
        <w:rPr>
          <w:sz w:val="26"/>
          <w:szCs w:val="26"/>
        </w:rPr>
      </w:pPr>
      <w:r w:rsidRPr="00F765B2">
        <w:rPr>
          <w:sz w:val="26"/>
          <w:szCs w:val="26"/>
        </w:rPr>
        <w:t>Pakāpeniski situācija uzlabojas būvniecībā – kopumā 2012.gadā būvniecības apjomi pieauga par 14,6%. Lai arī būvniecības apjomi gada laikā ir salīdzinoši strauji auguši, tomēr tie ir tikai 57% apmērā no pirmskrīzes līmeņa. Nozares atkopšanās no krīzes lielā mēra ir saistīta ar publiskajiem pasūt</w:t>
      </w:r>
      <w:r>
        <w:rPr>
          <w:sz w:val="26"/>
          <w:szCs w:val="26"/>
        </w:rPr>
        <w:t>ījumiem un ES fondu projektiem.</w:t>
      </w:r>
    </w:p>
    <w:p w:rsidR="00687CB9" w:rsidRDefault="006B0B56" w:rsidP="0077399B">
      <w:pPr>
        <w:pStyle w:val="ListParagraph"/>
        <w:spacing w:after="0" w:line="240" w:lineRule="auto"/>
        <w:ind w:left="924" w:firstLine="284"/>
        <w:contextualSpacing w:val="0"/>
        <w:jc w:val="right"/>
        <w:rPr>
          <w:sz w:val="26"/>
          <w:szCs w:val="26"/>
        </w:rPr>
      </w:pPr>
      <w:r w:rsidRPr="00CD7B6E">
        <w:rPr>
          <w:sz w:val="26"/>
          <w:szCs w:val="26"/>
        </w:rPr>
        <w:t>1.</w:t>
      </w:r>
      <w:r>
        <w:rPr>
          <w:sz w:val="26"/>
          <w:szCs w:val="26"/>
        </w:rPr>
        <w:t>1</w:t>
      </w:r>
      <w:r w:rsidRPr="00CD7B6E">
        <w:rPr>
          <w:sz w:val="26"/>
          <w:szCs w:val="26"/>
        </w:rPr>
        <w:t>.</w:t>
      </w:r>
      <w:r w:rsidR="00F6144C">
        <w:rPr>
          <w:sz w:val="26"/>
          <w:szCs w:val="26"/>
        </w:rPr>
        <w:t xml:space="preserve"> </w:t>
      </w:r>
      <w:r>
        <w:rPr>
          <w:sz w:val="26"/>
          <w:szCs w:val="26"/>
        </w:rPr>
        <w:t>tabula</w:t>
      </w:r>
    </w:p>
    <w:p w:rsidR="00EB30C9" w:rsidRDefault="00B066AA" w:rsidP="00EB30C9">
      <w:pPr>
        <w:pStyle w:val="ListParagraph"/>
        <w:spacing w:after="0" w:line="240" w:lineRule="auto"/>
        <w:ind w:left="0"/>
        <w:jc w:val="center"/>
        <w:rPr>
          <w:rFonts w:eastAsia="Times New Roman"/>
          <w:b/>
          <w:bCs/>
          <w:color w:val="000000"/>
          <w:spacing w:val="-2"/>
          <w:sz w:val="26"/>
          <w:szCs w:val="26"/>
        </w:rPr>
      </w:pPr>
      <w:r w:rsidRPr="00B066AA">
        <w:rPr>
          <w:rFonts w:eastAsia="Times New Roman"/>
          <w:b/>
          <w:bCs/>
          <w:color w:val="000000"/>
          <w:spacing w:val="-2"/>
          <w:sz w:val="26"/>
          <w:szCs w:val="26"/>
        </w:rPr>
        <w:t>IKP dinamika</w:t>
      </w:r>
      <w:r>
        <w:rPr>
          <w:rFonts w:eastAsia="Times New Roman"/>
          <w:b/>
          <w:bCs/>
          <w:color w:val="000000"/>
          <w:spacing w:val="-2"/>
          <w:sz w:val="26"/>
          <w:szCs w:val="26"/>
        </w:rPr>
        <w:t xml:space="preserve"> pa nozarēm</w:t>
      </w:r>
    </w:p>
    <w:p w:rsidR="00B066AA" w:rsidRDefault="00B066AA" w:rsidP="00EB30C9">
      <w:pPr>
        <w:pStyle w:val="ListParagraph"/>
        <w:spacing w:after="0" w:line="240" w:lineRule="auto"/>
        <w:ind w:left="0"/>
        <w:jc w:val="center"/>
        <w:rPr>
          <w:bCs/>
          <w:iCs/>
          <w:szCs w:val="24"/>
        </w:rPr>
      </w:pPr>
      <w:r w:rsidRPr="00B066AA">
        <w:rPr>
          <w:bCs/>
          <w:iCs/>
          <w:szCs w:val="24"/>
        </w:rPr>
        <w:t>(procentos)</w:t>
      </w:r>
    </w:p>
    <w:p w:rsidR="00EB30C9" w:rsidRPr="00EB30C9" w:rsidRDefault="00EB30C9" w:rsidP="00EB30C9">
      <w:pPr>
        <w:pStyle w:val="ListParagraph"/>
        <w:spacing w:after="0" w:line="240" w:lineRule="auto"/>
        <w:ind w:left="0"/>
        <w:jc w:val="center"/>
        <w:rPr>
          <w:bCs/>
          <w:iCs/>
          <w:sz w:val="8"/>
          <w:szCs w:val="24"/>
        </w:rPr>
      </w:pPr>
    </w:p>
    <w:tbl>
      <w:tblPr>
        <w:tblStyle w:val="MediumList1-Accent4"/>
        <w:tblW w:w="4993" w:type="pct"/>
        <w:tblLook w:val="0400" w:firstRow="0" w:lastRow="0" w:firstColumn="0" w:lastColumn="0" w:noHBand="0" w:noVBand="1"/>
      </w:tblPr>
      <w:tblGrid>
        <w:gridCol w:w="2836"/>
        <w:gridCol w:w="1280"/>
        <w:gridCol w:w="1291"/>
        <w:gridCol w:w="1291"/>
        <w:gridCol w:w="1289"/>
        <w:gridCol w:w="1287"/>
      </w:tblGrid>
      <w:tr w:rsidR="00AE1980" w:rsidRPr="00AE1980" w:rsidTr="00C03686">
        <w:trPr>
          <w:cnfStyle w:val="000000100000" w:firstRow="0" w:lastRow="0" w:firstColumn="0" w:lastColumn="0" w:oddVBand="0" w:evenVBand="0" w:oddHBand="1" w:evenHBand="0" w:firstRowFirstColumn="0" w:firstRowLastColumn="0" w:lastRowFirstColumn="0" w:lastRowLastColumn="0"/>
          <w:trHeight w:val="510"/>
        </w:trPr>
        <w:tc>
          <w:tcPr>
            <w:tcW w:w="1529" w:type="pct"/>
            <w:tcBorders>
              <w:top w:val="single" w:sz="8" w:space="0" w:color="8064A2" w:themeColor="accent4"/>
              <w:bottom w:val="single" w:sz="8" w:space="0" w:color="8064A2" w:themeColor="accent4"/>
            </w:tcBorders>
          </w:tcPr>
          <w:p w:rsidR="00B066AA" w:rsidRPr="00AE1980" w:rsidRDefault="00B066AA" w:rsidP="00C12DD4">
            <w:pPr>
              <w:spacing w:before="20" w:after="20" w:line="240" w:lineRule="auto"/>
              <w:jc w:val="center"/>
            </w:pPr>
          </w:p>
        </w:tc>
        <w:tc>
          <w:tcPr>
            <w:tcW w:w="690" w:type="pct"/>
            <w:tcBorders>
              <w:top w:val="single" w:sz="8" w:space="0" w:color="8064A2" w:themeColor="accent4"/>
              <w:bottom w:val="single" w:sz="8" w:space="0" w:color="8064A2" w:themeColor="accent4"/>
            </w:tcBorders>
          </w:tcPr>
          <w:p w:rsidR="00B066AA" w:rsidRPr="00AE1980" w:rsidRDefault="00B066AA" w:rsidP="00C12DD4">
            <w:pPr>
              <w:tabs>
                <w:tab w:val="decimal" w:pos="437"/>
              </w:tabs>
              <w:spacing w:before="20" w:after="20" w:line="240" w:lineRule="auto"/>
              <w:jc w:val="center"/>
            </w:pPr>
            <w:r w:rsidRPr="00AE1980">
              <w:rPr>
                <w:b/>
              </w:rPr>
              <w:t>2005-2007 vidēji gadā</w:t>
            </w:r>
          </w:p>
        </w:tc>
        <w:tc>
          <w:tcPr>
            <w:tcW w:w="696" w:type="pct"/>
            <w:tcBorders>
              <w:top w:val="single" w:sz="8" w:space="0" w:color="8064A2" w:themeColor="accent4"/>
              <w:bottom w:val="single" w:sz="8" w:space="0" w:color="8064A2" w:themeColor="accent4"/>
            </w:tcBorders>
          </w:tcPr>
          <w:p w:rsidR="00B066AA" w:rsidRPr="00AE1980" w:rsidRDefault="00B066AA" w:rsidP="00C12DD4">
            <w:pPr>
              <w:tabs>
                <w:tab w:val="decimal" w:pos="437"/>
              </w:tabs>
              <w:spacing w:before="20" w:after="20" w:line="240" w:lineRule="auto"/>
              <w:jc w:val="center"/>
            </w:pPr>
            <w:r w:rsidRPr="00AE1980">
              <w:rPr>
                <w:b/>
              </w:rPr>
              <w:t>2008-2010 vidēji gadā</w:t>
            </w:r>
          </w:p>
        </w:tc>
        <w:tc>
          <w:tcPr>
            <w:tcW w:w="696" w:type="pct"/>
            <w:tcBorders>
              <w:top w:val="single" w:sz="8" w:space="0" w:color="8064A2" w:themeColor="accent4"/>
              <w:bottom w:val="single" w:sz="8" w:space="0" w:color="8064A2" w:themeColor="accent4"/>
            </w:tcBorders>
            <w:vAlign w:val="center"/>
          </w:tcPr>
          <w:p w:rsidR="00B066AA" w:rsidRPr="00AE1980" w:rsidRDefault="00B066AA" w:rsidP="00C12DD4">
            <w:pPr>
              <w:spacing w:before="20" w:after="20" w:line="240" w:lineRule="auto"/>
              <w:jc w:val="center"/>
              <w:rPr>
                <w:b/>
              </w:rPr>
            </w:pPr>
            <w:r w:rsidRPr="00AE1980">
              <w:rPr>
                <w:b/>
              </w:rPr>
              <w:t>2011</w:t>
            </w:r>
          </w:p>
        </w:tc>
        <w:tc>
          <w:tcPr>
            <w:tcW w:w="695" w:type="pct"/>
            <w:tcBorders>
              <w:top w:val="single" w:sz="8" w:space="0" w:color="8064A2" w:themeColor="accent4"/>
              <w:bottom w:val="single" w:sz="8" w:space="0" w:color="8064A2" w:themeColor="accent4"/>
            </w:tcBorders>
            <w:vAlign w:val="center"/>
          </w:tcPr>
          <w:p w:rsidR="00B066AA" w:rsidRPr="00AE1980" w:rsidRDefault="00B066AA" w:rsidP="00C12DD4">
            <w:pPr>
              <w:spacing w:before="20" w:after="20" w:line="240" w:lineRule="auto"/>
              <w:jc w:val="center"/>
            </w:pPr>
            <w:r w:rsidRPr="00AE1980">
              <w:rPr>
                <w:b/>
              </w:rPr>
              <w:t>2012</w:t>
            </w:r>
          </w:p>
        </w:tc>
        <w:tc>
          <w:tcPr>
            <w:tcW w:w="695" w:type="pct"/>
            <w:tcBorders>
              <w:top w:val="single" w:sz="8" w:space="0" w:color="8064A2" w:themeColor="accent4"/>
              <w:bottom w:val="single" w:sz="8" w:space="0" w:color="8064A2" w:themeColor="accent4"/>
            </w:tcBorders>
            <w:vAlign w:val="center"/>
          </w:tcPr>
          <w:p w:rsidR="00B066AA" w:rsidRPr="00AE1980" w:rsidRDefault="00B066AA" w:rsidP="00C12DD4">
            <w:pPr>
              <w:spacing w:before="20" w:after="20" w:line="240" w:lineRule="auto"/>
              <w:jc w:val="center"/>
              <w:rPr>
                <w:b/>
              </w:rPr>
            </w:pPr>
            <w:r w:rsidRPr="00AE1980">
              <w:rPr>
                <w:b/>
              </w:rPr>
              <w:t>2012/2007</w:t>
            </w:r>
          </w:p>
        </w:tc>
      </w:tr>
      <w:tr w:rsidR="00B066AA" w:rsidRPr="00AE1980" w:rsidTr="00C03686">
        <w:trPr>
          <w:trHeight w:val="227"/>
        </w:trPr>
        <w:tc>
          <w:tcPr>
            <w:tcW w:w="1529" w:type="pct"/>
            <w:tcBorders>
              <w:top w:val="single" w:sz="8" w:space="0" w:color="8064A2" w:themeColor="accent4"/>
            </w:tcBorders>
          </w:tcPr>
          <w:p w:rsidR="00B066AA" w:rsidRPr="00AE1980" w:rsidRDefault="00C409F0" w:rsidP="00C12DD4">
            <w:pPr>
              <w:spacing w:before="20" w:after="20" w:line="240" w:lineRule="auto"/>
              <w:ind w:right="-57"/>
            </w:pPr>
            <w:r w:rsidRPr="00AE1980">
              <w:t>Lauksaimniecība</w:t>
            </w:r>
          </w:p>
        </w:tc>
        <w:tc>
          <w:tcPr>
            <w:tcW w:w="690" w:type="pct"/>
            <w:tcBorders>
              <w:top w:val="single" w:sz="8" w:space="0" w:color="8064A2" w:themeColor="accent4"/>
            </w:tcBorders>
          </w:tcPr>
          <w:p w:rsidR="00B066AA" w:rsidRPr="00AE1980" w:rsidRDefault="00B066AA" w:rsidP="00C12DD4">
            <w:pPr>
              <w:tabs>
                <w:tab w:val="decimal" w:pos="516"/>
              </w:tabs>
              <w:spacing w:before="20" w:after="20" w:line="240" w:lineRule="auto"/>
            </w:pPr>
            <w:r w:rsidRPr="00AE1980">
              <w:t>3,9</w:t>
            </w:r>
          </w:p>
        </w:tc>
        <w:tc>
          <w:tcPr>
            <w:tcW w:w="696" w:type="pct"/>
            <w:tcBorders>
              <w:top w:val="single" w:sz="8" w:space="0" w:color="8064A2" w:themeColor="accent4"/>
            </w:tcBorders>
          </w:tcPr>
          <w:p w:rsidR="00B066AA" w:rsidRPr="00AE1980" w:rsidRDefault="00B066AA" w:rsidP="00C12DD4">
            <w:pPr>
              <w:tabs>
                <w:tab w:val="decimal" w:pos="516"/>
              </w:tabs>
              <w:spacing w:before="20" w:after="20" w:line="240" w:lineRule="auto"/>
            </w:pPr>
            <w:r w:rsidRPr="00AE1980">
              <w:t>-1,0</w:t>
            </w:r>
          </w:p>
        </w:tc>
        <w:tc>
          <w:tcPr>
            <w:tcW w:w="696" w:type="pct"/>
            <w:tcBorders>
              <w:top w:val="single" w:sz="8" w:space="0" w:color="8064A2" w:themeColor="accent4"/>
            </w:tcBorders>
          </w:tcPr>
          <w:p w:rsidR="00B066AA" w:rsidRPr="00AE1980" w:rsidRDefault="00B066AA" w:rsidP="00C12DD4">
            <w:pPr>
              <w:tabs>
                <w:tab w:val="decimal" w:pos="516"/>
              </w:tabs>
              <w:spacing w:before="20" w:after="20" w:line="240" w:lineRule="auto"/>
            </w:pPr>
            <w:r w:rsidRPr="00AE1980">
              <w:t>-0,5</w:t>
            </w:r>
          </w:p>
        </w:tc>
        <w:tc>
          <w:tcPr>
            <w:tcW w:w="695" w:type="pct"/>
            <w:tcBorders>
              <w:top w:val="single" w:sz="8" w:space="0" w:color="8064A2" w:themeColor="accent4"/>
            </w:tcBorders>
          </w:tcPr>
          <w:p w:rsidR="00B066AA" w:rsidRPr="00AE1980" w:rsidRDefault="00B066AA" w:rsidP="00C12DD4">
            <w:pPr>
              <w:tabs>
                <w:tab w:val="decimal" w:pos="516"/>
              </w:tabs>
              <w:spacing w:before="20" w:after="20" w:line="240" w:lineRule="auto"/>
            </w:pPr>
            <w:r w:rsidRPr="00AE1980">
              <w:t>6,9</w:t>
            </w:r>
          </w:p>
        </w:tc>
        <w:tc>
          <w:tcPr>
            <w:tcW w:w="695" w:type="pct"/>
            <w:tcBorders>
              <w:top w:val="single" w:sz="8" w:space="0" w:color="8064A2" w:themeColor="accent4"/>
            </w:tcBorders>
          </w:tcPr>
          <w:p w:rsidR="00B066AA" w:rsidRPr="00AE1980" w:rsidRDefault="00B066AA" w:rsidP="00C12DD4">
            <w:pPr>
              <w:tabs>
                <w:tab w:val="decimal" w:pos="516"/>
              </w:tabs>
              <w:spacing w:before="20" w:after="20" w:line="240" w:lineRule="auto"/>
            </w:pPr>
            <w:r w:rsidRPr="00AE1980">
              <w:t>3,3</w:t>
            </w:r>
          </w:p>
        </w:tc>
      </w:tr>
      <w:tr w:rsidR="00AE1980" w:rsidRPr="00AE1980" w:rsidTr="00C03686">
        <w:trPr>
          <w:cnfStyle w:val="000000100000" w:firstRow="0" w:lastRow="0" w:firstColumn="0" w:lastColumn="0" w:oddVBand="0" w:evenVBand="0" w:oddHBand="1" w:evenHBand="0" w:firstRowFirstColumn="0" w:firstRowLastColumn="0" w:lastRowFirstColumn="0" w:lastRowLastColumn="0"/>
        </w:trPr>
        <w:tc>
          <w:tcPr>
            <w:tcW w:w="1529" w:type="pct"/>
          </w:tcPr>
          <w:p w:rsidR="00B066AA" w:rsidRPr="00AE1980" w:rsidRDefault="00B066AA" w:rsidP="00C12DD4">
            <w:pPr>
              <w:spacing w:before="20" w:after="20" w:line="240" w:lineRule="auto"/>
              <w:ind w:right="-57"/>
            </w:pPr>
            <w:r w:rsidRPr="00AE1980">
              <w:t>Apstrādes rūpniecība</w:t>
            </w:r>
          </w:p>
        </w:tc>
        <w:tc>
          <w:tcPr>
            <w:tcW w:w="690" w:type="pct"/>
          </w:tcPr>
          <w:p w:rsidR="00B066AA" w:rsidRPr="00AE1980" w:rsidRDefault="00B066AA" w:rsidP="00C12DD4">
            <w:pPr>
              <w:tabs>
                <w:tab w:val="decimal" w:pos="516"/>
              </w:tabs>
              <w:spacing w:before="20" w:after="20" w:line="240" w:lineRule="auto"/>
            </w:pPr>
            <w:r w:rsidRPr="00AE1980">
              <w:t>4,1</w:t>
            </w:r>
          </w:p>
        </w:tc>
        <w:tc>
          <w:tcPr>
            <w:tcW w:w="696" w:type="pct"/>
          </w:tcPr>
          <w:p w:rsidR="00B066AA" w:rsidRPr="00AE1980" w:rsidRDefault="00B066AA" w:rsidP="00C12DD4">
            <w:pPr>
              <w:tabs>
                <w:tab w:val="decimal" w:pos="516"/>
              </w:tabs>
              <w:spacing w:before="20" w:after="20" w:line="240" w:lineRule="auto"/>
            </w:pPr>
            <w:r w:rsidRPr="00AE1980">
              <w:t>-3,6</w:t>
            </w:r>
          </w:p>
        </w:tc>
        <w:tc>
          <w:tcPr>
            <w:tcW w:w="696" w:type="pct"/>
          </w:tcPr>
          <w:p w:rsidR="00B066AA" w:rsidRPr="00AE1980" w:rsidRDefault="00B066AA" w:rsidP="00C12DD4">
            <w:pPr>
              <w:tabs>
                <w:tab w:val="decimal" w:pos="516"/>
              </w:tabs>
              <w:spacing w:before="20" w:after="20" w:line="240" w:lineRule="auto"/>
            </w:pPr>
            <w:r w:rsidRPr="00AE1980">
              <w:t>11,7</w:t>
            </w:r>
          </w:p>
        </w:tc>
        <w:tc>
          <w:tcPr>
            <w:tcW w:w="695" w:type="pct"/>
          </w:tcPr>
          <w:p w:rsidR="00B066AA" w:rsidRPr="00AE1980" w:rsidRDefault="00B066AA" w:rsidP="00C12DD4">
            <w:pPr>
              <w:tabs>
                <w:tab w:val="decimal" w:pos="516"/>
              </w:tabs>
              <w:spacing w:before="20" w:after="20" w:line="240" w:lineRule="auto"/>
            </w:pPr>
            <w:r w:rsidRPr="00AE1980">
              <w:t>9,3</w:t>
            </w:r>
          </w:p>
        </w:tc>
        <w:tc>
          <w:tcPr>
            <w:tcW w:w="695" w:type="pct"/>
          </w:tcPr>
          <w:p w:rsidR="00B066AA" w:rsidRPr="00AE1980" w:rsidRDefault="00B066AA" w:rsidP="00C12DD4">
            <w:pPr>
              <w:tabs>
                <w:tab w:val="decimal" w:pos="516"/>
              </w:tabs>
              <w:spacing w:before="20" w:after="20" w:line="240" w:lineRule="auto"/>
            </w:pPr>
            <w:r w:rsidRPr="00AE1980">
              <w:t>9,4</w:t>
            </w:r>
          </w:p>
        </w:tc>
      </w:tr>
      <w:tr w:rsidR="00B066AA" w:rsidRPr="00AE1980" w:rsidTr="00C03686">
        <w:trPr>
          <w:trHeight w:val="283"/>
        </w:trPr>
        <w:tc>
          <w:tcPr>
            <w:tcW w:w="1529" w:type="pct"/>
          </w:tcPr>
          <w:p w:rsidR="00B066AA" w:rsidRPr="00AE1980" w:rsidRDefault="00B066AA" w:rsidP="00C12DD4">
            <w:pPr>
              <w:spacing w:before="20" w:after="20" w:line="240" w:lineRule="auto"/>
              <w:ind w:right="-57"/>
            </w:pPr>
            <w:r w:rsidRPr="00AE1980">
              <w:t>Pārējā rūpniecība</w:t>
            </w:r>
          </w:p>
        </w:tc>
        <w:tc>
          <w:tcPr>
            <w:tcW w:w="690" w:type="pct"/>
          </w:tcPr>
          <w:p w:rsidR="00B066AA" w:rsidRPr="00AE1980" w:rsidRDefault="00B066AA" w:rsidP="00C12DD4">
            <w:pPr>
              <w:tabs>
                <w:tab w:val="decimal" w:pos="516"/>
              </w:tabs>
              <w:spacing w:before="20" w:after="20" w:line="240" w:lineRule="auto"/>
            </w:pPr>
            <w:r w:rsidRPr="00AE1980">
              <w:t>3,4</w:t>
            </w:r>
          </w:p>
        </w:tc>
        <w:tc>
          <w:tcPr>
            <w:tcW w:w="696" w:type="pct"/>
          </w:tcPr>
          <w:p w:rsidR="00B066AA" w:rsidRPr="00AE1980" w:rsidRDefault="00B066AA" w:rsidP="00C12DD4">
            <w:pPr>
              <w:tabs>
                <w:tab w:val="decimal" w:pos="516"/>
              </w:tabs>
              <w:spacing w:before="20" w:after="20" w:line="240" w:lineRule="auto"/>
            </w:pPr>
            <w:r w:rsidRPr="00AE1980">
              <w:t>1,5</w:t>
            </w:r>
          </w:p>
        </w:tc>
        <w:tc>
          <w:tcPr>
            <w:tcW w:w="696" w:type="pct"/>
          </w:tcPr>
          <w:p w:rsidR="00B066AA" w:rsidRPr="00AE1980" w:rsidRDefault="00B066AA" w:rsidP="00C12DD4">
            <w:pPr>
              <w:tabs>
                <w:tab w:val="decimal" w:pos="516"/>
              </w:tabs>
              <w:spacing w:before="20" w:after="20" w:line="240" w:lineRule="auto"/>
            </w:pPr>
            <w:r w:rsidRPr="00AE1980">
              <w:t>-0,9</w:t>
            </w:r>
          </w:p>
        </w:tc>
        <w:tc>
          <w:tcPr>
            <w:tcW w:w="695" w:type="pct"/>
          </w:tcPr>
          <w:p w:rsidR="00B066AA" w:rsidRPr="00AE1980" w:rsidRDefault="00B066AA" w:rsidP="00C12DD4">
            <w:pPr>
              <w:tabs>
                <w:tab w:val="decimal" w:pos="516"/>
              </w:tabs>
              <w:spacing w:before="20" w:after="20" w:line="240" w:lineRule="auto"/>
            </w:pPr>
            <w:r w:rsidRPr="00AE1980">
              <w:t>-2,0</w:t>
            </w:r>
          </w:p>
        </w:tc>
        <w:tc>
          <w:tcPr>
            <w:tcW w:w="695" w:type="pct"/>
          </w:tcPr>
          <w:p w:rsidR="00B066AA" w:rsidRPr="00AE1980" w:rsidRDefault="00B066AA" w:rsidP="00C12DD4">
            <w:pPr>
              <w:tabs>
                <w:tab w:val="decimal" w:pos="516"/>
              </w:tabs>
              <w:spacing w:before="20" w:after="20" w:line="240" w:lineRule="auto"/>
            </w:pPr>
            <w:r w:rsidRPr="00AE1980">
              <w:t>1,6</w:t>
            </w:r>
          </w:p>
        </w:tc>
      </w:tr>
      <w:tr w:rsidR="00AE1980" w:rsidRPr="00AE1980" w:rsidTr="00C03686">
        <w:trPr>
          <w:cnfStyle w:val="000000100000" w:firstRow="0" w:lastRow="0" w:firstColumn="0" w:lastColumn="0" w:oddVBand="0" w:evenVBand="0" w:oddHBand="1" w:evenHBand="0" w:firstRowFirstColumn="0" w:firstRowLastColumn="0" w:lastRowFirstColumn="0" w:lastRowLastColumn="0"/>
        </w:trPr>
        <w:tc>
          <w:tcPr>
            <w:tcW w:w="1529" w:type="pct"/>
          </w:tcPr>
          <w:p w:rsidR="00B066AA" w:rsidRPr="00AE1980" w:rsidRDefault="00B066AA" w:rsidP="00C12DD4">
            <w:pPr>
              <w:spacing w:before="20" w:after="20" w:line="240" w:lineRule="auto"/>
              <w:ind w:right="-57"/>
            </w:pPr>
            <w:r w:rsidRPr="00AE1980">
              <w:t>Būvniecība</w:t>
            </w:r>
          </w:p>
        </w:tc>
        <w:tc>
          <w:tcPr>
            <w:tcW w:w="690" w:type="pct"/>
          </w:tcPr>
          <w:p w:rsidR="00B066AA" w:rsidRPr="00AE1980" w:rsidRDefault="00B066AA" w:rsidP="00C12DD4">
            <w:pPr>
              <w:tabs>
                <w:tab w:val="decimal" w:pos="516"/>
              </w:tabs>
              <w:spacing w:before="20" w:after="20" w:line="240" w:lineRule="auto"/>
            </w:pPr>
            <w:r w:rsidRPr="00AE1980">
              <w:t>20,3</w:t>
            </w:r>
          </w:p>
        </w:tc>
        <w:tc>
          <w:tcPr>
            <w:tcW w:w="696" w:type="pct"/>
          </w:tcPr>
          <w:p w:rsidR="00B066AA" w:rsidRPr="00AE1980" w:rsidRDefault="00B066AA" w:rsidP="00C12DD4">
            <w:pPr>
              <w:tabs>
                <w:tab w:val="decimal" w:pos="516"/>
              </w:tabs>
              <w:spacing w:before="20" w:after="20" w:line="240" w:lineRule="auto"/>
            </w:pPr>
            <w:r w:rsidRPr="00AE1980">
              <w:t>-23,3</w:t>
            </w:r>
          </w:p>
        </w:tc>
        <w:tc>
          <w:tcPr>
            <w:tcW w:w="696" w:type="pct"/>
          </w:tcPr>
          <w:p w:rsidR="00B066AA" w:rsidRPr="00AE1980" w:rsidRDefault="00B066AA" w:rsidP="00C12DD4">
            <w:pPr>
              <w:tabs>
                <w:tab w:val="decimal" w:pos="516"/>
              </w:tabs>
              <w:spacing w:before="20" w:after="20" w:line="240" w:lineRule="auto"/>
            </w:pPr>
            <w:r w:rsidRPr="00AE1980">
              <w:t>11,9</w:t>
            </w:r>
          </w:p>
        </w:tc>
        <w:tc>
          <w:tcPr>
            <w:tcW w:w="695" w:type="pct"/>
          </w:tcPr>
          <w:p w:rsidR="00B066AA" w:rsidRPr="00AE1980" w:rsidRDefault="00B066AA" w:rsidP="00C12DD4">
            <w:pPr>
              <w:tabs>
                <w:tab w:val="decimal" w:pos="516"/>
              </w:tabs>
              <w:spacing w:before="20" w:after="20" w:line="240" w:lineRule="auto"/>
            </w:pPr>
            <w:r w:rsidRPr="00AE1980">
              <w:t>14,6</w:t>
            </w:r>
          </w:p>
        </w:tc>
        <w:tc>
          <w:tcPr>
            <w:tcW w:w="695" w:type="pct"/>
          </w:tcPr>
          <w:p w:rsidR="00B066AA" w:rsidRPr="00AE1980" w:rsidRDefault="00B066AA" w:rsidP="00C12DD4">
            <w:pPr>
              <w:tabs>
                <w:tab w:val="decimal" w:pos="516"/>
              </w:tabs>
              <w:spacing w:before="20" w:after="20" w:line="240" w:lineRule="auto"/>
            </w:pPr>
            <w:r w:rsidRPr="00AE1980">
              <w:t>-42,1</w:t>
            </w:r>
          </w:p>
        </w:tc>
      </w:tr>
      <w:tr w:rsidR="00B066AA" w:rsidRPr="00AE1980" w:rsidTr="00C03686">
        <w:tc>
          <w:tcPr>
            <w:tcW w:w="1529" w:type="pct"/>
          </w:tcPr>
          <w:p w:rsidR="00B066AA" w:rsidRPr="00AE1980" w:rsidRDefault="00B066AA" w:rsidP="00C12DD4">
            <w:pPr>
              <w:spacing w:before="20" w:after="20" w:line="240" w:lineRule="auto"/>
              <w:ind w:right="-57"/>
            </w:pPr>
            <w:r w:rsidRPr="00AE1980">
              <w:t>Tirdzniecība</w:t>
            </w:r>
          </w:p>
        </w:tc>
        <w:tc>
          <w:tcPr>
            <w:tcW w:w="690" w:type="pct"/>
          </w:tcPr>
          <w:p w:rsidR="00B066AA" w:rsidRPr="00AE1980" w:rsidRDefault="00B066AA" w:rsidP="00C12DD4">
            <w:pPr>
              <w:tabs>
                <w:tab w:val="decimal" w:pos="516"/>
              </w:tabs>
              <w:spacing w:before="20" w:after="20" w:line="240" w:lineRule="auto"/>
            </w:pPr>
            <w:r w:rsidRPr="00AE1980">
              <w:t>15,7</w:t>
            </w:r>
          </w:p>
        </w:tc>
        <w:tc>
          <w:tcPr>
            <w:tcW w:w="696" w:type="pct"/>
          </w:tcPr>
          <w:p w:rsidR="00B066AA" w:rsidRPr="00AE1980" w:rsidRDefault="00B066AA" w:rsidP="00C12DD4">
            <w:pPr>
              <w:tabs>
                <w:tab w:val="decimal" w:pos="516"/>
              </w:tabs>
              <w:spacing w:before="20" w:after="20" w:line="240" w:lineRule="auto"/>
            </w:pPr>
            <w:r w:rsidRPr="00AE1980">
              <w:t>-11,3</w:t>
            </w:r>
          </w:p>
        </w:tc>
        <w:tc>
          <w:tcPr>
            <w:tcW w:w="696" w:type="pct"/>
          </w:tcPr>
          <w:p w:rsidR="00B066AA" w:rsidRPr="00AE1980" w:rsidRDefault="00B066AA" w:rsidP="00C12DD4">
            <w:pPr>
              <w:tabs>
                <w:tab w:val="decimal" w:pos="516"/>
              </w:tabs>
              <w:spacing w:before="20" w:after="20" w:line="240" w:lineRule="auto"/>
            </w:pPr>
            <w:r w:rsidRPr="00AE1980">
              <w:t>9,5</w:t>
            </w:r>
          </w:p>
        </w:tc>
        <w:tc>
          <w:tcPr>
            <w:tcW w:w="695" w:type="pct"/>
          </w:tcPr>
          <w:p w:rsidR="00B066AA" w:rsidRPr="00AE1980" w:rsidRDefault="00B066AA" w:rsidP="00C12DD4">
            <w:pPr>
              <w:tabs>
                <w:tab w:val="decimal" w:pos="516"/>
              </w:tabs>
              <w:spacing w:before="20" w:after="20" w:line="240" w:lineRule="auto"/>
            </w:pPr>
            <w:r w:rsidRPr="00AE1980">
              <w:t>7,3</w:t>
            </w:r>
          </w:p>
        </w:tc>
        <w:tc>
          <w:tcPr>
            <w:tcW w:w="695" w:type="pct"/>
          </w:tcPr>
          <w:p w:rsidR="00B066AA" w:rsidRPr="00AE1980" w:rsidRDefault="00B066AA" w:rsidP="00C12DD4">
            <w:pPr>
              <w:tabs>
                <w:tab w:val="decimal" w:pos="516"/>
              </w:tabs>
              <w:spacing w:before="20" w:after="20" w:line="240" w:lineRule="auto"/>
            </w:pPr>
            <w:r w:rsidRPr="00AE1980">
              <w:t>-18,1</w:t>
            </w:r>
          </w:p>
        </w:tc>
      </w:tr>
      <w:tr w:rsidR="00AE1980" w:rsidRPr="00AE1980" w:rsidTr="00C03686">
        <w:trPr>
          <w:cnfStyle w:val="000000100000" w:firstRow="0" w:lastRow="0" w:firstColumn="0" w:lastColumn="0" w:oddVBand="0" w:evenVBand="0" w:oddHBand="1" w:evenHBand="0" w:firstRowFirstColumn="0" w:firstRowLastColumn="0" w:lastRowFirstColumn="0" w:lastRowLastColumn="0"/>
        </w:trPr>
        <w:tc>
          <w:tcPr>
            <w:tcW w:w="1529" w:type="pct"/>
          </w:tcPr>
          <w:p w:rsidR="00B066AA" w:rsidRPr="00AE1980" w:rsidRDefault="00B066AA" w:rsidP="00C12DD4">
            <w:pPr>
              <w:spacing w:before="20" w:after="20" w:line="240" w:lineRule="auto"/>
              <w:ind w:right="-57"/>
            </w:pPr>
            <w:r w:rsidRPr="00AE1980">
              <w:t>Transports un uzglabāšana</w:t>
            </w:r>
          </w:p>
        </w:tc>
        <w:tc>
          <w:tcPr>
            <w:tcW w:w="690" w:type="pct"/>
          </w:tcPr>
          <w:p w:rsidR="00B066AA" w:rsidRPr="00AE1980" w:rsidRDefault="00B066AA" w:rsidP="00C12DD4">
            <w:pPr>
              <w:tabs>
                <w:tab w:val="decimal" w:pos="516"/>
              </w:tabs>
              <w:spacing w:before="20" w:after="20" w:line="240" w:lineRule="auto"/>
            </w:pPr>
            <w:r w:rsidRPr="00AE1980">
              <w:t>10,1</w:t>
            </w:r>
          </w:p>
        </w:tc>
        <w:tc>
          <w:tcPr>
            <w:tcW w:w="696" w:type="pct"/>
          </w:tcPr>
          <w:p w:rsidR="00B066AA" w:rsidRPr="00AE1980" w:rsidRDefault="00B066AA" w:rsidP="00C12DD4">
            <w:pPr>
              <w:tabs>
                <w:tab w:val="decimal" w:pos="516"/>
              </w:tabs>
              <w:spacing w:before="20" w:after="20" w:line="240" w:lineRule="auto"/>
            </w:pPr>
            <w:r w:rsidRPr="00AE1980">
              <w:t>-0,3</w:t>
            </w:r>
          </w:p>
        </w:tc>
        <w:tc>
          <w:tcPr>
            <w:tcW w:w="696" w:type="pct"/>
          </w:tcPr>
          <w:p w:rsidR="00B066AA" w:rsidRPr="00AE1980" w:rsidRDefault="00B066AA" w:rsidP="00C12DD4">
            <w:pPr>
              <w:tabs>
                <w:tab w:val="decimal" w:pos="516"/>
              </w:tabs>
              <w:spacing w:before="20" w:after="20" w:line="240" w:lineRule="auto"/>
            </w:pPr>
            <w:r w:rsidRPr="00AE1980">
              <w:t>8,1</w:t>
            </w:r>
          </w:p>
        </w:tc>
        <w:tc>
          <w:tcPr>
            <w:tcW w:w="695" w:type="pct"/>
          </w:tcPr>
          <w:p w:rsidR="00B066AA" w:rsidRPr="00AE1980" w:rsidRDefault="00B066AA" w:rsidP="00C12DD4">
            <w:pPr>
              <w:tabs>
                <w:tab w:val="decimal" w:pos="516"/>
              </w:tabs>
              <w:spacing w:before="20" w:after="20" w:line="240" w:lineRule="auto"/>
            </w:pPr>
            <w:r w:rsidRPr="00AE1980">
              <w:t>4,0</w:t>
            </w:r>
          </w:p>
        </w:tc>
        <w:tc>
          <w:tcPr>
            <w:tcW w:w="695" w:type="pct"/>
          </w:tcPr>
          <w:p w:rsidR="00B066AA" w:rsidRPr="00AE1980" w:rsidRDefault="00B066AA" w:rsidP="00C12DD4">
            <w:pPr>
              <w:tabs>
                <w:tab w:val="decimal" w:pos="516"/>
              </w:tabs>
              <w:spacing w:before="20" w:after="20" w:line="240" w:lineRule="auto"/>
            </w:pPr>
            <w:r w:rsidRPr="00AE1980">
              <w:t>11,3</w:t>
            </w:r>
          </w:p>
        </w:tc>
      </w:tr>
      <w:tr w:rsidR="00B066AA" w:rsidRPr="00AE1980" w:rsidTr="00C03686">
        <w:tc>
          <w:tcPr>
            <w:tcW w:w="1529" w:type="pct"/>
          </w:tcPr>
          <w:p w:rsidR="00B066AA" w:rsidRPr="00AE1980" w:rsidRDefault="00B066AA" w:rsidP="00C12DD4">
            <w:pPr>
              <w:spacing w:before="20" w:after="20" w:line="240" w:lineRule="auto"/>
              <w:ind w:right="-57"/>
            </w:pPr>
            <w:r w:rsidRPr="00AE1980">
              <w:t>Citi komercpakalpojumi</w:t>
            </w:r>
          </w:p>
        </w:tc>
        <w:tc>
          <w:tcPr>
            <w:tcW w:w="690" w:type="pct"/>
          </w:tcPr>
          <w:p w:rsidR="00B066AA" w:rsidRPr="00AE1980" w:rsidRDefault="00B066AA" w:rsidP="00C12DD4">
            <w:pPr>
              <w:tabs>
                <w:tab w:val="decimal" w:pos="516"/>
              </w:tabs>
              <w:spacing w:before="20" w:after="20" w:line="240" w:lineRule="auto"/>
            </w:pPr>
            <w:r w:rsidRPr="00AE1980">
              <w:t>9,8</w:t>
            </w:r>
          </w:p>
        </w:tc>
        <w:tc>
          <w:tcPr>
            <w:tcW w:w="696" w:type="pct"/>
          </w:tcPr>
          <w:p w:rsidR="00B066AA" w:rsidRPr="00AE1980" w:rsidRDefault="00B066AA" w:rsidP="00C12DD4">
            <w:pPr>
              <w:tabs>
                <w:tab w:val="decimal" w:pos="516"/>
              </w:tabs>
              <w:spacing w:before="20" w:after="20" w:line="240" w:lineRule="auto"/>
            </w:pPr>
            <w:r w:rsidRPr="00AE1980">
              <w:t>-2,7</w:t>
            </w:r>
          </w:p>
        </w:tc>
        <w:tc>
          <w:tcPr>
            <w:tcW w:w="696" w:type="pct"/>
          </w:tcPr>
          <w:p w:rsidR="00B066AA" w:rsidRPr="00AE1980" w:rsidRDefault="00B066AA" w:rsidP="00C12DD4">
            <w:pPr>
              <w:tabs>
                <w:tab w:val="decimal" w:pos="516"/>
              </w:tabs>
              <w:spacing w:before="20" w:after="20" w:line="240" w:lineRule="auto"/>
            </w:pPr>
            <w:r w:rsidRPr="00AE1980">
              <w:t>1,2</w:t>
            </w:r>
          </w:p>
        </w:tc>
        <w:tc>
          <w:tcPr>
            <w:tcW w:w="695" w:type="pct"/>
          </w:tcPr>
          <w:p w:rsidR="00B066AA" w:rsidRPr="00AE1980" w:rsidRDefault="00B066AA" w:rsidP="00C12DD4">
            <w:pPr>
              <w:tabs>
                <w:tab w:val="decimal" w:pos="516"/>
              </w:tabs>
              <w:spacing w:before="20" w:after="20" w:line="240" w:lineRule="auto"/>
            </w:pPr>
            <w:r w:rsidRPr="00AE1980">
              <w:t>3,4</w:t>
            </w:r>
          </w:p>
        </w:tc>
        <w:tc>
          <w:tcPr>
            <w:tcW w:w="695" w:type="pct"/>
          </w:tcPr>
          <w:p w:rsidR="00B066AA" w:rsidRPr="00AE1980" w:rsidRDefault="00B066AA" w:rsidP="00C12DD4">
            <w:pPr>
              <w:tabs>
                <w:tab w:val="decimal" w:pos="516"/>
              </w:tabs>
              <w:spacing w:before="20" w:after="20" w:line="240" w:lineRule="auto"/>
            </w:pPr>
            <w:r w:rsidRPr="00AE1980">
              <w:t>-3,6</w:t>
            </w:r>
          </w:p>
        </w:tc>
      </w:tr>
      <w:tr w:rsidR="00AE1980" w:rsidRPr="00AE1980" w:rsidTr="00C03686">
        <w:trPr>
          <w:cnfStyle w:val="000000100000" w:firstRow="0" w:lastRow="0" w:firstColumn="0" w:lastColumn="0" w:oddVBand="0" w:evenVBand="0" w:oddHBand="1" w:evenHBand="0" w:firstRowFirstColumn="0" w:firstRowLastColumn="0" w:lastRowFirstColumn="0" w:lastRowLastColumn="0"/>
        </w:trPr>
        <w:tc>
          <w:tcPr>
            <w:tcW w:w="1529" w:type="pct"/>
          </w:tcPr>
          <w:p w:rsidR="00B066AA" w:rsidRPr="00AE1980" w:rsidRDefault="00B066AA" w:rsidP="00C12DD4">
            <w:pPr>
              <w:spacing w:before="20" w:after="20" w:line="240" w:lineRule="auto"/>
              <w:ind w:right="-57"/>
            </w:pPr>
            <w:r w:rsidRPr="00AE1980">
              <w:t>Sabiedriskie pakalpojumi</w:t>
            </w:r>
          </w:p>
        </w:tc>
        <w:tc>
          <w:tcPr>
            <w:tcW w:w="690" w:type="pct"/>
          </w:tcPr>
          <w:p w:rsidR="00B066AA" w:rsidRPr="00AE1980" w:rsidRDefault="00B066AA" w:rsidP="00C12DD4">
            <w:pPr>
              <w:tabs>
                <w:tab w:val="decimal" w:pos="516"/>
              </w:tabs>
              <w:spacing w:before="20" w:after="20" w:line="240" w:lineRule="auto"/>
            </w:pPr>
            <w:r w:rsidRPr="00AE1980">
              <w:t>3,5</w:t>
            </w:r>
          </w:p>
        </w:tc>
        <w:tc>
          <w:tcPr>
            <w:tcW w:w="696" w:type="pct"/>
          </w:tcPr>
          <w:p w:rsidR="00B066AA" w:rsidRPr="00AE1980" w:rsidRDefault="00B066AA" w:rsidP="00C12DD4">
            <w:pPr>
              <w:tabs>
                <w:tab w:val="decimal" w:pos="516"/>
              </w:tabs>
              <w:spacing w:before="20" w:after="20" w:line="240" w:lineRule="auto"/>
            </w:pPr>
            <w:r w:rsidRPr="00AE1980">
              <w:t>-5,9</w:t>
            </w:r>
          </w:p>
        </w:tc>
        <w:tc>
          <w:tcPr>
            <w:tcW w:w="696" w:type="pct"/>
          </w:tcPr>
          <w:p w:rsidR="00B066AA" w:rsidRPr="00AE1980" w:rsidRDefault="00B066AA" w:rsidP="00C12DD4">
            <w:pPr>
              <w:tabs>
                <w:tab w:val="decimal" w:pos="516"/>
              </w:tabs>
              <w:spacing w:before="20" w:after="20" w:line="240" w:lineRule="auto"/>
            </w:pPr>
            <w:r w:rsidRPr="00AE1980">
              <w:t>0,6</w:t>
            </w:r>
          </w:p>
        </w:tc>
        <w:tc>
          <w:tcPr>
            <w:tcW w:w="695" w:type="pct"/>
          </w:tcPr>
          <w:p w:rsidR="00B066AA" w:rsidRPr="00AE1980" w:rsidRDefault="00B066AA" w:rsidP="00C12DD4">
            <w:pPr>
              <w:tabs>
                <w:tab w:val="decimal" w:pos="516"/>
              </w:tabs>
              <w:spacing w:before="20" w:after="20" w:line="240" w:lineRule="auto"/>
            </w:pPr>
            <w:r w:rsidRPr="00AE1980">
              <w:t>-0,6</w:t>
            </w:r>
          </w:p>
        </w:tc>
        <w:tc>
          <w:tcPr>
            <w:tcW w:w="695" w:type="pct"/>
          </w:tcPr>
          <w:p w:rsidR="00B066AA" w:rsidRPr="00AE1980" w:rsidRDefault="00B066AA" w:rsidP="00C12DD4">
            <w:pPr>
              <w:tabs>
                <w:tab w:val="decimal" w:pos="516"/>
              </w:tabs>
              <w:spacing w:before="20" w:after="20" w:line="240" w:lineRule="auto"/>
            </w:pPr>
            <w:r w:rsidRPr="00AE1980">
              <w:t>-16,8</w:t>
            </w:r>
          </w:p>
        </w:tc>
      </w:tr>
      <w:tr w:rsidR="00B066AA" w:rsidRPr="00AE1980" w:rsidTr="00C03686">
        <w:tc>
          <w:tcPr>
            <w:tcW w:w="1529" w:type="pct"/>
          </w:tcPr>
          <w:p w:rsidR="00B066AA" w:rsidRPr="00AE1980" w:rsidRDefault="00B066AA" w:rsidP="00C12DD4">
            <w:pPr>
              <w:spacing w:before="20" w:after="20" w:line="240" w:lineRule="auto"/>
              <w:ind w:right="-57"/>
              <w:rPr>
                <w:b/>
              </w:rPr>
            </w:pPr>
            <w:r w:rsidRPr="00AE1980">
              <w:rPr>
                <w:b/>
              </w:rPr>
              <w:t>IKP</w:t>
            </w:r>
          </w:p>
        </w:tc>
        <w:tc>
          <w:tcPr>
            <w:tcW w:w="690" w:type="pct"/>
          </w:tcPr>
          <w:p w:rsidR="00B066AA" w:rsidRPr="00AE1980" w:rsidRDefault="00B066AA" w:rsidP="00C12DD4">
            <w:pPr>
              <w:tabs>
                <w:tab w:val="decimal" w:pos="516"/>
              </w:tabs>
              <w:spacing w:before="20" w:after="20" w:line="240" w:lineRule="auto"/>
              <w:rPr>
                <w:b/>
              </w:rPr>
            </w:pPr>
            <w:r w:rsidRPr="00AE1980">
              <w:rPr>
                <w:b/>
              </w:rPr>
              <w:t>10,3</w:t>
            </w:r>
          </w:p>
        </w:tc>
        <w:tc>
          <w:tcPr>
            <w:tcW w:w="696" w:type="pct"/>
          </w:tcPr>
          <w:p w:rsidR="00B066AA" w:rsidRPr="00AE1980" w:rsidRDefault="00B066AA" w:rsidP="00C12DD4">
            <w:pPr>
              <w:tabs>
                <w:tab w:val="decimal" w:pos="516"/>
              </w:tabs>
              <w:spacing w:before="20" w:after="20" w:line="240" w:lineRule="auto"/>
              <w:rPr>
                <w:b/>
              </w:rPr>
            </w:pPr>
            <w:r w:rsidRPr="00AE1980">
              <w:rPr>
                <w:b/>
              </w:rPr>
              <w:t>-7,6</w:t>
            </w:r>
          </w:p>
        </w:tc>
        <w:tc>
          <w:tcPr>
            <w:tcW w:w="696" w:type="pct"/>
          </w:tcPr>
          <w:p w:rsidR="00B066AA" w:rsidRPr="00AE1980" w:rsidRDefault="00B066AA" w:rsidP="00C12DD4">
            <w:pPr>
              <w:tabs>
                <w:tab w:val="decimal" w:pos="516"/>
              </w:tabs>
              <w:spacing w:before="20" w:after="20" w:line="240" w:lineRule="auto"/>
              <w:rPr>
                <w:b/>
              </w:rPr>
            </w:pPr>
            <w:r w:rsidRPr="00AE1980">
              <w:rPr>
                <w:b/>
              </w:rPr>
              <w:t>5,5</w:t>
            </w:r>
          </w:p>
        </w:tc>
        <w:tc>
          <w:tcPr>
            <w:tcW w:w="695" w:type="pct"/>
          </w:tcPr>
          <w:p w:rsidR="00B066AA" w:rsidRPr="00AE1980" w:rsidRDefault="00B066AA" w:rsidP="00C12DD4">
            <w:pPr>
              <w:tabs>
                <w:tab w:val="decimal" w:pos="516"/>
              </w:tabs>
              <w:spacing w:before="20" w:after="20" w:line="240" w:lineRule="auto"/>
              <w:rPr>
                <w:b/>
              </w:rPr>
            </w:pPr>
            <w:r w:rsidRPr="00AE1980">
              <w:rPr>
                <w:b/>
              </w:rPr>
              <w:t>5,6</w:t>
            </w:r>
          </w:p>
        </w:tc>
        <w:tc>
          <w:tcPr>
            <w:tcW w:w="695" w:type="pct"/>
          </w:tcPr>
          <w:p w:rsidR="00B066AA" w:rsidRPr="00AE1980" w:rsidRDefault="00B066AA" w:rsidP="00C12DD4">
            <w:pPr>
              <w:tabs>
                <w:tab w:val="decimal" w:pos="516"/>
              </w:tabs>
              <w:spacing w:before="20" w:after="20" w:line="240" w:lineRule="auto"/>
              <w:rPr>
                <w:b/>
              </w:rPr>
            </w:pPr>
            <w:r w:rsidRPr="00AE1980">
              <w:rPr>
                <w:b/>
              </w:rPr>
              <w:t>-12,2</w:t>
            </w:r>
          </w:p>
        </w:tc>
      </w:tr>
    </w:tbl>
    <w:p w:rsidR="00EB30C9" w:rsidRPr="00EB30C9" w:rsidRDefault="00EB30C9" w:rsidP="0077399B">
      <w:pPr>
        <w:spacing w:after="0" w:line="240" w:lineRule="auto"/>
        <w:rPr>
          <w:spacing w:val="-2"/>
          <w:sz w:val="8"/>
          <w:szCs w:val="20"/>
        </w:rPr>
      </w:pPr>
    </w:p>
    <w:p w:rsidR="00687CB9" w:rsidRPr="00EB30C9" w:rsidRDefault="00FE51FD" w:rsidP="0077399B">
      <w:pPr>
        <w:spacing w:after="0" w:line="240" w:lineRule="auto"/>
        <w:rPr>
          <w:spacing w:val="-2"/>
          <w:szCs w:val="20"/>
        </w:rPr>
      </w:pPr>
      <w:r w:rsidRPr="00EB30C9">
        <w:rPr>
          <w:spacing w:val="-2"/>
          <w:szCs w:val="20"/>
        </w:rPr>
        <w:t>Avots: CSP</w:t>
      </w:r>
    </w:p>
    <w:p w:rsidR="00687CB9" w:rsidRPr="002F6F95" w:rsidRDefault="00687CB9" w:rsidP="0077399B">
      <w:pPr>
        <w:spacing w:after="0" w:line="240" w:lineRule="auto"/>
        <w:ind w:firstLine="426"/>
        <w:jc w:val="both"/>
        <w:rPr>
          <w:sz w:val="26"/>
          <w:szCs w:val="26"/>
        </w:rPr>
      </w:pPr>
      <w:bookmarkStart w:id="8" w:name="_Toc293074218"/>
    </w:p>
    <w:p w:rsidR="00687CB9" w:rsidRDefault="00AE1980" w:rsidP="0077399B">
      <w:pPr>
        <w:spacing w:after="0" w:line="240" w:lineRule="auto"/>
        <w:ind w:firstLine="426"/>
        <w:jc w:val="both"/>
        <w:rPr>
          <w:sz w:val="26"/>
          <w:szCs w:val="26"/>
        </w:rPr>
      </w:pPr>
      <w:r w:rsidRPr="00F765B2">
        <w:rPr>
          <w:sz w:val="26"/>
          <w:szCs w:val="26"/>
        </w:rPr>
        <w:t xml:space="preserve">Kopējo ienākumu pieaugums no eksporta pakāpeniski ir veicinājis arī iekšzemes pieprasījuma pieaugumu un līdz ar to arī vairāk ar iekšējo tirgu saistīto </w:t>
      </w:r>
      <w:r w:rsidRPr="00F765B2">
        <w:rPr>
          <w:sz w:val="26"/>
          <w:szCs w:val="26"/>
        </w:rPr>
        <w:lastRenderedPageBreak/>
        <w:t>tautsaimniecības nozaru attīstību.</w:t>
      </w:r>
      <w:r>
        <w:rPr>
          <w:sz w:val="26"/>
          <w:szCs w:val="26"/>
        </w:rPr>
        <w:t xml:space="preserve"> </w:t>
      </w:r>
      <w:r w:rsidRPr="00F765B2">
        <w:rPr>
          <w:sz w:val="26"/>
          <w:szCs w:val="26"/>
        </w:rPr>
        <w:t>2012.gadā, salīdzinot ar 2011.gadu, tirdzniecības nozarē sniegto pakalpojumu apjomi pieauga par 7%. Ņemot vērā nozares lielo īpatsvaru tautsaimniecībā, apjomu pieaugums tirdzniecībā 2012.gadā nodrošināja vairāk nekā ¼ daļu no visas tautsaimniecības izaugsmes.</w:t>
      </w:r>
      <w:r>
        <w:rPr>
          <w:sz w:val="26"/>
          <w:szCs w:val="26"/>
        </w:rPr>
        <w:t xml:space="preserve"> </w:t>
      </w:r>
      <w:r w:rsidRPr="00FD6B95">
        <w:rPr>
          <w:sz w:val="26"/>
          <w:szCs w:val="26"/>
        </w:rPr>
        <w:t>2012. gadā mērena izaugsme</w:t>
      </w:r>
      <w:r>
        <w:rPr>
          <w:sz w:val="26"/>
          <w:szCs w:val="26"/>
        </w:rPr>
        <w:t xml:space="preserve"> bija </w:t>
      </w:r>
      <w:r w:rsidRPr="00FD6B95">
        <w:rPr>
          <w:sz w:val="26"/>
          <w:szCs w:val="26"/>
        </w:rPr>
        <w:t>vērojama komercpakalpoj</w:t>
      </w:r>
      <w:r>
        <w:rPr>
          <w:sz w:val="26"/>
          <w:szCs w:val="26"/>
        </w:rPr>
        <w:t xml:space="preserve">umu nozarēs, kur sniegto </w:t>
      </w:r>
      <w:r w:rsidRPr="00FD6B95">
        <w:rPr>
          <w:sz w:val="26"/>
          <w:szCs w:val="26"/>
        </w:rPr>
        <w:t xml:space="preserve">pakalpojumu apjomi bija par </w:t>
      </w:r>
      <w:r>
        <w:rPr>
          <w:sz w:val="26"/>
          <w:szCs w:val="26"/>
        </w:rPr>
        <w:t>3</w:t>
      </w:r>
      <w:r w:rsidRPr="00FD6B95">
        <w:rPr>
          <w:sz w:val="26"/>
          <w:szCs w:val="26"/>
        </w:rPr>
        <w:t>,</w:t>
      </w:r>
      <w:r>
        <w:rPr>
          <w:sz w:val="26"/>
          <w:szCs w:val="26"/>
        </w:rPr>
        <w:t>4</w:t>
      </w:r>
      <w:r w:rsidRPr="00FD6B95">
        <w:rPr>
          <w:sz w:val="26"/>
          <w:szCs w:val="26"/>
        </w:rPr>
        <w:t xml:space="preserve">% lielāki nekā iepriekšējā gadā. Savukārt sabiedrisko pakalpojumu nozarē sniegto pakalpojumu apjomi </w:t>
      </w:r>
      <w:r>
        <w:rPr>
          <w:sz w:val="26"/>
          <w:szCs w:val="26"/>
        </w:rPr>
        <w:t>2012.gadā saruka par 0,6</w:t>
      </w:r>
      <w:r w:rsidRPr="00FD6B95">
        <w:rPr>
          <w:sz w:val="26"/>
          <w:szCs w:val="26"/>
        </w:rPr>
        <w:t>%</w:t>
      </w:r>
      <w:r>
        <w:rPr>
          <w:sz w:val="26"/>
          <w:szCs w:val="26"/>
        </w:rPr>
        <w:t>, ko ietekmēja budžeta izdevumu ierobežošana.</w:t>
      </w:r>
    </w:p>
    <w:p w:rsidR="00687CB9" w:rsidRDefault="00687CB9" w:rsidP="0077399B">
      <w:pPr>
        <w:spacing w:after="0" w:line="240" w:lineRule="auto"/>
        <w:jc w:val="both"/>
        <w:rPr>
          <w:sz w:val="26"/>
          <w:szCs w:val="26"/>
        </w:rPr>
      </w:pPr>
    </w:p>
    <w:p w:rsidR="00687CB9" w:rsidRDefault="00826C45" w:rsidP="0077399B">
      <w:pPr>
        <w:pStyle w:val="Heading2"/>
        <w:pBdr>
          <w:bottom w:val="thinThickSmallGap" w:sz="18" w:space="1" w:color="8064A2" w:themeColor="accent4"/>
        </w:pBdr>
        <w:spacing w:before="0" w:after="0" w:line="240" w:lineRule="auto"/>
        <w:rPr>
          <w:szCs w:val="28"/>
        </w:rPr>
      </w:pPr>
      <w:bookmarkStart w:id="9" w:name="_Toc357503111"/>
      <w:r w:rsidRPr="00CD7B6E">
        <w:rPr>
          <w:szCs w:val="28"/>
        </w:rPr>
        <w:t>1.2. Nodarbinātības un bezdarba vispārīgs raksturojums</w:t>
      </w:r>
      <w:bookmarkEnd w:id="8"/>
      <w:bookmarkEnd w:id="9"/>
    </w:p>
    <w:p w:rsidR="00687CB9" w:rsidRDefault="00687CB9" w:rsidP="0077399B">
      <w:pPr>
        <w:spacing w:after="0" w:line="240" w:lineRule="auto"/>
        <w:jc w:val="both"/>
        <w:rPr>
          <w:rFonts w:eastAsia="Times New Roman"/>
          <w:color w:val="000000"/>
          <w:sz w:val="26"/>
          <w:szCs w:val="26"/>
        </w:rPr>
      </w:pPr>
    </w:p>
    <w:p w:rsidR="00687CB9" w:rsidRDefault="00826C45" w:rsidP="0077399B">
      <w:pPr>
        <w:spacing w:after="0" w:line="240" w:lineRule="auto"/>
        <w:ind w:firstLine="426"/>
        <w:jc w:val="both"/>
        <w:rPr>
          <w:sz w:val="26"/>
          <w:szCs w:val="26"/>
        </w:rPr>
      </w:pPr>
      <w:bookmarkStart w:id="10" w:name="_Toc260061442"/>
      <w:r>
        <w:rPr>
          <w:sz w:val="26"/>
          <w:szCs w:val="26"/>
        </w:rPr>
        <w:t xml:space="preserve">Pakāpeniska ekonomisko aktivitāšu palielināšanās </w:t>
      </w:r>
      <w:r w:rsidRPr="00D17DF1">
        <w:rPr>
          <w:bCs/>
          <w:sz w:val="26"/>
          <w:szCs w:val="26"/>
        </w:rPr>
        <w:t xml:space="preserve">pozitīvi ietekmē situāciju darba tirgū – pieaug nodarbinātība un </w:t>
      </w:r>
      <w:r w:rsidR="000E76F4">
        <w:rPr>
          <w:bCs/>
          <w:sz w:val="26"/>
          <w:szCs w:val="26"/>
        </w:rPr>
        <w:t>sa</w:t>
      </w:r>
      <w:r w:rsidRPr="00D17DF1">
        <w:rPr>
          <w:bCs/>
          <w:sz w:val="26"/>
          <w:szCs w:val="26"/>
        </w:rPr>
        <w:t xml:space="preserve">mazinās </w:t>
      </w:r>
      <w:r w:rsidRPr="00D17DF1">
        <w:rPr>
          <w:sz w:val="26"/>
          <w:szCs w:val="26"/>
        </w:rPr>
        <w:t xml:space="preserve">krīzes izraisītais augstais </w:t>
      </w:r>
      <w:r w:rsidRPr="00D17DF1">
        <w:rPr>
          <w:bCs/>
          <w:sz w:val="26"/>
          <w:szCs w:val="26"/>
        </w:rPr>
        <w:t>bezdarbs.</w:t>
      </w:r>
      <w:r w:rsidRPr="00EC13F5">
        <w:rPr>
          <w:sz w:val="26"/>
          <w:szCs w:val="26"/>
        </w:rPr>
        <w:t xml:space="preserve"> Tajā pašā laikā atsevišķas iedzīvotāju grupas, īpaši personas ar zemu izglītības līmeni un kvalifikāciju, gados vecāki cilvēki, kā arī jaunieši, situācijas uzlabošanos izjūt vājāk.</w:t>
      </w:r>
    </w:p>
    <w:p w:rsidR="00687CB9" w:rsidRDefault="00687CB9" w:rsidP="0077399B">
      <w:pPr>
        <w:spacing w:after="0" w:line="240" w:lineRule="auto"/>
        <w:jc w:val="right"/>
        <w:rPr>
          <w:sz w:val="26"/>
          <w:szCs w:val="26"/>
        </w:rPr>
      </w:pPr>
    </w:p>
    <w:p w:rsidR="00826C45" w:rsidRPr="00CD7B6E" w:rsidRDefault="00EB30C9" w:rsidP="0077399B">
      <w:pPr>
        <w:spacing w:after="0" w:line="240" w:lineRule="auto"/>
        <w:jc w:val="right"/>
        <w:rPr>
          <w:spacing w:val="-2"/>
          <w:sz w:val="26"/>
          <w:szCs w:val="26"/>
        </w:rPr>
      </w:pPr>
      <w:r>
        <w:rPr>
          <w:spacing w:val="-2"/>
          <w:sz w:val="26"/>
          <w:szCs w:val="26"/>
        </w:rPr>
        <w:t>1.3</w:t>
      </w:r>
      <w:r w:rsidR="00826C45" w:rsidRPr="00CD7B6E">
        <w:rPr>
          <w:spacing w:val="-2"/>
          <w:sz w:val="26"/>
          <w:szCs w:val="26"/>
        </w:rPr>
        <w:t>.</w:t>
      </w:r>
      <w:r w:rsidR="002F6F95">
        <w:rPr>
          <w:spacing w:val="-2"/>
          <w:sz w:val="26"/>
          <w:szCs w:val="26"/>
        </w:rPr>
        <w:t> </w:t>
      </w:r>
      <w:r w:rsidR="00826C45" w:rsidRPr="00CD7B6E">
        <w:rPr>
          <w:spacing w:val="-2"/>
          <w:sz w:val="26"/>
          <w:szCs w:val="26"/>
        </w:rPr>
        <w:t>attēls</w:t>
      </w:r>
    </w:p>
    <w:tbl>
      <w:tblPr>
        <w:tblW w:w="9612" w:type="dxa"/>
        <w:jc w:val="center"/>
        <w:tblLook w:val="01E0" w:firstRow="1" w:lastRow="1" w:firstColumn="1" w:lastColumn="1" w:noHBand="0" w:noVBand="0"/>
      </w:tblPr>
      <w:tblGrid>
        <w:gridCol w:w="4821"/>
        <w:gridCol w:w="4791"/>
      </w:tblGrid>
      <w:tr w:rsidR="00B63CA0" w:rsidRPr="00CD7B6E" w:rsidTr="0050064C">
        <w:trPr>
          <w:trHeight w:val="689"/>
          <w:jc w:val="center"/>
        </w:trPr>
        <w:tc>
          <w:tcPr>
            <w:tcW w:w="4821" w:type="dxa"/>
          </w:tcPr>
          <w:p w:rsidR="00687CB9" w:rsidRDefault="00B63CA0" w:rsidP="0077399B">
            <w:pPr>
              <w:spacing w:after="0" w:line="240" w:lineRule="auto"/>
              <w:jc w:val="center"/>
              <w:rPr>
                <w:b/>
                <w:spacing w:val="-2"/>
                <w:sz w:val="26"/>
                <w:szCs w:val="26"/>
              </w:rPr>
            </w:pPr>
            <w:r w:rsidRPr="00CD7B6E">
              <w:rPr>
                <w:b/>
                <w:spacing w:val="-2"/>
                <w:sz w:val="26"/>
                <w:szCs w:val="26"/>
              </w:rPr>
              <w:t>Nodarbināto skaita izmaiņas</w:t>
            </w:r>
            <w:r w:rsidR="00FD018C">
              <w:rPr>
                <w:b/>
                <w:spacing w:val="-2"/>
                <w:sz w:val="26"/>
                <w:szCs w:val="26"/>
              </w:rPr>
              <w:t>*</w:t>
            </w:r>
          </w:p>
          <w:p w:rsidR="00F537B5" w:rsidRPr="00CD7B6E" w:rsidRDefault="00F537B5" w:rsidP="0077399B">
            <w:pPr>
              <w:spacing w:after="0" w:line="240" w:lineRule="auto"/>
              <w:jc w:val="center"/>
              <w:rPr>
                <w:rFonts w:eastAsia="Times New Roman"/>
                <w:szCs w:val="20"/>
                <w:lang w:eastAsia="lv-LV"/>
              </w:rPr>
            </w:pPr>
            <w:r w:rsidRPr="00CD7B6E">
              <w:rPr>
                <w:rFonts w:eastAsia="Times New Roman"/>
                <w:bCs/>
                <w:color w:val="000000"/>
                <w:sz w:val="20"/>
              </w:rPr>
              <w:t>15-74</w:t>
            </w:r>
            <w:r w:rsidR="000E76F4">
              <w:rPr>
                <w:rFonts w:eastAsia="Times New Roman"/>
                <w:color w:val="000000"/>
                <w:sz w:val="20"/>
              </w:rPr>
              <w:t xml:space="preserve"> gadu vecuma grupā, </w:t>
            </w:r>
            <w:proofErr w:type="spellStart"/>
            <w:r w:rsidR="000E76F4">
              <w:rPr>
                <w:rFonts w:eastAsia="Times New Roman"/>
                <w:color w:val="000000"/>
                <w:sz w:val="20"/>
              </w:rPr>
              <w:t>tūkst</w:t>
            </w:r>
            <w:proofErr w:type="spellEnd"/>
            <w:r w:rsidR="000E76F4">
              <w:rPr>
                <w:rFonts w:eastAsia="Times New Roman"/>
                <w:color w:val="000000"/>
                <w:sz w:val="20"/>
              </w:rPr>
              <w:t>.</w:t>
            </w:r>
          </w:p>
        </w:tc>
        <w:tc>
          <w:tcPr>
            <w:tcW w:w="4791" w:type="dxa"/>
          </w:tcPr>
          <w:p w:rsidR="00687CB9" w:rsidRDefault="00B63CA0" w:rsidP="0077399B">
            <w:pPr>
              <w:tabs>
                <w:tab w:val="center" w:pos="2415"/>
              </w:tabs>
              <w:spacing w:after="0" w:line="240" w:lineRule="auto"/>
              <w:jc w:val="center"/>
              <w:rPr>
                <w:b/>
                <w:spacing w:val="-2"/>
                <w:sz w:val="26"/>
                <w:szCs w:val="26"/>
              </w:rPr>
            </w:pPr>
            <w:r>
              <w:rPr>
                <w:b/>
                <w:spacing w:val="-2"/>
                <w:sz w:val="26"/>
                <w:szCs w:val="26"/>
              </w:rPr>
              <w:t>B</w:t>
            </w:r>
            <w:r w:rsidRPr="00CD7B6E">
              <w:rPr>
                <w:b/>
                <w:spacing w:val="-2"/>
                <w:sz w:val="26"/>
                <w:szCs w:val="26"/>
              </w:rPr>
              <w:t>ezdarb</w:t>
            </w:r>
            <w:r>
              <w:rPr>
                <w:b/>
                <w:spacing w:val="-2"/>
                <w:sz w:val="26"/>
                <w:szCs w:val="26"/>
              </w:rPr>
              <w:t>a līmenis</w:t>
            </w:r>
            <w:r w:rsidR="00FD018C">
              <w:rPr>
                <w:b/>
                <w:spacing w:val="-2"/>
                <w:sz w:val="26"/>
                <w:szCs w:val="26"/>
              </w:rPr>
              <w:t>*</w:t>
            </w:r>
          </w:p>
          <w:p w:rsidR="00B63CA0" w:rsidRPr="00CD7B6E" w:rsidRDefault="00F537B5" w:rsidP="0077399B">
            <w:pPr>
              <w:spacing w:after="0" w:line="240" w:lineRule="auto"/>
              <w:jc w:val="center"/>
              <w:rPr>
                <w:rFonts w:eastAsia="Times New Roman"/>
                <w:szCs w:val="20"/>
                <w:lang w:eastAsia="lv-LV"/>
              </w:rPr>
            </w:pPr>
            <w:r w:rsidRPr="00CD7B6E">
              <w:rPr>
                <w:rFonts w:eastAsia="Times New Roman"/>
                <w:color w:val="000000"/>
                <w:sz w:val="20"/>
              </w:rPr>
              <w:t xml:space="preserve">darba meklētāju īpatsvars ekonomiski aktīvo iedzīvotāju skaitā </w:t>
            </w:r>
            <w:r w:rsidRPr="00CD7B6E">
              <w:rPr>
                <w:rFonts w:eastAsia="Times New Roman"/>
                <w:bCs/>
                <w:color w:val="000000"/>
                <w:sz w:val="20"/>
              </w:rPr>
              <w:t>15-74</w:t>
            </w:r>
            <w:r w:rsidRPr="00CD7B6E">
              <w:rPr>
                <w:rFonts w:eastAsia="Times New Roman"/>
                <w:color w:val="000000"/>
                <w:sz w:val="20"/>
              </w:rPr>
              <w:t xml:space="preserve"> gadu vecumā, %</w:t>
            </w:r>
          </w:p>
        </w:tc>
      </w:tr>
      <w:tr w:rsidR="00B63CA0" w:rsidRPr="00CD7B6E" w:rsidTr="0050064C">
        <w:trPr>
          <w:trHeight w:val="2862"/>
          <w:jc w:val="center"/>
        </w:trPr>
        <w:tc>
          <w:tcPr>
            <w:tcW w:w="4821" w:type="dxa"/>
          </w:tcPr>
          <w:p w:rsidR="00B63CA0" w:rsidRPr="00CD7B6E" w:rsidRDefault="00FD018C" w:rsidP="0077399B">
            <w:pPr>
              <w:spacing w:after="0" w:line="240" w:lineRule="auto"/>
              <w:jc w:val="center"/>
              <w:rPr>
                <w:rFonts w:eastAsia="Times New Roman"/>
              </w:rPr>
            </w:pPr>
            <w:r w:rsidRPr="00CD7B6E">
              <w:rPr>
                <w:rFonts w:eastAsia="Times New Roman"/>
                <w:noProof/>
                <w:sz w:val="20"/>
                <w:szCs w:val="20"/>
                <w:lang w:eastAsia="lv-LV"/>
              </w:rPr>
              <w:drawing>
                <wp:inline distT="0" distB="0" distL="0" distR="0" wp14:anchorId="033BABDF" wp14:editId="233D37CC">
                  <wp:extent cx="2876550" cy="2160000"/>
                  <wp:effectExtent l="0" t="0" r="0" b="0"/>
                  <wp:docPr id="1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91" w:type="dxa"/>
          </w:tcPr>
          <w:p w:rsidR="00B63CA0" w:rsidRPr="00CD7B6E" w:rsidRDefault="00B63CA0" w:rsidP="0077399B">
            <w:pPr>
              <w:spacing w:after="0" w:line="240" w:lineRule="auto"/>
              <w:jc w:val="center"/>
              <w:rPr>
                <w:rFonts w:eastAsia="Times New Roman"/>
              </w:rPr>
            </w:pPr>
            <w:r w:rsidRPr="00CD7B6E">
              <w:rPr>
                <w:rFonts w:eastAsia="Times New Roman"/>
                <w:noProof/>
                <w:sz w:val="20"/>
                <w:szCs w:val="20"/>
                <w:lang w:eastAsia="lv-LV"/>
              </w:rPr>
              <w:drawing>
                <wp:inline distT="0" distB="0" distL="0" distR="0" wp14:anchorId="7E923FE9" wp14:editId="4BAAC455">
                  <wp:extent cx="2876550" cy="2160000"/>
                  <wp:effectExtent l="0" t="0" r="0" b="0"/>
                  <wp:docPr id="18"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2F6F95" w:rsidRPr="002F6F95" w:rsidRDefault="002F6F95" w:rsidP="0077399B">
      <w:pPr>
        <w:spacing w:after="0" w:line="240" w:lineRule="auto"/>
        <w:jc w:val="both"/>
        <w:rPr>
          <w:spacing w:val="-2"/>
          <w:sz w:val="8"/>
          <w:szCs w:val="20"/>
        </w:rPr>
      </w:pPr>
    </w:p>
    <w:p w:rsidR="00687CB9" w:rsidRDefault="00CB0535" w:rsidP="002F6F95">
      <w:pPr>
        <w:spacing w:after="0" w:line="240" w:lineRule="auto"/>
        <w:ind w:left="224" w:hanging="224"/>
        <w:jc w:val="both"/>
        <w:rPr>
          <w:spacing w:val="-2"/>
          <w:sz w:val="20"/>
          <w:szCs w:val="20"/>
        </w:rPr>
      </w:pPr>
      <w:r>
        <w:rPr>
          <w:spacing w:val="-2"/>
          <w:sz w:val="20"/>
          <w:szCs w:val="20"/>
        </w:rPr>
        <w:t>*</w:t>
      </w:r>
      <w:r w:rsidR="002F6F95">
        <w:rPr>
          <w:spacing w:val="-2"/>
          <w:sz w:val="20"/>
          <w:szCs w:val="20"/>
        </w:rPr>
        <w:tab/>
      </w:r>
      <w:r w:rsidR="00A015A8">
        <w:rPr>
          <w:sz w:val="20"/>
          <w:szCs w:val="20"/>
        </w:rPr>
        <w:t>n</w:t>
      </w:r>
      <w:r w:rsidR="00FD018C" w:rsidRPr="00FD018C">
        <w:rPr>
          <w:sz w:val="20"/>
          <w:szCs w:val="20"/>
        </w:rPr>
        <w:t xml:space="preserve">o 2011.gada dati pārrēķināti pēc Tautas skaitīšanas datiem. </w:t>
      </w:r>
      <w:r w:rsidR="00FD018C">
        <w:rPr>
          <w:sz w:val="20"/>
          <w:szCs w:val="20"/>
        </w:rPr>
        <w:t>S</w:t>
      </w:r>
      <w:r w:rsidR="00FD018C" w:rsidRPr="00FD018C">
        <w:rPr>
          <w:sz w:val="20"/>
          <w:szCs w:val="20"/>
        </w:rPr>
        <w:t>ākot ar 2011. gadu, dati nav salīdzi</w:t>
      </w:r>
      <w:r w:rsidR="00FD018C">
        <w:rPr>
          <w:sz w:val="20"/>
          <w:szCs w:val="20"/>
        </w:rPr>
        <w:t>nāmi ar iepriekšējiem periodiem.</w:t>
      </w:r>
    </w:p>
    <w:p w:rsidR="002F6F95" w:rsidRPr="002F6F95" w:rsidRDefault="002F6F95" w:rsidP="0077399B">
      <w:pPr>
        <w:spacing w:after="0" w:line="240" w:lineRule="auto"/>
        <w:jc w:val="both"/>
        <w:rPr>
          <w:spacing w:val="-2"/>
          <w:sz w:val="8"/>
          <w:szCs w:val="20"/>
        </w:rPr>
      </w:pPr>
    </w:p>
    <w:p w:rsidR="00687CB9" w:rsidRPr="00EB30C9" w:rsidRDefault="00826C45" w:rsidP="0077399B">
      <w:pPr>
        <w:spacing w:after="0" w:line="240" w:lineRule="auto"/>
        <w:jc w:val="both"/>
        <w:rPr>
          <w:spacing w:val="-2"/>
          <w:szCs w:val="20"/>
        </w:rPr>
      </w:pPr>
      <w:r w:rsidRPr="00EB30C9">
        <w:rPr>
          <w:spacing w:val="-2"/>
          <w:szCs w:val="20"/>
        </w:rPr>
        <w:t>Avots: CSP</w:t>
      </w:r>
    </w:p>
    <w:p w:rsidR="00687CB9" w:rsidRDefault="00687CB9" w:rsidP="005546B4">
      <w:pPr>
        <w:spacing w:after="0" w:line="240" w:lineRule="auto"/>
        <w:ind w:firstLine="567"/>
        <w:jc w:val="both"/>
        <w:rPr>
          <w:spacing w:val="-2"/>
          <w:sz w:val="26"/>
          <w:szCs w:val="16"/>
        </w:rPr>
      </w:pPr>
    </w:p>
    <w:p w:rsidR="00687CB9" w:rsidRDefault="00F537B5" w:rsidP="005546B4">
      <w:pPr>
        <w:spacing w:after="0" w:line="240" w:lineRule="auto"/>
        <w:ind w:firstLine="567"/>
        <w:jc w:val="both"/>
        <w:rPr>
          <w:sz w:val="26"/>
          <w:szCs w:val="26"/>
        </w:rPr>
      </w:pPr>
      <w:r w:rsidRPr="00F537B5">
        <w:rPr>
          <w:sz w:val="26"/>
          <w:szCs w:val="26"/>
        </w:rPr>
        <w:t>2012.gadā situācija darba tirgū turpināja uzlaboties – palielinājās nodarbinātība un iedzīvotāju ekonomiskā aktivitāte, pakāpeniski samazinājās bezdarbs. Saskaņā ar darbaspēka apsekojuma datiem vidēji 2012.gadā nodarbināto skaits sasniedza 885,6 </w:t>
      </w:r>
      <w:proofErr w:type="spellStart"/>
      <w:r w:rsidRPr="00F537B5">
        <w:rPr>
          <w:sz w:val="26"/>
          <w:szCs w:val="26"/>
        </w:rPr>
        <w:t>tūkst</w:t>
      </w:r>
      <w:proofErr w:type="spellEnd"/>
      <w:r w:rsidR="000E76F4">
        <w:rPr>
          <w:sz w:val="26"/>
          <w:szCs w:val="26"/>
        </w:rPr>
        <w:t>.</w:t>
      </w:r>
      <w:r w:rsidRPr="00F537B5">
        <w:rPr>
          <w:sz w:val="26"/>
          <w:szCs w:val="26"/>
        </w:rPr>
        <w:t xml:space="preserve">, kas ir par 2,8% jeb aptuveni 24 </w:t>
      </w:r>
      <w:proofErr w:type="spellStart"/>
      <w:r w:rsidRPr="00F537B5">
        <w:rPr>
          <w:sz w:val="26"/>
          <w:szCs w:val="26"/>
        </w:rPr>
        <w:t>tūkst</w:t>
      </w:r>
      <w:proofErr w:type="spellEnd"/>
      <w:r w:rsidR="000E76F4">
        <w:rPr>
          <w:sz w:val="26"/>
          <w:szCs w:val="26"/>
        </w:rPr>
        <w:t>.</w:t>
      </w:r>
      <w:r w:rsidRPr="00F537B5">
        <w:rPr>
          <w:sz w:val="26"/>
          <w:szCs w:val="26"/>
        </w:rPr>
        <w:t xml:space="preserve"> vairāk nekā 2011.gad</w:t>
      </w:r>
      <w:r w:rsidR="00CE2B15">
        <w:rPr>
          <w:sz w:val="26"/>
          <w:szCs w:val="26"/>
        </w:rPr>
        <w:t>ā. Nodarbinātības līmenis 2012.</w:t>
      </w:r>
      <w:r w:rsidRPr="00F537B5">
        <w:rPr>
          <w:sz w:val="26"/>
          <w:szCs w:val="26"/>
        </w:rPr>
        <w:t>gad</w:t>
      </w:r>
      <w:r>
        <w:rPr>
          <w:sz w:val="26"/>
          <w:szCs w:val="26"/>
        </w:rPr>
        <w:t>ā sasniedza 56,3%, kas bija par gandrīz 3 procentpunktiem lielāks nekā pirms gada.</w:t>
      </w:r>
    </w:p>
    <w:p w:rsidR="00687CB9" w:rsidRDefault="00F537B5" w:rsidP="005546B4">
      <w:pPr>
        <w:spacing w:after="0" w:line="240" w:lineRule="auto"/>
        <w:ind w:firstLine="567"/>
        <w:jc w:val="both"/>
        <w:rPr>
          <w:sz w:val="26"/>
          <w:szCs w:val="26"/>
        </w:rPr>
      </w:pPr>
      <w:r w:rsidRPr="00F537B5">
        <w:rPr>
          <w:sz w:val="26"/>
          <w:szCs w:val="26"/>
        </w:rPr>
        <w:t>Vienlaikus ekonomiski aktīvo iedzīvotāju skaits ir pieaudzis mērenāk (par 1,3%). Straujāku</w:t>
      </w:r>
      <w:r>
        <w:rPr>
          <w:sz w:val="26"/>
          <w:szCs w:val="26"/>
        </w:rPr>
        <w:t xml:space="preserve"> ekonomiski aktīvo iedzīvotāju skaita pieaugumu</w:t>
      </w:r>
      <w:r w:rsidRPr="00F537B5">
        <w:rPr>
          <w:sz w:val="26"/>
          <w:szCs w:val="26"/>
        </w:rPr>
        <w:t xml:space="preserve"> ierobežoja negatīvās demogrāfijas tendences – iedzīvotāju skaita samazināšanās darbspējas vecumā.</w:t>
      </w:r>
      <w:r>
        <w:rPr>
          <w:sz w:val="26"/>
          <w:szCs w:val="26"/>
        </w:rPr>
        <w:t xml:space="preserve"> </w:t>
      </w:r>
      <w:r w:rsidRPr="00F537B5">
        <w:rPr>
          <w:sz w:val="26"/>
          <w:szCs w:val="26"/>
        </w:rPr>
        <w:t>Bezdarba līmenis vidēji 2012.gadā bija 14,9%, kas ir par 1,3 procentpunktiem mazāk</w:t>
      </w:r>
      <w:r>
        <w:rPr>
          <w:sz w:val="26"/>
          <w:szCs w:val="26"/>
        </w:rPr>
        <w:t>s</w:t>
      </w:r>
      <w:r w:rsidRPr="00F537B5">
        <w:rPr>
          <w:sz w:val="26"/>
          <w:szCs w:val="26"/>
        </w:rPr>
        <w:t xml:space="preserve"> nekā gadu iepriekš.</w:t>
      </w:r>
    </w:p>
    <w:p w:rsidR="00687CB9" w:rsidRDefault="00F537B5" w:rsidP="005546B4">
      <w:pPr>
        <w:spacing w:after="0" w:line="240" w:lineRule="auto"/>
        <w:ind w:firstLine="567"/>
        <w:jc w:val="both"/>
        <w:rPr>
          <w:sz w:val="26"/>
          <w:szCs w:val="26"/>
        </w:rPr>
      </w:pPr>
      <w:r>
        <w:rPr>
          <w:sz w:val="26"/>
          <w:szCs w:val="26"/>
        </w:rPr>
        <w:lastRenderedPageBreak/>
        <w:t>Pašreizējais bezdarba līmenis</w:t>
      </w:r>
      <w:r w:rsidR="00826C45" w:rsidRPr="00CD7B6E">
        <w:rPr>
          <w:sz w:val="26"/>
          <w:szCs w:val="26"/>
        </w:rPr>
        <w:t xml:space="preserve"> galvenokārt </w:t>
      </w:r>
      <w:r>
        <w:rPr>
          <w:sz w:val="26"/>
          <w:szCs w:val="26"/>
        </w:rPr>
        <w:t xml:space="preserve">ir </w:t>
      </w:r>
      <w:r w:rsidR="00826C45" w:rsidRPr="00CD7B6E">
        <w:rPr>
          <w:sz w:val="26"/>
          <w:szCs w:val="26"/>
        </w:rPr>
        <w:t xml:space="preserve">saistīts ar ciklisko bezdarbu, </w:t>
      </w:r>
      <w:proofErr w:type="spellStart"/>
      <w:r w:rsidR="00826C45" w:rsidRPr="00CD7B6E">
        <w:rPr>
          <w:sz w:val="26"/>
          <w:szCs w:val="26"/>
        </w:rPr>
        <w:t>t.i</w:t>
      </w:r>
      <w:proofErr w:type="spellEnd"/>
      <w:r w:rsidR="00826C45" w:rsidRPr="00CD7B6E">
        <w:rPr>
          <w:sz w:val="26"/>
          <w:szCs w:val="26"/>
        </w:rPr>
        <w:t>., ar būtisko ražošanas</w:t>
      </w:r>
      <w:r w:rsidR="00826C45">
        <w:rPr>
          <w:sz w:val="26"/>
          <w:szCs w:val="26"/>
        </w:rPr>
        <w:t xml:space="preserve"> apjomu un sniegto pakalpojumu</w:t>
      </w:r>
      <w:r w:rsidR="00826C45" w:rsidRPr="00CD7B6E">
        <w:rPr>
          <w:sz w:val="26"/>
          <w:szCs w:val="26"/>
        </w:rPr>
        <w:t xml:space="preserve"> samazinājumu krīzes laikā. Tāpēc visi tie pasākumi, kas saistīti ar ekonomisko aktivitāšu un uzņēmējdarbības veicināšanu, stimulē pieprasījuma pieaugumu </w:t>
      </w:r>
      <w:r w:rsidR="00826C45">
        <w:rPr>
          <w:sz w:val="26"/>
          <w:szCs w:val="26"/>
        </w:rPr>
        <w:t xml:space="preserve">pēc </w:t>
      </w:r>
      <w:r w:rsidR="00826C45" w:rsidRPr="00CD7B6E">
        <w:rPr>
          <w:sz w:val="26"/>
          <w:szCs w:val="26"/>
        </w:rPr>
        <w:t>darbaspēka un palielina nodarbinātību. T</w:t>
      </w:r>
      <w:r w:rsidR="00826C45">
        <w:rPr>
          <w:sz w:val="26"/>
          <w:szCs w:val="26"/>
        </w:rPr>
        <w:t>ajā pašā laikā p</w:t>
      </w:r>
      <w:r w:rsidR="00826C45" w:rsidRPr="00CD7B6E">
        <w:rPr>
          <w:sz w:val="26"/>
          <w:szCs w:val="26"/>
        </w:rPr>
        <w:t>astāv</w:t>
      </w:r>
      <w:r w:rsidR="00826C45">
        <w:rPr>
          <w:sz w:val="26"/>
          <w:szCs w:val="26"/>
        </w:rPr>
        <w:t xml:space="preserve"> </w:t>
      </w:r>
      <w:r w:rsidR="00826C45" w:rsidRPr="00152052">
        <w:rPr>
          <w:sz w:val="26"/>
          <w:szCs w:val="26"/>
        </w:rPr>
        <w:t xml:space="preserve">risks, ka daļa no esošiem bezdarbniekiem ilgstoši nevarēs atrast darbu un </w:t>
      </w:r>
      <w:r w:rsidR="0050064C">
        <w:rPr>
          <w:sz w:val="26"/>
          <w:szCs w:val="26"/>
        </w:rPr>
        <w:t xml:space="preserve">nākotnē </w:t>
      </w:r>
      <w:r w:rsidR="00826C45" w:rsidRPr="00152052">
        <w:rPr>
          <w:sz w:val="26"/>
          <w:szCs w:val="26"/>
        </w:rPr>
        <w:t>bezdarbs var kļūt par izteikti strukturālu parādību, jo nozares, kas ātrāk atgūstas no krīzes nav tās pašas, kurās bija vakances pirms krīzes un kurās cilvēki zaudēja darbu krīzes laikā.</w:t>
      </w:r>
      <w:r w:rsidR="00826C45">
        <w:rPr>
          <w:sz w:val="26"/>
          <w:szCs w:val="26"/>
        </w:rPr>
        <w:t xml:space="preserve"> </w:t>
      </w:r>
      <w:r w:rsidR="0050064C">
        <w:rPr>
          <w:sz w:val="26"/>
          <w:szCs w:val="26"/>
        </w:rPr>
        <w:t>Not</w:t>
      </w:r>
      <w:r w:rsidR="00826C45">
        <w:rPr>
          <w:sz w:val="26"/>
          <w:szCs w:val="26"/>
        </w:rPr>
        <w:t xml:space="preserve">iek tautsaimniecības struktūras maiņa un </w:t>
      </w:r>
      <w:r w:rsidR="00826C45" w:rsidRPr="00CD7B6E">
        <w:rPr>
          <w:sz w:val="26"/>
          <w:szCs w:val="26"/>
        </w:rPr>
        <w:t>var veidoties neatbilstība starp darbaspēka piedāvājumu un pieprasījumu</w:t>
      </w:r>
      <w:r w:rsidR="00826C45">
        <w:rPr>
          <w:sz w:val="26"/>
          <w:szCs w:val="26"/>
        </w:rPr>
        <w:t xml:space="preserve"> – </w:t>
      </w:r>
      <w:r w:rsidR="00826C45" w:rsidRPr="00CD7B6E">
        <w:rPr>
          <w:sz w:val="26"/>
          <w:szCs w:val="26"/>
        </w:rPr>
        <w:t>darba meklētāju prasmes nea</w:t>
      </w:r>
      <w:r w:rsidR="00826C45">
        <w:rPr>
          <w:sz w:val="26"/>
          <w:szCs w:val="26"/>
        </w:rPr>
        <w:t>tbilst tam ko pieprasa uzņēmēji</w:t>
      </w:r>
      <w:r w:rsidR="00826C45" w:rsidRPr="00CD7B6E">
        <w:rPr>
          <w:sz w:val="26"/>
          <w:szCs w:val="26"/>
        </w:rPr>
        <w:t>.</w:t>
      </w:r>
    </w:p>
    <w:p w:rsidR="00687CB9" w:rsidRPr="00C12DD4" w:rsidRDefault="00826C45" w:rsidP="005546B4">
      <w:pPr>
        <w:spacing w:after="0" w:line="240" w:lineRule="auto"/>
        <w:ind w:firstLine="567"/>
        <w:jc w:val="both"/>
        <w:rPr>
          <w:spacing w:val="-2"/>
          <w:sz w:val="26"/>
          <w:szCs w:val="26"/>
        </w:rPr>
      </w:pPr>
      <w:r w:rsidRPr="00C12DD4">
        <w:rPr>
          <w:spacing w:val="-2"/>
          <w:sz w:val="26"/>
          <w:szCs w:val="26"/>
        </w:rPr>
        <w:t>Krīzes laikā, līdz ar kopējā bezdarba līmeņa pieaugumu, palielinājās arī ilgstošo bezdarbnieku skaits.</w:t>
      </w:r>
      <w:r w:rsidR="00BF0685" w:rsidRPr="00C12DD4">
        <w:rPr>
          <w:spacing w:val="-2"/>
          <w:sz w:val="26"/>
          <w:szCs w:val="26"/>
        </w:rPr>
        <w:t xml:space="preserve"> Pakāpeniski augot ekonomiskajām aktivitātēm, sarūk arī ilgstošo bezdarbnieku skaits.</w:t>
      </w:r>
      <w:r w:rsidRPr="00C12DD4">
        <w:rPr>
          <w:spacing w:val="-2"/>
          <w:sz w:val="26"/>
          <w:szCs w:val="26"/>
        </w:rPr>
        <w:t xml:space="preserve"> 201</w:t>
      </w:r>
      <w:r w:rsidR="0050064C" w:rsidRPr="00C12DD4">
        <w:rPr>
          <w:spacing w:val="-2"/>
          <w:sz w:val="26"/>
          <w:szCs w:val="26"/>
        </w:rPr>
        <w:t>2</w:t>
      </w:r>
      <w:r w:rsidRPr="00C12DD4">
        <w:rPr>
          <w:spacing w:val="-2"/>
          <w:sz w:val="26"/>
          <w:szCs w:val="26"/>
        </w:rPr>
        <w:t xml:space="preserve">.gada </w:t>
      </w:r>
      <w:r w:rsidR="0050064C" w:rsidRPr="00C12DD4">
        <w:rPr>
          <w:spacing w:val="-2"/>
          <w:sz w:val="26"/>
          <w:szCs w:val="26"/>
        </w:rPr>
        <w:t>beigās</w:t>
      </w:r>
      <w:r w:rsidRPr="00C12DD4">
        <w:rPr>
          <w:spacing w:val="-2"/>
          <w:sz w:val="26"/>
          <w:szCs w:val="26"/>
        </w:rPr>
        <w:t xml:space="preserve"> Nodarbinātības valsts aģentūrā bija reģistrēti </w:t>
      </w:r>
      <w:r w:rsidR="0050064C" w:rsidRPr="00C12DD4">
        <w:rPr>
          <w:spacing w:val="-2"/>
          <w:sz w:val="26"/>
          <w:szCs w:val="26"/>
        </w:rPr>
        <w:t>44</w:t>
      </w:r>
      <w:r w:rsidRPr="00C12DD4">
        <w:rPr>
          <w:spacing w:val="-2"/>
          <w:sz w:val="26"/>
          <w:szCs w:val="26"/>
        </w:rPr>
        <w:t>,</w:t>
      </w:r>
      <w:r w:rsidR="0050064C" w:rsidRPr="00C12DD4">
        <w:rPr>
          <w:spacing w:val="-2"/>
          <w:sz w:val="26"/>
          <w:szCs w:val="26"/>
        </w:rPr>
        <w:t>6</w:t>
      </w:r>
      <w:r w:rsidR="00C12DD4">
        <w:rPr>
          <w:spacing w:val="-2"/>
          <w:sz w:val="26"/>
          <w:szCs w:val="26"/>
        </w:rPr>
        <w:t> </w:t>
      </w:r>
      <w:proofErr w:type="spellStart"/>
      <w:r w:rsidRPr="00C12DD4">
        <w:rPr>
          <w:spacing w:val="-2"/>
          <w:sz w:val="26"/>
          <w:szCs w:val="26"/>
        </w:rPr>
        <w:t>tūkst</w:t>
      </w:r>
      <w:proofErr w:type="spellEnd"/>
      <w:r w:rsidRPr="00C12DD4">
        <w:rPr>
          <w:spacing w:val="-2"/>
          <w:sz w:val="26"/>
          <w:szCs w:val="26"/>
        </w:rPr>
        <w:t>. ilgstošie bezdarbnieki, kas bija</w:t>
      </w:r>
      <w:r w:rsidR="00BF0685" w:rsidRPr="00C12DD4">
        <w:rPr>
          <w:spacing w:val="-2"/>
          <w:sz w:val="26"/>
          <w:szCs w:val="26"/>
        </w:rPr>
        <w:t xml:space="preserve"> par 11 </w:t>
      </w:r>
      <w:proofErr w:type="spellStart"/>
      <w:r w:rsidR="00BF0685" w:rsidRPr="00C12DD4">
        <w:rPr>
          <w:spacing w:val="-2"/>
          <w:sz w:val="26"/>
          <w:szCs w:val="26"/>
        </w:rPr>
        <w:t>tūkst</w:t>
      </w:r>
      <w:proofErr w:type="spellEnd"/>
      <w:r w:rsidR="00BF0685" w:rsidRPr="00C12DD4">
        <w:rPr>
          <w:spacing w:val="-2"/>
          <w:sz w:val="26"/>
          <w:szCs w:val="26"/>
        </w:rPr>
        <w:t>. jeb 20% mazāk nekā pirms gada.</w:t>
      </w:r>
    </w:p>
    <w:p w:rsidR="00687CB9" w:rsidRDefault="00BF0685" w:rsidP="005546B4">
      <w:pPr>
        <w:spacing w:after="0" w:line="240" w:lineRule="auto"/>
        <w:ind w:firstLine="567"/>
        <w:jc w:val="both"/>
        <w:rPr>
          <w:sz w:val="26"/>
          <w:szCs w:val="26"/>
        </w:rPr>
      </w:pPr>
      <w:r>
        <w:rPr>
          <w:sz w:val="26"/>
          <w:szCs w:val="26"/>
        </w:rPr>
        <w:t>Lai arī situācija pakāpeniski uzlabojas, tomēr ilgstošo bezdarbnieku īpatsvars aizvien ir ļoti lie</w:t>
      </w:r>
      <w:r w:rsidR="000E76F4">
        <w:rPr>
          <w:sz w:val="26"/>
          <w:szCs w:val="26"/>
        </w:rPr>
        <w:t>l</w:t>
      </w:r>
      <w:r>
        <w:rPr>
          <w:sz w:val="26"/>
          <w:szCs w:val="26"/>
        </w:rPr>
        <w:t>s – 2012.gada beigās 46</w:t>
      </w:r>
      <w:r w:rsidR="00826C45" w:rsidRPr="00CD7B6E">
        <w:rPr>
          <w:sz w:val="26"/>
          <w:szCs w:val="26"/>
        </w:rPr>
        <w:t>% no kopējā reģistrēto bezdarbnieku skaita</w:t>
      </w:r>
      <w:r>
        <w:rPr>
          <w:sz w:val="26"/>
          <w:szCs w:val="26"/>
        </w:rPr>
        <w:t xml:space="preserve"> bija ilgstošie bezdarbnieki. Jāņem vērā, ka l</w:t>
      </w:r>
      <w:r w:rsidR="00826C45" w:rsidRPr="00CD7B6E">
        <w:rPr>
          <w:sz w:val="26"/>
          <w:szCs w:val="26"/>
        </w:rPr>
        <w:t>iels ilgstošais bezdarbs var radīt strukturālā bezdarba pieaugumu, proti, jo ilgāk šie cilvēki ir bez darba, jo lielāks risks zaudēt darba iemaņas un prasmes.</w:t>
      </w:r>
    </w:p>
    <w:p w:rsidR="00687CB9" w:rsidRDefault="00826C45" w:rsidP="005546B4">
      <w:pPr>
        <w:spacing w:after="0" w:line="240" w:lineRule="auto"/>
        <w:ind w:firstLine="567"/>
        <w:jc w:val="both"/>
        <w:rPr>
          <w:sz w:val="26"/>
          <w:szCs w:val="26"/>
        </w:rPr>
      </w:pPr>
      <w:r>
        <w:rPr>
          <w:sz w:val="26"/>
          <w:szCs w:val="26"/>
        </w:rPr>
        <w:t>Vienlaikus j</w:t>
      </w:r>
      <w:r w:rsidRPr="00CD7B6E">
        <w:rPr>
          <w:sz w:val="26"/>
          <w:szCs w:val="26"/>
        </w:rPr>
        <w:t>āņem vērā, ka darbaspēka pieprasījuma un piedāvājuma atbilstību ietekmē ne tikai darbaspēka izglītība un prasmes, bet arī atalgojums, tādēļ saglabājas brīvas darbvietas pat pie augsta bezdarba līmeņa.</w:t>
      </w:r>
    </w:p>
    <w:p w:rsidR="00687CB9" w:rsidRDefault="00826C45" w:rsidP="0077399B">
      <w:pPr>
        <w:spacing w:after="0" w:line="240" w:lineRule="auto"/>
        <w:jc w:val="right"/>
        <w:rPr>
          <w:spacing w:val="-2"/>
          <w:sz w:val="26"/>
          <w:szCs w:val="26"/>
        </w:rPr>
      </w:pPr>
      <w:r w:rsidRPr="00CD7B6E">
        <w:rPr>
          <w:spacing w:val="-2"/>
          <w:sz w:val="26"/>
          <w:szCs w:val="26"/>
        </w:rPr>
        <w:t>1.</w:t>
      </w:r>
      <w:r w:rsidR="00F6144C">
        <w:rPr>
          <w:spacing w:val="-2"/>
          <w:sz w:val="26"/>
          <w:szCs w:val="26"/>
        </w:rPr>
        <w:t>2</w:t>
      </w:r>
      <w:r w:rsidRPr="00CD7B6E">
        <w:rPr>
          <w:spacing w:val="-2"/>
          <w:sz w:val="26"/>
          <w:szCs w:val="26"/>
        </w:rPr>
        <w:t>. tabula</w:t>
      </w:r>
    </w:p>
    <w:p w:rsidR="00826C45" w:rsidRDefault="00826C45" w:rsidP="0077399B">
      <w:pPr>
        <w:spacing w:after="0" w:line="240" w:lineRule="auto"/>
        <w:jc w:val="center"/>
        <w:rPr>
          <w:b/>
          <w:sz w:val="26"/>
          <w:szCs w:val="26"/>
        </w:rPr>
      </w:pPr>
      <w:r w:rsidRPr="00CD7B6E">
        <w:rPr>
          <w:b/>
          <w:sz w:val="26"/>
          <w:szCs w:val="26"/>
        </w:rPr>
        <w:t>Nodarbinātības un bezdarba galvenie rādītāji</w:t>
      </w:r>
    </w:p>
    <w:p w:rsidR="00CB0535" w:rsidRPr="00CB0535" w:rsidRDefault="00CB0535" w:rsidP="0077399B">
      <w:pPr>
        <w:spacing w:after="0" w:line="240" w:lineRule="auto"/>
        <w:jc w:val="center"/>
        <w:rPr>
          <w:sz w:val="8"/>
          <w:szCs w:val="26"/>
        </w:rPr>
      </w:pPr>
    </w:p>
    <w:tbl>
      <w:tblPr>
        <w:tblStyle w:val="MediumList1-Accent4"/>
        <w:tblW w:w="4837" w:type="pct"/>
        <w:jc w:val="center"/>
        <w:tblLook w:val="0400" w:firstRow="0" w:lastRow="0" w:firstColumn="0" w:lastColumn="0" w:noHBand="0" w:noVBand="1"/>
      </w:tblPr>
      <w:tblGrid>
        <w:gridCol w:w="4138"/>
        <w:gridCol w:w="1105"/>
        <w:gridCol w:w="2607"/>
        <w:gridCol w:w="1134"/>
      </w:tblGrid>
      <w:tr w:rsidR="00A015A8" w:rsidRPr="00CD7B6E" w:rsidTr="005546B4">
        <w:trPr>
          <w:cnfStyle w:val="000000100000" w:firstRow="0" w:lastRow="0" w:firstColumn="0" w:lastColumn="0" w:oddVBand="0" w:evenVBand="0" w:oddHBand="1" w:evenHBand="0" w:firstRowFirstColumn="0" w:firstRowLastColumn="0" w:lastRowFirstColumn="0" w:lastRowLastColumn="0"/>
          <w:trHeight w:val="315"/>
          <w:jc w:val="center"/>
        </w:trPr>
        <w:tc>
          <w:tcPr>
            <w:tcW w:w="2303" w:type="pct"/>
            <w:tcBorders>
              <w:top w:val="single" w:sz="8" w:space="0" w:color="8064A2" w:themeColor="accent4"/>
              <w:bottom w:val="single" w:sz="8" w:space="0" w:color="8064A2" w:themeColor="accent4"/>
            </w:tcBorders>
          </w:tcPr>
          <w:p w:rsidR="00E8168E" w:rsidRPr="00CD7B6E" w:rsidRDefault="00E8168E" w:rsidP="0077399B">
            <w:pPr>
              <w:spacing w:after="0" w:line="240" w:lineRule="auto"/>
              <w:jc w:val="center"/>
              <w:rPr>
                <w:rFonts w:eastAsia="Arial Unicode MS"/>
                <w:color w:val="000000"/>
                <w:sz w:val="20"/>
              </w:rPr>
            </w:pPr>
          </w:p>
        </w:tc>
        <w:tc>
          <w:tcPr>
            <w:tcW w:w="615" w:type="pct"/>
            <w:tcBorders>
              <w:top w:val="single" w:sz="8" w:space="0" w:color="8064A2" w:themeColor="accent4"/>
              <w:bottom w:val="single" w:sz="8" w:space="0" w:color="8064A2" w:themeColor="accent4"/>
            </w:tcBorders>
          </w:tcPr>
          <w:p w:rsidR="00E8168E" w:rsidRPr="00CD7B6E" w:rsidRDefault="00E8168E" w:rsidP="0077399B">
            <w:pPr>
              <w:spacing w:after="0" w:line="240" w:lineRule="auto"/>
              <w:jc w:val="center"/>
              <w:rPr>
                <w:rFonts w:eastAsia="Arial Unicode MS"/>
                <w:b/>
                <w:bCs/>
                <w:color w:val="000000"/>
                <w:sz w:val="20"/>
              </w:rPr>
            </w:pPr>
            <w:r w:rsidRPr="00CD7B6E">
              <w:rPr>
                <w:rFonts w:eastAsia="Times New Roman"/>
                <w:b/>
                <w:bCs/>
                <w:color w:val="000000"/>
                <w:sz w:val="20"/>
              </w:rPr>
              <w:t>2011</w:t>
            </w:r>
            <w:r w:rsidRPr="00CD7B6E">
              <w:rPr>
                <w:rFonts w:eastAsia="Times New Roman"/>
                <w:b/>
                <w:bCs/>
                <w:color w:val="000000"/>
                <w:sz w:val="20"/>
              </w:rPr>
              <w:br/>
            </w:r>
            <w:r w:rsidRPr="00CD7B6E">
              <w:rPr>
                <w:rFonts w:eastAsia="Times New Roman"/>
                <w:bCs/>
                <w:color w:val="000000"/>
                <w:sz w:val="20"/>
              </w:rPr>
              <w:t>(bez korekcijas)</w:t>
            </w:r>
          </w:p>
        </w:tc>
        <w:tc>
          <w:tcPr>
            <w:tcW w:w="1451" w:type="pct"/>
            <w:tcBorders>
              <w:top w:val="single" w:sz="8" w:space="0" w:color="8064A2" w:themeColor="accent4"/>
              <w:bottom w:val="single" w:sz="8" w:space="0" w:color="8064A2" w:themeColor="accent4"/>
            </w:tcBorders>
          </w:tcPr>
          <w:p w:rsidR="00E8168E" w:rsidRPr="00CD7B6E" w:rsidRDefault="00E8168E" w:rsidP="0077399B">
            <w:pPr>
              <w:spacing w:after="0" w:line="240" w:lineRule="auto"/>
              <w:jc w:val="center"/>
              <w:rPr>
                <w:rFonts w:eastAsia="Times New Roman"/>
                <w:bCs/>
                <w:color w:val="000000"/>
                <w:sz w:val="20"/>
              </w:rPr>
            </w:pPr>
            <w:r w:rsidRPr="00CD7B6E">
              <w:rPr>
                <w:rFonts w:eastAsia="Times New Roman"/>
                <w:b/>
                <w:bCs/>
                <w:color w:val="000000"/>
                <w:sz w:val="20"/>
              </w:rPr>
              <w:t>2011</w:t>
            </w:r>
            <w:r w:rsidRPr="00CD7B6E">
              <w:rPr>
                <w:rFonts w:eastAsia="Times New Roman"/>
                <w:b/>
                <w:bCs/>
                <w:color w:val="000000"/>
                <w:sz w:val="20"/>
              </w:rPr>
              <w:br/>
            </w:r>
            <w:r w:rsidRPr="00CD7B6E">
              <w:rPr>
                <w:rFonts w:eastAsia="Times New Roman"/>
                <w:bCs/>
                <w:color w:val="000000"/>
                <w:sz w:val="20"/>
              </w:rPr>
              <w:t>(pārrēķins pēc 2011.g. tautas skaitīšanas rezultātiem)</w:t>
            </w:r>
          </w:p>
        </w:tc>
        <w:tc>
          <w:tcPr>
            <w:tcW w:w="631" w:type="pct"/>
            <w:tcBorders>
              <w:top w:val="single" w:sz="8" w:space="0" w:color="8064A2" w:themeColor="accent4"/>
              <w:bottom w:val="single" w:sz="8" w:space="0" w:color="8064A2" w:themeColor="accent4"/>
            </w:tcBorders>
          </w:tcPr>
          <w:p w:rsidR="00E8168E" w:rsidRPr="00CD7B6E" w:rsidRDefault="00E8168E" w:rsidP="0077399B">
            <w:pPr>
              <w:spacing w:after="0" w:line="240" w:lineRule="auto"/>
              <w:jc w:val="center"/>
              <w:rPr>
                <w:rFonts w:eastAsia="Times New Roman"/>
                <w:b/>
                <w:bCs/>
                <w:color w:val="000000"/>
                <w:sz w:val="20"/>
              </w:rPr>
            </w:pPr>
            <w:r>
              <w:rPr>
                <w:rFonts w:eastAsia="Times New Roman"/>
                <w:b/>
                <w:bCs/>
                <w:color w:val="000000"/>
                <w:sz w:val="20"/>
              </w:rPr>
              <w:t>2012</w:t>
            </w:r>
          </w:p>
        </w:tc>
      </w:tr>
      <w:tr w:rsidR="00A015A8" w:rsidRPr="00CD7B6E" w:rsidTr="005546B4">
        <w:trPr>
          <w:trHeight w:val="20"/>
          <w:jc w:val="center"/>
        </w:trPr>
        <w:tc>
          <w:tcPr>
            <w:tcW w:w="2303" w:type="pct"/>
            <w:tcBorders>
              <w:top w:val="single" w:sz="8" w:space="0" w:color="8064A2" w:themeColor="accent4"/>
            </w:tcBorders>
          </w:tcPr>
          <w:p w:rsidR="00594BF4" w:rsidRPr="00CD7B6E" w:rsidRDefault="00594BF4" w:rsidP="0077399B">
            <w:pPr>
              <w:spacing w:after="0" w:line="240" w:lineRule="auto"/>
              <w:rPr>
                <w:rFonts w:eastAsia="Times New Roman"/>
                <w:b/>
                <w:color w:val="000000"/>
                <w:sz w:val="20"/>
              </w:rPr>
            </w:pPr>
            <w:r w:rsidRPr="00CD7B6E">
              <w:rPr>
                <w:rFonts w:eastAsia="Times New Roman"/>
                <w:b/>
                <w:color w:val="000000"/>
                <w:sz w:val="20"/>
              </w:rPr>
              <w:t>Iedzīvotāju skaits</w:t>
            </w:r>
            <w:r w:rsidRPr="00CD7B6E">
              <w:rPr>
                <w:rFonts w:eastAsia="Times New Roman"/>
                <w:b/>
                <w:color w:val="000000"/>
                <w:sz w:val="20"/>
              </w:rPr>
              <w:br/>
            </w:r>
            <w:proofErr w:type="spellStart"/>
            <w:r w:rsidR="000E76F4">
              <w:rPr>
                <w:rFonts w:eastAsia="Times New Roman"/>
                <w:color w:val="000000"/>
                <w:sz w:val="20"/>
              </w:rPr>
              <w:t>tūkst</w:t>
            </w:r>
            <w:proofErr w:type="spellEnd"/>
            <w:r w:rsidR="000E76F4">
              <w:rPr>
                <w:rFonts w:eastAsia="Times New Roman"/>
                <w:color w:val="000000"/>
                <w:sz w:val="20"/>
              </w:rPr>
              <w:t>.</w:t>
            </w:r>
          </w:p>
        </w:tc>
        <w:tc>
          <w:tcPr>
            <w:tcW w:w="615" w:type="pct"/>
            <w:tcBorders>
              <w:top w:val="single" w:sz="8" w:space="0" w:color="8064A2" w:themeColor="accent4"/>
            </w:tcBorders>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2229,6</w:t>
            </w:r>
          </w:p>
        </w:tc>
        <w:tc>
          <w:tcPr>
            <w:tcW w:w="1451" w:type="pct"/>
            <w:tcBorders>
              <w:top w:val="single" w:sz="8" w:space="0" w:color="8064A2" w:themeColor="accent4"/>
            </w:tcBorders>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2074,6</w:t>
            </w:r>
          </w:p>
        </w:tc>
        <w:tc>
          <w:tcPr>
            <w:tcW w:w="631" w:type="pct"/>
            <w:tcBorders>
              <w:top w:val="single" w:sz="8" w:space="0" w:color="8064A2" w:themeColor="accent4"/>
            </w:tcBorders>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2041,8</w:t>
            </w:r>
          </w:p>
        </w:tc>
      </w:tr>
      <w:tr w:rsidR="00A015A8" w:rsidRPr="00CD7B6E" w:rsidTr="005546B4">
        <w:trPr>
          <w:cnfStyle w:val="000000100000" w:firstRow="0" w:lastRow="0" w:firstColumn="0" w:lastColumn="0" w:oddVBand="0" w:evenVBand="0" w:oddHBand="1" w:evenHBand="0" w:firstRowFirstColumn="0" w:firstRowLastColumn="0" w:lastRowFirstColumn="0" w:lastRowLastColumn="0"/>
          <w:trHeight w:val="20"/>
          <w:jc w:val="center"/>
        </w:trPr>
        <w:tc>
          <w:tcPr>
            <w:tcW w:w="2303" w:type="pct"/>
          </w:tcPr>
          <w:p w:rsidR="00594BF4" w:rsidRPr="00CD7B6E" w:rsidRDefault="00594BF4" w:rsidP="0077399B">
            <w:pPr>
              <w:spacing w:after="0" w:line="240" w:lineRule="auto"/>
              <w:rPr>
                <w:rFonts w:eastAsia="Times New Roman"/>
                <w:b/>
                <w:color w:val="000000"/>
                <w:sz w:val="20"/>
              </w:rPr>
            </w:pPr>
            <w:r w:rsidRPr="00CD7B6E">
              <w:rPr>
                <w:rFonts w:eastAsia="Times New Roman"/>
                <w:b/>
                <w:color w:val="000000"/>
                <w:sz w:val="20"/>
              </w:rPr>
              <w:t>Ekonomiski aktīvo iedzīvotāju skaits</w:t>
            </w:r>
            <w:r w:rsidRPr="00CD7B6E">
              <w:rPr>
                <w:rFonts w:eastAsia="Times New Roman"/>
                <w:b/>
                <w:color w:val="000000"/>
                <w:sz w:val="20"/>
              </w:rPr>
              <w:br/>
            </w:r>
            <w:r w:rsidRPr="00CD7B6E">
              <w:rPr>
                <w:rFonts w:eastAsia="Times New Roman"/>
                <w:bCs/>
                <w:color w:val="000000"/>
                <w:sz w:val="20"/>
              </w:rPr>
              <w:t>15-74</w:t>
            </w:r>
            <w:r w:rsidR="000E76F4">
              <w:rPr>
                <w:rFonts w:eastAsia="Times New Roman"/>
                <w:color w:val="000000"/>
                <w:sz w:val="20"/>
              </w:rPr>
              <w:t xml:space="preserve"> gadu vecuma grupā, </w:t>
            </w:r>
            <w:proofErr w:type="spellStart"/>
            <w:r w:rsidR="000E76F4">
              <w:rPr>
                <w:rFonts w:eastAsia="Times New Roman"/>
                <w:color w:val="000000"/>
                <w:sz w:val="20"/>
              </w:rPr>
              <w:t>tūkst</w:t>
            </w:r>
            <w:proofErr w:type="spellEnd"/>
            <w:r w:rsidR="000E76F4">
              <w:rPr>
                <w:rFonts w:eastAsia="Times New Roman"/>
                <w:color w:val="000000"/>
                <w:sz w:val="20"/>
              </w:rPr>
              <w:t>.</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1147,0</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1028,2</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10</w:t>
            </w:r>
            <w:r w:rsidR="00B06295">
              <w:rPr>
                <w:rFonts w:eastAsia="Arial Unicode MS"/>
                <w:color w:val="000000"/>
                <w:sz w:val="20"/>
              </w:rPr>
              <w:t>41,1</w:t>
            </w:r>
          </w:p>
        </w:tc>
      </w:tr>
      <w:tr w:rsidR="00A015A8" w:rsidRPr="00CD7B6E" w:rsidTr="005546B4">
        <w:trPr>
          <w:trHeight w:val="20"/>
          <w:jc w:val="center"/>
        </w:trPr>
        <w:tc>
          <w:tcPr>
            <w:tcW w:w="2303" w:type="pct"/>
          </w:tcPr>
          <w:p w:rsidR="00594BF4" w:rsidRPr="00CD7B6E" w:rsidRDefault="00594BF4" w:rsidP="0077399B">
            <w:pPr>
              <w:spacing w:after="0" w:line="240" w:lineRule="auto"/>
              <w:rPr>
                <w:rFonts w:eastAsia="Times New Roman"/>
                <w:b/>
                <w:color w:val="000000"/>
                <w:sz w:val="20"/>
              </w:rPr>
            </w:pPr>
            <w:r w:rsidRPr="00CD7B6E">
              <w:rPr>
                <w:rFonts w:eastAsia="Times New Roman"/>
                <w:b/>
                <w:color w:val="000000"/>
                <w:sz w:val="20"/>
              </w:rPr>
              <w:t>Nodarbināto skaits</w:t>
            </w:r>
            <w:r w:rsidRPr="00CD7B6E">
              <w:rPr>
                <w:rFonts w:eastAsia="Times New Roman"/>
                <w:b/>
                <w:color w:val="000000"/>
                <w:sz w:val="20"/>
              </w:rPr>
              <w:br/>
            </w:r>
            <w:r w:rsidRPr="00CD7B6E">
              <w:rPr>
                <w:rFonts w:eastAsia="Times New Roman"/>
                <w:bCs/>
                <w:color w:val="000000"/>
                <w:sz w:val="20"/>
              </w:rPr>
              <w:t>15-74</w:t>
            </w:r>
            <w:r w:rsidR="000E76F4">
              <w:rPr>
                <w:rFonts w:eastAsia="Times New Roman"/>
                <w:color w:val="000000"/>
                <w:sz w:val="20"/>
              </w:rPr>
              <w:t xml:space="preserve"> gadu vecuma grupā, </w:t>
            </w:r>
            <w:proofErr w:type="spellStart"/>
            <w:r w:rsidR="000E76F4">
              <w:rPr>
                <w:rFonts w:eastAsia="Times New Roman"/>
                <w:color w:val="000000"/>
                <w:sz w:val="20"/>
              </w:rPr>
              <w:t>tūkst</w:t>
            </w:r>
            <w:proofErr w:type="spellEnd"/>
            <w:r w:rsidR="000E76F4">
              <w:rPr>
                <w:rFonts w:eastAsia="Times New Roman"/>
                <w:color w:val="000000"/>
                <w:sz w:val="20"/>
              </w:rPr>
              <w:t>.</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970,5</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861,6</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885,6</w:t>
            </w:r>
          </w:p>
        </w:tc>
      </w:tr>
      <w:tr w:rsidR="00A015A8" w:rsidRPr="00CD7B6E" w:rsidTr="005546B4">
        <w:trPr>
          <w:cnfStyle w:val="000000100000" w:firstRow="0" w:lastRow="0" w:firstColumn="0" w:lastColumn="0" w:oddVBand="0" w:evenVBand="0" w:oddHBand="1" w:evenHBand="0" w:firstRowFirstColumn="0" w:firstRowLastColumn="0" w:lastRowFirstColumn="0" w:lastRowLastColumn="0"/>
          <w:trHeight w:val="20"/>
          <w:jc w:val="center"/>
        </w:trPr>
        <w:tc>
          <w:tcPr>
            <w:tcW w:w="2303" w:type="pct"/>
          </w:tcPr>
          <w:p w:rsidR="00594BF4" w:rsidRPr="00CD7B6E" w:rsidRDefault="00594BF4" w:rsidP="0077399B">
            <w:pPr>
              <w:spacing w:after="0" w:line="240" w:lineRule="auto"/>
              <w:rPr>
                <w:rFonts w:eastAsia="Arial Unicode MS"/>
                <w:color w:val="000000"/>
                <w:sz w:val="20"/>
              </w:rPr>
            </w:pPr>
            <w:r w:rsidRPr="00CD7B6E">
              <w:rPr>
                <w:rFonts w:eastAsia="Times New Roman"/>
                <w:b/>
                <w:color w:val="000000"/>
                <w:sz w:val="20"/>
              </w:rPr>
              <w:t>Nodarbinātības līmenis</w:t>
            </w:r>
            <w:r w:rsidRPr="00CD7B6E">
              <w:rPr>
                <w:rFonts w:eastAsia="Times New Roman"/>
                <w:color w:val="000000"/>
                <w:sz w:val="20"/>
              </w:rPr>
              <w:t xml:space="preserve"> </w:t>
            </w:r>
            <w:r w:rsidRPr="00CD7B6E">
              <w:rPr>
                <w:rFonts w:eastAsia="Times New Roman"/>
                <w:color w:val="000000"/>
                <w:sz w:val="20"/>
              </w:rPr>
              <w:br/>
              <w:t xml:space="preserve">nodarbināto iedzīvotāju skaits pret kopējo iedzīvotāju skaitu </w:t>
            </w:r>
            <w:r w:rsidRPr="00CD7B6E">
              <w:rPr>
                <w:rFonts w:eastAsia="Times New Roman"/>
                <w:bCs/>
                <w:color w:val="000000"/>
                <w:sz w:val="20"/>
              </w:rPr>
              <w:t>15-74</w:t>
            </w:r>
            <w:r w:rsidRPr="00CD7B6E">
              <w:rPr>
                <w:rFonts w:eastAsia="Times New Roman"/>
                <w:color w:val="000000"/>
                <w:sz w:val="20"/>
              </w:rPr>
              <w:t xml:space="preserve"> gadu vecumā, %</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55,3</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5</w:t>
            </w:r>
            <w:r>
              <w:rPr>
                <w:rFonts w:eastAsia="Arial Unicode MS"/>
                <w:color w:val="000000"/>
                <w:sz w:val="20"/>
              </w:rPr>
              <w:t>3,</w:t>
            </w:r>
            <w:r w:rsidRPr="00CD7B6E">
              <w:rPr>
                <w:rFonts w:eastAsia="Arial Unicode MS"/>
                <w:color w:val="000000"/>
                <w:sz w:val="20"/>
              </w:rPr>
              <w:t>4</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56,3</w:t>
            </w:r>
          </w:p>
        </w:tc>
      </w:tr>
      <w:tr w:rsidR="00A015A8" w:rsidRPr="00CD7B6E" w:rsidTr="005546B4">
        <w:trPr>
          <w:trHeight w:val="20"/>
          <w:jc w:val="center"/>
        </w:trPr>
        <w:tc>
          <w:tcPr>
            <w:tcW w:w="2303" w:type="pct"/>
          </w:tcPr>
          <w:p w:rsidR="00687CB9" w:rsidRDefault="00594BF4" w:rsidP="0077399B">
            <w:pPr>
              <w:spacing w:after="0" w:line="240" w:lineRule="auto"/>
              <w:rPr>
                <w:rFonts w:eastAsia="Times New Roman"/>
                <w:b/>
                <w:color w:val="000000"/>
                <w:sz w:val="20"/>
              </w:rPr>
            </w:pPr>
            <w:r w:rsidRPr="00CD7B6E">
              <w:rPr>
                <w:rFonts w:eastAsia="Times New Roman"/>
                <w:b/>
                <w:color w:val="000000"/>
                <w:sz w:val="20"/>
              </w:rPr>
              <w:t>Ekonomiskās aktivitātes līmenis</w:t>
            </w:r>
          </w:p>
          <w:p w:rsidR="00594BF4" w:rsidRPr="00CD7B6E" w:rsidRDefault="00594BF4" w:rsidP="0077399B">
            <w:pPr>
              <w:spacing w:after="0" w:line="240" w:lineRule="auto"/>
              <w:rPr>
                <w:rFonts w:eastAsia="Times New Roman"/>
                <w:color w:val="000000"/>
                <w:sz w:val="20"/>
              </w:rPr>
            </w:pPr>
            <w:r w:rsidRPr="00CD7B6E">
              <w:rPr>
                <w:rFonts w:eastAsia="Times New Roman"/>
                <w:color w:val="000000"/>
                <w:sz w:val="20"/>
              </w:rPr>
              <w:t>ekonomiski aktīvo iedzīvotāju skaits pret kopējo iedzīvotāju skaitu 15-74 gadu vecumā, %</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65,4</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6</w:t>
            </w:r>
            <w:r>
              <w:rPr>
                <w:rFonts w:eastAsia="Arial Unicode MS"/>
                <w:color w:val="000000"/>
                <w:sz w:val="20"/>
              </w:rPr>
              <w:t>3</w:t>
            </w:r>
            <w:r w:rsidRPr="00CD7B6E">
              <w:rPr>
                <w:rFonts w:eastAsia="Arial Unicode MS"/>
                <w:color w:val="000000"/>
                <w:sz w:val="20"/>
              </w:rPr>
              <w:t>,</w:t>
            </w:r>
            <w:r>
              <w:rPr>
                <w:rFonts w:eastAsia="Arial Unicode MS"/>
                <w:color w:val="000000"/>
                <w:sz w:val="20"/>
              </w:rPr>
              <w:t>7</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66,1</w:t>
            </w:r>
          </w:p>
        </w:tc>
      </w:tr>
      <w:tr w:rsidR="00A015A8" w:rsidRPr="00CD7B6E" w:rsidTr="005546B4">
        <w:trPr>
          <w:cnfStyle w:val="000000100000" w:firstRow="0" w:lastRow="0" w:firstColumn="0" w:lastColumn="0" w:oddVBand="0" w:evenVBand="0" w:oddHBand="1" w:evenHBand="0" w:firstRowFirstColumn="0" w:firstRowLastColumn="0" w:lastRowFirstColumn="0" w:lastRowLastColumn="0"/>
          <w:trHeight w:val="20"/>
          <w:jc w:val="center"/>
        </w:trPr>
        <w:tc>
          <w:tcPr>
            <w:tcW w:w="2303" w:type="pct"/>
          </w:tcPr>
          <w:p w:rsidR="00594BF4" w:rsidRPr="00CD7B6E" w:rsidRDefault="00594BF4" w:rsidP="0077399B">
            <w:pPr>
              <w:spacing w:after="0" w:line="240" w:lineRule="auto"/>
              <w:rPr>
                <w:rFonts w:eastAsia="Arial Unicode MS"/>
                <w:color w:val="000000"/>
                <w:sz w:val="20"/>
              </w:rPr>
            </w:pPr>
            <w:r w:rsidRPr="00CD7B6E">
              <w:rPr>
                <w:rFonts w:eastAsia="Times New Roman"/>
                <w:b/>
                <w:color w:val="000000"/>
                <w:sz w:val="20"/>
              </w:rPr>
              <w:t xml:space="preserve">Darba meklētāju skaits </w:t>
            </w:r>
            <w:r w:rsidRPr="00CD7B6E">
              <w:rPr>
                <w:rFonts w:eastAsia="Times New Roman"/>
                <w:b/>
                <w:color w:val="000000"/>
                <w:sz w:val="20"/>
              </w:rPr>
              <w:br/>
            </w:r>
            <w:r w:rsidRPr="00CD7B6E">
              <w:rPr>
                <w:rFonts w:eastAsia="Times New Roman"/>
                <w:bCs/>
                <w:color w:val="000000"/>
                <w:sz w:val="20"/>
              </w:rPr>
              <w:t>15-74</w:t>
            </w:r>
            <w:r w:rsidR="000E76F4">
              <w:rPr>
                <w:rFonts w:eastAsia="Times New Roman"/>
                <w:color w:val="000000"/>
                <w:sz w:val="20"/>
              </w:rPr>
              <w:t xml:space="preserve"> gadu vecuma grupā, </w:t>
            </w:r>
            <w:proofErr w:type="spellStart"/>
            <w:r w:rsidR="000E76F4">
              <w:rPr>
                <w:rFonts w:eastAsia="Times New Roman"/>
                <w:color w:val="000000"/>
                <w:sz w:val="20"/>
              </w:rPr>
              <w:t>tūkst</w:t>
            </w:r>
            <w:proofErr w:type="spellEnd"/>
            <w:r w:rsidR="000E76F4">
              <w:rPr>
                <w:rFonts w:eastAsia="Times New Roman"/>
                <w:color w:val="000000"/>
                <w:sz w:val="20"/>
              </w:rPr>
              <w:t>.</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176,4</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166,6</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155,5</w:t>
            </w:r>
          </w:p>
        </w:tc>
      </w:tr>
      <w:tr w:rsidR="00A015A8" w:rsidRPr="00CD7B6E" w:rsidTr="005546B4">
        <w:trPr>
          <w:trHeight w:val="20"/>
          <w:jc w:val="center"/>
        </w:trPr>
        <w:tc>
          <w:tcPr>
            <w:tcW w:w="2303" w:type="pct"/>
          </w:tcPr>
          <w:p w:rsidR="00594BF4" w:rsidRPr="00CD7B6E" w:rsidRDefault="00594BF4" w:rsidP="0077399B">
            <w:pPr>
              <w:spacing w:after="0" w:line="240" w:lineRule="auto"/>
              <w:rPr>
                <w:rFonts w:eastAsia="Times New Roman"/>
                <w:b/>
                <w:color w:val="000000"/>
                <w:sz w:val="20"/>
              </w:rPr>
            </w:pPr>
            <w:r w:rsidRPr="00CD7B6E">
              <w:rPr>
                <w:rFonts w:eastAsia="Times New Roman"/>
                <w:b/>
                <w:color w:val="000000"/>
                <w:sz w:val="20"/>
              </w:rPr>
              <w:t>Bezdarba līmenis</w:t>
            </w:r>
            <w:r w:rsidRPr="00CD7B6E">
              <w:rPr>
                <w:rFonts w:eastAsia="Times New Roman"/>
                <w:color w:val="000000"/>
                <w:sz w:val="20"/>
              </w:rPr>
              <w:t xml:space="preserve"> </w:t>
            </w:r>
            <w:r w:rsidRPr="00CD7B6E">
              <w:rPr>
                <w:rFonts w:eastAsia="Times New Roman"/>
                <w:color w:val="000000"/>
                <w:sz w:val="20"/>
              </w:rPr>
              <w:br/>
              <w:t xml:space="preserve">darba meklētāju īpatsvars ekonomiski aktīvo iedzīvotāju skaitā </w:t>
            </w:r>
            <w:r w:rsidRPr="00CD7B6E">
              <w:rPr>
                <w:rFonts w:eastAsia="Times New Roman"/>
                <w:bCs/>
                <w:color w:val="000000"/>
                <w:sz w:val="20"/>
              </w:rPr>
              <w:t>15-74</w:t>
            </w:r>
            <w:r w:rsidRPr="00CD7B6E">
              <w:rPr>
                <w:rFonts w:eastAsia="Times New Roman"/>
                <w:color w:val="000000"/>
                <w:sz w:val="20"/>
              </w:rPr>
              <w:t xml:space="preserve"> gadu vecumā, %</w:t>
            </w:r>
          </w:p>
        </w:tc>
        <w:tc>
          <w:tcPr>
            <w:tcW w:w="615" w:type="pct"/>
          </w:tcPr>
          <w:p w:rsidR="00594BF4" w:rsidRPr="00CD7B6E" w:rsidRDefault="00594BF4" w:rsidP="0077399B">
            <w:pPr>
              <w:tabs>
                <w:tab w:val="decimal" w:pos="536"/>
              </w:tabs>
              <w:spacing w:after="0" w:line="240" w:lineRule="auto"/>
              <w:rPr>
                <w:rFonts w:eastAsia="Arial Unicode MS"/>
                <w:color w:val="000000"/>
                <w:sz w:val="20"/>
              </w:rPr>
            </w:pPr>
            <w:r w:rsidRPr="00CD7B6E">
              <w:rPr>
                <w:rFonts w:eastAsia="Arial Unicode MS"/>
                <w:color w:val="000000"/>
                <w:sz w:val="20"/>
              </w:rPr>
              <w:t>15,4</w:t>
            </w:r>
          </w:p>
        </w:tc>
        <w:tc>
          <w:tcPr>
            <w:tcW w:w="1451" w:type="pct"/>
          </w:tcPr>
          <w:p w:rsidR="00594BF4" w:rsidRPr="00CD7B6E" w:rsidRDefault="00594BF4" w:rsidP="0077399B">
            <w:pPr>
              <w:tabs>
                <w:tab w:val="decimal" w:pos="1416"/>
              </w:tabs>
              <w:spacing w:after="0" w:line="240" w:lineRule="auto"/>
              <w:rPr>
                <w:rFonts w:eastAsia="Arial Unicode MS"/>
                <w:color w:val="000000"/>
                <w:sz w:val="20"/>
              </w:rPr>
            </w:pPr>
            <w:r w:rsidRPr="00CD7B6E">
              <w:rPr>
                <w:rFonts w:eastAsia="Arial Unicode MS"/>
                <w:color w:val="000000"/>
                <w:sz w:val="20"/>
              </w:rPr>
              <w:t>16,2</w:t>
            </w:r>
          </w:p>
        </w:tc>
        <w:tc>
          <w:tcPr>
            <w:tcW w:w="631" w:type="pct"/>
          </w:tcPr>
          <w:p w:rsidR="00594BF4" w:rsidRDefault="00594BF4" w:rsidP="0077399B">
            <w:pPr>
              <w:tabs>
                <w:tab w:val="decimal" w:pos="620"/>
              </w:tabs>
              <w:spacing w:after="0" w:line="240" w:lineRule="auto"/>
              <w:rPr>
                <w:rFonts w:eastAsia="Arial Unicode MS"/>
                <w:color w:val="000000"/>
                <w:sz w:val="20"/>
              </w:rPr>
            </w:pPr>
            <w:r>
              <w:rPr>
                <w:rFonts w:eastAsia="Arial Unicode MS"/>
                <w:color w:val="000000"/>
                <w:sz w:val="20"/>
              </w:rPr>
              <w:t>14,9</w:t>
            </w:r>
          </w:p>
        </w:tc>
      </w:tr>
    </w:tbl>
    <w:p w:rsidR="00CB0535" w:rsidRPr="00CB0535" w:rsidRDefault="00CB0535" w:rsidP="0077399B">
      <w:pPr>
        <w:spacing w:after="0" w:line="240" w:lineRule="auto"/>
        <w:jc w:val="both"/>
        <w:rPr>
          <w:spacing w:val="-2"/>
          <w:sz w:val="8"/>
          <w:szCs w:val="20"/>
        </w:rPr>
      </w:pPr>
    </w:p>
    <w:p w:rsidR="00687CB9" w:rsidRPr="00EB30C9" w:rsidRDefault="004F4F84" w:rsidP="0077399B">
      <w:pPr>
        <w:spacing w:after="0" w:line="240" w:lineRule="auto"/>
        <w:jc w:val="both"/>
        <w:rPr>
          <w:spacing w:val="-2"/>
          <w:szCs w:val="20"/>
        </w:rPr>
      </w:pPr>
      <w:r w:rsidRPr="00EB30C9">
        <w:rPr>
          <w:spacing w:val="-2"/>
          <w:szCs w:val="20"/>
        </w:rPr>
        <w:t>Avots: CSP</w:t>
      </w:r>
    </w:p>
    <w:p w:rsidR="00687CB9" w:rsidRPr="00CB0535" w:rsidRDefault="00687CB9" w:rsidP="0077399B">
      <w:pPr>
        <w:spacing w:after="0" w:line="240" w:lineRule="auto"/>
        <w:jc w:val="both"/>
        <w:rPr>
          <w:sz w:val="26"/>
          <w:szCs w:val="26"/>
        </w:rPr>
      </w:pPr>
    </w:p>
    <w:p w:rsidR="00687CB9" w:rsidRDefault="00826C45" w:rsidP="0077399B">
      <w:pPr>
        <w:pStyle w:val="Heading2"/>
        <w:pBdr>
          <w:bottom w:val="thinThickSmallGap" w:sz="18" w:space="1" w:color="8064A2" w:themeColor="accent4"/>
        </w:pBdr>
        <w:spacing w:before="0" w:after="0" w:line="240" w:lineRule="auto"/>
        <w:rPr>
          <w:szCs w:val="28"/>
        </w:rPr>
      </w:pPr>
      <w:bookmarkStart w:id="11" w:name="_Toc293074219"/>
      <w:bookmarkStart w:id="12" w:name="_Toc357503112"/>
      <w:bookmarkEnd w:id="10"/>
      <w:r w:rsidRPr="00CD7B6E">
        <w:rPr>
          <w:szCs w:val="28"/>
        </w:rPr>
        <w:t>1.3. Darbaspēka izmaksas un produktivitāte</w:t>
      </w:r>
      <w:bookmarkEnd w:id="11"/>
      <w:bookmarkEnd w:id="12"/>
    </w:p>
    <w:p w:rsidR="00687CB9" w:rsidRDefault="00687CB9" w:rsidP="00C12DD4">
      <w:pPr>
        <w:spacing w:after="0" w:line="240" w:lineRule="auto"/>
        <w:jc w:val="both"/>
        <w:rPr>
          <w:sz w:val="26"/>
          <w:szCs w:val="26"/>
        </w:rPr>
      </w:pPr>
    </w:p>
    <w:p w:rsidR="00687CB9" w:rsidRDefault="00B63CA0" w:rsidP="0077399B">
      <w:pPr>
        <w:spacing w:after="0" w:line="240" w:lineRule="auto"/>
        <w:ind w:firstLine="567"/>
        <w:jc w:val="both"/>
        <w:rPr>
          <w:sz w:val="26"/>
          <w:szCs w:val="26"/>
        </w:rPr>
      </w:pPr>
      <w:r w:rsidRPr="00944E4E">
        <w:rPr>
          <w:sz w:val="26"/>
          <w:szCs w:val="26"/>
        </w:rPr>
        <w:t>Ekonomikas lejupslīdes laikā notika būtiskas korekcijas darba tirgū, kā rezultātā samazinājās gan nodarbināto skaits, gan strādājošo darba samaksa. Ekonomisko aktivitāšu mazināšanās 2008.gadā vispirms ietekmēja nodarbināto skaita samazi</w:t>
      </w:r>
      <w:r w:rsidR="00CE2B15">
        <w:rPr>
          <w:sz w:val="26"/>
          <w:szCs w:val="26"/>
        </w:rPr>
        <w:softHyphen/>
      </w:r>
      <w:r w:rsidRPr="00944E4E">
        <w:rPr>
          <w:sz w:val="26"/>
          <w:szCs w:val="26"/>
        </w:rPr>
        <w:lastRenderedPageBreak/>
        <w:t xml:space="preserve">nāšanos, savukārt darba samaksa saglabājās samērā augstā līmenī. 2009.gadā, līdztekus nodarbinātības samazinājumam, bija vērojama arī darba samaksas korekcija. </w:t>
      </w:r>
      <w:r>
        <w:rPr>
          <w:sz w:val="26"/>
          <w:szCs w:val="26"/>
        </w:rPr>
        <w:t>Kopš 2010.gada, s</w:t>
      </w:r>
      <w:r w:rsidRPr="00944E4E">
        <w:rPr>
          <w:sz w:val="26"/>
          <w:szCs w:val="26"/>
        </w:rPr>
        <w:t>tabilizējoties ekonomiskai situācijai, darba samaksas un nodarbi</w:t>
      </w:r>
      <w:r w:rsidR="00CE2B15">
        <w:rPr>
          <w:sz w:val="26"/>
          <w:szCs w:val="26"/>
        </w:rPr>
        <w:softHyphen/>
      </w:r>
      <w:r w:rsidRPr="00944E4E">
        <w:rPr>
          <w:sz w:val="26"/>
          <w:szCs w:val="26"/>
        </w:rPr>
        <w:t xml:space="preserve">nātības </w:t>
      </w:r>
      <w:r w:rsidR="00F26ECE">
        <w:rPr>
          <w:sz w:val="26"/>
          <w:szCs w:val="26"/>
        </w:rPr>
        <w:t xml:space="preserve">pieaugums ir </w:t>
      </w:r>
      <w:r w:rsidRPr="00944E4E">
        <w:rPr>
          <w:sz w:val="26"/>
          <w:szCs w:val="26"/>
        </w:rPr>
        <w:t>mēren</w:t>
      </w:r>
      <w:r w:rsidR="00F26ECE">
        <w:rPr>
          <w:sz w:val="26"/>
          <w:szCs w:val="26"/>
        </w:rPr>
        <w:t>s</w:t>
      </w:r>
      <w:r>
        <w:rPr>
          <w:sz w:val="26"/>
          <w:szCs w:val="26"/>
        </w:rPr>
        <w:t>.</w:t>
      </w:r>
    </w:p>
    <w:p w:rsidR="00687CB9" w:rsidRDefault="00B63CA0" w:rsidP="0077399B">
      <w:pPr>
        <w:spacing w:after="0" w:line="240" w:lineRule="auto"/>
        <w:ind w:firstLine="567"/>
        <w:jc w:val="both"/>
        <w:rPr>
          <w:sz w:val="26"/>
          <w:szCs w:val="26"/>
        </w:rPr>
      </w:pPr>
      <w:r w:rsidRPr="00D5707D">
        <w:rPr>
          <w:sz w:val="26"/>
          <w:szCs w:val="26"/>
        </w:rPr>
        <w:t xml:space="preserve">Vidējā bruto darba samaksa 2012.gadā bija 481 lats, </w:t>
      </w:r>
      <w:r>
        <w:rPr>
          <w:sz w:val="26"/>
          <w:szCs w:val="26"/>
        </w:rPr>
        <w:t xml:space="preserve">kas </w:t>
      </w:r>
      <w:r w:rsidRPr="00D5707D">
        <w:rPr>
          <w:sz w:val="26"/>
          <w:szCs w:val="26"/>
        </w:rPr>
        <w:t xml:space="preserve">par 3,7% pārsniedza </w:t>
      </w:r>
      <w:r>
        <w:rPr>
          <w:sz w:val="26"/>
          <w:szCs w:val="26"/>
        </w:rPr>
        <w:t>2011.</w:t>
      </w:r>
      <w:r w:rsidRPr="00D5707D">
        <w:rPr>
          <w:sz w:val="26"/>
          <w:szCs w:val="26"/>
        </w:rPr>
        <w:t xml:space="preserve">gada līmeni un bija tikai par 0,4% </w:t>
      </w:r>
      <w:r w:rsidR="00CE2B15">
        <w:rPr>
          <w:sz w:val="26"/>
          <w:szCs w:val="26"/>
        </w:rPr>
        <w:t>augstākā līmenī nekā 2008.gadā.</w:t>
      </w:r>
    </w:p>
    <w:p w:rsidR="00B63CA0" w:rsidRPr="00944E4E" w:rsidRDefault="00B63CA0" w:rsidP="00B05745">
      <w:pPr>
        <w:spacing w:after="120" w:line="240" w:lineRule="auto"/>
        <w:jc w:val="right"/>
        <w:rPr>
          <w:sz w:val="26"/>
          <w:szCs w:val="26"/>
        </w:rPr>
      </w:pPr>
      <w:r w:rsidRPr="00944E4E">
        <w:rPr>
          <w:sz w:val="26"/>
          <w:szCs w:val="26"/>
        </w:rPr>
        <w:t>1.</w:t>
      </w:r>
      <w:r w:rsidR="00743675">
        <w:rPr>
          <w:sz w:val="26"/>
          <w:szCs w:val="26"/>
        </w:rPr>
        <w:t>4</w:t>
      </w:r>
      <w:r w:rsidRPr="00944E4E">
        <w:rPr>
          <w:sz w:val="26"/>
          <w:szCs w:val="26"/>
        </w:rPr>
        <w:t>.</w:t>
      </w:r>
      <w:r w:rsidR="002F6F95">
        <w:rPr>
          <w:sz w:val="26"/>
          <w:szCs w:val="26"/>
        </w:rPr>
        <w:t> </w:t>
      </w:r>
      <w:r w:rsidRPr="00944E4E">
        <w:rPr>
          <w:sz w:val="26"/>
          <w:szCs w:val="26"/>
        </w:rPr>
        <w:t>attēls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63CA0" w:rsidRPr="00B05745" w:rsidTr="004F4F84">
        <w:tc>
          <w:tcPr>
            <w:tcW w:w="4643" w:type="dxa"/>
          </w:tcPr>
          <w:p w:rsidR="00B63CA0" w:rsidRPr="00B05745" w:rsidRDefault="00B63CA0" w:rsidP="0077399B">
            <w:pPr>
              <w:spacing w:after="0" w:line="240" w:lineRule="auto"/>
              <w:jc w:val="center"/>
              <w:rPr>
                <w:b/>
                <w:bCs/>
                <w:sz w:val="26"/>
              </w:rPr>
            </w:pPr>
            <w:r w:rsidRPr="00B05745">
              <w:rPr>
                <w:b/>
                <w:bCs/>
                <w:sz w:val="26"/>
              </w:rPr>
              <w:t xml:space="preserve">Strādājošo mēneša vidējā </w:t>
            </w:r>
            <w:r w:rsidR="00A015A8" w:rsidRPr="00B05745">
              <w:rPr>
                <w:b/>
                <w:bCs/>
                <w:sz w:val="26"/>
              </w:rPr>
              <w:br/>
            </w:r>
            <w:r w:rsidRPr="00B05745">
              <w:rPr>
                <w:b/>
                <w:bCs/>
                <w:sz w:val="26"/>
              </w:rPr>
              <w:t xml:space="preserve">bruto darba samaksa </w:t>
            </w:r>
            <w:r w:rsidR="00A015A8" w:rsidRPr="00B05745">
              <w:rPr>
                <w:b/>
                <w:bCs/>
                <w:sz w:val="26"/>
              </w:rPr>
              <w:br/>
            </w:r>
            <w:r w:rsidRPr="00B05745">
              <w:rPr>
                <w:bCs/>
                <w:sz w:val="26"/>
              </w:rPr>
              <w:t>(latos)</w:t>
            </w:r>
          </w:p>
        </w:tc>
        <w:tc>
          <w:tcPr>
            <w:tcW w:w="4644" w:type="dxa"/>
          </w:tcPr>
          <w:p w:rsidR="00B63CA0" w:rsidRPr="00B05745" w:rsidRDefault="00B63CA0" w:rsidP="0077399B">
            <w:pPr>
              <w:spacing w:after="0" w:line="240" w:lineRule="auto"/>
              <w:jc w:val="center"/>
              <w:rPr>
                <w:b/>
                <w:bCs/>
                <w:sz w:val="26"/>
              </w:rPr>
            </w:pPr>
            <w:r w:rsidRPr="00B05745">
              <w:rPr>
                <w:b/>
                <w:bCs/>
                <w:sz w:val="26"/>
              </w:rPr>
              <w:t xml:space="preserve">Strādājošo mēneša vidējā bruto darba samaksa sabiedriskajā un privātajā sektorā </w:t>
            </w:r>
            <w:r w:rsidRPr="00B05745">
              <w:rPr>
                <w:sz w:val="26"/>
              </w:rPr>
              <w:t>(2005.g.=100)</w:t>
            </w:r>
          </w:p>
        </w:tc>
      </w:tr>
      <w:tr w:rsidR="00B63CA0" w:rsidRPr="00944E4E" w:rsidTr="004F4F84">
        <w:tc>
          <w:tcPr>
            <w:tcW w:w="4643" w:type="dxa"/>
          </w:tcPr>
          <w:p w:rsidR="00B63CA0" w:rsidRPr="00944E4E" w:rsidRDefault="00B63CA0" w:rsidP="0077399B">
            <w:pPr>
              <w:spacing w:after="0" w:line="240" w:lineRule="auto"/>
              <w:jc w:val="center"/>
              <w:rPr>
                <w:b/>
                <w:bCs/>
                <w:sz w:val="26"/>
                <w:szCs w:val="26"/>
              </w:rPr>
            </w:pPr>
            <w:r w:rsidRPr="00944E4E">
              <w:rPr>
                <w:noProof/>
                <w:lang w:eastAsia="lv-LV"/>
              </w:rPr>
              <w:drawing>
                <wp:inline distT="0" distB="0" distL="0" distR="0" wp14:anchorId="4D9ED6F0" wp14:editId="61A88D60">
                  <wp:extent cx="2808000" cy="2160000"/>
                  <wp:effectExtent l="0" t="0" r="0" b="0"/>
                  <wp:docPr id="1" name="Objec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44" w:type="dxa"/>
          </w:tcPr>
          <w:p w:rsidR="00B63CA0" w:rsidRPr="00944E4E" w:rsidRDefault="00B63CA0" w:rsidP="0077399B">
            <w:pPr>
              <w:spacing w:after="0" w:line="240" w:lineRule="auto"/>
              <w:jc w:val="center"/>
              <w:rPr>
                <w:b/>
                <w:bCs/>
                <w:sz w:val="26"/>
                <w:szCs w:val="26"/>
              </w:rPr>
            </w:pPr>
            <w:r w:rsidRPr="00944E4E">
              <w:rPr>
                <w:noProof/>
                <w:lang w:eastAsia="lv-LV"/>
              </w:rPr>
              <w:drawing>
                <wp:inline distT="0" distB="0" distL="0" distR="0" wp14:anchorId="1A449410" wp14:editId="53F0EAC6">
                  <wp:extent cx="2808000" cy="2160000"/>
                  <wp:effectExtent l="0" t="0" r="0" b="0"/>
                  <wp:docPr id="6" name="Objec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2F6F95" w:rsidRPr="002F6F95" w:rsidRDefault="002F6F95" w:rsidP="0077399B">
      <w:pPr>
        <w:spacing w:after="0" w:line="240" w:lineRule="auto"/>
        <w:jc w:val="both"/>
        <w:rPr>
          <w:spacing w:val="-2"/>
          <w:sz w:val="8"/>
          <w:szCs w:val="20"/>
        </w:rPr>
      </w:pPr>
    </w:p>
    <w:p w:rsidR="00687CB9" w:rsidRPr="00EB30C9" w:rsidRDefault="004F4F84" w:rsidP="0077399B">
      <w:pPr>
        <w:spacing w:after="0" w:line="240" w:lineRule="auto"/>
        <w:jc w:val="both"/>
        <w:rPr>
          <w:spacing w:val="-2"/>
          <w:szCs w:val="20"/>
        </w:rPr>
      </w:pPr>
      <w:r w:rsidRPr="00EB30C9">
        <w:rPr>
          <w:spacing w:val="-2"/>
          <w:szCs w:val="20"/>
        </w:rPr>
        <w:t>Avots: CSP</w:t>
      </w:r>
    </w:p>
    <w:p w:rsidR="00687CB9" w:rsidRDefault="00687CB9" w:rsidP="0077399B">
      <w:pPr>
        <w:spacing w:after="0" w:line="240" w:lineRule="auto"/>
        <w:ind w:firstLine="567"/>
        <w:jc w:val="both"/>
        <w:rPr>
          <w:sz w:val="26"/>
          <w:szCs w:val="26"/>
        </w:rPr>
      </w:pPr>
    </w:p>
    <w:p w:rsidR="00687CB9" w:rsidRDefault="00B63CA0" w:rsidP="0077399B">
      <w:pPr>
        <w:spacing w:after="0" w:line="240" w:lineRule="auto"/>
        <w:ind w:firstLine="567"/>
        <w:jc w:val="both"/>
        <w:rPr>
          <w:sz w:val="26"/>
          <w:szCs w:val="26"/>
        </w:rPr>
      </w:pPr>
      <w:r w:rsidRPr="00E75361">
        <w:rPr>
          <w:sz w:val="26"/>
          <w:szCs w:val="26"/>
        </w:rPr>
        <w:t>2012.gadā vidējā bruto darba samaksa sabiedriskajā sektorā bija 515 lati, kas bija par 4,5% augstākā līmenī nekā 2011.gadā, taču par 8,5% zemākā līmenī nekā 2008.gadā. Jāatzīmē, ka sabiedriskajā sektorā strādājošo darba samaksas samazinājums krīzes laikā bija daudz lielāks nekā privātajā sektorā, ko noteica nepieciešamība ierobežot valsts budžeta tēriņus. Privātajā sektorā vidējā bruto darba samaksa 2012.gadā bija 463 lati, kas bija par 3,5% augstākā līmenī nekā 2011.gadā, un par 5,</w:t>
      </w:r>
      <w:r w:rsidR="008F2AA8">
        <w:rPr>
          <w:sz w:val="26"/>
          <w:szCs w:val="26"/>
        </w:rPr>
        <w:t>7% pārsniedza 2008.gada līmeni.</w:t>
      </w:r>
    </w:p>
    <w:p w:rsidR="00687CB9" w:rsidRDefault="00B63CA0" w:rsidP="0077399B">
      <w:pPr>
        <w:spacing w:after="0" w:line="240" w:lineRule="auto"/>
        <w:ind w:firstLine="567"/>
        <w:jc w:val="both"/>
        <w:rPr>
          <w:rFonts w:ascii="Garamond" w:hAnsi="Garamond"/>
          <w:sz w:val="21"/>
          <w:szCs w:val="21"/>
        </w:rPr>
      </w:pPr>
      <w:r w:rsidRPr="00E75361">
        <w:rPr>
          <w:sz w:val="26"/>
          <w:szCs w:val="26"/>
        </w:rPr>
        <w:t>2012.gadā, salīdzinot ar 2011.gadu, sabiedriskajā sektorā vidējā bruto samaksa pieauga nedaudz straujāk nekā privātajā sektorā, līdz ar to pakāpeniski sabiedriskajā un privātajā sektorā darba samaksas līmenis izlīdzinās. 2012.gadā privātajā sektorā vidējā bruto darba samaksa bija par 11% zemākā līmenī nekā sabiedriskajā sektorā, pretēji 2008.gadam, kad privātajā sektorā vidēja bruto darba samaksa bija par 28,8% zemākā līmenī</w:t>
      </w:r>
      <w:r>
        <w:rPr>
          <w:rFonts w:ascii="Garamond" w:hAnsi="Garamond"/>
          <w:sz w:val="21"/>
          <w:szCs w:val="21"/>
        </w:rPr>
        <w:t>.</w:t>
      </w:r>
    </w:p>
    <w:p w:rsidR="00687CB9" w:rsidRDefault="00B63CA0" w:rsidP="0077399B">
      <w:pPr>
        <w:spacing w:after="0" w:line="240" w:lineRule="auto"/>
        <w:ind w:firstLine="567"/>
        <w:jc w:val="both"/>
        <w:rPr>
          <w:sz w:val="26"/>
          <w:szCs w:val="26"/>
        </w:rPr>
      </w:pPr>
      <w:r w:rsidRPr="00E75361">
        <w:rPr>
          <w:sz w:val="26"/>
          <w:szCs w:val="26"/>
        </w:rPr>
        <w:t xml:space="preserve">Darba samaksas dinamika tautsaimniecības nozarēs 2012.gadā bija atšķirīga. </w:t>
      </w:r>
      <w:r>
        <w:rPr>
          <w:sz w:val="26"/>
          <w:szCs w:val="26"/>
        </w:rPr>
        <w:t>2012.</w:t>
      </w:r>
      <w:r w:rsidRPr="00E75361">
        <w:rPr>
          <w:sz w:val="26"/>
          <w:szCs w:val="26"/>
        </w:rPr>
        <w:t>gadā, salīdzinot ar 2011.gadu, straujākais darba samaksas pieaugums bija vērojams transporta nozarē, elektroenerģijas un gāzes apgādē, tirdzniecībā un finanšu un apdrošināšanas jomā. Mērenāk darba samaksa pieauga IKT, būvniecības un veselības aprūpes nozarēs. Savukārt atsevišķās nozarēs darba samaksa pat nedaudz samazinājusies, kā piemēram, ieguves rūpniecībā.</w:t>
      </w:r>
    </w:p>
    <w:p w:rsidR="00687CB9" w:rsidRDefault="00B63CA0" w:rsidP="00BD369D">
      <w:pPr>
        <w:spacing w:after="0" w:line="240" w:lineRule="auto"/>
        <w:ind w:firstLine="567"/>
        <w:jc w:val="both"/>
        <w:rPr>
          <w:sz w:val="26"/>
          <w:szCs w:val="26"/>
        </w:rPr>
      </w:pPr>
      <w:r w:rsidRPr="00805522">
        <w:rPr>
          <w:sz w:val="26"/>
          <w:szCs w:val="26"/>
        </w:rPr>
        <w:t>Latvijas galvenajā eksporta nozarē – apstrādes rūpniecībā 2012.gadā vidējā bruto darba samaksa, salīdzinot ar 2011.gadu, pieauga par 4,6%, un bija par 8% lielāka nekā 2008.gadā. Kopumā pieaugums apstrādes rūpniecībā 2012.gadā bija straujāks nekā vidēji tautsaimniecībā.</w:t>
      </w:r>
    </w:p>
    <w:p w:rsidR="00687CB9" w:rsidRDefault="00687CB9" w:rsidP="0077399B">
      <w:pPr>
        <w:spacing w:after="0" w:line="240" w:lineRule="auto"/>
        <w:ind w:firstLine="426"/>
        <w:jc w:val="both"/>
        <w:rPr>
          <w:sz w:val="8"/>
          <w:szCs w:val="26"/>
        </w:rPr>
      </w:pPr>
    </w:p>
    <w:p w:rsidR="00687CB9" w:rsidRDefault="00826C45" w:rsidP="00BD369D">
      <w:pPr>
        <w:spacing w:after="0" w:line="240" w:lineRule="auto"/>
        <w:ind w:firstLine="567"/>
        <w:jc w:val="both"/>
        <w:rPr>
          <w:sz w:val="26"/>
          <w:szCs w:val="26"/>
        </w:rPr>
      </w:pPr>
      <w:r w:rsidRPr="00CD7B6E">
        <w:rPr>
          <w:sz w:val="26"/>
          <w:szCs w:val="26"/>
        </w:rPr>
        <w:lastRenderedPageBreak/>
        <w:t>Krīzes radītās korekcijas preču un darba tirgos mazināja plaisu starp produktivitāti un darbaspēka izmaksām, kā rezultātā Latvijas konkurētspēja ārējos tirgos pakāpeniski uzlabojās. Par to liecina produkcijas vienības darbaspēka izmaksu (ULC)</w:t>
      </w:r>
      <w:r w:rsidRPr="00CD7B6E">
        <w:rPr>
          <w:rStyle w:val="FootnoteReference"/>
          <w:sz w:val="26"/>
          <w:szCs w:val="26"/>
        </w:rPr>
        <w:footnoteReference w:id="1"/>
      </w:r>
      <w:r w:rsidR="008F2AA8">
        <w:rPr>
          <w:sz w:val="26"/>
          <w:szCs w:val="26"/>
        </w:rPr>
        <w:t xml:space="preserve"> dinamika.</w:t>
      </w:r>
    </w:p>
    <w:p w:rsidR="00826C45" w:rsidRPr="00CD7B6E" w:rsidRDefault="00826C45" w:rsidP="0077399B">
      <w:pPr>
        <w:spacing w:after="0" w:line="240" w:lineRule="auto"/>
        <w:ind w:firstLine="720"/>
        <w:jc w:val="right"/>
        <w:rPr>
          <w:sz w:val="26"/>
          <w:szCs w:val="26"/>
        </w:rPr>
      </w:pPr>
      <w:r w:rsidRPr="00CD7B6E">
        <w:rPr>
          <w:sz w:val="26"/>
          <w:szCs w:val="26"/>
        </w:rPr>
        <w:t>1.</w:t>
      </w:r>
      <w:r w:rsidR="00743675">
        <w:rPr>
          <w:sz w:val="26"/>
          <w:szCs w:val="26"/>
        </w:rPr>
        <w:t>5</w:t>
      </w:r>
      <w:r w:rsidRPr="00CD7B6E">
        <w:rPr>
          <w:sz w:val="26"/>
          <w:szCs w:val="26"/>
        </w:rPr>
        <w:t>. attēls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826C45" w:rsidRPr="00CD7B6E" w:rsidTr="004F4F84">
        <w:tc>
          <w:tcPr>
            <w:tcW w:w="4643" w:type="dxa"/>
          </w:tcPr>
          <w:p w:rsidR="00826C45" w:rsidRPr="00CD7B6E" w:rsidRDefault="00826C45" w:rsidP="0077399B">
            <w:pPr>
              <w:spacing w:after="0" w:line="240" w:lineRule="auto"/>
              <w:jc w:val="center"/>
              <w:rPr>
                <w:b/>
                <w:sz w:val="26"/>
                <w:szCs w:val="26"/>
              </w:rPr>
            </w:pPr>
            <w:r w:rsidRPr="00CD7B6E">
              <w:rPr>
                <w:b/>
                <w:sz w:val="26"/>
                <w:szCs w:val="26"/>
              </w:rPr>
              <w:t xml:space="preserve">Reālā </w:t>
            </w:r>
            <w:r w:rsidRPr="00CD7B6E">
              <w:rPr>
                <w:b/>
                <w:bCs/>
                <w:sz w:val="26"/>
                <w:szCs w:val="26"/>
              </w:rPr>
              <w:t xml:space="preserve">ULC izmaiņas </w:t>
            </w:r>
            <w:r w:rsidRPr="00CD7B6E">
              <w:rPr>
                <w:b/>
                <w:bCs/>
                <w:sz w:val="26"/>
                <w:szCs w:val="26"/>
              </w:rPr>
              <w:br/>
              <w:t xml:space="preserve">ES un Baltijas valstīs </w:t>
            </w:r>
            <w:r w:rsidRPr="00CD7B6E">
              <w:rPr>
                <w:b/>
                <w:bCs/>
                <w:sz w:val="26"/>
                <w:szCs w:val="26"/>
              </w:rPr>
              <w:br/>
            </w:r>
            <w:r w:rsidRPr="00CD7B6E">
              <w:t>(200</w:t>
            </w:r>
            <w:r w:rsidR="004F4F84">
              <w:t>5</w:t>
            </w:r>
            <w:r w:rsidRPr="00CD7B6E">
              <w:t xml:space="preserve"> =100)</w:t>
            </w:r>
          </w:p>
        </w:tc>
        <w:tc>
          <w:tcPr>
            <w:tcW w:w="4644" w:type="dxa"/>
          </w:tcPr>
          <w:p w:rsidR="00826C45" w:rsidRPr="00CD7B6E" w:rsidRDefault="00826C45" w:rsidP="0077399B">
            <w:pPr>
              <w:spacing w:after="0" w:line="240" w:lineRule="auto"/>
              <w:jc w:val="center"/>
              <w:rPr>
                <w:b/>
                <w:sz w:val="26"/>
                <w:szCs w:val="26"/>
              </w:rPr>
            </w:pPr>
            <w:r w:rsidRPr="00CD7B6E">
              <w:rPr>
                <w:b/>
                <w:sz w:val="26"/>
                <w:szCs w:val="26"/>
              </w:rPr>
              <w:t>Darbaspēka izmaksu izmaiņas Latvijā</w:t>
            </w:r>
            <w:r w:rsidRPr="00CD7B6E">
              <w:rPr>
                <w:b/>
                <w:sz w:val="26"/>
                <w:szCs w:val="26"/>
              </w:rPr>
              <w:br/>
            </w:r>
            <w:r w:rsidR="004F4F84">
              <w:rPr>
                <w:szCs w:val="28"/>
              </w:rPr>
              <w:t>(2005</w:t>
            </w:r>
            <w:r w:rsidRPr="00CD7B6E">
              <w:rPr>
                <w:szCs w:val="28"/>
              </w:rPr>
              <w:t> =100)</w:t>
            </w:r>
          </w:p>
        </w:tc>
      </w:tr>
      <w:tr w:rsidR="00826C45" w:rsidRPr="00CD7B6E" w:rsidTr="00A015A8">
        <w:trPr>
          <w:trHeight w:val="3061"/>
        </w:trPr>
        <w:tc>
          <w:tcPr>
            <w:tcW w:w="4643" w:type="dxa"/>
          </w:tcPr>
          <w:p w:rsidR="00826C45" w:rsidRPr="00CD7B6E" w:rsidRDefault="00826C45" w:rsidP="0077399B">
            <w:pPr>
              <w:spacing w:after="0" w:line="240" w:lineRule="auto"/>
              <w:jc w:val="center"/>
              <w:rPr>
                <w:b/>
                <w:sz w:val="26"/>
                <w:szCs w:val="26"/>
              </w:rPr>
            </w:pPr>
            <w:r w:rsidRPr="00CD7B6E">
              <w:rPr>
                <w:noProof/>
                <w:lang w:eastAsia="lv-LV"/>
              </w:rPr>
              <w:drawing>
                <wp:inline distT="0" distB="0" distL="0" distR="0" wp14:anchorId="5C6B9A46" wp14:editId="270A624C">
                  <wp:extent cx="2844000" cy="216000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44" w:type="dxa"/>
          </w:tcPr>
          <w:p w:rsidR="00826C45" w:rsidRPr="00CD7B6E" w:rsidRDefault="00826C45" w:rsidP="0077399B">
            <w:pPr>
              <w:spacing w:after="0" w:line="240" w:lineRule="auto"/>
              <w:jc w:val="center"/>
              <w:rPr>
                <w:b/>
                <w:sz w:val="26"/>
                <w:szCs w:val="26"/>
              </w:rPr>
            </w:pPr>
            <w:r w:rsidRPr="00CD7B6E">
              <w:rPr>
                <w:noProof/>
                <w:lang w:eastAsia="lv-LV"/>
              </w:rPr>
              <w:drawing>
                <wp:inline distT="0" distB="0" distL="0" distR="0" wp14:anchorId="5469C28B" wp14:editId="78592C87">
                  <wp:extent cx="2844000" cy="216000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2F6F95" w:rsidRPr="002F6F95" w:rsidRDefault="002F6F95" w:rsidP="0077399B">
      <w:pPr>
        <w:spacing w:after="0" w:line="240" w:lineRule="auto"/>
        <w:jc w:val="both"/>
        <w:rPr>
          <w:spacing w:val="-2"/>
          <w:sz w:val="8"/>
          <w:szCs w:val="20"/>
        </w:rPr>
      </w:pPr>
    </w:p>
    <w:p w:rsidR="00687CB9" w:rsidRPr="00743675" w:rsidRDefault="004F4F84" w:rsidP="0077399B">
      <w:pPr>
        <w:spacing w:after="0" w:line="240" w:lineRule="auto"/>
        <w:jc w:val="both"/>
        <w:rPr>
          <w:spacing w:val="-2"/>
          <w:szCs w:val="20"/>
        </w:rPr>
      </w:pPr>
      <w:r w:rsidRPr="00743675">
        <w:rPr>
          <w:spacing w:val="-2"/>
          <w:szCs w:val="20"/>
        </w:rPr>
        <w:t>Avots: CSP</w:t>
      </w:r>
    </w:p>
    <w:p w:rsidR="00687CB9" w:rsidRDefault="00687CB9" w:rsidP="0077399B">
      <w:pPr>
        <w:spacing w:after="0" w:line="240" w:lineRule="auto"/>
        <w:ind w:firstLine="567"/>
        <w:jc w:val="both"/>
        <w:rPr>
          <w:sz w:val="26"/>
          <w:szCs w:val="26"/>
        </w:rPr>
      </w:pPr>
    </w:p>
    <w:p w:rsidR="00687CB9" w:rsidRDefault="00E8168E" w:rsidP="00BD369D">
      <w:pPr>
        <w:spacing w:after="0" w:line="240" w:lineRule="auto"/>
        <w:ind w:firstLine="567"/>
        <w:jc w:val="both"/>
        <w:rPr>
          <w:sz w:val="26"/>
          <w:szCs w:val="26"/>
        </w:rPr>
      </w:pPr>
      <w:r w:rsidRPr="00F26ECE">
        <w:rPr>
          <w:sz w:val="26"/>
          <w:szCs w:val="26"/>
        </w:rPr>
        <w:t xml:space="preserve">Atšķirībā no straujās izaugsmes </w:t>
      </w:r>
      <w:r w:rsidR="000E76F4">
        <w:rPr>
          <w:sz w:val="26"/>
          <w:szCs w:val="26"/>
        </w:rPr>
        <w:t>gadiem, ULC dinamika kopš 2008.</w:t>
      </w:r>
      <w:r w:rsidRPr="00F26ECE">
        <w:rPr>
          <w:sz w:val="26"/>
          <w:szCs w:val="26"/>
        </w:rPr>
        <w:t xml:space="preserve">gada lielā mērā ir saistīta ar cikliskā </w:t>
      </w:r>
      <w:r w:rsidR="000E76F4">
        <w:rPr>
          <w:sz w:val="26"/>
          <w:szCs w:val="26"/>
        </w:rPr>
        <w:t>rakstura faktoriem</w:t>
      </w:r>
      <w:r w:rsidRPr="00F26ECE">
        <w:rPr>
          <w:sz w:val="26"/>
          <w:szCs w:val="26"/>
        </w:rPr>
        <w:t xml:space="preserve"> jeb krīzes sekām. Jāatzīmē, ka preču tirgi ir daudz jūtīgāki pret konjunktūras cikliskām svārstībām nekā darba tirgi. 2008.gadā, salīdzinot ar 2007.gadu, IKP samazinājās par 3,3%, kamēr nodarbināto skaits saglabājās iepriekšējā gada līmenī, bet algas pieauga.</w:t>
      </w:r>
      <w:r w:rsidR="00886C81">
        <w:rPr>
          <w:sz w:val="26"/>
          <w:szCs w:val="26"/>
        </w:rPr>
        <w:t xml:space="preserve"> </w:t>
      </w:r>
      <w:r w:rsidRPr="00F26ECE">
        <w:rPr>
          <w:sz w:val="26"/>
          <w:szCs w:val="26"/>
        </w:rPr>
        <w:t>Darbaspēka izmaksas 2008.gadā vēl turpināja pieaugt (par 15,7%), kamēr produktivitāte samazinājās par 4,2%, kā rezultātā nominālais ULC palielinājās par 20,7 procentiem.</w:t>
      </w:r>
    </w:p>
    <w:p w:rsidR="00687CB9" w:rsidRDefault="00E8168E" w:rsidP="00BD369D">
      <w:pPr>
        <w:spacing w:after="0" w:line="240" w:lineRule="auto"/>
        <w:ind w:firstLine="567"/>
        <w:jc w:val="both"/>
        <w:rPr>
          <w:sz w:val="26"/>
          <w:szCs w:val="26"/>
        </w:rPr>
      </w:pPr>
      <w:r w:rsidRPr="00F26ECE">
        <w:rPr>
          <w:sz w:val="26"/>
          <w:szCs w:val="26"/>
        </w:rPr>
        <w:t>Nozīmīg</w:t>
      </w:r>
      <w:r w:rsidR="000E76F4">
        <w:rPr>
          <w:sz w:val="26"/>
          <w:szCs w:val="26"/>
        </w:rPr>
        <w:t>ās korekcijas darba tirgū 2009.</w:t>
      </w:r>
      <w:r w:rsidRPr="00F26ECE">
        <w:rPr>
          <w:sz w:val="26"/>
          <w:szCs w:val="26"/>
        </w:rPr>
        <w:t>gadā ietekmēja gan produktivitātes, gan arī darbaspēka izmaks</w:t>
      </w:r>
      <w:r w:rsidR="000E76F4">
        <w:rPr>
          <w:sz w:val="26"/>
          <w:szCs w:val="26"/>
        </w:rPr>
        <w:t>u dinamiku. Salīdzinot ar 2008.</w:t>
      </w:r>
      <w:r w:rsidRPr="00F26ECE">
        <w:rPr>
          <w:sz w:val="26"/>
          <w:szCs w:val="26"/>
        </w:rPr>
        <w:t>gadu, produktivitāte samazinājās par 5,3%, jo IKP samazinājās straujāk nekā nodarbināto skaits. Savukārt darbaspēka izmaksas</w:t>
      </w:r>
      <w:r w:rsidR="000E76F4">
        <w:rPr>
          <w:sz w:val="26"/>
          <w:szCs w:val="26"/>
        </w:rPr>
        <w:t xml:space="preserve"> 2009.gadā, salīdzinot ar 2008.</w:t>
      </w:r>
      <w:r w:rsidRPr="00F26ECE">
        <w:rPr>
          <w:sz w:val="26"/>
          <w:szCs w:val="26"/>
        </w:rPr>
        <w:t>gadu, samazinājās par 12,7%, kas arī noteica nominālā ULC samazināšanos par 7,9 procentiem.</w:t>
      </w:r>
    </w:p>
    <w:p w:rsidR="00687CB9" w:rsidRDefault="000E76F4" w:rsidP="00BD369D">
      <w:pPr>
        <w:spacing w:after="0" w:line="240" w:lineRule="auto"/>
        <w:ind w:firstLine="567"/>
        <w:jc w:val="both"/>
        <w:rPr>
          <w:sz w:val="26"/>
          <w:szCs w:val="26"/>
        </w:rPr>
      </w:pPr>
      <w:r>
        <w:rPr>
          <w:sz w:val="26"/>
          <w:szCs w:val="26"/>
        </w:rPr>
        <w:t>Nominālā ULC dinamiku 2010.</w:t>
      </w:r>
      <w:r w:rsidR="00E8168E" w:rsidRPr="00F26ECE">
        <w:rPr>
          <w:sz w:val="26"/>
          <w:szCs w:val="26"/>
        </w:rPr>
        <w:t>gadā galvenokārt noteica darba samaksas un nodarbināto skaita relatīvās izmaiņas. Liels bezdarba līmenis un budžeta konsolidācijas pasākumi joprojām radīja spiedienu uz darba samaksu. Tomēr, ņemot vērā Latvijas zemo konkurenci kopējā ES darba tirgū, izmaiņas jau bija visai mērenas. Tāpēc darbaspēka vienības izmaksu samazinājumu, kā arī produktivitātes pieaugumu lielā mērā noteica nodarbināto skaita izmaiņas. Nominā</w:t>
      </w:r>
      <w:r>
        <w:rPr>
          <w:sz w:val="26"/>
          <w:szCs w:val="26"/>
        </w:rPr>
        <w:t>lais ULC 2010.</w:t>
      </w:r>
      <w:r w:rsidR="00E8168E" w:rsidRPr="00F26ECE">
        <w:rPr>
          <w:sz w:val="26"/>
          <w:szCs w:val="26"/>
        </w:rPr>
        <w:t xml:space="preserve">gadā, salīdzinot ar </w:t>
      </w:r>
      <w:r>
        <w:rPr>
          <w:sz w:val="26"/>
          <w:szCs w:val="26"/>
        </w:rPr>
        <w:t>2009.</w:t>
      </w:r>
      <w:r w:rsidR="00E8168E" w:rsidRPr="00F26ECE">
        <w:rPr>
          <w:sz w:val="26"/>
          <w:szCs w:val="26"/>
        </w:rPr>
        <w:t>gadu, bija par 10,4% mazāks.</w:t>
      </w:r>
    </w:p>
    <w:p w:rsidR="00687CB9" w:rsidRPr="000E76F4" w:rsidRDefault="00886C81" w:rsidP="00BD369D">
      <w:pPr>
        <w:spacing w:after="0" w:line="240" w:lineRule="auto"/>
        <w:ind w:firstLine="567"/>
        <w:jc w:val="both"/>
        <w:rPr>
          <w:spacing w:val="2"/>
          <w:sz w:val="26"/>
          <w:szCs w:val="26"/>
        </w:rPr>
      </w:pPr>
      <w:r w:rsidRPr="000E76F4">
        <w:rPr>
          <w:spacing w:val="2"/>
          <w:sz w:val="26"/>
          <w:szCs w:val="26"/>
        </w:rPr>
        <w:t>2011.</w:t>
      </w:r>
      <w:r w:rsidR="00E8168E" w:rsidRPr="000E76F4">
        <w:rPr>
          <w:spacing w:val="2"/>
          <w:sz w:val="26"/>
          <w:szCs w:val="26"/>
        </w:rPr>
        <w:t xml:space="preserve">gadā, atjaunojoties ekonomikas izaugsmei, darbaspēka tirgū bija vērojams kā nodarbināto skaita, tā arī algu fonda pieaugums. Algu fondam pieaugot straujāk nekā nodarbināto skaitam, darbaspēka izmaksas pieauga par 7,5%. Savukārt produktivitāte 2011. gadā pieauga par 2%, </w:t>
      </w:r>
      <w:proofErr w:type="spellStart"/>
      <w:r w:rsidR="00E8168E" w:rsidRPr="000E76F4">
        <w:rPr>
          <w:spacing w:val="2"/>
          <w:sz w:val="26"/>
          <w:szCs w:val="26"/>
        </w:rPr>
        <w:t>t.i</w:t>
      </w:r>
      <w:proofErr w:type="spellEnd"/>
      <w:r w:rsidR="00E8168E" w:rsidRPr="000E76F4">
        <w:rPr>
          <w:spacing w:val="2"/>
          <w:sz w:val="26"/>
          <w:szCs w:val="26"/>
        </w:rPr>
        <w:t xml:space="preserve">., lēnāk nekā darbaspēka izmaksas, </w:t>
      </w:r>
      <w:r w:rsidR="000E76F4" w:rsidRPr="000E76F4">
        <w:rPr>
          <w:spacing w:val="2"/>
          <w:sz w:val="26"/>
          <w:szCs w:val="26"/>
        </w:rPr>
        <w:t>līdz ar to nominālais ULC 2011.</w:t>
      </w:r>
      <w:r w:rsidR="00E8168E" w:rsidRPr="000E76F4">
        <w:rPr>
          <w:spacing w:val="2"/>
          <w:sz w:val="26"/>
          <w:szCs w:val="26"/>
        </w:rPr>
        <w:t>gadā pieauga par 5%.</w:t>
      </w:r>
      <w:r w:rsidRPr="000E76F4">
        <w:rPr>
          <w:spacing w:val="2"/>
          <w:sz w:val="26"/>
          <w:szCs w:val="26"/>
        </w:rPr>
        <w:t xml:space="preserve"> </w:t>
      </w:r>
      <w:r w:rsidR="00E8168E" w:rsidRPr="000E76F4">
        <w:rPr>
          <w:spacing w:val="2"/>
          <w:sz w:val="26"/>
          <w:szCs w:val="26"/>
        </w:rPr>
        <w:t>Kā li</w:t>
      </w:r>
      <w:r w:rsidR="00F26ECE" w:rsidRPr="000E76F4">
        <w:rPr>
          <w:spacing w:val="2"/>
          <w:sz w:val="26"/>
          <w:szCs w:val="26"/>
        </w:rPr>
        <w:t xml:space="preserve">ecina provizoriskie dati, </w:t>
      </w:r>
      <w:r w:rsidR="00F26ECE" w:rsidRPr="000E76F4">
        <w:rPr>
          <w:spacing w:val="2"/>
          <w:sz w:val="26"/>
          <w:szCs w:val="26"/>
        </w:rPr>
        <w:lastRenderedPageBreak/>
        <w:t>2012.</w:t>
      </w:r>
      <w:r w:rsidRPr="000E76F4">
        <w:rPr>
          <w:spacing w:val="2"/>
          <w:sz w:val="26"/>
          <w:szCs w:val="26"/>
        </w:rPr>
        <w:t xml:space="preserve">gadā </w:t>
      </w:r>
      <w:r w:rsidR="00E8168E" w:rsidRPr="000E76F4">
        <w:rPr>
          <w:spacing w:val="2"/>
          <w:sz w:val="26"/>
          <w:szCs w:val="26"/>
        </w:rPr>
        <w:t>darbaspēka izmaksas aug nedaudz straujāk nekā produktivitāte un nominālais ULC, salīdzinājumā ar 2011.</w:t>
      </w:r>
      <w:r w:rsidR="00F26ECE" w:rsidRPr="000E76F4">
        <w:rPr>
          <w:spacing w:val="2"/>
          <w:sz w:val="26"/>
          <w:szCs w:val="26"/>
        </w:rPr>
        <w:t>gadu, pieauga par 3</w:t>
      </w:r>
      <w:r w:rsidR="000E76F4" w:rsidRPr="000E76F4">
        <w:rPr>
          <w:spacing w:val="2"/>
          <w:sz w:val="26"/>
          <w:szCs w:val="26"/>
        </w:rPr>
        <w:t>%</w:t>
      </w:r>
      <w:r w:rsidR="00E8168E" w:rsidRPr="000E76F4">
        <w:rPr>
          <w:spacing w:val="2"/>
          <w:sz w:val="26"/>
          <w:szCs w:val="26"/>
        </w:rPr>
        <w:t>. Tomēr darbaspēka vienības izmaksu un produktivitātes dinamika pēdējos divos gados rāda, ka, pieaugot ekonomiskām aktivitātēm, produkcijas vienības darbaspēka izmaksas turpinās pieaugt.</w:t>
      </w:r>
    </w:p>
    <w:p w:rsidR="00687CB9" w:rsidRDefault="00E8168E" w:rsidP="00BD369D">
      <w:pPr>
        <w:spacing w:after="0" w:line="240" w:lineRule="auto"/>
        <w:ind w:firstLine="567"/>
        <w:jc w:val="both"/>
        <w:rPr>
          <w:sz w:val="26"/>
          <w:szCs w:val="26"/>
        </w:rPr>
      </w:pPr>
      <w:r w:rsidRPr="00F26ECE">
        <w:rPr>
          <w:sz w:val="26"/>
          <w:szCs w:val="26"/>
        </w:rPr>
        <w:t>Nominālā ULC dinamiku vidējā termiņā lielā mērā ietekmēs strukturālā rakstura faktori, kamēr ciklisko faktoru ietekme (kā, piemēram, konjunktūras svārstības ārējās tirdzniecība</w:t>
      </w:r>
      <w:r w:rsidR="00886C81">
        <w:rPr>
          <w:sz w:val="26"/>
          <w:szCs w:val="26"/>
        </w:rPr>
        <w:t xml:space="preserve">s partnervalstīs) būs mazāka. </w:t>
      </w:r>
      <w:r w:rsidRPr="00F26ECE">
        <w:rPr>
          <w:sz w:val="26"/>
          <w:szCs w:val="26"/>
        </w:rPr>
        <w:t xml:space="preserve">2011.gadā darbaspēka izmaksas uz vienu nodarbināto Latvijā bija 33% no ES vidējā līmeņa. Tāpēc algu izlīdzināšanās (konverģence) ir objektīvs process ar ko nākotnē ir jārēķinās un tuvākajos gados plaisa starp produktivitātes un algu dinamiku visdrīzāk saglabāsies. Algas straujāks pieaugums var būt saistīts arī ar minimālās algas palielināšanu, uzņēmēju vēlēšanos saglabāt augsti kvalificētus darbiniekus, bezdarba līmeņa samazināšanos </w:t>
      </w:r>
      <w:proofErr w:type="spellStart"/>
      <w:r w:rsidRPr="00F26ECE">
        <w:rPr>
          <w:sz w:val="26"/>
          <w:szCs w:val="26"/>
        </w:rPr>
        <w:t>u</w:t>
      </w:r>
      <w:r w:rsidR="00BD369D">
        <w:rPr>
          <w:sz w:val="26"/>
          <w:szCs w:val="26"/>
        </w:rPr>
        <w:t>.</w:t>
      </w:r>
      <w:r w:rsidRPr="00F26ECE">
        <w:rPr>
          <w:sz w:val="26"/>
          <w:szCs w:val="26"/>
        </w:rPr>
        <w:t>tml</w:t>
      </w:r>
      <w:proofErr w:type="spellEnd"/>
      <w:r w:rsidRPr="00F26ECE">
        <w:rPr>
          <w:sz w:val="26"/>
          <w:szCs w:val="26"/>
        </w:rPr>
        <w:t>. No otras puses, algu pieaugums, radot negatīvu ietekmi uz konkurētspēju, var kļūt par nopietnu stimulu inovācijām un investīcijām jaunajās tehnoloģijās</w:t>
      </w:r>
      <w:r w:rsidR="000E76F4">
        <w:rPr>
          <w:sz w:val="26"/>
          <w:szCs w:val="26"/>
        </w:rPr>
        <w:t>, lai</w:t>
      </w:r>
      <w:r w:rsidRPr="00F26ECE">
        <w:rPr>
          <w:sz w:val="26"/>
          <w:szCs w:val="26"/>
        </w:rPr>
        <w:t xml:space="preserve"> samazināt</w:t>
      </w:r>
      <w:r w:rsidR="000E76F4">
        <w:rPr>
          <w:sz w:val="26"/>
          <w:szCs w:val="26"/>
        </w:rPr>
        <w:t>u</w:t>
      </w:r>
      <w:r w:rsidRPr="00F26ECE">
        <w:rPr>
          <w:sz w:val="26"/>
          <w:szCs w:val="26"/>
        </w:rPr>
        <w:t xml:space="preserve"> izmaksas un palielināt</w:t>
      </w:r>
      <w:r w:rsidR="000E76F4">
        <w:rPr>
          <w:sz w:val="26"/>
          <w:szCs w:val="26"/>
        </w:rPr>
        <w:t>u</w:t>
      </w:r>
      <w:r w:rsidRPr="00F26ECE">
        <w:rPr>
          <w:sz w:val="26"/>
          <w:szCs w:val="26"/>
        </w:rPr>
        <w:t xml:space="preserve"> ražošanas resursu produktivitāti.</w:t>
      </w:r>
    </w:p>
    <w:p w:rsidR="00687CB9" w:rsidRDefault="00687CB9" w:rsidP="0077399B">
      <w:pPr>
        <w:spacing w:after="0" w:line="240" w:lineRule="auto"/>
        <w:rPr>
          <w:sz w:val="26"/>
          <w:szCs w:val="26"/>
        </w:rPr>
      </w:pPr>
    </w:p>
    <w:p w:rsidR="00687CB9" w:rsidRDefault="001E20F4" w:rsidP="0077399B">
      <w:pPr>
        <w:pStyle w:val="Heading2"/>
        <w:pBdr>
          <w:bottom w:val="thinThickSmallGap" w:sz="18" w:space="1" w:color="8064A2" w:themeColor="accent4"/>
        </w:pBdr>
        <w:spacing w:before="0" w:after="0" w:line="240" w:lineRule="auto"/>
        <w:rPr>
          <w:szCs w:val="28"/>
        </w:rPr>
      </w:pPr>
      <w:bookmarkStart w:id="13" w:name="_Toc326930566"/>
      <w:bookmarkStart w:id="14" w:name="_Toc357503113"/>
      <w:bookmarkStart w:id="15" w:name="_Toc195691177"/>
      <w:r w:rsidRPr="008F2AA8">
        <w:rPr>
          <w:szCs w:val="28"/>
        </w:rPr>
        <w:t>1.4.</w:t>
      </w:r>
      <w:r w:rsidRPr="00E627D3">
        <w:rPr>
          <w:szCs w:val="28"/>
        </w:rPr>
        <w:t xml:space="preserve"> Situācija ES darba tirgū</w:t>
      </w:r>
      <w:bookmarkEnd w:id="13"/>
      <w:bookmarkEnd w:id="14"/>
    </w:p>
    <w:p w:rsidR="00687CB9" w:rsidRDefault="00687CB9" w:rsidP="0077399B">
      <w:pPr>
        <w:spacing w:after="0" w:line="240" w:lineRule="auto"/>
        <w:ind w:firstLine="567"/>
        <w:jc w:val="both"/>
        <w:rPr>
          <w:rFonts w:eastAsia="Times New Roman"/>
          <w:color w:val="000000"/>
          <w:sz w:val="26"/>
          <w:szCs w:val="26"/>
        </w:rPr>
      </w:pPr>
    </w:p>
    <w:p w:rsidR="00687CB9" w:rsidRPr="002F6F95" w:rsidRDefault="001E20F4" w:rsidP="0077399B">
      <w:pPr>
        <w:autoSpaceDE w:val="0"/>
        <w:autoSpaceDN w:val="0"/>
        <w:adjustRightInd w:val="0"/>
        <w:spacing w:after="0" w:line="240" w:lineRule="auto"/>
        <w:ind w:firstLine="567"/>
        <w:jc w:val="both"/>
        <w:rPr>
          <w:sz w:val="26"/>
          <w:szCs w:val="26"/>
        </w:rPr>
      </w:pPr>
      <w:r>
        <w:rPr>
          <w:sz w:val="26"/>
          <w:szCs w:val="26"/>
        </w:rPr>
        <w:t>2011</w:t>
      </w:r>
      <w:r w:rsidR="00886C81">
        <w:rPr>
          <w:sz w:val="26"/>
          <w:szCs w:val="26"/>
        </w:rPr>
        <w:t>.gada</w:t>
      </w:r>
      <w:r>
        <w:rPr>
          <w:sz w:val="26"/>
          <w:szCs w:val="26"/>
        </w:rPr>
        <w:t xml:space="preserve"> otrajā </w:t>
      </w:r>
      <w:r w:rsidRPr="00E627D3">
        <w:rPr>
          <w:sz w:val="26"/>
          <w:szCs w:val="26"/>
        </w:rPr>
        <w:t>pusē ES dalībvalstu ekonomiskā situācija pasliktinājās un 2012.gadā nodarbināto līmenis sa</w:t>
      </w:r>
      <w:r>
        <w:rPr>
          <w:sz w:val="26"/>
          <w:szCs w:val="26"/>
        </w:rPr>
        <w:t>ruka līdz</w:t>
      </w:r>
      <w:r w:rsidRPr="00E627D3">
        <w:rPr>
          <w:sz w:val="26"/>
          <w:szCs w:val="26"/>
        </w:rPr>
        <w:t xml:space="preserve"> </w:t>
      </w:r>
      <w:r>
        <w:rPr>
          <w:sz w:val="26"/>
          <w:szCs w:val="26"/>
        </w:rPr>
        <w:t xml:space="preserve">57,2% </w:t>
      </w:r>
      <w:r w:rsidRPr="00E627D3">
        <w:rPr>
          <w:sz w:val="26"/>
          <w:szCs w:val="26"/>
        </w:rPr>
        <w:t>un bezdarba līmenis pieauga līdz</w:t>
      </w:r>
      <w:r>
        <w:rPr>
          <w:sz w:val="26"/>
          <w:szCs w:val="26"/>
        </w:rPr>
        <w:t xml:space="preserve"> 10,4% (15-74 gadu vecuma grupā)</w:t>
      </w:r>
      <w:r w:rsidRPr="00E627D3">
        <w:rPr>
          <w:sz w:val="26"/>
          <w:szCs w:val="26"/>
        </w:rPr>
        <w:t xml:space="preserve">. Vairākās valstīs bezdarba līmenis ir sasniedzis vēsturiski augstākos rādītājus, tādējādi vēl vairāk palielinot plaisu starp ES valstīm. Paredzams, ka bezdarba līmenis turpinās pieaugt </w:t>
      </w:r>
      <w:r>
        <w:rPr>
          <w:sz w:val="26"/>
          <w:szCs w:val="26"/>
        </w:rPr>
        <w:t xml:space="preserve">arī </w:t>
      </w:r>
      <w:r w:rsidRPr="00E627D3">
        <w:rPr>
          <w:sz w:val="26"/>
          <w:szCs w:val="26"/>
        </w:rPr>
        <w:t>201</w:t>
      </w:r>
      <w:r>
        <w:rPr>
          <w:sz w:val="26"/>
          <w:szCs w:val="26"/>
        </w:rPr>
        <w:t xml:space="preserve">3.gadā un situācija darba tirgū varētu uzlaboties tikai 2014.gadā. </w:t>
      </w:r>
      <w:r w:rsidRPr="00E627D3">
        <w:rPr>
          <w:sz w:val="26"/>
          <w:szCs w:val="26"/>
        </w:rPr>
        <w:t>Joprojām aktuāla problēma ir jauniešu bezdarbs, kas ir augstākais starp visām vecuma grupām. Turpina pieaugt arī ilgstošo bezdarbnieku skaits, kas vairākās valstīs ir sasn</w:t>
      </w:r>
      <w:r>
        <w:rPr>
          <w:sz w:val="26"/>
          <w:szCs w:val="26"/>
        </w:rPr>
        <w:t>iedzis rekordaugstus rādītājus.</w:t>
      </w:r>
      <w:r w:rsidRPr="00E627D3">
        <w:rPr>
          <w:sz w:val="26"/>
          <w:szCs w:val="26"/>
        </w:rPr>
        <w:t xml:space="preserve"> Sabiedrībai novecojoties, arvien biežāk tiek diskutēts par „sudraba ekonomikas” </w:t>
      </w:r>
      <w:r w:rsidRPr="002F6F95">
        <w:rPr>
          <w:sz w:val="26"/>
          <w:szCs w:val="26"/>
        </w:rPr>
        <w:t>iespējām un nākotnes izaicinājumiem. ES darbu tirgu lielā mērā ietekmē arī iedzīvotāju skaita izmaiņas, ko galvenokārt nosaka imigrantu pieaugums uz ES valstīm.</w:t>
      </w:r>
    </w:p>
    <w:p w:rsidR="00687CB9" w:rsidRPr="002F6F95" w:rsidRDefault="00687CB9" w:rsidP="0077399B">
      <w:pPr>
        <w:autoSpaceDE w:val="0"/>
        <w:autoSpaceDN w:val="0"/>
        <w:adjustRightInd w:val="0"/>
        <w:spacing w:after="0" w:line="240" w:lineRule="auto"/>
        <w:ind w:firstLine="567"/>
        <w:jc w:val="both"/>
        <w:rPr>
          <w:sz w:val="26"/>
          <w:szCs w:val="26"/>
        </w:rPr>
      </w:pPr>
    </w:p>
    <w:p w:rsidR="00687CB9" w:rsidRDefault="001E20F4" w:rsidP="0077399B">
      <w:pPr>
        <w:spacing w:after="0" w:line="240" w:lineRule="auto"/>
        <w:ind w:firstLine="567"/>
        <w:jc w:val="right"/>
        <w:rPr>
          <w:sz w:val="26"/>
          <w:szCs w:val="26"/>
        </w:rPr>
      </w:pPr>
      <w:r w:rsidRPr="002F6F95">
        <w:rPr>
          <w:sz w:val="26"/>
          <w:szCs w:val="26"/>
        </w:rPr>
        <w:t>1.</w:t>
      </w:r>
      <w:r w:rsidR="00743675">
        <w:rPr>
          <w:sz w:val="26"/>
          <w:szCs w:val="26"/>
        </w:rPr>
        <w:t>6</w:t>
      </w:r>
      <w:r w:rsidRPr="002F6F95">
        <w:rPr>
          <w:sz w:val="26"/>
          <w:szCs w:val="26"/>
        </w:rPr>
        <w:t>. attēls</w:t>
      </w:r>
    </w:p>
    <w:p w:rsidR="001E20F4" w:rsidRPr="00E627D3" w:rsidRDefault="001E20F4" w:rsidP="0077399B">
      <w:pPr>
        <w:spacing w:after="0" w:line="240" w:lineRule="auto"/>
        <w:ind w:firstLine="567"/>
        <w:jc w:val="center"/>
        <w:rPr>
          <w:b/>
          <w:sz w:val="26"/>
          <w:szCs w:val="26"/>
        </w:rPr>
      </w:pPr>
      <w:r w:rsidRPr="00E627D3">
        <w:rPr>
          <w:b/>
          <w:sz w:val="26"/>
          <w:szCs w:val="26"/>
        </w:rPr>
        <w:t xml:space="preserve">Situācija </w:t>
      </w:r>
      <w:r>
        <w:rPr>
          <w:b/>
          <w:sz w:val="26"/>
          <w:szCs w:val="26"/>
        </w:rPr>
        <w:t xml:space="preserve">ES </w:t>
      </w:r>
      <w:r w:rsidRPr="00E627D3">
        <w:rPr>
          <w:b/>
          <w:sz w:val="26"/>
          <w:szCs w:val="26"/>
        </w:rPr>
        <w:t>darba tirgū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66"/>
      </w:tblGrid>
      <w:tr w:rsidR="001E20F4" w:rsidRPr="00E627D3" w:rsidTr="001E20F4">
        <w:tc>
          <w:tcPr>
            <w:tcW w:w="4643" w:type="dxa"/>
          </w:tcPr>
          <w:p w:rsidR="001E20F4" w:rsidRPr="00E627D3" w:rsidRDefault="001E20F4" w:rsidP="0077399B">
            <w:pPr>
              <w:spacing w:after="0" w:line="240" w:lineRule="auto"/>
              <w:jc w:val="center"/>
            </w:pPr>
            <w:r w:rsidRPr="00E627D3">
              <w:rPr>
                <w:b/>
                <w:sz w:val="26"/>
                <w:szCs w:val="26"/>
              </w:rPr>
              <w:t>Nodarbinātības līmenis</w:t>
            </w:r>
            <w:r>
              <w:rPr>
                <w:b/>
                <w:sz w:val="26"/>
                <w:szCs w:val="26"/>
              </w:rPr>
              <w:t xml:space="preserve"> ES</w:t>
            </w:r>
            <w:r w:rsidRPr="00E627D3">
              <w:rPr>
                <w:b/>
                <w:szCs w:val="26"/>
              </w:rPr>
              <w:br/>
            </w:r>
            <w:r w:rsidRPr="00E627D3">
              <w:t>(%, vecuma grupā 15-74 gadi)</w:t>
            </w:r>
          </w:p>
        </w:tc>
        <w:tc>
          <w:tcPr>
            <w:tcW w:w="4644" w:type="dxa"/>
          </w:tcPr>
          <w:p w:rsidR="001E20F4" w:rsidRPr="00E627D3" w:rsidRDefault="001E20F4" w:rsidP="0077399B">
            <w:pPr>
              <w:spacing w:after="0" w:line="240" w:lineRule="auto"/>
              <w:jc w:val="center"/>
              <w:rPr>
                <w:b/>
                <w:sz w:val="26"/>
                <w:szCs w:val="26"/>
              </w:rPr>
            </w:pPr>
            <w:r w:rsidRPr="00E627D3">
              <w:rPr>
                <w:b/>
                <w:sz w:val="26"/>
                <w:szCs w:val="26"/>
              </w:rPr>
              <w:t>Bezdarba līmenis</w:t>
            </w:r>
            <w:r w:rsidRPr="00E627D3">
              <w:rPr>
                <w:b/>
                <w:szCs w:val="26"/>
              </w:rPr>
              <w:t xml:space="preserve"> </w:t>
            </w:r>
            <w:r>
              <w:rPr>
                <w:b/>
                <w:szCs w:val="26"/>
              </w:rPr>
              <w:t>ES</w:t>
            </w:r>
            <w:r w:rsidRPr="00E627D3">
              <w:rPr>
                <w:b/>
                <w:szCs w:val="26"/>
              </w:rPr>
              <w:br/>
            </w:r>
            <w:r w:rsidRPr="00E627D3">
              <w:t>(%, vecuma grupā 15-74 gadi)</w:t>
            </w:r>
          </w:p>
        </w:tc>
      </w:tr>
      <w:tr w:rsidR="001E20F4" w:rsidRPr="00E627D3" w:rsidTr="001E20F4">
        <w:tc>
          <w:tcPr>
            <w:tcW w:w="4643" w:type="dxa"/>
            <w:shd w:val="clear" w:color="auto" w:fill="auto"/>
          </w:tcPr>
          <w:p w:rsidR="001E20F4" w:rsidRPr="00E627D3" w:rsidRDefault="001E20F4" w:rsidP="0077399B">
            <w:pPr>
              <w:spacing w:after="0" w:line="240" w:lineRule="auto"/>
              <w:jc w:val="center"/>
              <w:rPr>
                <w:b/>
                <w:sz w:val="26"/>
                <w:szCs w:val="26"/>
              </w:rPr>
            </w:pPr>
            <w:r w:rsidRPr="00E627D3">
              <w:rPr>
                <w:noProof/>
                <w:lang w:eastAsia="lv-LV"/>
              </w:rPr>
              <w:drawing>
                <wp:inline distT="0" distB="0" distL="0" distR="0" wp14:anchorId="01E01DB2" wp14:editId="0DDFF97A">
                  <wp:extent cx="2847975" cy="1876425"/>
                  <wp:effectExtent l="0" t="0" r="0" b="0"/>
                  <wp:docPr id="8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644" w:type="dxa"/>
          </w:tcPr>
          <w:p w:rsidR="001E20F4" w:rsidRPr="00E627D3" w:rsidRDefault="001E20F4" w:rsidP="0077399B">
            <w:pPr>
              <w:spacing w:after="0" w:line="240" w:lineRule="auto"/>
              <w:jc w:val="center"/>
              <w:rPr>
                <w:b/>
                <w:sz w:val="26"/>
                <w:szCs w:val="26"/>
              </w:rPr>
            </w:pPr>
            <w:r w:rsidRPr="00E627D3">
              <w:rPr>
                <w:b/>
                <w:noProof/>
                <w:sz w:val="26"/>
                <w:szCs w:val="26"/>
                <w:lang w:eastAsia="lv-LV"/>
              </w:rPr>
              <w:drawing>
                <wp:inline distT="0" distB="0" distL="0" distR="0" wp14:anchorId="64727F8F" wp14:editId="1794714F">
                  <wp:extent cx="2876550" cy="1819275"/>
                  <wp:effectExtent l="0" t="0" r="0" b="0"/>
                  <wp:docPr id="66"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D90219" w:rsidRPr="00D90219" w:rsidRDefault="00D90219" w:rsidP="00D90219">
      <w:pPr>
        <w:spacing w:after="0" w:line="240" w:lineRule="auto"/>
        <w:ind w:firstLine="434"/>
        <w:jc w:val="both"/>
        <w:rPr>
          <w:sz w:val="8"/>
          <w:szCs w:val="24"/>
        </w:rPr>
      </w:pPr>
    </w:p>
    <w:p w:rsidR="00687CB9" w:rsidRPr="00743675" w:rsidRDefault="001E20F4" w:rsidP="00D90219">
      <w:pPr>
        <w:spacing w:after="0" w:line="240" w:lineRule="auto"/>
        <w:ind w:firstLine="434"/>
        <w:jc w:val="both"/>
        <w:rPr>
          <w:szCs w:val="24"/>
        </w:rPr>
      </w:pPr>
      <w:r w:rsidRPr="00743675">
        <w:rPr>
          <w:szCs w:val="24"/>
        </w:rPr>
        <w:t xml:space="preserve">Avots: </w:t>
      </w:r>
      <w:proofErr w:type="spellStart"/>
      <w:r w:rsidRPr="00743675">
        <w:rPr>
          <w:i/>
          <w:szCs w:val="24"/>
        </w:rPr>
        <w:t>Eurostat</w:t>
      </w:r>
      <w:proofErr w:type="spellEnd"/>
    </w:p>
    <w:p w:rsidR="00687CB9" w:rsidRDefault="00687CB9" w:rsidP="0077399B">
      <w:pPr>
        <w:spacing w:after="0" w:line="240" w:lineRule="auto"/>
        <w:jc w:val="both"/>
        <w:rPr>
          <w:sz w:val="26"/>
          <w:szCs w:val="26"/>
        </w:rPr>
      </w:pPr>
    </w:p>
    <w:p w:rsidR="00687CB9" w:rsidRPr="002F6F95" w:rsidRDefault="001E20F4" w:rsidP="0077399B">
      <w:pPr>
        <w:spacing w:after="0" w:line="240" w:lineRule="auto"/>
        <w:ind w:firstLine="567"/>
        <w:jc w:val="both"/>
        <w:rPr>
          <w:sz w:val="26"/>
          <w:szCs w:val="26"/>
        </w:rPr>
      </w:pPr>
      <w:r w:rsidRPr="00E627D3">
        <w:rPr>
          <w:sz w:val="26"/>
          <w:szCs w:val="26"/>
        </w:rPr>
        <w:lastRenderedPageBreak/>
        <w:t>2</w:t>
      </w:r>
      <w:r>
        <w:rPr>
          <w:sz w:val="26"/>
          <w:szCs w:val="26"/>
        </w:rPr>
        <w:t>010.gadā un 2011.gada sākumā</w:t>
      </w:r>
      <w:r w:rsidRPr="00E627D3">
        <w:rPr>
          <w:sz w:val="26"/>
          <w:szCs w:val="26"/>
        </w:rPr>
        <w:t xml:space="preserve"> </w:t>
      </w:r>
      <w:r>
        <w:rPr>
          <w:sz w:val="26"/>
          <w:szCs w:val="26"/>
        </w:rPr>
        <w:t>e</w:t>
      </w:r>
      <w:r w:rsidRPr="00E627D3">
        <w:rPr>
          <w:sz w:val="26"/>
          <w:szCs w:val="26"/>
        </w:rPr>
        <w:t>konomikas izaugsm</w:t>
      </w:r>
      <w:r>
        <w:rPr>
          <w:sz w:val="26"/>
          <w:szCs w:val="26"/>
        </w:rPr>
        <w:t>e</w:t>
      </w:r>
      <w:r w:rsidRPr="00E627D3">
        <w:rPr>
          <w:sz w:val="26"/>
          <w:szCs w:val="26"/>
        </w:rPr>
        <w:t xml:space="preserve"> pozitīv</w:t>
      </w:r>
      <w:r>
        <w:rPr>
          <w:sz w:val="26"/>
          <w:szCs w:val="26"/>
        </w:rPr>
        <w:t>i</w:t>
      </w:r>
      <w:r w:rsidRPr="00E627D3">
        <w:rPr>
          <w:sz w:val="26"/>
          <w:szCs w:val="26"/>
        </w:rPr>
        <w:t xml:space="preserve"> ietekm</w:t>
      </w:r>
      <w:r>
        <w:rPr>
          <w:sz w:val="26"/>
          <w:szCs w:val="26"/>
        </w:rPr>
        <w:t>ēja</w:t>
      </w:r>
      <w:r w:rsidRPr="00E627D3">
        <w:rPr>
          <w:sz w:val="26"/>
          <w:szCs w:val="26"/>
        </w:rPr>
        <w:t xml:space="preserve"> nodarbinātību </w:t>
      </w:r>
      <w:r>
        <w:rPr>
          <w:sz w:val="26"/>
          <w:szCs w:val="26"/>
        </w:rPr>
        <w:t>(+</w:t>
      </w:r>
      <w:r w:rsidRPr="00E627D3">
        <w:rPr>
          <w:sz w:val="26"/>
          <w:szCs w:val="26"/>
        </w:rPr>
        <w:t>1,6 miljonu darbavietu)</w:t>
      </w:r>
      <w:r>
        <w:rPr>
          <w:sz w:val="26"/>
          <w:szCs w:val="26"/>
        </w:rPr>
        <w:t>, tomēr izaugsmes pozitīvā ietekme tika</w:t>
      </w:r>
      <w:r w:rsidRPr="00E627D3">
        <w:rPr>
          <w:sz w:val="26"/>
          <w:szCs w:val="26"/>
        </w:rPr>
        <w:t xml:space="preserve"> zaudēta 2012.gada beigās. Nodarbinātības līmenis ES valstīs joprojām turpina </w:t>
      </w:r>
      <w:r w:rsidR="00053BFB">
        <w:rPr>
          <w:sz w:val="26"/>
          <w:szCs w:val="26"/>
        </w:rPr>
        <w:t>samazināties</w:t>
      </w:r>
      <w:r w:rsidRPr="00E627D3">
        <w:rPr>
          <w:rStyle w:val="FootnoteReference"/>
          <w:sz w:val="26"/>
          <w:szCs w:val="26"/>
        </w:rPr>
        <w:footnoteReference w:id="2"/>
      </w:r>
      <w:r w:rsidRPr="00E627D3">
        <w:rPr>
          <w:sz w:val="26"/>
          <w:szCs w:val="26"/>
        </w:rPr>
        <w:t xml:space="preserve">. ES valstīs kopumā 2012.gadā </w:t>
      </w:r>
      <w:r w:rsidRPr="00E627D3">
        <w:rPr>
          <w:b/>
          <w:sz w:val="26"/>
          <w:szCs w:val="26"/>
        </w:rPr>
        <w:t>nodarbinātības līmenis</w:t>
      </w:r>
      <w:r w:rsidRPr="00E627D3">
        <w:rPr>
          <w:sz w:val="26"/>
          <w:szCs w:val="26"/>
        </w:rPr>
        <w:t xml:space="preserve"> 15-74 gadus vecuma grupā bija 57,2%, kas salīdzinājumā ar </w:t>
      </w:r>
      <w:r w:rsidR="00053BFB">
        <w:rPr>
          <w:sz w:val="26"/>
          <w:szCs w:val="26"/>
        </w:rPr>
        <w:t>2011.</w:t>
      </w:r>
      <w:r w:rsidRPr="00E627D3">
        <w:rPr>
          <w:sz w:val="26"/>
          <w:szCs w:val="26"/>
        </w:rPr>
        <w:t>gadu</w:t>
      </w:r>
      <w:r>
        <w:rPr>
          <w:sz w:val="26"/>
          <w:szCs w:val="26"/>
        </w:rPr>
        <w:t>,</w:t>
      </w:r>
      <w:r w:rsidRPr="00E627D3">
        <w:rPr>
          <w:sz w:val="26"/>
          <w:szCs w:val="26"/>
        </w:rPr>
        <w:t xml:space="preserve"> ir nedaudz samazinājies (par 0,2 procentpunktiem). Visaugstākais nodarbinātības līmenis </w:t>
      </w:r>
      <w:r>
        <w:rPr>
          <w:sz w:val="26"/>
          <w:szCs w:val="26"/>
        </w:rPr>
        <w:t>bija</w:t>
      </w:r>
      <w:r w:rsidRPr="00E627D3">
        <w:rPr>
          <w:sz w:val="26"/>
          <w:szCs w:val="26"/>
        </w:rPr>
        <w:t xml:space="preserve"> Nīderland</w:t>
      </w:r>
      <w:r>
        <w:rPr>
          <w:sz w:val="26"/>
          <w:szCs w:val="26"/>
        </w:rPr>
        <w:t>ē</w:t>
      </w:r>
      <w:r w:rsidRPr="00E627D3">
        <w:rPr>
          <w:sz w:val="26"/>
          <w:szCs w:val="26"/>
        </w:rPr>
        <w:t xml:space="preserve"> (67,1%), Zviedrij</w:t>
      </w:r>
      <w:r>
        <w:rPr>
          <w:sz w:val="26"/>
          <w:szCs w:val="26"/>
        </w:rPr>
        <w:t>ā (65,5%), Austrijā (64,3%) un Vācijā</w:t>
      </w:r>
      <w:r w:rsidRPr="00E627D3">
        <w:rPr>
          <w:sz w:val="26"/>
          <w:szCs w:val="26"/>
        </w:rPr>
        <w:t xml:space="preserve"> (64,1%), savukārt Grieķijā, Spānijā un Itālijā nodarbinātības līmenis ir zemāks par 50%. No Baltijas valstīm augstākais nodarbinātības līmenis ir Igaunijā (61,3%), savukārt Latvijā un Lietuvā, tas ir attiecīgi 56,3% un 55,7%. Tieši Baltijas valstīs 2012.gadā, salīdzinot ar </w:t>
      </w:r>
      <w:r w:rsidRPr="002F6F95">
        <w:rPr>
          <w:sz w:val="26"/>
          <w:szCs w:val="26"/>
        </w:rPr>
        <w:t>iepriekšējo gadu, bija vērojams vis</w:t>
      </w:r>
      <w:r w:rsidR="00D90219" w:rsidRPr="002F6F95">
        <w:rPr>
          <w:sz w:val="26"/>
          <w:szCs w:val="26"/>
        </w:rPr>
        <w:t>s</w:t>
      </w:r>
      <w:r w:rsidRPr="002F6F95">
        <w:rPr>
          <w:sz w:val="26"/>
          <w:szCs w:val="26"/>
        </w:rPr>
        <w:t>traujākais nodarbinātības līmeņa pieaugums ES.</w:t>
      </w:r>
    </w:p>
    <w:p w:rsidR="00687CB9" w:rsidRDefault="001E20F4" w:rsidP="0077399B">
      <w:pPr>
        <w:spacing w:after="0" w:line="240" w:lineRule="auto"/>
        <w:jc w:val="right"/>
        <w:rPr>
          <w:sz w:val="26"/>
          <w:szCs w:val="26"/>
        </w:rPr>
      </w:pPr>
      <w:r w:rsidRPr="002F6F95">
        <w:rPr>
          <w:sz w:val="26"/>
          <w:szCs w:val="26"/>
        </w:rPr>
        <w:t>1.</w:t>
      </w:r>
      <w:r w:rsidR="00743675">
        <w:rPr>
          <w:sz w:val="26"/>
          <w:szCs w:val="26"/>
        </w:rPr>
        <w:t>7</w:t>
      </w:r>
      <w:r w:rsidRPr="002F6F95">
        <w:rPr>
          <w:sz w:val="26"/>
          <w:szCs w:val="26"/>
        </w:rPr>
        <w:t>. attēls</w:t>
      </w:r>
    </w:p>
    <w:p w:rsidR="001E20F4" w:rsidRPr="00DE6F50" w:rsidRDefault="001E20F4" w:rsidP="0077399B">
      <w:pPr>
        <w:spacing w:after="0" w:line="240" w:lineRule="auto"/>
        <w:ind w:firstLine="567"/>
        <w:jc w:val="center"/>
        <w:rPr>
          <w:szCs w:val="26"/>
        </w:rPr>
      </w:pPr>
      <w:r w:rsidRPr="00E627D3">
        <w:rPr>
          <w:b/>
          <w:sz w:val="26"/>
          <w:szCs w:val="26"/>
        </w:rPr>
        <w:t>Nodarbinātība</w:t>
      </w:r>
      <w:r>
        <w:rPr>
          <w:b/>
          <w:sz w:val="26"/>
          <w:szCs w:val="26"/>
        </w:rPr>
        <w:t xml:space="preserve"> ES 2012.gadā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847"/>
      </w:tblGrid>
      <w:tr w:rsidR="001E20F4" w:rsidTr="0077399B">
        <w:tc>
          <w:tcPr>
            <w:tcW w:w="4643" w:type="dxa"/>
          </w:tcPr>
          <w:p w:rsidR="001E20F4" w:rsidRDefault="008F2AA8" w:rsidP="0077399B">
            <w:pPr>
              <w:autoSpaceDE w:val="0"/>
              <w:autoSpaceDN w:val="0"/>
              <w:adjustRightInd w:val="0"/>
              <w:spacing w:after="0" w:line="240" w:lineRule="auto"/>
            </w:pPr>
            <w:r>
              <w:rPr>
                <w:noProof/>
                <w:lang w:eastAsia="lv-LV"/>
              </w:rPr>
              <w:drawing>
                <wp:inline distT="0" distB="0" distL="0" distR="0" wp14:anchorId="34CBADCE" wp14:editId="04D783F8">
                  <wp:extent cx="2794958" cy="4313207"/>
                  <wp:effectExtent l="0" t="0" r="571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644" w:type="dxa"/>
          </w:tcPr>
          <w:p w:rsidR="001E20F4" w:rsidRDefault="001E20F4" w:rsidP="0077399B">
            <w:pPr>
              <w:autoSpaceDE w:val="0"/>
              <w:autoSpaceDN w:val="0"/>
              <w:adjustRightInd w:val="0"/>
              <w:spacing w:after="0" w:line="240" w:lineRule="auto"/>
            </w:pPr>
            <w:r w:rsidRPr="00A52FD8">
              <w:rPr>
                <w:noProof/>
                <w:sz w:val="26"/>
                <w:szCs w:val="26"/>
                <w:shd w:val="clear" w:color="auto" w:fill="92D050"/>
                <w:lang w:eastAsia="lv-LV"/>
              </w:rPr>
              <w:drawing>
                <wp:inline distT="0" distB="0" distL="0" distR="0" wp14:anchorId="5AEE632F" wp14:editId="065FF4B8">
                  <wp:extent cx="3071003" cy="4226943"/>
                  <wp:effectExtent l="0" t="0" r="0" b="2540"/>
                  <wp:docPr id="68"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687CB9" w:rsidRDefault="00687CB9" w:rsidP="0077399B">
      <w:pPr>
        <w:autoSpaceDE w:val="0"/>
        <w:autoSpaceDN w:val="0"/>
        <w:adjustRightInd w:val="0"/>
        <w:spacing w:after="0" w:line="240" w:lineRule="auto"/>
        <w:rPr>
          <w:sz w:val="8"/>
          <w:szCs w:val="24"/>
        </w:rPr>
      </w:pPr>
    </w:p>
    <w:p w:rsidR="00687CB9" w:rsidRPr="00743675" w:rsidRDefault="001E20F4" w:rsidP="0077399B">
      <w:pPr>
        <w:autoSpaceDE w:val="0"/>
        <w:autoSpaceDN w:val="0"/>
        <w:adjustRightInd w:val="0"/>
        <w:spacing w:after="0" w:line="240" w:lineRule="auto"/>
        <w:rPr>
          <w:szCs w:val="24"/>
        </w:rPr>
      </w:pPr>
      <w:r w:rsidRPr="00743675">
        <w:rPr>
          <w:szCs w:val="24"/>
        </w:rPr>
        <w:t xml:space="preserve">Avots: </w:t>
      </w:r>
      <w:proofErr w:type="spellStart"/>
      <w:r w:rsidRPr="00743675">
        <w:rPr>
          <w:i/>
          <w:szCs w:val="24"/>
        </w:rPr>
        <w:t>Eurostat</w:t>
      </w:r>
      <w:proofErr w:type="spellEnd"/>
    </w:p>
    <w:p w:rsidR="00687CB9" w:rsidRDefault="00687CB9" w:rsidP="0077399B">
      <w:pPr>
        <w:spacing w:after="0" w:line="240" w:lineRule="auto"/>
        <w:ind w:firstLine="567"/>
        <w:jc w:val="both"/>
        <w:rPr>
          <w:sz w:val="26"/>
          <w:szCs w:val="26"/>
        </w:rPr>
      </w:pPr>
    </w:p>
    <w:p w:rsidR="00687CB9" w:rsidRDefault="001E20F4" w:rsidP="0077399B">
      <w:pPr>
        <w:autoSpaceDE w:val="0"/>
        <w:autoSpaceDN w:val="0"/>
        <w:adjustRightInd w:val="0"/>
        <w:spacing w:after="0" w:line="240" w:lineRule="auto"/>
        <w:ind w:firstLine="567"/>
        <w:jc w:val="both"/>
        <w:rPr>
          <w:sz w:val="26"/>
          <w:szCs w:val="26"/>
        </w:rPr>
      </w:pPr>
      <w:r w:rsidRPr="00E627D3">
        <w:rPr>
          <w:sz w:val="26"/>
          <w:szCs w:val="26"/>
        </w:rPr>
        <w:t xml:space="preserve">Kopš 2011.gada 2.ceturkšņa </w:t>
      </w:r>
      <w:r w:rsidRPr="00E627D3">
        <w:rPr>
          <w:b/>
          <w:sz w:val="26"/>
          <w:szCs w:val="26"/>
        </w:rPr>
        <w:t>bezdarba līmenis</w:t>
      </w:r>
      <w:r w:rsidRPr="00E627D3">
        <w:rPr>
          <w:sz w:val="26"/>
          <w:szCs w:val="26"/>
        </w:rPr>
        <w:t xml:space="preserve"> turpina pieaug</w:t>
      </w:r>
      <w:r>
        <w:rPr>
          <w:sz w:val="26"/>
          <w:szCs w:val="26"/>
        </w:rPr>
        <w:t>t.</w:t>
      </w:r>
      <w:r w:rsidRPr="00E627D3">
        <w:rPr>
          <w:sz w:val="26"/>
          <w:szCs w:val="26"/>
        </w:rPr>
        <w:t xml:space="preserve"> 2012.gadā tika sasniegts jauns ES bezdarba rekords – bez darba bija 10,4% no ekonomiski aktīvajiem iedzīvotājiem. Līdzīgi kā iepriekšējā gadā, arī 2012.gadā visaugstākais bezdarba</w:t>
      </w:r>
      <w:r>
        <w:rPr>
          <w:sz w:val="26"/>
          <w:szCs w:val="26"/>
        </w:rPr>
        <w:t xml:space="preserve"> līmenis</w:t>
      </w:r>
      <w:r w:rsidR="00053BFB">
        <w:rPr>
          <w:sz w:val="26"/>
          <w:szCs w:val="26"/>
        </w:rPr>
        <w:t xml:space="preserve"> bija Spānijā (25%),</w:t>
      </w:r>
      <w:r w:rsidRPr="00E627D3">
        <w:rPr>
          <w:sz w:val="26"/>
          <w:szCs w:val="26"/>
        </w:rPr>
        <w:t xml:space="preserve"> un Grieķijā (24,3%), savukārt viszemākais bezdarba līmenis bija Austrijā (4,3%), Luksemburgā (5,1%), Nīderlandē (5,3%) un Vācijā (5,5%). 2012.gadā, salīdzinot ar </w:t>
      </w:r>
      <w:r w:rsidR="00053BFB">
        <w:rPr>
          <w:sz w:val="26"/>
          <w:szCs w:val="26"/>
        </w:rPr>
        <w:t>2011.</w:t>
      </w:r>
      <w:r w:rsidRPr="00E627D3">
        <w:rPr>
          <w:sz w:val="26"/>
          <w:szCs w:val="26"/>
        </w:rPr>
        <w:t>gadu, visstraujākais bezdarba līmeņa sarukums bija Baltijas valstīs</w:t>
      </w:r>
      <w:r w:rsidR="00053BFB">
        <w:rPr>
          <w:sz w:val="26"/>
          <w:szCs w:val="26"/>
        </w:rPr>
        <w:t>,</w:t>
      </w:r>
      <w:r w:rsidRPr="00E627D3">
        <w:rPr>
          <w:sz w:val="26"/>
          <w:szCs w:val="26"/>
        </w:rPr>
        <w:t xml:space="preserve"> Vācijā un Rumānijā, savukārt visstraujākais pieaugu</w:t>
      </w:r>
      <w:r w:rsidR="00FB7700">
        <w:rPr>
          <w:sz w:val="26"/>
          <w:szCs w:val="26"/>
        </w:rPr>
        <w:t>ms bija Grieķijā un Kiprā.</w:t>
      </w:r>
    </w:p>
    <w:p w:rsidR="00687CB9" w:rsidRPr="002F6F95" w:rsidRDefault="001E20F4" w:rsidP="0077399B">
      <w:pPr>
        <w:autoSpaceDE w:val="0"/>
        <w:autoSpaceDN w:val="0"/>
        <w:adjustRightInd w:val="0"/>
        <w:spacing w:after="0" w:line="240" w:lineRule="auto"/>
        <w:ind w:firstLine="567"/>
        <w:jc w:val="both"/>
        <w:rPr>
          <w:sz w:val="26"/>
          <w:szCs w:val="26"/>
        </w:rPr>
      </w:pPr>
      <w:r w:rsidRPr="00E627D3">
        <w:rPr>
          <w:sz w:val="26"/>
          <w:szCs w:val="26"/>
        </w:rPr>
        <w:lastRenderedPageBreak/>
        <w:t>Turpina pieaugt arī</w:t>
      </w:r>
      <w:r w:rsidRPr="00E627D3">
        <w:rPr>
          <w:b/>
          <w:sz w:val="26"/>
          <w:szCs w:val="26"/>
        </w:rPr>
        <w:t xml:space="preserve"> ilgstošā bezdarba</w:t>
      </w:r>
      <w:r w:rsidRPr="00E627D3">
        <w:rPr>
          <w:sz w:val="26"/>
          <w:szCs w:val="26"/>
        </w:rPr>
        <w:t xml:space="preserve"> līmenis, kas 2012.gadā </w:t>
      </w:r>
      <w:r w:rsidR="00886C81">
        <w:rPr>
          <w:sz w:val="26"/>
          <w:szCs w:val="26"/>
        </w:rPr>
        <w:t xml:space="preserve">bija 44,4% no kopējā bezdarba. </w:t>
      </w:r>
      <w:r w:rsidRPr="00E627D3">
        <w:rPr>
          <w:sz w:val="26"/>
          <w:szCs w:val="26"/>
        </w:rPr>
        <w:t>Ilgstošā bezdarba līmenis ES valstīs ir atšķirīgs un šai atšķirībai ir tendence pieaugt. Viszemākai</w:t>
      </w:r>
      <w:r w:rsidR="00886C81">
        <w:rPr>
          <w:sz w:val="26"/>
          <w:szCs w:val="26"/>
        </w:rPr>
        <w:t xml:space="preserve">s ilgstošā bezdarba līmenis ir </w:t>
      </w:r>
      <w:r w:rsidRPr="00E627D3">
        <w:rPr>
          <w:sz w:val="26"/>
          <w:szCs w:val="26"/>
        </w:rPr>
        <w:t xml:space="preserve">Zviedrijā (18,9%), Somijā (21,4%) un Austrijā (24,8%), savukārt Slovākijā un Īrijā vairāk </w:t>
      </w:r>
      <w:r w:rsidR="00053BFB">
        <w:rPr>
          <w:sz w:val="26"/>
          <w:szCs w:val="26"/>
        </w:rPr>
        <w:t>ne</w:t>
      </w:r>
      <w:r w:rsidRPr="00E627D3">
        <w:rPr>
          <w:sz w:val="26"/>
          <w:szCs w:val="26"/>
        </w:rPr>
        <w:t xml:space="preserve">kā 60% no visiem bezdarbniekiem bez darba </w:t>
      </w:r>
      <w:r>
        <w:rPr>
          <w:sz w:val="26"/>
          <w:szCs w:val="26"/>
        </w:rPr>
        <w:t>bija</w:t>
      </w:r>
      <w:r w:rsidRPr="00E627D3">
        <w:rPr>
          <w:sz w:val="26"/>
          <w:szCs w:val="26"/>
        </w:rPr>
        <w:t xml:space="preserve"> ilgāk par gadu. 2012.gadā, salīdzinot ar </w:t>
      </w:r>
      <w:r w:rsidR="00053BFB">
        <w:rPr>
          <w:sz w:val="26"/>
          <w:szCs w:val="26"/>
        </w:rPr>
        <w:t>2011.</w:t>
      </w:r>
      <w:r w:rsidRPr="00E627D3">
        <w:rPr>
          <w:sz w:val="26"/>
          <w:szCs w:val="26"/>
        </w:rPr>
        <w:t xml:space="preserve">gadu, visstraujākais ilgstošā bezdarba līmeņa pieaugums </w:t>
      </w:r>
      <w:r>
        <w:rPr>
          <w:sz w:val="26"/>
          <w:szCs w:val="26"/>
        </w:rPr>
        <w:t>bija</w:t>
      </w:r>
      <w:r w:rsidRPr="00E627D3">
        <w:rPr>
          <w:sz w:val="26"/>
          <w:szCs w:val="26"/>
        </w:rPr>
        <w:t xml:space="preserve"> vērojams Grieķijā un Kiprā. B</w:t>
      </w:r>
      <w:r w:rsidR="00230458">
        <w:rPr>
          <w:sz w:val="26"/>
          <w:szCs w:val="26"/>
        </w:rPr>
        <w:t>altija</w:t>
      </w:r>
      <w:r w:rsidRPr="00E627D3">
        <w:rPr>
          <w:sz w:val="26"/>
          <w:szCs w:val="26"/>
        </w:rPr>
        <w:t xml:space="preserve">s valstīs ilgstošā bezdarba līmenis nedaudz sarūk. Ņemot vērā, ka ES valstīs </w:t>
      </w:r>
      <w:r>
        <w:rPr>
          <w:sz w:val="26"/>
          <w:szCs w:val="26"/>
        </w:rPr>
        <w:t>pieprasījums pēc darbaspēka pieaugs lēni</w:t>
      </w:r>
      <w:r w:rsidRPr="00E627D3">
        <w:rPr>
          <w:sz w:val="26"/>
          <w:szCs w:val="26"/>
        </w:rPr>
        <w:t xml:space="preserve">, tad paredzams, ka </w:t>
      </w:r>
      <w:r w:rsidRPr="002F6F95">
        <w:rPr>
          <w:sz w:val="26"/>
          <w:szCs w:val="26"/>
        </w:rPr>
        <w:t>arī ilgstošais bezdarba līmenis turpinās pieaugt.</w:t>
      </w:r>
    </w:p>
    <w:p w:rsidR="00687CB9" w:rsidRDefault="001E20F4" w:rsidP="0077399B">
      <w:pPr>
        <w:spacing w:after="0" w:line="240" w:lineRule="auto"/>
        <w:ind w:firstLine="567"/>
        <w:jc w:val="right"/>
        <w:rPr>
          <w:sz w:val="26"/>
          <w:szCs w:val="26"/>
        </w:rPr>
      </w:pPr>
      <w:r w:rsidRPr="002F6F95">
        <w:rPr>
          <w:sz w:val="26"/>
          <w:szCs w:val="26"/>
        </w:rPr>
        <w:t>1.</w:t>
      </w:r>
      <w:r w:rsidR="00743675">
        <w:rPr>
          <w:sz w:val="26"/>
          <w:szCs w:val="26"/>
        </w:rPr>
        <w:t>8</w:t>
      </w:r>
      <w:r w:rsidRPr="002F6F95">
        <w:rPr>
          <w:sz w:val="26"/>
          <w:szCs w:val="26"/>
        </w:rPr>
        <w:t>. attēls</w:t>
      </w:r>
    </w:p>
    <w:p w:rsidR="001E20F4" w:rsidRPr="00131497" w:rsidRDefault="001E20F4" w:rsidP="00053BFB">
      <w:pPr>
        <w:spacing w:after="120" w:line="240" w:lineRule="auto"/>
        <w:ind w:firstLine="567"/>
        <w:jc w:val="center"/>
        <w:rPr>
          <w:b/>
          <w:sz w:val="26"/>
          <w:szCs w:val="26"/>
        </w:rPr>
      </w:pPr>
      <w:r w:rsidRPr="00131497">
        <w:rPr>
          <w:b/>
          <w:sz w:val="26"/>
          <w:szCs w:val="26"/>
        </w:rPr>
        <w:t>Bezdarb</w:t>
      </w:r>
      <w:r>
        <w:rPr>
          <w:b/>
          <w:sz w:val="26"/>
          <w:szCs w:val="26"/>
        </w:rPr>
        <w:t xml:space="preserve">s </w:t>
      </w:r>
      <w:r w:rsidRPr="00131497">
        <w:rPr>
          <w:b/>
          <w:sz w:val="26"/>
          <w:szCs w:val="26"/>
        </w:rPr>
        <w:t>ES 2012.gadā</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03"/>
      </w:tblGrid>
      <w:tr w:rsidR="001E20F4" w:rsidTr="0077399B">
        <w:trPr>
          <w:trHeight w:val="5707"/>
        </w:trPr>
        <w:tc>
          <w:tcPr>
            <w:tcW w:w="4219" w:type="dxa"/>
          </w:tcPr>
          <w:p w:rsidR="001E20F4" w:rsidRDefault="001E20F4" w:rsidP="0077399B">
            <w:pPr>
              <w:autoSpaceDE w:val="0"/>
              <w:autoSpaceDN w:val="0"/>
              <w:adjustRightInd w:val="0"/>
              <w:spacing w:after="0" w:line="240" w:lineRule="auto"/>
              <w:jc w:val="both"/>
              <w:rPr>
                <w:sz w:val="26"/>
                <w:szCs w:val="26"/>
              </w:rPr>
            </w:pPr>
            <w:r w:rsidRPr="00E627D3">
              <w:rPr>
                <w:noProof/>
                <w:sz w:val="26"/>
                <w:szCs w:val="26"/>
                <w:lang w:eastAsia="lv-LV"/>
              </w:rPr>
              <w:drawing>
                <wp:inline distT="0" distB="0" distL="0" distR="0" wp14:anchorId="2A3BE6E0" wp14:editId="5714E369">
                  <wp:extent cx="2553419" cy="4641011"/>
                  <wp:effectExtent l="0" t="0" r="0" b="7620"/>
                  <wp:docPr id="69"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03" w:type="dxa"/>
          </w:tcPr>
          <w:p w:rsidR="001E20F4" w:rsidRDefault="001E20F4" w:rsidP="0077399B">
            <w:pPr>
              <w:autoSpaceDE w:val="0"/>
              <w:autoSpaceDN w:val="0"/>
              <w:adjustRightInd w:val="0"/>
              <w:spacing w:after="0" w:line="240" w:lineRule="auto"/>
              <w:jc w:val="both"/>
              <w:rPr>
                <w:sz w:val="26"/>
                <w:szCs w:val="26"/>
              </w:rPr>
            </w:pPr>
            <w:r>
              <w:rPr>
                <w:noProof/>
                <w:sz w:val="26"/>
                <w:szCs w:val="26"/>
                <w:lang w:eastAsia="lv-LV"/>
              </w:rPr>
              <w:drawing>
                <wp:inline distT="0" distB="0" distL="0" distR="0" wp14:anchorId="57650A49" wp14:editId="5A4875E0">
                  <wp:extent cx="3157268" cy="4641011"/>
                  <wp:effectExtent l="0" t="0" r="508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687CB9" w:rsidRPr="00053BFB" w:rsidRDefault="00687CB9" w:rsidP="0077399B">
      <w:pPr>
        <w:spacing w:after="0" w:line="240" w:lineRule="auto"/>
        <w:jc w:val="both"/>
        <w:rPr>
          <w:sz w:val="2"/>
          <w:szCs w:val="24"/>
        </w:rPr>
      </w:pPr>
    </w:p>
    <w:p w:rsidR="00687CB9" w:rsidRPr="00743675" w:rsidRDefault="001E20F4" w:rsidP="0077399B">
      <w:pPr>
        <w:spacing w:after="0" w:line="240" w:lineRule="auto"/>
        <w:jc w:val="both"/>
        <w:rPr>
          <w:szCs w:val="24"/>
        </w:rPr>
      </w:pPr>
      <w:r w:rsidRPr="00743675">
        <w:rPr>
          <w:szCs w:val="24"/>
        </w:rPr>
        <w:t xml:space="preserve">Avots: </w:t>
      </w:r>
      <w:proofErr w:type="spellStart"/>
      <w:r w:rsidRPr="00743675">
        <w:rPr>
          <w:i/>
          <w:szCs w:val="24"/>
        </w:rPr>
        <w:t>Eurostat</w:t>
      </w:r>
      <w:proofErr w:type="spellEnd"/>
    </w:p>
    <w:p w:rsidR="00687CB9" w:rsidRPr="00053BFB" w:rsidRDefault="00687CB9" w:rsidP="0077399B">
      <w:pPr>
        <w:autoSpaceDE w:val="0"/>
        <w:autoSpaceDN w:val="0"/>
        <w:adjustRightInd w:val="0"/>
        <w:spacing w:after="0" w:line="240" w:lineRule="auto"/>
        <w:ind w:firstLine="567"/>
        <w:jc w:val="both"/>
        <w:rPr>
          <w:szCs w:val="26"/>
        </w:rPr>
      </w:pPr>
    </w:p>
    <w:p w:rsidR="00687CB9" w:rsidRDefault="001E20F4" w:rsidP="0077399B">
      <w:pPr>
        <w:autoSpaceDE w:val="0"/>
        <w:autoSpaceDN w:val="0"/>
        <w:adjustRightInd w:val="0"/>
        <w:spacing w:after="0" w:line="240" w:lineRule="auto"/>
        <w:ind w:firstLine="567"/>
        <w:jc w:val="both"/>
        <w:rPr>
          <w:sz w:val="26"/>
          <w:szCs w:val="26"/>
        </w:rPr>
      </w:pPr>
      <w:r w:rsidRPr="00E627D3">
        <w:rPr>
          <w:b/>
          <w:sz w:val="26"/>
          <w:szCs w:val="26"/>
        </w:rPr>
        <w:t>Jauniešu bezdarba līmenis</w:t>
      </w:r>
      <w:r w:rsidRPr="00E627D3">
        <w:rPr>
          <w:sz w:val="26"/>
          <w:szCs w:val="26"/>
        </w:rPr>
        <w:t xml:space="preserve"> ir augstākais no visām vecuma grupām un ekonomikas krīze visnozīmīgāk ir ietekmējusi tieši jauniešu bezdarbu. Kopš 2009.gada sākuma, plaisa starp jauniešu bezdarba līmeni un kopējo bezdarba līmeni ir pieaugusi un arvien vairāk jauniešu saskaras ar problēmu atrast darbu. ES valstīs jauniešu bezdarba līmenis ir ļoti atšķirīgs – no 8,1% Vācijā līdz pat 53,3% Grieķijā. No Baltijas valstīm augstākais jauniešu bezdarba līmenis bija Latvijā (28,4%). Ja ES kopumā bezdarba līmenis ir visaugstākais tieši jauniešu vecuma gru</w:t>
      </w:r>
      <w:r>
        <w:rPr>
          <w:sz w:val="26"/>
          <w:szCs w:val="26"/>
        </w:rPr>
        <w:t>pā un pārējās vecum</w:t>
      </w:r>
      <w:r w:rsidR="00053BFB">
        <w:rPr>
          <w:sz w:val="26"/>
          <w:szCs w:val="26"/>
        </w:rPr>
        <w:t>a</w:t>
      </w:r>
      <w:r>
        <w:rPr>
          <w:sz w:val="26"/>
          <w:szCs w:val="26"/>
        </w:rPr>
        <w:t xml:space="preserve"> grupās tas</w:t>
      </w:r>
      <w:r w:rsidRPr="00E627D3">
        <w:rPr>
          <w:sz w:val="26"/>
          <w:szCs w:val="26"/>
        </w:rPr>
        <w:t xml:space="preserve"> ir ievērojami zemāks, tad Latvijā, bezdarba līm</w:t>
      </w:r>
      <w:r>
        <w:rPr>
          <w:sz w:val="26"/>
          <w:szCs w:val="26"/>
        </w:rPr>
        <w:t>e</w:t>
      </w:r>
      <w:r w:rsidRPr="00E627D3">
        <w:rPr>
          <w:sz w:val="26"/>
          <w:szCs w:val="26"/>
        </w:rPr>
        <w:t xml:space="preserve">nis ir augsts ne tikai jauniešu vecumā grupā, bet </w:t>
      </w:r>
      <w:r>
        <w:rPr>
          <w:sz w:val="26"/>
          <w:szCs w:val="26"/>
        </w:rPr>
        <w:t>arī pirmspensijas vecuma grupā.</w:t>
      </w:r>
      <w:r w:rsidRPr="00E627D3">
        <w:rPr>
          <w:sz w:val="26"/>
          <w:szCs w:val="26"/>
        </w:rPr>
        <w:t xml:space="preserve"> Latvijā 55-59 gadus vecuma grupā bezdarba līmenis ir divas </w:t>
      </w:r>
      <w:r>
        <w:rPr>
          <w:sz w:val="26"/>
          <w:szCs w:val="26"/>
        </w:rPr>
        <w:t>reizes augstāks nekā vidēji ES.</w:t>
      </w:r>
    </w:p>
    <w:p w:rsidR="00687CB9" w:rsidRDefault="001E20F4" w:rsidP="0077399B">
      <w:pPr>
        <w:spacing w:after="0" w:line="240" w:lineRule="auto"/>
        <w:ind w:firstLine="567"/>
        <w:jc w:val="right"/>
        <w:rPr>
          <w:sz w:val="26"/>
          <w:szCs w:val="26"/>
        </w:rPr>
      </w:pPr>
      <w:r w:rsidRPr="002F6F95">
        <w:rPr>
          <w:sz w:val="26"/>
          <w:szCs w:val="26"/>
        </w:rPr>
        <w:lastRenderedPageBreak/>
        <w:t>1.</w:t>
      </w:r>
      <w:r w:rsidR="00743675">
        <w:rPr>
          <w:sz w:val="26"/>
          <w:szCs w:val="26"/>
        </w:rPr>
        <w:t>9</w:t>
      </w:r>
      <w:r w:rsidRPr="002F6F95">
        <w:rPr>
          <w:sz w:val="26"/>
          <w:szCs w:val="26"/>
        </w:rPr>
        <w:t>. attēls</w:t>
      </w:r>
    </w:p>
    <w:p w:rsidR="00687CB9" w:rsidRDefault="001E20F4" w:rsidP="0077399B">
      <w:pPr>
        <w:spacing w:after="0" w:line="240" w:lineRule="auto"/>
        <w:jc w:val="center"/>
        <w:rPr>
          <w:b/>
          <w:sz w:val="26"/>
          <w:szCs w:val="26"/>
        </w:rPr>
      </w:pPr>
      <w:r w:rsidRPr="00E627D3">
        <w:rPr>
          <w:b/>
          <w:sz w:val="26"/>
          <w:szCs w:val="26"/>
        </w:rPr>
        <w:t>Bezdarba līmenis pa vecuma grupām ES un Latvijā 2012.gadā</w:t>
      </w:r>
    </w:p>
    <w:p w:rsidR="00687CB9" w:rsidRDefault="001E20F4" w:rsidP="0077399B">
      <w:pPr>
        <w:spacing w:after="0" w:line="240" w:lineRule="auto"/>
        <w:jc w:val="center"/>
      </w:pPr>
      <w:r w:rsidRPr="00E627D3">
        <w:t>(procentos)</w:t>
      </w:r>
    </w:p>
    <w:p w:rsidR="00687CB9" w:rsidRDefault="001E20F4" w:rsidP="0077399B">
      <w:pPr>
        <w:autoSpaceDE w:val="0"/>
        <w:autoSpaceDN w:val="0"/>
        <w:adjustRightInd w:val="0"/>
        <w:spacing w:after="0" w:line="240" w:lineRule="auto"/>
        <w:jc w:val="center"/>
        <w:rPr>
          <w:rFonts w:eastAsia="Times New Roman"/>
          <w:sz w:val="18"/>
          <w:szCs w:val="18"/>
          <w:lang w:eastAsia="lv-LV"/>
        </w:rPr>
      </w:pPr>
      <w:r w:rsidRPr="008F2AA8">
        <w:rPr>
          <w:rFonts w:eastAsia="Times New Roman"/>
          <w:noProof/>
          <w:sz w:val="18"/>
          <w:szCs w:val="18"/>
          <w:lang w:eastAsia="lv-LV"/>
        </w:rPr>
        <w:drawing>
          <wp:inline distT="0" distB="0" distL="0" distR="0" wp14:anchorId="28DEE6AC" wp14:editId="0A44153A">
            <wp:extent cx="5219700" cy="1438275"/>
            <wp:effectExtent l="0" t="0" r="0" b="0"/>
            <wp:docPr id="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7CB9" w:rsidRDefault="00687CB9" w:rsidP="0077399B">
      <w:pPr>
        <w:spacing w:after="0" w:line="240" w:lineRule="auto"/>
        <w:ind w:firstLine="994"/>
        <w:jc w:val="both"/>
        <w:rPr>
          <w:sz w:val="8"/>
          <w:szCs w:val="8"/>
        </w:rPr>
      </w:pPr>
    </w:p>
    <w:p w:rsidR="00687CB9" w:rsidRPr="00743675" w:rsidRDefault="001E20F4" w:rsidP="0077399B">
      <w:pPr>
        <w:spacing w:after="0" w:line="240" w:lineRule="auto"/>
        <w:ind w:firstLine="994"/>
        <w:jc w:val="both"/>
        <w:rPr>
          <w:szCs w:val="24"/>
        </w:rPr>
      </w:pPr>
      <w:r w:rsidRPr="00743675">
        <w:rPr>
          <w:szCs w:val="24"/>
        </w:rPr>
        <w:t xml:space="preserve">Avots: </w:t>
      </w:r>
      <w:proofErr w:type="spellStart"/>
      <w:r w:rsidRPr="00743675">
        <w:rPr>
          <w:i/>
          <w:szCs w:val="24"/>
        </w:rPr>
        <w:t>Eurostat</w:t>
      </w:r>
      <w:proofErr w:type="spellEnd"/>
    </w:p>
    <w:p w:rsidR="00687CB9" w:rsidRDefault="00687CB9" w:rsidP="0077399B">
      <w:pPr>
        <w:autoSpaceDE w:val="0"/>
        <w:autoSpaceDN w:val="0"/>
        <w:adjustRightInd w:val="0"/>
        <w:spacing w:after="0" w:line="240" w:lineRule="auto"/>
        <w:ind w:firstLine="567"/>
        <w:jc w:val="both"/>
        <w:rPr>
          <w:sz w:val="26"/>
          <w:szCs w:val="26"/>
        </w:rPr>
      </w:pPr>
    </w:p>
    <w:p w:rsidR="00687CB9" w:rsidRDefault="001E20F4" w:rsidP="0077399B">
      <w:pPr>
        <w:autoSpaceDE w:val="0"/>
        <w:autoSpaceDN w:val="0"/>
        <w:adjustRightInd w:val="0"/>
        <w:spacing w:after="0" w:line="240" w:lineRule="auto"/>
        <w:ind w:firstLine="567"/>
        <w:jc w:val="both"/>
        <w:rPr>
          <w:sz w:val="26"/>
          <w:szCs w:val="26"/>
        </w:rPr>
      </w:pPr>
      <w:r w:rsidRPr="00E627D3">
        <w:rPr>
          <w:sz w:val="26"/>
          <w:szCs w:val="26"/>
        </w:rPr>
        <w:t xml:space="preserve">Viens no darba tirgus nākotnes izaicinājumiem ir </w:t>
      </w:r>
      <w:r w:rsidRPr="00E627D3">
        <w:rPr>
          <w:b/>
          <w:sz w:val="26"/>
          <w:szCs w:val="26"/>
        </w:rPr>
        <w:t>darbaspēka novecošanās.</w:t>
      </w:r>
      <w:r w:rsidRPr="00E627D3">
        <w:rPr>
          <w:sz w:val="26"/>
          <w:szCs w:val="26"/>
        </w:rPr>
        <w:t xml:space="preserve"> Lai gan attieksme pret šo </w:t>
      </w:r>
      <w:r>
        <w:rPr>
          <w:sz w:val="26"/>
          <w:szCs w:val="26"/>
        </w:rPr>
        <w:t>jautājumu mainās, tomēr nākotnē</w:t>
      </w:r>
      <w:r w:rsidRPr="00E627D3">
        <w:rPr>
          <w:sz w:val="26"/>
          <w:szCs w:val="26"/>
        </w:rPr>
        <w:t xml:space="preserve"> tas radīs ievērojamas izmaiņas darba tirgū un Ei</w:t>
      </w:r>
      <w:r>
        <w:rPr>
          <w:sz w:val="26"/>
          <w:szCs w:val="26"/>
        </w:rPr>
        <w:t xml:space="preserve">ropa nebūt tam vēl nav gatava. </w:t>
      </w:r>
      <w:r w:rsidRPr="00E627D3">
        <w:rPr>
          <w:sz w:val="26"/>
          <w:szCs w:val="26"/>
        </w:rPr>
        <w:t xml:space="preserve">Pašreiz ES darbaspēka novecošanās vairs netiek uztverta kā </w:t>
      </w:r>
      <w:r>
        <w:rPr>
          <w:sz w:val="26"/>
          <w:szCs w:val="26"/>
        </w:rPr>
        <w:t xml:space="preserve">pieaugoša </w:t>
      </w:r>
      <w:r w:rsidRPr="00E627D3">
        <w:rPr>
          <w:sz w:val="26"/>
          <w:szCs w:val="26"/>
        </w:rPr>
        <w:t xml:space="preserve">demogrāfijas </w:t>
      </w:r>
      <w:r>
        <w:rPr>
          <w:sz w:val="26"/>
          <w:szCs w:val="26"/>
        </w:rPr>
        <w:t>problēma</w:t>
      </w:r>
      <w:r w:rsidRPr="00E627D3">
        <w:rPr>
          <w:sz w:val="26"/>
          <w:szCs w:val="26"/>
        </w:rPr>
        <w:t xml:space="preserve"> ar negatīvām sekām, bet arvien biežāk tiek diskutēts par „sudraba ekonomiku”, kas var veicināt attīstību un ekonomikas izaugsmē ienest jaunas iespējas. Darba tirgus jau tagad izjūt iedzīvotāju novecošanās sekas. Daudzi, kas dzimuši 1950-1960.gados</w:t>
      </w:r>
      <w:r>
        <w:rPr>
          <w:sz w:val="26"/>
          <w:szCs w:val="26"/>
        </w:rPr>
        <w:t>,</w:t>
      </w:r>
      <w:r w:rsidR="00053BFB">
        <w:rPr>
          <w:sz w:val="26"/>
          <w:szCs w:val="26"/>
        </w:rPr>
        <w:t xml:space="preserve"> pensionēsies nākošajos 10 </w:t>
      </w:r>
      <w:r w:rsidRPr="00E627D3">
        <w:rPr>
          <w:sz w:val="26"/>
          <w:szCs w:val="26"/>
        </w:rPr>
        <w:t xml:space="preserve">vai 20 gados. Šos darbiniekus nāksies aizvietot ar </w:t>
      </w:r>
      <w:r>
        <w:rPr>
          <w:sz w:val="26"/>
          <w:szCs w:val="26"/>
        </w:rPr>
        <w:t>jaunu darbaspēku.</w:t>
      </w:r>
      <w:r w:rsidRPr="00E627D3">
        <w:rPr>
          <w:rStyle w:val="FootnoteReference"/>
          <w:sz w:val="26"/>
          <w:szCs w:val="26"/>
        </w:rPr>
        <w:footnoteReference w:id="3"/>
      </w:r>
    </w:p>
    <w:p w:rsidR="00687CB9" w:rsidRDefault="001E20F4" w:rsidP="0077399B">
      <w:pPr>
        <w:autoSpaceDE w:val="0"/>
        <w:autoSpaceDN w:val="0"/>
        <w:adjustRightInd w:val="0"/>
        <w:spacing w:after="0" w:line="240" w:lineRule="auto"/>
        <w:ind w:firstLine="567"/>
        <w:jc w:val="both"/>
        <w:rPr>
          <w:sz w:val="26"/>
          <w:szCs w:val="26"/>
        </w:rPr>
      </w:pPr>
      <w:r>
        <w:rPr>
          <w:sz w:val="26"/>
          <w:szCs w:val="26"/>
        </w:rPr>
        <w:t xml:space="preserve">ES darbu tirgu lielā mērā ietekmē arī iedzīvotāju skaita izmaiņas. Iedzīvotāju skaita pieaugumu ES nosaka iedzīvotāju imigrācija. 2011.gadā ES ieradās 1,7 </w:t>
      </w:r>
      <w:proofErr w:type="spellStart"/>
      <w:r>
        <w:rPr>
          <w:sz w:val="26"/>
          <w:szCs w:val="26"/>
        </w:rPr>
        <w:t>milj</w:t>
      </w:r>
      <w:proofErr w:type="spellEnd"/>
      <w:r w:rsidR="00053BFB">
        <w:rPr>
          <w:sz w:val="26"/>
          <w:szCs w:val="26"/>
        </w:rPr>
        <w:t>.</w:t>
      </w:r>
      <w:r>
        <w:rPr>
          <w:sz w:val="26"/>
          <w:szCs w:val="26"/>
        </w:rPr>
        <w:t xml:space="preserve"> imigrantu no valstīm ārpus ES, savukārt no ES dalībvalstīm uz citām ES valstīm devās 1,3 </w:t>
      </w:r>
      <w:proofErr w:type="spellStart"/>
      <w:r>
        <w:rPr>
          <w:sz w:val="26"/>
          <w:szCs w:val="26"/>
        </w:rPr>
        <w:t>milj</w:t>
      </w:r>
      <w:proofErr w:type="spellEnd"/>
      <w:r w:rsidR="00053BFB">
        <w:rPr>
          <w:sz w:val="26"/>
          <w:szCs w:val="26"/>
        </w:rPr>
        <w:t>.</w:t>
      </w:r>
      <w:r>
        <w:rPr>
          <w:sz w:val="26"/>
          <w:szCs w:val="26"/>
        </w:rPr>
        <w:t xml:space="preserve"> cilvēku. Visvairāk imigrantu dodas uz Lielbritāniju, Vāciju, Spāniju un Itāliju. Šīs četras valstis kopā uzņem apmēram 60% no visiem imigrantiem uz ES dalībvalstīm. Lielākās emigrantu plūsmas 2011.gadā reģistrēja Spānija, Lielbritānija, Vācija un Francija. 16 ES dalībvalstīs imigrācija pārsniedza emigrāciju, savukārt Bulgārijā, Čehijā, Īrijā, Grieķijā, Spānijā, Polijā, Rumānijā un visās Baltijas valstīs emigrācija pārsniedza imigrāciju.</w:t>
      </w:r>
      <w:r>
        <w:rPr>
          <w:rStyle w:val="FootnoteReference"/>
          <w:sz w:val="26"/>
          <w:szCs w:val="26"/>
        </w:rPr>
        <w:footnoteReference w:id="4"/>
      </w:r>
      <w:r>
        <w:rPr>
          <w:sz w:val="26"/>
          <w:szCs w:val="26"/>
        </w:rPr>
        <w:t xml:space="preserve"> Vācija un Spānija ir tās valstis, kurās reģistrēta gan lielākā emigrācija, gan imigrācija.</w:t>
      </w:r>
    </w:p>
    <w:p w:rsidR="00687CB9" w:rsidRDefault="001E20F4" w:rsidP="0077399B">
      <w:pPr>
        <w:autoSpaceDE w:val="0"/>
        <w:autoSpaceDN w:val="0"/>
        <w:adjustRightInd w:val="0"/>
        <w:spacing w:after="0" w:line="240" w:lineRule="auto"/>
        <w:ind w:firstLine="567"/>
        <w:jc w:val="both"/>
        <w:rPr>
          <w:sz w:val="26"/>
          <w:szCs w:val="26"/>
        </w:rPr>
      </w:pPr>
      <w:r>
        <w:rPr>
          <w:sz w:val="26"/>
          <w:szCs w:val="26"/>
        </w:rPr>
        <w:t xml:space="preserve">Neskatoties uz pieaugošo bezdarbu, ES joprojām ir 1,8 </w:t>
      </w:r>
      <w:proofErr w:type="spellStart"/>
      <w:r>
        <w:rPr>
          <w:sz w:val="26"/>
          <w:szCs w:val="26"/>
        </w:rPr>
        <w:t>milj</w:t>
      </w:r>
      <w:proofErr w:type="spellEnd"/>
      <w:r w:rsidR="00053BFB">
        <w:rPr>
          <w:sz w:val="26"/>
          <w:szCs w:val="26"/>
        </w:rPr>
        <w:t>.</w:t>
      </w:r>
      <w:r>
        <w:rPr>
          <w:sz w:val="26"/>
          <w:szCs w:val="26"/>
        </w:rPr>
        <w:t xml:space="preserve"> vakanču. Visvairāk vakances ir IKT sektorā. Visvairāk šīs jomas speciālistu ir nepieciešami Lielbritānijā, Vācijā un Zviedrijā.</w:t>
      </w:r>
      <w:r>
        <w:rPr>
          <w:rStyle w:val="FootnoteReference"/>
          <w:sz w:val="26"/>
          <w:szCs w:val="26"/>
        </w:rPr>
        <w:footnoteReference w:id="5"/>
      </w:r>
      <w:r>
        <w:rPr>
          <w:sz w:val="26"/>
          <w:szCs w:val="26"/>
        </w:rPr>
        <w:t xml:space="preserve"> Ņemot vērā, ka Eiropā pieaug gan vakanču skaits, gan arī bezdarbnieku skaits, viens no lielākajiem nākotnes izaicinājumiem ir darbaspēka prasmju pieprasījuma un piedāvājuma sabalansētības nodrošināšana un jaunu darba vietu radīšana.</w:t>
      </w:r>
    </w:p>
    <w:bookmarkEnd w:id="15"/>
    <w:p w:rsidR="00687CB9" w:rsidRDefault="008F2AA8" w:rsidP="0077399B">
      <w:pPr>
        <w:spacing w:after="0" w:line="240" w:lineRule="auto"/>
        <w:rPr>
          <w:rFonts w:ascii="Times New Roman Bold" w:hAnsi="Times New Roman Bold"/>
          <w:b/>
          <w:smallCaps/>
          <w:sz w:val="36"/>
          <w:szCs w:val="36"/>
        </w:rPr>
      </w:pPr>
      <w:r>
        <w:rPr>
          <w:sz w:val="36"/>
          <w:szCs w:val="36"/>
        </w:rPr>
        <w:br w:type="page"/>
      </w:r>
    </w:p>
    <w:p w:rsidR="00687CB9" w:rsidRDefault="00FB7700" w:rsidP="0077399B">
      <w:pPr>
        <w:pStyle w:val="Heading1"/>
        <w:pBdr>
          <w:bottom w:val="thinThickThinSmallGap" w:sz="24" w:space="1" w:color="8064A2" w:themeColor="accent4"/>
        </w:pBdr>
        <w:rPr>
          <w:sz w:val="36"/>
          <w:szCs w:val="36"/>
        </w:rPr>
      </w:pPr>
      <w:bookmarkStart w:id="16" w:name="_Toc357503114"/>
      <w:r w:rsidRPr="00CD7B6E">
        <w:rPr>
          <w:sz w:val="36"/>
          <w:szCs w:val="36"/>
        </w:rPr>
        <w:lastRenderedPageBreak/>
        <w:t>2. Darbaspēka pieprasījums un piedāvājums</w:t>
      </w:r>
      <w:bookmarkEnd w:id="16"/>
    </w:p>
    <w:p w:rsidR="00687CB9" w:rsidRDefault="00687CB9" w:rsidP="0077399B">
      <w:pPr>
        <w:pStyle w:val="Taksts11"/>
        <w:ind w:firstLine="0"/>
        <w:rPr>
          <w:color w:val="000000"/>
          <w:sz w:val="28"/>
          <w:szCs w:val="36"/>
          <w:lang w:val="lv-LV"/>
        </w:rPr>
      </w:pPr>
    </w:p>
    <w:p w:rsidR="00430577" w:rsidRPr="00CD7B6E" w:rsidRDefault="00430577" w:rsidP="00430577">
      <w:pPr>
        <w:pStyle w:val="Heading2"/>
        <w:pBdr>
          <w:bottom w:val="thinThickSmallGap" w:sz="18" w:space="1" w:color="8064A2" w:themeColor="accent4"/>
        </w:pBdr>
        <w:spacing w:before="0" w:after="0" w:line="240" w:lineRule="auto"/>
        <w:rPr>
          <w:szCs w:val="28"/>
        </w:rPr>
      </w:pPr>
      <w:bookmarkStart w:id="17" w:name="_Toc357503115"/>
      <w:r w:rsidRPr="00CD7B6E">
        <w:rPr>
          <w:szCs w:val="28"/>
        </w:rPr>
        <w:t>2.1. Darbaspēka pieprasījuma izmaiņas un struktūra</w:t>
      </w:r>
      <w:bookmarkEnd w:id="17"/>
    </w:p>
    <w:p w:rsidR="00430577" w:rsidRPr="00CD7B6E" w:rsidRDefault="00430577" w:rsidP="00430577">
      <w:pPr>
        <w:spacing w:after="0" w:line="240" w:lineRule="auto"/>
        <w:ind w:firstLine="567"/>
        <w:jc w:val="both"/>
        <w:rPr>
          <w:bCs/>
          <w:iCs/>
          <w:sz w:val="26"/>
        </w:rPr>
      </w:pPr>
    </w:p>
    <w:p w:rsidR="00430577" w:rsidRDefault="00430577" w:rsidP="00430577">
      <w:pPr>
        <w:spacing w:after="0" w:line="240" w:lineRule="auto"/>
        <w:ind w:firstLine="567"/>
        <w:jc w:val="both"/>
        <w:rPr>
          <w:sz w:val="26"/>
          <w:szCs w:val="28"/>
        </w:rPr>
      </w:pPr>
      <w:r w:rsidRPr="00CD7B6E">
        <w:rPr>
          <w:sz w:val="26"/>
          <w:szCs w:val="28"/>
        </w:rPr>
        <w:t>Ekono</w:t>
      </w:r>
      <w:r w:rsidR="002F6F95">
        <w:rPr>
          <w:sz w:val="26"/>
          <w:szCs w:val="28"/>
        </w:rPr>
        <w:t>miskā lejupslīde 2009. un 2010.</w:t>
      </w:r>
      <w:r w:rsidRPr="00CD7B6E">
        <w:rPr>
          <w:sz w:val="26"/>
          <w:szCs w:val="28"/>
        </w:rPr>
        <w:t>gadā un ar to saistītais nodarbinātības s</w:t>
      </w:r>
      <w:r>
        <w:rPr>
          <w:sz w:val="26"/>
          <w:szCs w:val="28"/>
        </w:rPr>
        <w:t xml:space="preserve">amazinājums smagi skāra visas nozares. Kopš </w:t>
      </w:r>
      <w:r w:rsidRPr="00CD7B6E">
        <w:rPr>
          <w:sz w:val="26"/>
          <w:szCs w:val="28"/>
        </w:rPr>
        <w:t>2011.gad</w:t>
      </w:r>
      <w:r>
        <w:rPr>
          <w:sz w:val="26"/>
          <w:szCs w:val="28"/>
        </w:rPr>
        <w:t>a, pieaugot ekonomiskajām aktivitātēm,</w:t>
      </w:r>
      <w:r w:rsidRPr="00CD7B6E">
        <w:rPr>
          <w:sz w:val="26"/>
          <w:szCs w:val="28"/>
        </w:rPr>
        <w:t xml:space="preserve"> </w:t>
      </w:r>
      <w:r>
        <w:rPr>
          <w:sz w:val="26"/>
          <w:szCs w:val="28"/>
        </w:rPr>
        <w:t xml:space="preserve">gandrīz </w:t>
      </w:r>
      <w:r w:rsidRPr="00CD7B6E">
        <w:rPr>
          <w:sz w:val="26"/>
          <w:szCs w:val="28"/>
        </w:rPr>
        <w:t xml:space="preserve">visās </w:t>
      </w:r>
      <w:r>
        <w:rPr>
          <w:sz w:val="26"/>
          <w:szCs w:val="28"/>
        </w:rPr>
        <w:t xml:space="preserve">tautsaimniecības pamatnozarēs </w:t>
      </w:r>
      <w:r w:rsidRPr="00CD7B6E">
        <w:rPr>
          <w:sz w:val="26"/>
          <w:szCs w:val="28"/>
        </w:rPr>
        <w:t xml:space="preserve">nozarēs aizņemto darbvietu </w:t>
      </w:r>
      <w:r>
        <w:rPr>
          <w:sz w:val="26"/>
          <w:szCs w:val="28"/>
        </w:rPr>
        <w:t xml:space="preserve">skaits </w:t>
      </w:r>
      <w:r w:rsidRPr="00CD7B6E">
        <w:rPr>
          <w:sz w:val="26"/>
          <w:szCs w:val="28"/>
        </w:rPr>
        <w:t xml:space="preserve">pieaug, tomēr </w:t>
      </w:r>
      <w:r>
        <w:rPr>
          <w:sz w:val="26"/>
          <w:szCs w:val="28"/>
        </w:rPr>
        <w:t xml:space="preserve">to skaits </w:t>
      </w:r>
      <w:r w:rsidRPr="00CD7B6E">
        <w:rPr>
          <w:sz w:val="26"/>
          <w:szCs w:val="28"/>
        </w:rPr>
        <w:t xml:space="preserve">joprojām </w:t>
      </w:r>
      <w:r>
        <w:rPr>
          <w:sz w:val="26"/>
          <w:szCs w:val="28"/>
        </w:rPr>
        <w:t xml:space="preserve">ievērojami </w:t>
      </w:r>
      <w:r w:rsidR="002F6F95">
        <w:rPr>
          <w:sz w:val="26"/>
          <w:szCs w:val="28"/>
        </w:rPr>
        <w:t>atpaliek no pirmskrīzes līmeņa.</w:t>
      </w:r>
    </w:p>
    <w:p w:rsidR="00430577" w:rsidRDefault="00430577" w:rsidP="00430577">
      <w:pPr>
        <w:spacing w:after="0" w:line="240" w:lineRule="auto"/>
        <w:ind w:firstLine="567"/>
        <w:jc w:val="both"/>
        <w:rPr>
          <w:sz w:val="26"/>
          <w:szCs w:val="28"/>
        </w:rPr>
      </w:pPr>
      <w:r>
        <w:rPr>
          <w:sz w:val="26"/>
          <w:szCs w:val="28"/>
        </w:rPr>
        <w:t>Vislielākais aizņemto darbavietu īpatsvars 2012.gadā bija sabiedrisko pakal</w:t>
      </w:r>
      <w:r w:rsidR="002F6F95">
        <w:rPr>
          <w:sz w:val="26"/>
          <w:szCs w:val="28"/>
        </w:rPr>
        <w:softHyphen/>
      </w:r>
      <w:r>
        <w:rPr>
          <w:sz w:val="26"/>
          <w:szCs w:val="28"/>
        </w:rPr>
        <w:t>pojumu nozarēs (25%), komercpakalpojumos (20%), tirdzniecībā un izmitināšanā (20%), kā a</w:t>
      </w:r>
      <w:r w:rsidR="002F6F95">
        <w:rPr>
          <w:sz w:val="26"/>
          <w:szCs w:val="28"/>
        </w:rPr>
        <w:t>rī apstrādes rūpniecībā (14%).</w:t>
      </w:r>
    </w:p>
    <w:p w:rsidR="00430577" w:rsidRDefault="00430577" w:rsidP="00430577">
      <w:pPr>
        <w:spacing w:after="0" w:line="240" w:lineRule="auto"/>
        <w:ind w:firstLine="567"/>
        <w:jc w:val="both"/>
        <w:rPr>
          <w:sz w:val="26"/>
          <w:szCs w:val="28"/>
        </w:rPr>
      </w:pPr>
      <w:r>
        <w:rPr>
          <w:sz w:val="26"/>
          <w:szCs w:val="28"/>
        </w:rPr>
        <w:t xml:space="preserve">2012.gadā aizņemto darba vietu skaits bija par 4,2% jeb 33 </w:t>
      </w:r>
      <w:proofErr w:type="spellStart"/>
      <w:r>
        <w:rPr>
          <w:sz w:val="26"/>
          <w:szCs w:val="28"/>
        </w:rPr>
        <w:t>tūkst</w:t>
      </w:r>
      <w:proofErr w:type="spellEnd"/>
      <w:r w:rsidR="00053BFB">
        <w:rPr>
          <w:sz w:val="26"/>
          <w:szCs w:val="28"/>
        </w:rPr>
        <w:t>.</w:t>
      </w:r>
      <w:r>
        <w:rPr>
          <w:sz w:val="26"/>
          <w:szCs w:val="28"/>
        </w:rPr>
        <w:t xml:space="preserve"> lielāks nekā 2011.gadā. No kopējā darbavietu skaita pieauguma gandrīz 1/3 veidoja komerc</w:t>
      </w:r>
      <w:r w:rsidR="00053BFB">
        <w:rPr>
          <w:sz w:val="26"/>
          <w:szCs w:val="28"/>
        </w:rPr>
        <w:softHyphen/>
      </w:r>
      <w:r>
        <w:rPr>
          <w:sz w:val="26"/>
          <w:szCs w:val="28"/>
        </w:rPr>
        <w:t>pakalpojumu nozares. Būtisks ieguldījums darbavietu skaita pieaugumā bija arī apstrādes rūpniecības un tirdzniecības nozarēm. Tajā pašā laikā sabiedrisko pakalpojumu nozarēs aizņemto darba vietu skaits 2012.gadā b</w:t>
      </w:r>
      <w:r w:rsidR="00053BFB">
        <w:rPr>
          <w:sz w:val="26"/>
          <w:szCs w:val="28"/>
        </w:rPr>
        <w:t>i</w:t>
      </w:r>
      <w:r>
        <w:rPr>
          <w:sz w:val="26"/>
          <w:szCs w:val="28"/>
        </w:rPr>
        <w:t>ja nedaudz mazāks nekā 2010. un 2011.gadā.</w:t>
      </w:r>
    </w:p>
    <w:p w:rsidR="00430577" w:rsidRPr="00CD7B6E" w:rsidRDefault="00430577" w:rsidP="00430577">
      <w:pPr>
        <w:pStyle w:val="BodyTextIndent"/>
        <w:numPr>
          <w:ilvl w:val="12"/>
          <w:numId w:val="0"/>
        </w:numPr>
        <w:spacing w:after="0" w:line="240" w:lineRule="auto"/>
        <w:jc w:val="right"/>
        <w:rPr>
          <w:color w:val="000000"/>
          <w:sz w:val="26"/>
          <w:szCs w:val="26"/>
        </w:rPr>
      </w:pPr>
      <w:r w:rsidRPr="00CD7B6E">
        <w:rPr>
          <w:color w:val="000000"/>
          <w:sz w:val="26"/>
          <w:szCs w:val="26"/>
        </w:rPr>
        <w:t>2.1. tabula</w:t>
      </w:r>
    </w:p>
    <w:p w:rsidR="00430577" w:rsidRDefault="00430577" w:rsidP="00430577">
      <w:pPr>
        <w:pStyle w:val="BodyText2"/>
        <w:spacing w:after="0" w:line="240" w:lineRule="auto"/>
        <w:jc w:val="center"/>
        <w:rPr>
          <w:b/>
          <w:bCs/>
          <w:color w:val="000000"/>
          <w:sz w:val="26"/>
          <w:szCs w:val="26"/>
        </w:rPr>
      </w:pPr>
      <w:r w:rsidRPr="00CD7B6E">
        <w:rPr>
          <w:b/>
          <w:bCs/>
          <w:color w:val="000000"/>
          <w:sz w:val="26"/>
          <w:szCs w:val="26"/>
        </w:rPr>
        <w:t xml:space="preserve">Aizņemtās darbvietas </w:t>
      </w:r>
      <w:r>
        <w:rPr>
          <w:b/>
          <w:bCs/>
          <w:color w:val="000000"/>
          <w:sz w:val="26"/>
          <w:szCs w:val="26"/>
        </w:rPr>
        <w:t>pa darbības veidiem vidēji gadā</w:t>
      </w:r>
    </w:p>
    <w:p w:rsidR="00430577" w:rsidRPr="00430577" w:rsidRDefault="00430577" w:rsidP="00430577">
      <w:pPr>
        <w:pStyle w:val="BodyText2"/>
        <w:spacing w:after="0" w:line="240" w:lineRule="auto"/>
        <w:jc w:val="center"/>
        <w:rPr>
          <w:bCs/>
          <w:color w:val="000000"/>
          <w:sz w:val="8"/>
          <w:szCs w:val="8"/>
        </w:rPr>
      </w:pPr>
    </w:p>
    <w:tbl>
      <w:tblPr>
        <w:tblStyle w:val="MediumList1-Accent4"/>
        <w:tblW w:w="4931" w:type="pct"/>
        <w:jc w:val="center"/>
        <w:tblInd w:w="164" w:type="dxa"/>
        <w:tblLayout w:type="fixed"/>
        <w:tblLook w:val="0400" w:firstRow="0" w:lastRow="0" w:firstColumn="0" w:lastColumn="0" w:noHBand="0" w:noVBand="1"/>
      </w:tblPr>
      <w:tblGrid>
        <w:gridCol w:w="1662"/>
        <w:gridCol w:w="814"/>
        <w:gridCol w:w="813"/>
        <w:gridCol w:w="813"/>
        <w:gridCol w:w="813"/>
        <w:gridCol w:w="813"/>
        <w:gridCol w:w="1086"/>
        <w:gridCol w:w="1088"/>
        <w:gridCol w:w="1257"/>
      </w:tblGrid>
      <w:tr w:rsidR="00430577" w:rsidRPr="00CD7B6E" w:rsidTr="001E4BA5">
        <w:trPr>
          <w:cnfStyle w:val="000000100000" w:firstRow="0" w:lastRow="0" w:firstColumn="0" w:lastColumn="0" w:oddVBand="0" w:evenVBand="0" w:oddHBand="1" w:evenHBand="0" w:firstRowFirstColumn="0" w:firstRowLastColumn="0" w:lastRowFirstColumn="0" w:lastRowLastColumn="0"/>
          <w:jc w:val="center"/>
        </w:trPr>
        <w:tc>
          <w:tcPr>
            <w:tcW w:w="907" w:type="pct"/>
            <w:tcBorders>
              <w:bottom w:val="nil"/>
              <w:right w:val="single" w:sz="4" w:space="0" w:color="8064A2" w:themeColor="accent4"/>
            </w:tcBorders>
          </w:tcPr>
          <w:p w:rsidR="00430577" w:rsidRPr="00CD7B6E" w:rsidRDefault="00430577" w:rsidP="00430577">
            <w:pPr>
              <w:numPr>
                <w:ilvl w:val="12"/>
                <w:numId w:val="0"/>
              </w:numPr>
              <w:spacing w:before="40" w:after="40" w:line="240" w:lineRule="auto"/>
              <w:jc w:val="center"/>
              <w:rPr>
                <w:b/>
                <w:sz w:val="20"/>
                <w:szCs w:val="20"/>
              </w:rPr>
            </w:pPr>
          </w:p>
        </w:tc>
        <w:tc>
          <w:tcPr>
            <w:tcW w:w="2219" w:type="pct"/>
            <w:gridSpan w:val="5"/>
            <w:tcBorders>
              <w:top w:val="single" w:sz="8" w:space="0" w:color="8064A2" w:themeColor="accent4"/>
              <w:left w:val="single" w:sz="4" w:space="0" w:color="8064A2" w:themeColor="accent4"/>
              <w:bottom w:val="nil"/>
              <w:right w:val="single" w:sz="4" w:space="0" w:color="8064A2" w:themeColor="accent4"/>
            </w:tcBorders>
            <w:vAlign w:val="center"/>
          </w:tcPr>
          <w:p w:rsidR="00430577" w:rsidRPr="00CD7B6E" w:rsidRDefault="00053BFB" w:rsidP="00D90219">
            <w:pPr>
              <w:keepLines/>
              <w:numPr>
                <w:ilvl w:val="12"/>
                <w:numId w:val="0"/>
              </w:numPr>
              <w:spacing w:before="40" w:after="40" w:line="240" w:lineRule="auto"/>
              <w:jc w:val="center"/>
              <w:rPr>
                <w:b/>
                <w:sz w:val="20"/>
                <w:szCs w:val="20"/>
              </w:rPr>
            </w:pPr>
            <w:r>
              <w:rPr>
                <w:b/>
                <w:sz w:val="20"/>
                <w:szCs w:val="20"/>
              </w:rPr>
              <w:t>Skaits (</w:t>
            </w:r>
            <w:proofErr w:type="spellStart"/>
            <w:r>
              <w:rPr>
                <w:b/>
                <w:sz w:val="20"/>
                <w:szCs w:val="20"/>
              </w:rPr>
              <w:t>tūkst</w:t>
            </w:r>
            <w:proofErr w:type="spellEnd"/>
            <w:r>
              <w:rPr>
                <w:b/>
                <w:sz w:val="20"/>
                <w:szCs w:val="20"/>
              </w:rPr>
              <w:t>.</w:t>
            </w:r>
            <w:r w:rsidR="00430577" w:rsidRPr="00CD7B6E">
              <w:rPr>
                <w:b/>
                <w:sz w:val="20"/>
                <w:szCs w:val="20"/>
              </w:rPr>
              <w:t>)</w:t>
            </w:r>
          </w:p>
        </w:tc>
        <w:tc>
          <w:tcPr>
            <w:tcW w:w="1187" w:type="pct"/>
            <w:gridSpan w:val="2"/>
            <w:tcBorders>
              <w:top w:val="single" w:sz="8" w:space="0" w:color="8064A2" w:themeColor="accent4"/>
              <w:left w:val="single" w:sz="4" w:space="0" w:color="8064A2" w:themeColor="accent4"/>
              <w:bottom w:val="nil"/>
              <w:right w:val="single" w:sz="4" w:space="0" w:color="8064A2" w:themeColor="accent4"/>
            </w:tcBorders>
            <w:vAlign w:val="center"/>
          </w:tcPr>
          <w:p w:rsidR="00430577" w:rsidRPr="00CD7B6E" w:rsidRDefault="00430577" w:rsidP="00D90219">
            <w:pPr>
              <w:keepLines/>
              <w:numPr>
                <w:ilvl w:val="12"/>
                <w:numId w:val="0"/>
              </w:numPr>
              <w:spacing w:before="40" w:after="40" w:line="240" w:lineRule="auto"/>
              <w:jc w:val="center"/>
              <w:rPr>
                <w:b/>
                <w:sz w:val="20"/>
                <w:szCs w:val="20"/>
              </w:rPr>
            </w:pPr>
            <w:r w:rsidRPr="00CD7B6E">
              <w:rPr>
                <w:b/>
                <w:sz w:val="20"/>
                <w:szCs w:val="20"/>
              </w:rPr>
              <w:t>Izmaiņas (%)</w:t>
            </w:r>
          </w:p>
        </w:tc>
        <w:tc>
          <w:tcPr>
            <w:tcW w:w="686" w:type="pct"/>
            <w:tcBorders>
              <w:top w:val="single" w:sz="8" w:space="0" w:color="8064A2" w:themeColor="accent4"/>
              <w:left w:val="single" w:sz="4" w:space="0" w:color="8064A2" w:themeColor="accent4"/>
              <w:bottom w:val="nil"/>
            </w:tcBorders>
          </w:tcPr>
          <w:p w:rsidR="00430577" w:rsidRPr="00CD7B6E" w:rsidRDefault="00430577" w:rsidP="00430577">
            <w:pPr>
              <w:keepLines/>
              <w:numPr>
                <w:ilvl w:val="12"/>
                <w:numId w:val="0"/>
              </w:numPr>
              <w:spacing w:before="40" w:after="40" w:line="240" w:lineRule="auto"/>
              <w:ind w:left="-57" w:right="-57"/>
              <w:jc w:val="center"/>
              <w:rPr>
                <w:b/>
                <w:sz w:val="20"/>
                <w:szCs w:val="20"/>
              </w:rPr>
            </w:pPr>
            <w:r>
              <w:rPr>
                <w:b/>
                <w:sz w:val="20"/>
                <w:szCs w:val="20"/>
              </w:rPr>
              <w:t>Ieguldījums izmaiņās (%)</w:t>
            </w:r>
          </w:p>
        </w:tc>
      </w:tr>
      <w:tr w:rsidR="00430577" w:rsidRPr="00CD7B6E" w:rsidTr="001E4BA5">
        <w:trPr>
          <w:jc w:val="center"/>
        </w:trPr>
        <w:tc>
          <w:tcPr>
            <w:tcW w:w="907" w:type="pct"/>
            <w:tcBorders>
              <w:top w:val="nil"/>
              <w:bottom w:val="single" w:sz="8" w:space="0" w:color="8064A2" w:themeColor="accent4"/>
              <w:right w:val="single" w:sz="4" w:space="0" w:color="8064A2" w:themeColor="accent4"/>
            </w:tcBorders>
          </w:tcPr>
          <w:p w:rsidR="00430577" w:rsidRPr="00CD7B6E" w:rsidRDefault="00430577" w:rsidP="00430577">
            <w:pPr>
              <w:numPr>
                <w:ilvl w:val="12"/>
                <w:numId w:val="0"/>
              </w:numPr>
              <w:spacing w:before="40" w:after="40" w:line="240" w:lineRule="auto"/>
              <w:jc w:val="center"/>
              <w:rPr>
                <w:b/>
                <w:sz w:val="20"/>
                <w:szCs w:val="20"/>
              </w:rPr>
            </w:pPr>
          </w:p>
        </w:tc>
        <w:tc>
          <w:tcPr>
            <w:tcW w:w="444" w:type="pct"/>
            <w:tcBorders>
              <w:top w:val="nil"/>
              <w:left w:val="single" w:sz="4" w:space="0" w:color="8064A2" w:themeColor="accent4"/>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Pr>
                <w:b/>
                <w:sz w:val="20"/>
                <w:szCs w:val="20"/>
              </w:rPr>
              <w:t>2008</w:t>
            </w:r>
          </w:p>
        </w:tc>
        <w:tc>
          <w:tcPr>
            <w:tcW w:w="444" w:type="pct"/>
            <w:tcBorders>
              <w:top w:val="nil"/>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sidRPr="00CD7B6E">
              <w:rPr>
                <w:b/>
                <w:sz w:val="20"/>
                <w:szCs w:val="20"/>
              </w:rPr>
              <w:t>2009</w:t>
            </w:r>
          </w:p>
        </w:tc>
        <w:tc>
          <w:tcPr>
            <w:tcW w:w="444" w:type="pct"/>
            <w:tcBorders>
              <w:top w:val="nil"/>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sidRPr="00CD7B6E">
              <w:rPr>
                <w:b/>
                <w:sz w:val="20"/>
                <w:szCs w:val="20"/>
              </w:rPr>
              <w:t>2010</w:t>
            </w:r>
          </w:p>
        </w:tc>
        <w:tc>
          <w:tcPr>
            <w:tcW w:w="444" w:type="pct"/>
            <w:tcBorders>
              <w:top w:val="nil"/>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sidRPr="00CD7B6E">
              <w:rPr>
                <w:b/>
                <w:sz w:val="20"/>
                <w:szCs w:val="20"/>
              </w:rPr>
              <w:t>2011</w:t>
            </w:r>
          </w:p>
        </w:tc>
        <w:tc>
          <w:tcPr>
            <w:tcW w:w="444" w:type="pct"/>
            <w:tcBorders>
              <w:top w:val="nil"/>
              <w:bottom w:val="single" w:sz="8" w:space="0" w:color="8064A2" w:themeColor="accent4"/>
              <w:right w:val="single" w:sz="4"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Pr>
                <w:b/>
                <w:sz w:val="20"/>
                <w:szCs w:val="20"/>
              </w:rPr>
              <w:t>2012</w:t>
            </w:r>
          </w:p>
        </w:tc>
        <w:tc>
          <w:tcPr>
            <w:tcW w:w="593" w:type="pct"/>
            <w:tcBorders>
              <w:top w:val="nil"/>
              <w:left w:val="single" w:sz="4" w:space="0" w:color="8064A2" w:themeColor="accent4"/>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sidRPr="00CD7B6E">
              <w:rPr>
                <w:b/>
                <w:sz w:val="20"/>
                <w:szCs w:val="20"/>
              </w:rPr>
              <w:t>201</w:t>
            </w:r>
            <w:r>
              <w:rPr>
                <w:b/>
                <w:sz w:val="20"/>
                <w:szCs w:val="20"/>
              </w:rPr>
              <w:t>2</w:t>
            </w:r>
            <w:r w:rsidRPr="00CD7B6E">
              <w:rPr>
                <w:b/>
                <w:sz w:val="20"/>
                <w:szCs w:val="20"/>
              </w:rPr>
              <w:t>/2008</w:t>
            </w:r>
          </w:p>
        </w:tc>
        <w:tc>
          <w:tcPr>
            <w:tcW w:w="593" w:type="pct"/>
            <w:tcBorders>
              <w:top w:val="nil"/>
              <w:bottom w:val="single" w:sz="8" w:space="0" w:color="8064A2" w:themeColor="accent4"/>
              <w:right w:val="single" w:sz="4"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Pr>
                <w:b/>
                <w:sz w:val="20"/>
                <w:szCs w:val="20"/>
              </w:rPr>
              <w:t>2012/2011</w:t>
            </w:r>
          </w:p>
        </w:tc>
        <w:tc>
          <w:tcPr>
            <w:tcW w:w="686" w:type="pct"/>
            <w:tcBorders>
              <w:top w:val="nil"/>
              <w:left w:val="single" w:sz="4" w:space="0" w:color="8064A2" w:themeColor="accent4"/>
              <w:bottom w:val="single" w:sz="8" w:space="0" w:color="8064A2" w:themeColor="accent4"/>
            </w:tcBorders>
          </w:tcPr>
          <w:p w:rsidR="00430577" w:rsidRPr="00CD7B6E" w:rsidRDefault="00430577" w:rsidP="00430577">
            <w:pPr>
              <w:keepLines/>
              <w:numPr>
                <w:ilvl w:val="12"/>
                <w:numId w:val="0"/>
              </w:numPr>
              <w:spacing w:before="40" w:after="40" w:line="240" w:lineRule="auto"/>
              <w:jc w:val="center"/>
              <w:rPr>
                <w:b/>
                <w:sz w:val="20"/>
                <w:szCs w:val="20"/>
              </w:rPr>
            </w:pPr>
            <w:r w:rsidRPr="00CD7B6E">
              <w:rPr>
                <w:b/>
                <w:sz w:val="20"/>
                <w:szCs w:val="20"/>
              </w:rPr>
              <w:t>201</w:t>
            </w:r>
            <w:r>
              <w:rPr>
                <w:b/>
                <w:sz w:val="20"/>
                <w:szCs w:val="20"/>
              </w:rPr>
              <w:t>2</w:t>
            </w:r>
            <w:r w:rsidRPr="00CD7B6E">
              <w:rPr>
                <w:b/>
                <w:sz w:val="20"/>
                <w:szCs w:val="20"/>
              </w:rPr>
              <w:t>/201</w:t>
            </w:r>
            <w:r>
              <w:rPr>
                <w:b/>
                <w:sz w:val="20"/>
                <w:szCs w:val="20"/>
              </w:rPr>
              <w:t>1</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jc w:val="center"/>
        </w:trPr>
        <w:tc>
          <w:tcPr>
            <w:tcW w:w="907" w:type="pct"/>
            <w:tcBorders>
              <w:top w:val="single" w:sz="8" w:space="0" w:color="8064A2" w:themeColor="accent4"/>
              <w:right w:val="single" w:sz="4" w:space="0" w:color="8064A2" w:themeColor="accent4"/>
            </w:tcBorders>
          </w:tcPr>
          <w:p w:rsidR="00430577" w:rsidRPr="00CD7B6E" w:rsidRDefault="00430577" w:rsidP="00430577">
            <w:pPr>
              <w:numPr>
                <w:ilvl w:val="12"/>
                <w:numId w:val="0"/>
              </w:numPr>
              <w:spacing w:before="40" w:after="40" w:line="240" w:lineRule="auto"/>
              <w:rPr>
                <w:b/>
                <w:sz w:val="20"/>
                <w:szCs w:val="20"/>
              </w:rPr>
            </w:pPr>
            <w:r w:rsidRPr="00CD7B6E">
              <w:rPr>
                <w:b/>
                <w:sz w:val="20"/>
                <w:szCs w:val="20"/>
              </w:rPr>
              <w:t>Kopā</w:t>
            </w:r>
          </w:p>
        </w:tc>
        <w:tc>
          <w:tcPr>
            <w:tcW w:w="444" w:type="pct"/>
            <w:tcBorders>
              <w:top w:val="single" w:sz="8" w:space="0" w:color="8064A2" w:themeColor="accent4"/>
              <w:left w:val="single" w:sz="4" w:space="0" w:color="8064A2" w:themeColor="accent4"/>
            </w:tcBorders>
          </w:tcPr>
          <w:p w:rsidR="00430577" w:rsidRPr="00CD7B6E" w:rsidRDefault="00430577" w:rsidP="00430577">
            <w:pPr>
              <w:tabs>
                <w:tab w:val="decimal" w:pos="352"/>
              </w:tabs>
              <w:spacing w:before="40" w:after="40" w:line="240" w:lineRule="auto"/>
              <w:jc w:val="center"/>
              <w:rPr>
                <w:b/>
                <w:sz w:val="20"/>
                <w:szCs w:val="20"/>
              </w:rPr>
            </w:pPr>
            <w:r>
              <w:rPr>
                <w:b/>
                <w:sz w:val="20"/>
                <w:szCs w:val="20"/>
              </w:rPr>
              <w:t>1016,5</w:t>
            </w:r>
          </w:p>
        </w:tc>
        <w:tc>
          <w:tcPr>
            <w:tcW w:w="444" w:type="pct"/>
            <w:tcBorders>
              <w:top w:val="single" w:sz="8" w:space="0" w:color="8064A2" w:themeColor="accent4"/>
            </w:tcBorders>
          </w:tcPr>
          <w:p w:rsidR="00430577" w:rsidRPr="00CD7B6E" w:rsidRDefault="00430577" w:rsidP="00430577">
            <w:pPr>
              <w:tabs>
                <w:tab w:val="decimal" w:pos="352"/>
              </w:tabs>
              <w:spacing w:before="40" w:after="40" w:line="240" w:lineRule="auto"/>
              <w:jc w:val="center"/>
              <w:rPr>
                <w:b/>
                <w:sz w:val="20"/>
                <w:szCs w:val="20"/>
              </w:rPr>
            </w:pPr>
            <w:r w:rsidRPr="00CD7B6E">
              <w:rPr>
                <w:b/>
                <w:sz w:val="20"/>
                <w:szCs w:val="20"/>
              </w:rPr>
              <w:t>826,1</w:t>
            </w:r>
          </w:p>
        </w:tc>
        <w:tc>
          <w:tcPr>
            <w:tcW w:w="444" w:type="pct"/>
            <w:tcBorders>
              <w:top w:val="single" w:sz="8" w:space="0" w:color="8064A2" w:themeColor="accent4"/>
            </w:tcBorders>
          </w:tcPr>
          <w:p w:rsidR="00430577" w:rsidRPr="00CD7B6E" w:rsidRDefault="00430577" w:rsidP="00430577">
            <w:pPr>
              <w:tabs>
                <w:tab w:val="decimal" w:pos="352"/>
              </w:tabs>
              <w:spacing w:before="40" w:after="40" w:line="240" w:lineRule="auto"/>
              <w:jc w:val="center"/>
              <w:rPr>
                <w:b/>
                <w:sz w:val="20"/>
                <w:szCs w:val="20"/>
              </w:rPr>
            </w:pPr>
            <w:r w:rsidRPr="00CD7B6E">
              <w:rPr>
                <w:b/>
                <w:sz w:val="20"/>
                <w:szCs w:val="20"/>
              </w:rPr>
              <w:t>776,7</w:t>
            </w:r>
          </w:p>
        </w:tc>
        <w:tc>
          <w:tcPr>
            <w:tcW w:w="444" w:type="pct"/>
            <w:tcBorders>
              <w:top w:val="single" w:sz="8" w:space="0" w:color="8064A2" w:themeColor="accent4"/>
            </w:tcBorders>
          </w:tcPr>
          <w:p w:rsidR="00430577" w:rsidRPr="00CD7B6E" w:rsidRDefault="00430577" w:rsidP="00430577">
            <w:pPr>
              <w:tabs>
                <w:tab w:val="decimal" w:pos="352"/>
              </w:tabs>
              <w:spacing w:before="40" w:after="40" w:line="240" w:lineRule="auto"/>
              <w:jc w:val="center"/>
              <w:rPr>
                <w:b/>
                <w:sz w:val="20"/>
                <w:szCs w:val="20"/>
              </w:rPr>
            </w:pPr>
            <w:r w:rsidRPr="00CD7B6E">
              <w:rPr>
                <w:b/>
                <w:sz w:val="20"/>
                <w:szCs w:val="20"/>
              </w:rPr>
              <w:t>805,5</w:t>
            </w:r>
          </w:p>
        </w:tc>
        <w:tc>
          <w:tcPr>
            <w:tcW w:w="444" w:type="pct"/>
            <w:tcBorders>
              <w:top w:val="single" w:sz="8" w:space="0" w:color="8064A2" w:themeColor="accent4"/>
              <w:right w:val="single" w:sz="4" w:space="0" w:color="8064A2" w:themeColor="accent4"/>
            </w:tcBorders>
          </w:tcPr>
          <w:p w:rsidR="00430577" w:rsidRPr="00CD7B6E" w:rsidRDefault="00430577" w:rsidP="00430577">
            <w:pPr>
              <w:tabs>
                <w:tab w:val="decimal" w:pos="352"/>
              </w:tabs>
              <w:spacing w:before="40" w:after="40" w:line="240" w:lineRule="auto"/>
              <w:jc w:val="center"/>
              <w:rPr>
                <w:b/>
                <w:sz w:val="20"/>
                <w:szCs w:val="20"/>
              </w:rPr>
            </w:pPr>
            <w:r>
              <w:rPr>
                <w:b/>
                <w:sz w:val="20"/>
                <w:szCs w:val="20"/>
              </w:rPr>
              <w:t>839,1</w:t>
            </w:r>
          </w:p>
        </w:tc>
        <w:tc>
          <w:tcPr>
            <w:tcW w:w="593" w:type="pct"/>
            <w:tcBorders>
              <w:top w:val="single" w:sz="8" w:space="0" w:color="8064A2" w:themeColor="accent4"/>
              <w:left w:val="single" w:sz="4" w:space="0" w:color="8064A2" w:themeColor="accent4"/>
            </w:tcBorders>
          </w:tcPr>
          <w:p w:rsidR="00430577" w:rsidRPr="00CD7B6E" w:rsidRDefault="00430577" w:rsidP="00430577">
            <w:pPr>
              <w:tabs>
                <w:tab w:val="decimal" w:pos="500"/>
              </w:tabs>
              <w:spacing w:before="40" w:after="40" w:line="240" w:lineRule="auto"/>
              <w:jc w:val="center"/>
              <w:rPr>
                <w:b/>
                <w:sz w:val="20"/>
                <w:szCs w:val="20"/>
              </w:rPr>
            </w:pPr>
            <w:r>
              <w:rPr>
                <w:b/>
                <w:sz w:val="20"/>
                <w:szCs w:val="20"/>
              </w:rPr>
              <w:t>-17,5</w:t>
            </w:r>
          </w:p>
        </w:tc>
        <w:tc>
          <w:tcPr>
            <w:tcW w:w="593" w:type="pct"/>
            <w:tcBorders>
              <w:top w:val="single" w:sz="8" w:space="0" w:color="8064A2" w:themeColor="accent4"/>
              <w:right w:val="single" w:sz="4" w:space="0" w:color="8064A2" w:themeColor="accent4"/>
            </w:tcBorders>
          </w:tcPr>
          <w:p w:rsidR="00430577" w:rsidRPr="00CD7B6E" w:rsidRDefault="00430577" w:rsidP="00430577">
            <w:pPr>
              <w:tabs>
                <w:tab w:val="decimal" w:pos="412"/>
                <w:tab w:val="decimal" w:pos="500"/>
              </w:tabs>
              <w:spacing w:before="40" w:after="40" w:line="240" w:lineRule="auto"/>
              <w:jc w:val="center"/>
              <w:rPr>
                <w:b/>
                <w:sz w:val="20"/>
                <w:szCs w:val="20"/>
              </w:rPr>
            </w:pPr>
            <w:r>
              <w:rPr>
                <w:b/>
                <w:sz w:val="20"/>
                <w:szCs w:val="20"/>
              </w:rPr>
              <w:t>4,2</w:t>
            </w:r>
          </w:p>
        </w:tc>
        <w:tc>
          <w:tcPr>
            <w:tcW w:w="686" w:type="pct"/>
            <w:tcBorders>
              <w:top w:val="single" w:sz="8" w:space="0" w:color="8064A2" w:themeColor="accent4"/>
              <w:left w:val="single" w:sz="4" w:space="0" w:color="8064A2" w:themeColor="accent4"/>
            </w:tcBorders>
          </w:tcPr>
          <w:p w:rsidR="00430577" w:rsidRPr="00CD7B6E" w:rsidRDefault="00430577" w:rsidP="00430577">
            <w:pPr>
              <w:tabs>
                <w:tab w:val="decimal" w:pos="502"/>
              </w:tabs>
              <w:spacing w:before="40" w:after="40" w:line="240" w:lineRule="auto"/>
              <w:rPr>
                <w:b/>
                <w:sz w:val="20"/>
                <w:szCs w:val="20"/>
              </w:rPr>
            </w:pPr>
            <w:r>
              <w:rPr>
                <w:b/>
                <w:sz w:val="20"/>
                <w:szCs w:val="20"/>
              </w:rPr>
              <w:t>4,2</w:t>
            </w:r>
          </w:p>
        </w:tc>
      </w:tr>
      <w:tr w:rsidR="00430577" w:rsidRPr="00CD7B6E" w:rsidTr="002F6F95">
        <w:trPr>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ind w:firstLine="142"/>
              <w:rPr>
                <w:sz w:val="20"/>
                <w:szCs w:val="20"/>
              </w:rPr>
            </w:pPr>
            <w:r w:rsidRPr="00CD7B6E">
              <w:rPr>
                <w:sz w:val="20"/>
                <w:szCs w:val="20"/>
              </w:rPr>
              <w:t>tai skaitā:</w:t>
            </w:r>
          </w:p>
        </w:tc>
        <w:tc>
          <w:tcPr>
            <w:tcW w:w="444" w:type="pct"/>
            <w:tcBorders>
              <w:left w:val="single" w:sz="4" w:space="0" w:color="8064A2" w:themeColor="accent4"/>
            </w:tcBorders>
          </w:tcPr>
          <w:p w:rsidR="00430577" w:rsidRPr="00CD7B6E" w:rsidRDefault="00430577" w:rsidP="00430577">
            <w:pPr>
              <w:tabs>
                <w:tab w:val="decimal" w:pos="352"/>
              </w:tabs>
              <w:spacing w:before="40" w:after="40" w:line="240" w:lineRule="auto"/>
              <w:jc w:val="center"/>
              <w:rPr>
                <w:sz w:val="20"/>
                <w:szCs w:val="20"/>
              </w:rPr>
            </w:pPr>
          </w:p>
        </w:tc>
        <w:tc>
          <w:tcPr>
            <w:tcW w:w="444" w:type="pct"/>
          </w:tcPr>
          <w:p w:rsidR="00430577" w:rsidRPr="00CD7B6E" w:rsidRDefault="00430577" w:rsidP="00430577">
            <w:pPr>
              <w:tabs>
                <w:tab w:val="decimal" w:pos="352"/>
              </w:tabs>
              <w:spacing w:before="40" w:after="40" w:line="240" w:lineRule="auto"/>
              <w:jc w:val="center"/>
              <w:rPr>
                <w:sz w:val="20"/>
                <w:szCs w:val="20"/>
              </w:rPr>
            </w:pPr>
          </w:p>
        </w:tc>
        <w:tc>
          <w:tcPr>
            <w:tcW w:w="444" w:type="pct"/>
          </w:tcPr>
          <w:p w:rsidR="00430577" w:rsidRPr="00CD7B6E" w:rsidRDefault="00430577" w:rsidP="00430577">
            <w:pPr>
              <w:tabs>
                <w:tab w:val="decimal" w:pos="352"/>
              </w:tabs>
              <w:spacing w:before="40" w:after="40" w:line="240" w:lineRule="auto"/>
              <w:jc w:val="center"/>
              <w:rPr>
                <w:sz w:val="20"/>
                <w:szCs w:val="20"/>
              </w:rPr>
            </w:pPr>
          </w:p>
        </w:tc>
        <w:tc>
          <w:tcPr>
            <w:tcW w:w="444" w:type="pct"/>
          </w:tcPr>
          <w:p w:rsidR="00430577" w:rsidRPr="00CD7B6E" w:rsidRDefault="00430577" w:rsidP="00430577">
            <w:pPr>
              <w:tabs>
                <w:tab w:val="decimal" w:pos="352"/>
              </w:tabs>
              <w:spacing w:before="40" w:after="40" w:line="240" w:lineRule="auto"/>
              <w:jc w:val="center"/>
              <w:rPr>
                <w:sz w:val="20"/>
                <w:szCs w:val="20"/>
              </w:rPr>
            </w:pPr>
          </w:p>
        </w:tc>
        <w:tc>
          <w:tcPr>
            <w:tcW w:w="444" w:type="pct"/>
            <w:tcBorders>
              <w:right w:val="single" w:sz="4" w:space="0" w:color="8064A2" w:themeColor="accent4"/>
            </w:tcBorders>
          </w:tcPr>
          <w:p w:rsidR="00430577" w:rsidRPr="00CD7B6E" w:rsidRDefault="00430577" w:rsidP="00430577">
            <w:pPr>
              <w:tabs>
                <w:tab w:val="decimal" w:pos="352"/>
              </w:tabs>
              <w:spacing w:before="40" w:after="40" w:line="240" w:lineRule="auto"/>
              <w:jc w:val="center"/>
              <w:rPr>
                <w:sz w:val="20"/>
                <w:szCs w:val="20"/>
              </w:rPr>
            </w:pPr>
          </w:p>
        </w:tc>
        <w:tc>
          <w:tcPr>
            <w:tcW w:w="593" w:type="pct"/>
            <w:tcBorders>
              <w:left w:val="single" w:sz="4" w:space="0" w:color="8064A2" w:themeColor="accent4"/>
            </w:tcBorders>
          </w:tcPr>
          <w:p w:rsidR="00430577" w:rsidRPr="00CD7B6E" w:rsidRDefault="00430577" w:rsidP="00430577">
            <w:pPr>
              <w:tabs>
                <w:tab w:val="decimal" w:pos="500"/>
                <w:tab w:val="decimal" w:pos="590"/>
              </w:tabs>
              <w:spacing w:before="40" w:after="40" w:line="240" w:lineRule="auto"/>
              <w:jc w:val="center"/>
              <w:rPr>
                <w:sz w:val="20"/>
                <w:szCs w:val="20"/>
              </w:rPr>
            </w:pPr>
          </w:p>
        </w:tc>
        <w:tc>
          <w:tcPr>
            <w:tcW w:w="593" w:type="pct"/>
            <w:tcBorders>
              <w:right w:val="single" w:sz="4" w:space="0" w:color="8064A2" w:themeColor="accent4"/>
            </w:tcBorders>
          </w:tcPr>
          <w:p w:rsidR="00430577" w:rsidRPr="00CD7B6E" w:rsidRDefault="00430577" w:rsidP="00430577">
            <w:pPr>
              <w:tabs>
                <w:tab w:val="decimal" w:pos="412"/>
                <w:tab w:val="decimal" w:pos="447"/>
                <w:tab w:val="decimal" w:pos="500"/>
              </w:tabs>
              <w:spacing w:before="40" w:after="40" w:line="240" w:lineRule="auto"/>
              <w:jc w:val="center"/>
              <w:rPr>
                <w:sz w:val="20"/>
                <w:szCs w:val="20"/>
              </w:rPr>
            </w:pPr>
          </w:p>
        </w:tc>
        <w:tc>
          <w:tcPr>
            <w:tcW w:w="686" w:type="pct"/>
            <w:tcBorders>
              <w:left w:val="single" w:sz="4" w:space="0" w:color="8064A2" w:themeColor="accent4"/>
            </w:tcBorders>
          </w:tcPr>
          <w:p w:rsidR="00430577" w:rsidRPr="00CD7B6E" w:rsidRDefault="00430577" w:rsidP="00430577">
            <w:pPr>
              <w:tabs>
                <w:tab w:val="decimal" w:pos="447"/>
              </w:tabs>
              <w:spacing w:before="40" w:after="40" w:line="240" w:lineRule="auto"/>
              <w:rPr>
                <w:sz w:val="20"/>
                <w:szCs w:val="20"/>
              </w:rPr>
            </w:pPr>
          </w:p>
        </w:tc>
      </w:tr>
      <w:tr w:rsidR="00430577" w:rsidRPr="00CD7B6E" w:rsidTr="002F6F95">
        <w:trPr>
          <w:cnfStyle w:val="000000100000" w:firstRow="0" w:lastRow="0" w:firstColumn="0" w:lastColumn="0" w:oddVBand="0" w:evenVBand="0" w:oddHBand="1" w:evenHBand="0" w:firstRowFirstColumn="0" w:firstRowLastColumn="0" w:lastRowFirstColumn="0" w:lastRowLastColumn="0"/>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Lauksaimniecība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20,8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17,9</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17,5</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19,0</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20,6</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-0,9</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8,5</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2</w:t>
            </w:r>
          </w:p>
        </w:tc>
      </w:tr>
      <w:tr w:rsidR="00430577" w:rsidRPr="00CD7B6E" w:rsidTr="002F6F95">
        <w:trPr>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Apstrādes rūpniecība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138,9</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104,1</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101,8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109,1</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114,5</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-17,5</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5,0</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7</w:t>
            </w:r>
          </w:p>
        </w:tc>
      </w:tr>
      <w:tr w:rsidR="00430577" w:rsidRPr="00CD7B6E" w:rsidTr="002F6F95">
        <w:trPr>
          <w:cnfStyle w:val="000000100000" w:firstRow="0" w:lastRow="0" w:firstColumn="0" w:lastColumn="0" w:oddVBand="0" w:evenVBand="0" w:oddHBand="1" w:evenHBand="0" w:firstRowFirstColumn="0" w:firstRowLastColumn="0" w:lastRowFirstColumn="0" w:lastRowLastColumn="0"/>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Pārējā rūpniecība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26,7</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23,7</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22,4</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22,9</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23,7</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-11,3</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3,2</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1</w:t>
            </w:r>
          </w:p>
        </w:tc>
      </w:tr>
      <w:tr w:rsidR="00430577" w:rsidRPr="00CD7B6E" w:rsidTr="002F6F95">
        <w:trPr>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Būvniecība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89,3</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54,6</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46,0</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50,9</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55,7</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-37,7</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9,4</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6</w:t>
            </w:r>
          </w:p>
        </w:tc>
      </w:tr>
      <w:tr w:rsidR="00430577" w:rsidRPr="00CD7B6E" w:rsidTr="002F6F95">
        <w:trPr>
          <w:cnfStyle w:val="000000100000" w:firstRow="0" w:lastRow="0" w:firstColumn="0" w:lastColumn="0" w:oddVBand="0" w:evenVBand="0" w:oddHBand="1" w:evenHBand="0" w:firstRowFirstColumn="0" w:firstRowLastColumn="0" w:lastRowFirstColumn="0" w:lastRowLastColumn="0"/>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ind w:right="-95"/>
              <w:rPr>
                <w:sz w:val="20"/>
                <w:szCs w:val="20"/>
              </w:rPr>
            </w:pPr>
            <w:r w:rsidRPr="00CD7B6E">
              <w:rPr>
                <w:sz w:val="20"/>
                <w:szCs w:val="20"/>
              </w:rPr>
              <w:t>Tirdzniecība, izmitināšana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221,8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173,3</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159,7</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162,8</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170,7</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-23,0</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4,9</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1</w:t>
            </w:r>
            <w:r>
              <w:rPr>
                <w:sz w:val="20"/>
                <w:szCs w:val="20"/>
              </w:rPr>
              <w:t>,</w:t>
            </w:r>
            <w:r w:rsidRPr="006C6653">
              <w:rPr>
                <w:sz w:val="20"/>
                <w:szCs w:val="20"/>
              </w:rPr>
              <w:t>0</w:t>
            </w:r>
          </w:p>
        </w:tc>
      </w:tr>
      <w:tr w:rsidR="00430577" w:rsidRPr="00CD7B6E" w:rsidTr="002F6F95">
        <w:trPr>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Transports un uzglabāšana</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77,8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67,6</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66,8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68,8</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72,7</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-6,6</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5,6</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5</w:t>
            </w:r>
          </w:p>
        </w:tc>
      </w:tr>
      <w:tr w:rsidR="00430577" w:rsidRPr="00CD7B6E" w:rsidTr="002F6F95">
        <w:trPr>
          <w:cnfStyle w:val="000000100000" w:firstRow="0" w:lastRow="0" w:firstColumn="0" w:lastColumn="0" w:oddVBand="0" w:evenVBand="0" w:oddHBand="1" w:evenHBand="0" w:firstRowFirstColumn="0" w:firstRowLastColumn="0" w:lastRowFirstColumn="0" w:lastRowLastColumn="0"/>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Citi komerc</w:t>
            </w:r>
            <w:r w:rsidR="002F6F95">
              <w:rPr>
                <w:sz w:val="20"/>
                <w:szCs w:val="20"/>
              </w:rPr>
              <w:softHyphen/>
            </w:r>
            <w:r w:rsidRPr="00CD7B6E">
              <w:rPr>
                <w:sz w:val="20"/>
                <w:szCs w:val="20"/>
              </w:rPr>
              <w:t>pakalpojumi</w:t>
            </w:r>
          </w:p>
        </w:tc>
        <w:tc>
          <w:tcPr>
            <w:tcW w:w="444" w:type="pct"/>
            <w:tcBorders>
              <w:lef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196,2</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162,8</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148,4</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157,0</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168,5</w:t>
            </w:r>
          </w:p>
        </w:tc>
        <w:tc>
          <w:tcPr>
            <w:tcW w:w="593" w:type="pct"/>
            <w:tcBorders>
              <w:lef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-14,1</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7,3</w:t>
            </w:r>
          </w:p>
        </w:tc>
        <w:tc>
          <w:tcPr>
            <w:tcW w:w="686" w:type="pct"/>
            <w:tcBorders>
              <w:left w:val="single" w:sz="4"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1</w:t>
            </w:r>
            <w:r>
              <w:rPr>
                <w:sz w:val="20"/>
                <w:szCs w:val="20"/>
              </w:rPr>
              <w:t>,</w:t>
            </w:r>
            <w:r w:rsidRPr="006C6653">
              <w:rPr>
                <w:sz w:val="20"/>
                <w:szCs w:val="20"/>
              </w:rPr>
              <w:t>4</w:t>
            </w:r>
          </w:p>
        </w:tc>
      </w:tr>
      <w:tr w:rsidR="00430577" w:rsidRPr="00CD7B6E" w:rsidTr="002F6F95">
        <w:trPr>
          <w:jc w:val="center"/>
        </w:trPr>
        <w:tc>
          <w:tcPr>
            <w:tcW w:w="907" w:type="pct"/>
            <w:tcBorders>
              <w:right w:val="single" w:sz="4" w:space="0" w:color="8064A2" w:themeColor="accent4"/>
            </w:tcBorders>
          </w:tcPr>
          <w:p w:rsidR="00430577" w:rsidRPr="00CD7B6E" w:rsidRDefault="00430577" w:rsidP="00430577">
            <w:pPr>
              <w:numPr>
                <w:ilvl w:val="12"/>
                <w:numId w:val="0"/>
              </w:numPr>
              <w:spacing w:before="40" w:after="40" w:line="240" w:lineRule="auto"/>
              <w:rPr>
                <w:sz w:val="20"/>
                <w:szCs w:val="20"/>
              </w:rPr>
            </w:pPr>
            <w:r w:rsidRPr="00CD7B6E">
              <w:rPr>
                <w:sz w:val="20"/>
                <w:szCs w:val="20"/>
              </w:rPr>
              <w:t>Sabiedriskie pakalpojumi</w:t>
            </w:r>
          </w:p>
        </w:tc>
        <w:tc>
          <w:tcPr>
            <w:tcW w:w="444" w:type="pct"/>
            <w:tcBorders>
              <w:left w:val="single" w:sz="4" w:space="0" w:color="8064A2" w:themeColor="accent4"/>
              <w:bottom w:val="single" w:sz="8"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245,1</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222,1</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214,2</w:t>
            </w:r>
          </w:p>
        </w:tc>
        <w:tc>
          <w:tcPr>
            <w:tcW w:w="444" w:type="pct"/>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215,0</w:t>
            </w:r>
          </w:p>
        </w:tc>
        <w:tc>
          <w:tcPr>
            <w:tcW w:w="444" w:type="pct"/>
            <w:tcBorders>
              <w:right w:val="single" w:sz="4" w:space="0" w:color="8064A2" w:themeColor="accent4"/>
            </w:tcBorders>
          </w:tcPr>
          <w:p w:rsidR="00430577" w:rsidRPr="00657101" w:rsidRDefault="00430577" w:rsidP="00430577">
            <w:pPr>
              <w:tabs>
                <w:tab w:val="decimal" w:pos="352"/>
              </w:tabs>
              <w:spacing w:before="40" w:after="40" w:line="240" w:lineRule="auto"/>
              <w:jc w:val="center"/>
              <w:rPr>
                <w:sz w:val="20"/>
                <w:szCs w:val="20"/>
              </w:rPr>
            </w:pPr>
            <w:r w:rsidRPr="00657101">
              <w:rPr>
                <w:sz w:val="20"/>
                <w:szCs w:val="20"/>
              </w:rPr>
              <w:t>212,8</w:t>
            </w:r>
          </w:p>
        </w:tc>
        <w:tc>
          <w:tcPr>
            <w:tcW w:w="593" w:type="pct"/>
            <w:tcBorders>
              <w:left w:val="single" w:sz="4" w:space="0" w:color="8064A2" w:themeColor="accent4"/>
              <w:bottom w:val="single" w:sz="8"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-13,2</w:t>
            </w:r>
          </w:p>
        </w:tc>
        <w:tc>
          <w:tcPr>
            <w:tcW w:w="593" w:type="pct"/>
            <w:tcBorders>
              <w:right w:val="single" w:sz="4" w:space="0" w:color="8064A2" w:themeColor="accent4"/>
            </w:tcBorders>
          </w:tcPr>
          <w:p w:rsidR="00430577" w:rsidRPr="00657101" w:rsidRDefault="00430577" w:rsidP="00430577">
            <w:pPr>
              <w:tabs>
                <w:tab w:val="decimal" w:pos="352"/>
                <w:tab w:val="decimal" w:pos="500"/>
              </w:tabs>
              <w:spacing w:before="40" w:after="40" w:line="240" w:lineRule="auto"/>
              <w:jc w:val="center"/>
              <w:rPr>
                <w:sz w:val="20"/>
                <w:szCs w:val="20"/>
              </w:rPr>
            </w:pPr>
            <w:r w:rsidRPr="00657101">
              <w:rPr>
                <w:sz w:val="20"/>
                <w:szCs w:val="20"/>
              </w:rPr>
              <w:t>-1,0</w:t>
            </w:r>
          </w:p>
        </w:tc>
        <w:tc>
          <w:tcPr>
            <w:tcW w:w="686" w:type="pct"/>
            <w:tcBorders>
              <w:left w:val="single" w:sz="4" w:space="0" w:color="8064A2" w:themeColor="accent4"/>
              <w:bottom w:val="single" w:sz="8" w:space="0" w:color="8064A2" w:themeColor="accent4"/>
            </w:tcBorders>
          </w:tcPr>
          <w:p w:rsidR="00430577" w:rsidRPr="006C6653" w:rsidRDefault="00430577" w:rsidP="00430577">
            <w:pPr>
              <w:numPr>
                <w:ilvl w:val="12"/>
                <w:numId w:val="0"/>
              </w:numPr>
              <w:tabs>
                <w:tab w:val="decimal" w:pos="502"/>
              </w:tabs>
              <w:spacing w:before="40" w:after="40" w:line="240" w:lineRule="auto"/>
              <w:rPr>
                <w:sz w:val="20"/>
                <w:szCs w:val="20"/>
              </w:rPr>
            </w:pPr>
            <w:r w:rsidRPr="006C6653">
              <w:rPr>
                <w:sz w:val="20"/>
                <w:szCs w:val="20"/>
              </w:rPr>
              <w:t>-0</w:t>
            </w:r>
            <w:r>
              <w:rPr>
                <w:sz w:val="20"/>
                <w:szCs w:val="20"/>
              </w:rPr>
              <w:t>,</w:t>
            </w:r>
            <w:r w:rsidRPr="006C6653">
              <w:rPr>
                <w:sz w:val="20"/>
                <w:szCs w:val="20"/>
              </w:rPr>
              <w:t>3</w:t>
            </w:r>
          </w:p>
        </w:tc>
      </w:tr>
    </w:tbl>
    <w:p w:rsidR="00430577" w:rsidRDefault="00430577" w:rsidP="00430577">
      <w:pPr>
        <w:spacing w:after="0" w:line="240" w:lineRule="auto"/>
        <w:ind w:firstLine="567"/>
        <w:jc w:val="both"/>
        <w:rPr>
          <w:sz w:val="26"/>
          <w:szCs w:val="28"/>
        </w:rPr>
      </w:pPr>
    </w:p>
    <w:p w:rsidR="00430577" w:rsidRDefault="00430577" w:rsidP="00430577">
      <w:pPr>
        <w:spacing w:line="240" w:lineRule="auto"/>
        <w:ind w:firstLine="567"/>
        <w:jc w:val="both"/>
        <w:rPr>
          <w:sz w:val="26"/>
          <w:szCs w:val="28"/>
        </w:rPr>
      </w:pPr>
      <w:r w:rsidRPr="00CD7B6E">
        <w:rPr>
          <w:sz w:val="26"/>
          <w:szCs w:val="28"/>
        </w:rPr>
        <w:t>Augstas kvalifikācijas profesijās 201</w:t>
      </w:r>
      <w:r>
        <w:rPr>
          <w:sz w:val="26"/>
          <w:szCs w:val="28"/>
        </w:rPr>
        <w:t>2.gadā bija nodarbināti 35</w:t>
      </w:r>
      <w:r w:rsidRPr="00CD7B6E">
        <w:rPr>
          <w:sz w:val="26"/>
          <w:szCs w:val="28"/>
        </w:rPr>
        <w:t xml:space="preserve">0 </w:t>
      </w:r>
      <w:proofErr w:type="spellStart"/>
      <w:r w:rsidRPr="00CD7B6E">
        <w:rPr>
          <w:sz w:val="26"/>
          <w:szCs w:val="28"/>
        </w:rPr>
        <w:t>tūkst</w:t>
      </w:r>
      <w:proofErr w:type="spellEnd"/>
      <w:r w:rsidR="00053BFB">
        <w:rPr>
          <w:sz w:val="26"/>
          <w:szCs w:val="28"/>
        </w:rPr>
        <w:t>.</w:t>
      </w:r>
      <w:r w:rsidRPr="00CD7B6E">
        <w:rPr>
          <w:sz w:val="26"/>
          <w:szCs w:val="28"/>
        </w:rPr>
        <w:t xml:space="preserve"> </w:t>
      </w:r>
      <w:r>
        <w:rPr>
          <w:sz w:val="26"/>
          <w:szCs w:val="28"/>
        </w:rPr>
        <w:t>jeb</w:t>
      </w:r>
      <w:r w:rsidRPr="00CD7B6E">
        <w:rPr>
          <w:sz w:val="26"/>
          <w:szCs w:val="28"/>
        </w:rPr>
        <w:t xml:space="preserve"> 40% no visiem nodarbinātajiem. Gandrīz puse no nodarbināto skaita augstas kvalifikācijas profesiju grupā bija nodarbināti sabiedrisko pakalpojumu nozarē</w:t>
      </w:r>
      <w:r>
        <w:rPr>
          <w:sz w:val="26"/>
          <w:szCs w:val="28"/>
        </w:rPr>
        <w:t>s (valsts pārvalde, veselības aprūpe, izglītība)</w:t>
      </w:r>
      <w:r w:rsidRPr="00CD7B6E">
        <w:rPr>
          <w:sz w:val="26"/>
          <w:szCs w:val="28"/>
        </w:rPr>
        <w:t xml:space="preserve">. Vidējas kvalifikācijas profesijās </w:t>
      </w:r>
      <w:r>
        <w:rPr>
          <w:sz w:val="26"/>
          <w:szCs w:val="28"/>
        </w:rPr>
        <w:t xml:space="preserve">2012.gadā </w:t>
      </w:r>
      <w:r w:rsidRPr="00CD7B6E">
        <w:rPr>
          <w:sz w:val="26"/>
          <w:szCs w:val="28"/>
        </w:rPr>
        <w:t xml:space="preserve">bija nodarbināti </w:t>
      </w:r>
      <w:r>
        <w:rPr>
          <w:sz w:val="26"/>
          <w:szCs w:val="28"/>
        </w:rPr>
        <w:t xml:space="preserve">415,9 </w:t>
      </w:r>
      <w:proofErr w:type="spellStart"/>
      <w:r>
        <w:rPr>
          <w:sz w:val="26"/>
          <w:szCs w:val="28"/>
        </w:rPr>
        <w:t>tūkst</w:t>
      </w:r>
      <w:proofErr w:type="spellEnd"/>
      <w:r w:rsidR="00053BFB">
        <w:rPr>
          <w:sz w:val="26"/>
          <w:szCs w:val="28"/>
        </w:rPr>
        <w:t>.</w:t>
      </w:r>
      <w:r>
        <w:rPr>
          <w:sz w:val="26"/>
          <w:szCs w:val="28"/>
        </w:rPr>
        <w:t xml:space="preserve">, kas bija </w:t>
      </w:r>
      <w:r w:rsidRPr="00CD7B6E">
        <w:rPr>
          <w:sz w:val="26"/>
          <w:szCs w:val="28"/>
        </w:rPr>
        <w:t>gandrīz puse no visiem nodarbinātajiem</w:t>
      </w:r>
      <w:r>
        <w:rPr>
          <w:sz w:val="26"/>
          <w:szCs w:val="28"/>
        </w:rPr>
        <w:t>. Šajā profesiju grupā</w:t>
      </w:r>
      <w:r w:rsidRPr="00CD7B6E">
        <w:rPr>
          <w:sz w:val="26"/>
          <w:szCs w:val="28"/>
        </w:rPr>
        <w:t xml:space="preserve"> </w:t>
      </w:r>
      <w:r>
        <w:rPr>
          <w:sz w:val="26"/>
          <w:szCs w:val="28"/>
        </w:rPr>
        <w:t xml:space="preserve">24% </w:t>
      </w:r>
      <w:r w:rsidRPr="00CD7B6E">
        <w:rPr>
          <w:sz w:val="26"/>
          <w:szCs w:val="28"/>
        </w:rPr>
        <w:t xml:space="preserve">bija nodarbināti tirdzniecībā un gandrīz </w:t>
      </w:r>
      <w:r>
        <w:rPr>
          <w:sz w:val="26"/>
          <w:szCs w:val="28"/>
        </w:rPr>
        <w:t>1/5 daļa</w:t>
      </w:r>
      <w:r w:rsidRPr="00CD7B6E">
        <w:rPr>
          <w:sz w:val="26"/>
          <w:szCs w:val="28"/>
        </w:rPr>
        <w:t xml:space="preserve"> apstrādes rūpniecībā. Savukārt zemas kvalifikācijas profesiju grupā 201</w:t>
      </w:r>
      <w:r>
        <w:rPr>
          <w:sz w:val="26"/>
          <w:szCs w:val="28"/>
        </w:rPr>
        <w:t>2</w:t>
      </w:r>
      <w:r w:rsidRPr="00CD7B6E">
        <w:rPr>
          <w:sz w:val="26"/>
          <w:szCs w:val="28"/>
        </w:rPr>
        <w:t xml:space="preserve">.gadā bija </w:t>
      </w:r>
      <w:r>
        <w:rPr>
          <w:sz w:val="26"/>
          <w:szCs w:val="28"/>
        </w:rPr>
        <w:t xml:space="preserve">nepilni </w:t>
      </w:r>
      <w:r w:rsidRPr="00CD7B6E">
        <w:rPr>
          <w:sz w:val="26"/>
          <w:szCs w:val="28"/>
        </w:rPr>
        <w:t>12</w:t>
      </w:r>
      <w:r>
        <w:rPr>
          <w:sz w:val="26"/>
          <w:szCs w:val="28"/>
        </w:rPr>
        <w:t>0 </w:t>
      </w:r>
      <w:proofErr w:type="spellStart"/>
      <w:r w:rsidRPr="00CD7B6E">
        <w:rPr>
          <w:sz w:val="26"/>
          <w:szCs w:val="28"/>
        </w:rPr>
        <w:t>tūkst</w:t>
      </w:r>
      <w:proofErr w:type="spellEnd"/>
      <w:r w:rsidR="00053BFB">
        <w:rPr>
          <w:sz w:val="26"/>
          <w:szCs w:val="28"/>
        </w:rPr>
        <w:t>.</w:t>
      </w:r>
      <w:r w:rsidRPr="00CD7B6E">
        <w:rPr>
          <w:sz w:val="26"/>
          <w:szCs w:val="28"/>
        </w:rPr>
        <w:t xml:space="preserve"> nodarbināto, no kuriem visvairāk </w:t>
      </w:r>
      <w:r w:rsidR="000B305D">
        <w:rPr>
          <w:sz w:val="26"/>
          <w:szCs w:val="28"/>
        </w:rPr>
        <w:t>–</w:t>
      </w:r>
      <w:r w:rsidRPr="00CD7B6E">
        <w:rPr>
          <w:sz w:val="26"/>
          <w:szCs w:val="28"/>
        </w:rPr>
        <w:t xml:space="preserve"> ¼ daļa bija nodarbināti </w:t>
      </w:r>
      <w:r w:rsidRPr="00CD7B6E">
        <w:rPr>
          <w:sz w:val="26"/>
          <w:szCs w:val="28"/>
        </w:rPr>
        <w:lastRenderedPageBreak/>
        <w:t xml:space="preserve">komercpakalpojumu nozarē, bet lauksaimniecības, apstrādes rūpniecības un </w:t>
      </w:r>
      <w:r>
        <w:rPr>
          <w:sz w:val="26"/>
          <w:szCs w:val="28"/>
        </w:rPr>
        <w:t>pārējās rūpniecības nozarēs kopā – 35</w:t>
      </w:r>
      <w:r w:rsidR="002F6F95">
        <w:rPr>
          <w:sz w:val="26"/>
          <w:szCs w:val="28"/>
        </w:rPr>
        <w:t xml:space="preserve"> procenti.</w:t>
      </w:r>
    </w:p>
    <w:p w:rsidR="00430577" w:rsidRPr="00CD7B6E" w:rsidRDefault="00430577" w:rsidP="00430577">
      <w:pPr>
        <w:spacing w:line="240" w:lineRule="auto"/>
        <w:ind w:firstLine="567"/>
        <w:jc w:val="right"/>
        <w:rPr>
          <w:sz w:val="26"/>
          <w:szCs w:val="26"/>
          <w:highlight w:val="yellow"/>
        </w:rPr>
      </w:pPr>
      <w:r w:rsidRPr="00CD7B6E">
        <w:rPr>
          <w:sz w:val="26"/>
          <w:szCs w:val="26"/>
        </w:rPr>
        <w:t>2.2. tabula</w:t>
      </w:r>
    </w:p>
    <w:p w:rsidR="00430577" w:rsidRPr="00CD7B6E" w:rsidRDefault="00430577" w:rsidP="00430577">
      <w:pPr>
        <w:spacing w:after="60" w:line="240" w:lineRule="auto"/>
        <w:jc w:val="center"/>
        <w:rPr>
          <w:szCs w:val="26"/>
        </w:rPr>
      </w:pPr>
      <w:r w:rsidRPr="00CD7B6E">
        <w:rPr>
          <w:b/>
          <w:sz w:val="26"/>
          <w:szCs w:val="26"/>
        </w:rPr>
        <w:t xml:space="preserve">Nodarbināto skaits tautsaimniecības nozarēs </w:t>
      </w:r>
      <w:r w:rsidRPr="00CD7B6E">
        <w:rPr>
          <w:b/>
          <w:sz w:val="26"/>
          <w:szCs w:val="26"/>
        </w:rPr>
        <w:br/>
        <w:t>201</w:t>
      </w:r>
      <w:r w:rsidR="00743675">
        <w:rPr>
          <w:b/>
          <w:sz w:val="26"/>
          <w:szCs w:val="26"/>
        </w:rPr>
        <w:t>2</w:t>
      </w:r>
      <w:r w:rsidRPr="00CD7B6E">
        <w:rPr>
          <w:b/>
          <w:sz w:val="26"/>
          <w:szCs w:val="26"/>
        </w:rPr>
        <w:t xml:space="preserve">.gadā sadalījumā pa profesiju grupām </w:t>
      </w:r>
      <w:r w:rsidRPr="00CD7B6E">
        <w:rPr>
          <w:szCs w:val="26"/>
        </w:rPr>
        <w:br/>
        <w:t>(</w:t>
      </w:r>
      <w:proofErr w:type="spellStart"/>
      <w:r w:rsidRPr="00CD7B6E">
        <w:rPr>
          <w:szCs w:val="26"/>
        </w:rPr>
        <w:t>tūkst</w:t>
      </w:r>
      <w:proofErr w:type="spellEnd"/>
      <w:r w:rsidRPr="00CD7B6E">
        <w:rPr>
          <w:szCs w:val="26"/>
        </w:rPr>
        <w:t>.)</w:t>
      </w:r>
    </w:p>
    <w:tbl>
      <w:tblPr>
        <w:tblStyle w:val="MediumList1-Accent4"/>
        <w:tblW w:w="4869" w:type="pct"/>
        <w:jc w:val="center"/>
        <w:tblInd w:w="-26" w:type="dxa"/>
        <w:tblLook w:val="0400" w:firstRow="0" w:lastRow="0" w:firstColumn="0" w:lastColumn="0" w:noHBand="0" w:noVBand="1"/>
      </w:tblPr>
      <w:tblGrid>
        <w:gridCol w:w="3079"/>
        <w:gridCol w:w="624"/>
        <w:gridCol w:w="776"/>
        <w:gridCol w:w="624"/>
        <w:gridCol w:w="624"/>
        <w:gridCol w:w="666"/>
        <w:gridCol w:w="624"/>
        <w:gridCol w:w="666"/>
        <w:gridCol w:w="666"/>
        <w:gridCol w:w="695"/>
      </w:tblGrid>
      <w:tr w:rsidR="00430577" w:rsidRPr="00CD7B6E" w:rsidTr="001E4BA5">
        <w:trPr>
          <w:cnfStyle w:val="000000100000" w:firstRow="0" w:lastRow="0" w:firstColumn="0" w:lastColumn="0" w:oddVBand="0" w:evenVBand="0" w:oddHBand="1" w:evenHBand="0" w:firstRowFirstColumn="0" w:firstRowLastColumn="0" w:lastRowFirstColumn="0" w:lastRowLastColumn="0"/>
          <w:trHeight w:val="1701"/>
          <w:jc w:val="center"/>
        </w:trPr>
        <w:tc>
          <w:tcPr>
            <w:tcW w:w="1703" w:type="pct"/>
            <w:tcBorders>
              <w:top w:val="single" w:sz="8" w:space="0" w:color="8064A2" w:themeColor="accent4"/>
              <w:bottom w:val="single" w:sz="8" w:space="0" w:color="8064A2" w:themeColor="accent4"/>
              <w:right w:val="single" w:sz="4"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color w:val="auto"/>
                <w:sz w:val="20"/>
              </w:rPr>
            </w:pPr>
          </w:p>
        </w:tc>
        <w:tc>
          <w:tcPr>
            <w:tcW w:w="345" w:type="pct"/>
            <w:tcBorders>
              <w:top w:val="single" w:sz="8" w:space="0" w:color="8064A2" w:themeColor="accent4"/>
              <w:left w:val="single" w:sz="4"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Lauksaimniecība</w:t>
            </w:r>
          </w:p>
        </w:tc>
        <w:tc>
          <w:tcPr>
            <w:tcW w:w="429"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Apstrādes</w:t>
            </w:r>
            <w:r>
              <w:rPr>
                <w:rFonts w:eastAsia="Times New Roman"/>
                <w:color w:val="auto"/>
                <w:sz w:val="20"/>
              </w:rPr>
              <w:br/>
            </w:r>
            <w:r w:rsidRPr="00CD7B6E">
              <w:rPr>
                <w:rFonts w:eastAsia="Times New Roman"/>
                <w:color w:val="auto"/>
                <w:sz w:val="20"/>
              </w:rPr>
              <w:t xml:space="preserve"> rūpniecība</w:t>
            </w:r>
          </w:p>
        </w:tc>
        <w:tc>
          <w:tcPr>
            <w:tcW w:w="345"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Pārējā rūpniecība</w:t>
            </w:r>
          </w:p>
        </w:tc>
        <w:tc>
          <w:tcPr>
            <w:tcW w:w="345"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Būvniecība</w:t>
            </w:r>
          </w:p>
        </w:tc>
        <w:tc>
          <w:tcPr>
            <w:tcW w:w="368"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Tirdzniecība, izmitināšana</w:t>
            </w:r>
          </w:p>
        </w:tc>
        <w:tc>
          <w:tcPr>
            <w:tcW w:w="345"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Transports un uzglabāšana</w:t>
            </w:r>
          </w:p>
        </w:tc>
        <w:tc>
          <w:tcPr>
            <w:tcW w:w="368" w:type="pct"/>
            <w:tcBorders>
              <w:top w:val="single" w:sz="8"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 xml:space="preserve">Citi </w:t>
            </w:r>
            <w:proofErr w:type="spellStart"/>
            <w:r w:rsidRPr="00CD7B6E">
              <w:rPr>
                <w:rFonts w:eastAsia="Times New Roman"/>
                <w:color w:val="auto"/>
                <w:sz w:val="20"/>
              </w:rPr>
              <w:t>komerc-pakalpojumi</w:t>
            </w:r>
            <w:proofErr w:type="spellEnd"/>
          </w:p>
        </w:tc>
        <w:tc>
          <w:tcPr>
            <w:tcW w:w="368" w:type="pct"/>
            <w:tcBorders>
              <w:top w:val="single" w:sz="8" w:space="0" w:color="8064A2" w:themeColor="accent4"/>
              <w:bottom w:val="single" w:sz="8" w:space="0" w:color="8064A2" w:themeColor="accent4"/>
              <w:right w:val="single" w:sz="4" w:space="0" w:color="8064A2" w:themeColor="accent4"/>
            </w:tcBorders>
            <w:textDirection w:val="btLr"/>
            <w:vAlign w:val="center"/>
          </w:tcPr>
          <w:p w:rsidR="00430577" w:rsidRPr="00CD7B6E" w:rsidRDefault="00430577" w:rsidP="00430577">
            <w:pPr>
              <w:spacing w:before="40" w:after="40" w:line="240" w:lineRule="auto"/>
              <w:ind w:left="-57" w:right="-57"/>
              <w:jc w:val="center"/>
              <w:rPr>
                <w:rFonts w:eastAsia="Arial Unicode MS"/>
                <w:b/>
                <w:bCs/>
                <w:color w:val="auto"/>
                <w:sz w:val="20"/>
              </w:rPr>
            </w:pPr>
            <w:r w:rsidRPr="00CD7B6E">
              <w:rPr>
                <w:rFonts w:eastAsia="Times New Roman"/>
                <w:color w:val="auto"/>
                <w:sz w:val="20"/>
              </w:rPr>
              <w:t>Sabiedriskie pakalpojumi</w:t>
            </w:r>
          </w:p>
        </w:tc>
        <w:tc>
          <w:tcPr>
            <w:tcW w:w="384" w:type="pct"/>
            <w:tcBorders>
              <w:top w:val="single" w:sz="8" w:space="0" w:color="8064A2" w:themeColor="accent4"/>
              <w:left w:val="single" w:sz="4" w:space="0" w:color="8064A2" w:themeColor="accent4"/>
              <w:bottom w:val="single" w:sz="8" w:space="0" w:color="8064A2" w:themeColor="accent4"/>
            </w:tcBorders>
            <w:textDirection w:val="btLr"/>
            <w:vAlign w:val="center"/>
          </w:tcPr>
          <w:p w:rsidR="00430577" w:rsidRPr="00CD7B6E" w:rsidRDefault="00430577" w:rsidP="00430577">
            <w:pPr>
              <w:spacing w:before="40" w:after="40" w:line="240" w:lineRule="auto"/>
              <w:ind w:left="-57" w:right="-57"/>
              <w:jc w:val="center"/>
              <w:rPr>
                <w:b/>
                <w:bCs/>
                <w:color w:val="auto"/>
                <w:sz w:val="20"/>
              </w:rPr>
            </w:pPr>
            <w:r w:rsidRPr="00CD7B6E">
              <w:rPr>
                <w:rFonts w:eastAsia="Arial Unicode MS"/>
                <w:b/>
                <w:bCs/>
                <w:color w:val="auto"/>
                <w:sz w:val="20"/>
              </w:rPr>
              <w:t>Kopā</w:t>
            </w:r>
          </w:p>
        </w:tc>
      </w:tr>
      <w:tr w:rsidR="00430577" w:rsidRPr="00CD7B6E" w:rsidTr="001E4BA5">
        <w:trPr>
          <w:trHeight w:val="274"/>
          <w:jc w:val="center"/>
        </w:trPr>
        <w:tc>
          <w:tcPr>
            <w:tcW w:w="1703" w:type="pct"/>
            <w:tcBorders>
              <w:top w:val="single" w:sz="8" w:space="0" w:color="8064A2" w:themeColor="accent4"/>
              <w:right w:val="single" w:sz="4" w:space="0" w:color="8064A2" w:themeColor="accent4"/>
            </w:tcBorders>
          </w:tcPr>
          <w:p w:rsidR="00430577" w:rsidRPr="00CD7B6E" w:rsidRDefault="00430577" w:rsidP="00430577">
            <w:pPr>
              <w:spacing w:before="40" w:after="40" w:line="240" w:lineRule="auto"/>
              <w:ind w:left="292" w:hanging="292"/>
              <w:rPr>
                <w:rFonts w:eastAsia="Times New Roman"/>
                <w:b/>
                <w:color w:val="auto"/>
                <w:sz w:val="20"/>
              </w:rPr>
            </w:pPr>
            <w:r w:rsidRPr="00CD7B6E">
              <w:rPr>
                <w:rFonts w:eastAsia="Times New Roman"/>
                <w:b/>
                <w:color w:val="auto"/>
                <w:sz w:val="20"/>
              </w:rPr>
              <w:t>Augstas kvalifikācijas profesijas</w:t>
            </w:r>
            <w:r>
              <w:rPr>
                <w:rFonts w:eastAsia="Times New Roman"/>
                <w:b/>
                <w:color w:val="auto"/>
                <w:sz w:val="20"/>
              </w:rPr>
              <w:br/>
            </w:r>
            <w:r w:rsidRPr="00453AD6">
              <w:rPr>
                <w:rFonts w:eastAsia="Times New Roman"/>
                <w:color w:val="auto"/>
                <w:sz w:val="20"/>
              </w:rPr>
              <w:t>tai skaitā:</w:t>
            </w:r>
          </w:p>
        </w:tc>
        <w:tc>
          <w:tcPr>
            <w:tcW w:w="345" w:type="pct"/>
            <w:tcBorders>
              <w:top w:val="single" w:sz="8" w:space="0" w:color="8064A2" w:themeColor="accent4"/>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10,9</w:t>
            </w:r>
          </w:p>
        </w:tc>
        <w:tc>
          <w:tcPr>
            <w:tcW w:w="429"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28,6</w:t>
            </w:r>
          </w:p>
        </w:tc>
        <w:tc>
          <w:tcPr>
            <w:tcW w:w="345"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5,9</w:t>
            </w:r>
          </w:p>
        </w:tc>
        <w:tc>
          <w:tcPr>
            <w:tcW w:w="345"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16,7</w:t>
            </w:r>
          </w:p>
        </w:tc>
        <w:tc>
          <w:tcPr>
            <w:tcW w:w="368"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42,9</w:t>
            </w:r>
          </w:p>
        </w:tc>
        <w:tc>
          <w:tcPr>
            <w:tcW w:w="345"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18,5</w:t>
            </w:r>
          </w:p>
        </w:tc>
        <w:tc>
          <w:tcPr>
            <w:tcW w:w="368" w:type="pct"/>
            <w:tcBorders>
              <w:top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92,0</w:t>
            </w:r>
          </w:p>
        </w:tc>
        <w:tc>
          <w:tcPr>
            <w:tcW w:w="368" w:type="pct"/>
            <w:tcBorders>
              <w:top w:val="single" w:sz="8" w:space="0" w:color="8064A2" w:themeColor="accent4"/>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135,4</w:t>
            </w:r>
          </w:p>
        </w:tc>
        <w:tc>
          <w:tcPr>
            <w:tcW w:w="384" w:type="pct"/>
            <w:tcBorders>
              <w:top w:val="single" w:sz="8" w:space="0" w:color="8064A2" w:themeColor="accent4"/>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351,0</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Vadītāji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4,5</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10,4</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1,7</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8,1</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18,5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5,0</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19,3</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14,6</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82,1</w:t>
            </w:r>
          </w:p>
        </w:tc>
      </w:tr>
      <w:tr w:rsidR="00430577" w:rsidRPr="00CD7B6E" w:rsidTr="001E4BA5">
        <w:trPr>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Vecākie speciālisti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3,1</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4,7</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7,3</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3,7</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38,5</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85,0</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152,3</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Speciālisti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3,2</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9,7</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2,7</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4,0</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17,1</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9,8</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34,3</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35,8</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116,6</w:t>
            </w:r>
          </w:p>
        </w:tc>
      </w:tr>
      <w:tr w:rsidR="00430577" w:rsidRPr="00CD7B6E" w:rsidTr="001E4BA5">
        <w:trPr>
          <w:trHeight w:val="274"/>
          <w:jc w:val="center"/>
        </w:trPr>
        <w:tc>
          <w:tcPr>
            <w:tcW w:w="1703" w:type="pct"/>
            <w:tcBorders>
              <w:right w:val="single" w:sz="4" w:space="0" w:color="8064A2" w:themeColor="accent4"/>
            </w:tcBorders>
          </w:tcPr>
          <w:p w:rsidR="00430577" w:rsidRPr="00CD7B6E" w:rsidRDefault="00430577" w:rsidP="00430577">
            <w:pPr>
              <w:spacing w:before="40" w:after="40" w:line="240" w:lineRule="auto"/>
              <w:ind w:left="292" w:hanging="292"/>
              <w:rPr>
                <w:rFonts w:eastAsia="Times New Roman"/>
                <w:b/>
                <w:color w:val="auto"/>
                <w:sz w:val="20"/>
              </w:rPr>
            </w:pPr>
            <w:r w:rsidRPr="00CD7B6E">
              <w:rPr>
                <w:rFonts w:eastAsia="Times New Roman"/>
                <w:b/>
                <w:color w:val="auto"/>
                <w:sz w:val="20"/>
              </w:rPr>
              <w:t>Vidējas kvalifikācijas profesijas</w:t>
            </w:r>
            <w:r>
              <w:rPr>
                <w:rFonts w:eastAsia="Times New Roman"/>
                <w:b/>
                <w:color w:val="auto"/>
                <w:sz w:val="20"/>
              </w:rPr>
              <w:t xml:space="preserve"> </w:t>
            </w:r>
            <w:r>
              <w:rPr>
                <w:rFonts w:eastAsia="Times New Roman"/>
                <w:b/>
                <w:color w:val="auto"/>
                <w:sz w:val="20"/>
              </w:rPr>
              <w:br/>
            </w:r>
            <w:r w:rsidRPr="00453AD6">
              <w:rPr>
                <w:rFonts w:eastAsia="Times New Roman"/>
                <w:color w:val="auto"/>
                <w:sz w:val="20"/>
              </w:rPr>
              <w:t>tai skaitā:</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45,5</w:t>
            </w:r>
          </w:p>
        </w:tc>
        <w:tc>
          <w:tcPr>
            <w:tcW w:w="429"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73,0</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13,0</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37,6</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101,0</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49,2</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46,9</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49,5</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415,9</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Iestāžu kalpotāji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1,0</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4,0</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1,5</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13,5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10,2</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15,5</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8,8</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57,2</w:t>
            </w:r>
          </w:p>
        </w:tc>
      </w:tr>
      <w:tr w:rsidR="00430577" w:rsidRPr="00CD7B6E" w:rsidTr="001E4BA5">
        <w:trPr>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Pakalpojumu darbinieki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1,6</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2,2</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0,2</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0,3</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71,9</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4,2</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20,8</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32,5</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133,6</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Kvalificēti lauksaimniecības darbinieki</w:t>
            </w:r>
          </w:p>
        </w:tc>
        <w:tc>
          <w:tcPr>
            <w:tcW w:w="345" w:type="pct"/>
            <w:tcBorders>
              <w:left w:val="single" w:sz="4" w:space="0" w:color="8064A2" w:themeColor="accent4"/>
            </w:tcBorders>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29,9</w:t>
            </w:r>
          </w:p>
        </w:tc>
        <w:tc>
          <w:tcPr>
            <w:tcW w:w="429"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0,7</w:t>
            </w:r>
          </w:p>
        </w:tc>
        <w:tc>
          <w:tcPr>
            <w:tcW w:w="345"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0,1</w:t>
            </w:r>
          </w:p>
        </w:tc>
        <w:tc>
          <w:tcPr>
            <w:tcW w:w="345"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0,0</w:t>
            </w:r>
          </w:p>
        </w:tc>
        <w:tc>
          <w:tcPr>
            <w:tcW w:w="368"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0,0</w:t>
            </w:r>
          </w:p>
        </w:tc>
        <w:tc>
          <w:tcPr>
            <w:tcW w:w="345"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0,0</w:t>
            </w:r>
          </w:p>
        </w:tc>
        <w:tc>
          <w:tcPr>
            <w:tcW w:w="368" w:type="pct"/>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0,5</w:t>
            </w:r>
          </w:p>
        </w:tc>
        <w:tc>
          <w:tcPr>
            <w:tcW w:w="368" w:type="pct"/>
            <w:tcBorders>
              <w:right w:val="single" w:sz="4" w:space="0" w:color="8064A2" w:themeColor="accent4"/>
            </w:tcBorders>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0,3</w:t>
            </w:r>
          </w:p>
        </w:tc>
        <w:tc>
          <w:tcPr>
            <w:tcW w:w="384" w:type="pct"/>
            <w:tcBorders>
              <w:left w:val="single" w:sz="4" w:space="0" w:color="8064A2" w:themeColor="accent4"/>
            </w:tcBorders>
            <w:vAlign w:val="center"/>
          </w:tcPr>
          <w:p w:rsidR="00430577" w:rsidRPr="00453AD6" w:rsidRDefault="00430577" w:rsidP="001E4BA5">
            <w:pPr>
              <w:tabs>
                <w:tab w:val="decimal" w:pos="258"/>
              </w:tabs>
              <w:spacing w:before="40" w:after="40" w:line="240" w:lineRule="auto"/>
              <w:rPr>
                <w:rFonts w:eastAsia="Times New Roman"/>
                <w:color w:val="auto"/>
                <w:sz w:val="20"/>
              </w:rPr>
            </w:pPr>
            <w:r w:rsidRPr="00453AD6">
              <w:rPr>
                <w:rFonts w:eastAsia="Times New Roman"/>
                <w:color w:val="auto"/>
                <w:sz w:val="20"/>
              </w:rPr>
              <w:t>31,5</w:t>
            </w:r>
          </w:p>
        </w:tc>
      </w:tr>
      <w:tr w:rsidR="00430577" w:rsidRPr="00CD7B6E" w:rsidTr="001E4BA5">
        <w:trPr>
          <w:trHeight w:val="274"/>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Kvalificēti strādnieki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3,1</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45,1</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5,5</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31,0</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12,4</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6,0</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6,9</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3,5</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113,3</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307"/>
          <w:jc w:val="center"/>
        </w:trPr>
        <w:tc>
          <w:tcPr>
            <w:tcW w:w="1703" w:type="pct"/>
            <w:tcBorders>
              <w:right w:val="single" w:sz="4" w:space="0" w:color="8064A2" w:themeColor="accent4"/>
            </w:tcBorders>
          </w:tcPr>
          <w:p w:rsidR="00430577" w:rsidRPr="00CD7B6E" w:rsidRDefault="00430577" w:rsidP="00B40358">
            <w:pPr>
              <w:spacing w:before="40" w:after="40" w:line="240" w:lineRule="auto"/>
              <w:ind w:left="446"/>
              <w:rPr>
                <w:rFonts w:eastAsia="Arial Unicode MS"/>
                <w:color w:val="auto"/>
                <w:sz w:val="20"/>
              </w:rPr>
            </w:pPr>
            <w:r w:rsidRPr="00CD7B6E">
              <w:rPr>
                <w:rFonts w:eastAsia="Times New Roman"/>
                <w:color w:val="auto"/>
                <w:sz w:val="20"/>
              </w:rPr>
              <w:t>Iekārtu un mašīnu operatori</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10,0</w:t>
            </w:r>
          </w:p>
        </w:tc>
        <w:tc>
          <w:tcPr>
            <w:tcW w:w="429"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21,0</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4,7</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4,8</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3,2</w:t>
            </w:r>
          </w:p>
        </w:tc>
        <w:tc>
          <w:tcPr>
            <w:tcW w:w="345"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28,8</w:t>
            </w:r>
          </w:p>
        </w:tc>
        <w:tc>
          <w:tcPr>
            <w:tcW w:w="368" w:type="pct"/>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3,2</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4,3</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color w:val="auto"/>
                <w:sz w:val="20"/>
              </w:rPr>
            </w:pPr>
            <w:r w:rsidRPr="00453AD6">
              <w:rPr>
                <w:rFonts w:eastAsia="Times New Roman"/>
                <w:color w:val="auto"/>
                <w:sz w:val="20"/>
              </w:rPr>
              <w:t>80,2</w:t>
            </w:r>
          </w:p>
        </w:tc>
      </w:tr>
      <w:tr w:rsidR="00430577" w:rsidRPr="00CD7B6E" w:rsidTr="001E4BA5">
        <w:trPr>
          <w:trHeight w:val="274"/>
          <w:jc w:val="center"/>
        </w:trPr>
        <w:tc>
          <w:tcPr>
            <w:tcW w:w="1703" w:type="pct"/>
            <w:tcBorders>
              <w:right w:val="single" w:sz="4" w:space="0" w:color="8064A2" w:themeColor="accent4"/>
            </w:tcBorders>
          </w:tcPr>
          <w:p w:rsidR="00430577" w:rsidRPr="00CD7B6E" w:rsidRDefault="00430577" w:rsidP="00430577">
            <w:pPr>
              <w:spacing w:before="40" w:after="40" w:line="240" w:lineRule="auto"/>
              <w:rPr>
                <w:rFonts w:eastAsia="Times New Roman"/>
                <w:b/>
                <w:color w:val="auto"/>
                <w:sz w:val="20"/>
              </w:rPr>
            </w:pPr>
            <w:r w:rsidRPr="00CD7B6E">
              <w:rPr>
                <w:rFonts w:eastAsia="Times New Roman"/>
                <w:b/>
                <w:color w:val="auto"/>
                <w:sz w:val="20"/>
              </w:rPr>
              <w:t>Zemas kvalifikācijas profesijas</w:t>
            </w:r>
          </w:p>
        </w:tc>
        <w:tc>
          <w:tcPr>
            <w:tcW w:w="345"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17,8</w:t>
            </w:r>
          </w:p>
        </w:tc>
        <w:tc>
          <w:tcPr>
            <w:tcW w:w="429"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22,3</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1,9</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9,1</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13,6</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8,0</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26,9</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19,0</w:t>
            </w:r>
          </w:p>
        </w:tc>
        <w:tc>
          <w:tcPr>
            <w:tcW w:w="384" w:type="pct"/>
            <w:tcBorders>
              <w:lef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118,8</w:t>
            </w:r>
          </w:p>
        </w:tc>
      </w:tr>
      <w:tr w:rsidR="00430577" w:rsidRPr="00CD7B6E" w:rsidTr="001E4BA5">
        <w:trPr>
          <w:cnfStyle w:val="000000100000" w:firstRow="0" w:lastRow="0" w:firstColumn="0" w:lastColumn="0" w:oddVBand="0" w:evenVBand="0" w:oddHBand="1" w:evenHBand="0" w:firstRowFirstColumn="0" w:firstRowLastColumn="0" w:lastRowFirstColumn="0" w:lastRowLastColumn="0"/>
          <w:trHeight w:val="278"/>
          <w:jc w:val="center"/>
        </w:trPr>
        <w:tc>
          <w:tcPr>
            <w:tcW w:w="1703" w:type="pct"/>
            <w:tcBorders>
              <w:right w:val="single" w:sz="4" w:space="0" w:color="8064A2" w:themeColor="accent4"/>
            </w:tcBorders>
          </w:tcPr>
          <w:p w:rsidR="00430577" w:rsidRPr="00CD7B6E" w:rsidRDefault="00430577" w:rsidP="00430577">
            <w:pPr>
              <w:spacing w:before="40" w:after="40" w:line="240" w:lineRule="auto"/>
              <w:rPr>
                <w:rFonts w:eastAsia="Arial Unicode MS"/>
                <w:b/>
                <w:color w:val="auto"/>
                <w:sz w:val="20"/>
              </w:rPr>
            </w:pPr>
            <w:r w:rsidRPr="00CD7B6E">
              <w:rPr>
                <w:rFonts w:eastAsia="Arial Unicode MS"/>
                <w:b/>
                <w:color w:val="auto"/>
                <w:sz w:val="20"/>
              </w:rPr>
              <w:t>Kopā</w:t>
            </w:r>
          </w:p>
        </w:tc>
        <w:tc>
          <w:tcPr>
            <w:tcW w:w="345" w:type="pct"/>
            <w:tcBorders>
              <w:left w:val="single" w:sz="4" w:space="0" w:color="8064A2" w:themeColor="accent4"/>
              <w:bottom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74,2</w:t>
            </w:r>
          </w:p>
        </w:tc>
        <w:tc>
          <w:tcPr>
            <w:tcW w:w="429"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124,0</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20,9</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63,5</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157,6</w:t>
            </w:r>
          </w:p>
        </w:tc>
        <w:tc>
          <w:tcPr>
            <w:tcW w:w="345"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75,8</w:t>
            </w:r>
          </w:p>
        </w:tc>
        <w:tc>
          <w:tcPr>
            <w:tcW w:w="368" w:type="pct"/>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165,9</w:t>
            </w:r>
          </w:p>
        </w:tc>
        <w:tc>
          <w:tcPr>
            <w:tcW w:w="368" w:type="pct"/>
            <w:tcBorders>
              <w:right w:val="single" w:sz="4"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203,8</w:t>
            </w:r>
          </w:p>
        </w:tc>
        <w:tc>
          <w:tcPr>
            <w:tcW w:w="384" w:type="pct"/>
            <w:tcBorders>
              <w:left w:val="single" w:sz="4" w:space="0" w:color="8064A2" w:themeColor="accent4"/>
              <w:bottom w:val="single" w:sz="8" w:space="0" w:color="8064A2" w:themeColor="accent4"/>
            </w:tcBorders>
          </w:tcPr>
          <w:p w:rsidR="00430577" w:rsidRPr="00453AD6" w:rsidRDefault="00430577" w:rsidP="00430577">
            <w:pPr>
              <w:tabs>
                <w:tab w:val="decimal" w:pos="258"/>
              </w:tabs>
              <w:spacing w:before="40" w:after="40" w:line="240" w:lineRule="auto"/>
              <w:rPr>
                <w:rFonts w:eastAsia="Times New Roman"/>
                <w:b/>
                <w:color w:val="auto"/>
                <w:sz w:val="20"/>
              </w:rPr>
            </w:pPr>
            <w:r w:rsidRPr="00453AD6">
              <w:rPr>
                <w:rFonts w:eastAsia="Times New Roman"/>
                <w:b/>
                <w:color w:val="auto"/>
                <w:sz w:val="20"/>
              </w:rPr>
              <w:t>885,6</w:t>
            </w:r>
          </w:p>
        </w:tc>
      </w:tr>
    </w:tbl>
    <w:p w:rsidR="00687CB9" w:rsidRDefault="00687CB9" w:rsidP="0077399B">
      <w:pPr>
        <w:pStyle w:val="Taksts11"/>
        <w:ind w:firstLine="0"/>
        <w:rPr>
          <w:color w:val="000000"/>
          <w:sz w:val="28"/>
          <w:szCs w:val="36"/>
          <w:lang w:val="lv-LV"/>
        </w:rPr>
      </w:pPr>
    </w:p>
    <w:p w:rsidR="00430577" w:rsidRDefault="00430577" w:rsidP="0077399B">
      <w:pPr>
        <w:pStyle w:val="Taksts11"/>
        <w:ind w:firstLine="0"/>
        <w:rPr>
          <w:color w:val="000000"/>
          <w:sz w:val="28"/>
          <w:szCs w:val="36"/>
          <w:lang w:val="lv-LV"/>
        </w:rPr>
      </w:pPr>
    </w:p>
    <w:p w:rsidR="00687CB9" w:rsidRDefault="00FB7700" w:rsidP="0077399B">
      <w:pPr>
        <w:pStyle w:val="Heading2"/>
        <w:pBdr>
          <w:bottom w:val="thinThickSmallGap" w:sz="18" w:space="1" w:color="8064A2" w:themeColor="accent4"/>
        </w:pBdr>
        <w:spacing w:before="0" w:after="0" w:line="240" w:lineRule="auto"/>
        <w:rPr>
          <w:szCs w:val="28"/>
        </w:rPr>
      </w:pPr>
      <w:bookmarkStart w:id="18" w:name="_Toc357503116"/>
      <w:r w:rsidRPr="00CD7B6E">
        <w:rPr>
          <w:szCs w:val="28"/>
        </w:rPr>
        <w:t>2.2. Demogrāfiskā situācija un darbaspēka piedāvājums</w:t>
      </w:r>
      <w:bookmarkEnd w:id="18"/>
    </w:p>
    <w:p w:rsidR="00687CB9" w:rsidRDefault="00687CB9" w:rsidP="0077399B">
      <w:pPr>
        <w:spacing w:after="0" w:line="240" w:lineRule="auto"/>
        <w:jc w:val="both"/>
        <w:rPr>
          <w:rStyle w:val="Strong"/>
          <w:b w:val="0"/>
          <w:iCs/>
          <w:sz w:val="26"/>
          <w:szCs w:val="28"/>
        </w:rPr>
      </w:pPr>
    </w:p>
    <w:p w:rsidR="00687CB9" w:rsidRDefault="00FB7700" w:rsidP="0077399B">
      <w:pPr>
        <w:spacing w:after="0" w:line="240" w:lineRule="auto"/>
        <w:ind w:firstLine="567"/>
        <w:jc w:val="both"/>
        <w:rPr>
          <w:sz w:val="26"/>
          <w:szCs w:val="28"/>
        </w:rPr>
      </w:pPr>
      <w:r w:rsidRPr="00CD7B6E">
        <w:rPr>
          <w:sz w:val="26"/>
          <w:szCs w:val="28"/>
        </w:rPr>
        <w:t>Darbaspēka piedāvājumu nosaka kā demogrāfiskās situācijas izmaiņas un iedzīvotāju ekonomiskās aktivitātes līmenis, tā arī viņu kvalifikācija un prasmes.</w:t>
      </w:r>
    </w:p>
    <w:p w:rsidR="00687CB9" w:rsidRDefault="00687CB9" w:rsidP="0077399B">
      <w:pPr>
        <w:spacing w:after="0" w:line="240" w:lineRule="auto"/>
        <w:jc w:val="both"/>
        <w:rPr>
          <w:bCs/>
          <w:iCs/>
          <w:sz w:val="26"/>
          <w:szCs w:val="28"/>
        </w:rPr>
      </w:pPr>
    </w:p>
    <w:p w:rsidR="00687CB9" w:rsidRDefault="00FB7700" w:rsidP="0077399B">
      <w:pPr>
        <w:spacing w:after="0" w:line="240" w:lineRule="auto"/>
        <w:jc w:val="both"/>
        <w:rPr>
          <w:b/>
          <w:bCs/>
          <w:iCs/>
          <w:sz w:val="26"/>
          <w:szCs w:val="28"/>
        </w:rPr>
      </w:pPr>
      <w:r w:rsidRPr="00CD7B6E">
        <w:rPr>
          <w:b/>
          <w:bCs/>
          <w:iCs/>
          <w:sz w:val="26"/>
          <w:szCs w:val="28"/>
        </w:rPr>
        <w:t>Demogrāfija un darbaspēka resursi</w:t>
      </w:r>
    </w:p>
    <w:p w:rsidR="00430577" w:rsidRPr="00430577" w:rsidRDefault="00430577" w:rsidP="0077399B">
      <w:pPr>
        <w:spacing w:after="0" w:line="240" w:lineRule="auto"/>
        <w:ind w:firstLine="567"/>
        <w:jc w:val="both"/>
        <w:rPr>
          <w:sz w:val="8"/>
          <w:szCs w:val="28"/>
        </w:rPr>
      </w:pPr>
    </w:p>
    <w:p w:rsidR="00687CB9" w:rsidRDefault="00FB7700" w:rsidP="0077399B">
      <w:pPr>
        <w:spacing w:after="0" w:line="240" w:lineRule="auto"/>
        <w:ind w:firstLine="567"/>
        <w:jc w:val="both"/>
        <w:rPr>
          <w:sz w:val="26"/>
          <w:szCs w:val="28"/>
        </w:rPr>
      </w:pPr>
      <w:r w:rsidRPr="00CD7B6E">
        <w:rPr>
          <w:sz w:val="26"/>
          <w:szCs w:val="28"/>
        </w:rPr>
        <w:t>Demogrāfi</w:t>
      </w:r>
      <w:r w:rsidR="00053BFB">
        <w:rPr>
          <w:sz w:val="26"/>
          <w:szCs w:val="28"/>
        </w:rPr>
        <w:t xml:space="preserve">skās </w:t>
      </w:r>
      <w:r w:rsidRPr="00CD7B6E">
        <w:rPr>
          <w:sz w:val="26"/>
          <w:szCs w:val="28"/>
        </w:rPr>
        <w:t>situācijas raksturojums balstās uz 2011.gada</w:t>
      </w:r>
      <w:r w:rsidR="00070EBB">
        <w:rPr>
          <w:sz w:val="26"/>
          <w:szCs w:val="28"/>
        </w:rPr>
        <w:t xml:space="preserve"> tautas skaitīšanas rezultātiem</w:t>
      </w:r>
      <w:r w:rsidRPr="00CD7B6E">
        <w:rPr>
          <w:sz w:val="26"/>
          <w:szCs w:val="28"/>
        </w:rPr>
        <w:t>. Tautas skaitīšanas rezultāti ir ieviesuši korekcijas iedzīvotāju datos, galvenokārt emigrējušo iedzīvotāju skaita izmaiņu dēļ.</w:t>
      </w:r>
    </w:p>
    <w:p w:rsidR="00687CB9" w:rsidRDefault="00FB7700" w:rsidP="0077399B">
      <w:pPr>
        <w:spacing w:after="0" w:line="240" w:lineRule="auto"/>
        <w:ind w:firstLine="567"/>
        <w:jc w:val="both"/>
        <w:rPr>
          <w:sz w:val="26"/>
          <w:szCs w:val="28"/>
        </w:rPr>
      </w:pPr>
      <w:r w:rsidRPr="00CD7B6E">
        <w:rPr>
          <w:sz w:val="26"/>
          <w:szCs w:val="28"/>
        </w:rPr>
        <w:t>Iedzīvotāju skaits 201</w:t>
      </w:r>
      <w:r>
        <w:rPr>
          <w:sz w:val="26"/>
          <w:szCs w:val="28"/>
        </w:rPr>
        <w:t>2</w:t>
      </w:r>
      <w:r w:rsidRPr="00CD7B6E">
        <w:rPr>
          <w:sz w:val="26"/>
          <w:szCs w:val="28"/>
        </w:rPr>
        <w:t>.gad</w:t>
      </w:r>
      <w:r w:rsidRPr="00CD7B6E">
        <w:rPr>
          <w:sz w:val="26"/>
          <w:szCs w:val="28"/>
          <w:shd w:val="clear" w:color="auto" w:fill="FFFFFF"/>
        </w:rPr>
        <w:t>ā turpināja</w:t>
      </w:r>
      <w:r w:rsidRPr="00CD7B6E">
        <w:rPr>
          <w:sz w:val="26"/>
          <w:szCs w:val="28"/>
        </w:rPr>
        <w:t xml:space="preserve"> samazināties</w:t>
      </w:r>
      <w:r w:rsidRPr="00CD7B6E">
        <w:rPr>
          <w:sz w:val="26"/>
          <w:szCs w:val="28"/>
          <w:shd w:val="clear" w:color="auto" w:fill="FFFFFF"/>
        </w:rPr>
        <w:t xml:space="preserve">, kam galvenie iemesli bija sabiedrības novecošanās, ilgstoši zems dzimstības līmenis un iedzīvotāju emigrācija. </w:t>
      </w:r>
      <w:r w:rsidRPr="00CD7B6E">
        <w:rPr>
          <w:sz w:val="26"/>
          <w:szCs w:val="28"/>
        </w:rPr>
        <w:t>201</w:t>
      </w:r>
      <w:r>
        <w:rPr>
          <w:sz w:val="26"/>
          <w:szCs w:val="28"/>
        </w:rPr>
        <w:t>3</w:t>
      </w:r>
      <w:r w:rsidRPr="00CD7B6E">
        <w:rPr>
          <w:sz w:val="26"/>
          <w:szCs w:val="28"/>
        </w:rPr>
        <w:t xml:space="preserve">.gada sākumā Latvijā bija </w:t>
      </w:r>
      <w:r w:rsidRPr="005107B7">
        <w:rPr>
          <w:sz w:val="26"/>
          <w:szCs w:val="28"/>
        </w:rPr>
        <w:t>2028</w:t>
      </w:r>
      <w:r>
        <w:rPr>
          <w:sz w:val="26"/>
          <w:szCs w:val="28"/>
        </w:rPr>
        <w:t>,</w:t>
      </w:r>
      <w:r w:rsidRPr="005107B7">
        <w:rPr>
          <w:sz w:val="26"/>
          <w:szCs w:val="28"/>
        </w:rPr>
        <w:t>4</w:t>
      </w:r>
      <w:r w:rsidRPr="00CD7B6E">
        <w:rPr>
          <w:sz w:val="26"/>
          <w:szCs w:val="28"/>
        </w:rPr>
        <w:t xml:space="preserve"> </w:t>
      </w:r>
      <w:proofErr w:type="spellStart"/>
      <w:r w:rsidRPr="00CD7B6E">
        <w:rPr>
          <w:sz w:val="26"/>
          <w:szCs w:val="28"/>
        </w:rPr>
        <w:t>tūkst</w:t>
      </w:r>
      <w:proofErr w:type="spellEnd"/>
      <w:r w:rsidRPr="00CD7B6E">
        <w:rPr>
          <w:sz w:val="26"/>
          <w:szCs w:val="28"/>
        </w:rPr>
        <w:t>.</w:t>
      </w:r>
      <w:r>
        <w:rPr>
          <w:sz w:val="26"/>
          <w:szCs w:val="28"/>
        </w:rPr>
        <w:t xml:space="preserve"> iedzīvotāji, kas bija par 1</w:t>
      </w:r>
      <w:r w:rsidRPr="00CD7B6E">
        <w:rPr>
          <w:sz w:val="26"/>
          <w:szCs w:val="28"/>
        </w:rPr>
        <w:t>3,</w:t>
      </w:r>
      <w:r>
        <w:rPr>
          <w:sz w:val="26"/>
          <w:szCs w:val="28"/>
        </w:rPr>
        <w:t>4</w:t>
      </w:r>
      <w:r w:rsidRPr="00CD7B6E">
        <w:rPr>
          <w:sz w:val="26"/>
          <w:szCs w:val="28"/>
        </w:rPr>
        <w:t> </w:t>
      </w:r>
      <w:proofErr w:type="spellStart"/>
      <w:r w:rsidRPr="00CD7B6E">
        <w:rPr>
          <w:sz w:val="26"/>
          <w:szCs w:val="28"/>
        </w:rPr>
        <w:t>tūkst</w:t>
      </w:r>
      <w:proofErr w:type="spellEnd"/>
      <w:r w:rsidRPr="00CD7B6E">
        <w:rPr>
          <w:sz w:val="26"/>
          <w:szCs w:val="28"/>
        </w:rPr>
        <w:t>.</w:t>
      </w:r>
      <w:r>
        <w:rPr>
          <w:sz w:val="26"/>
          <w:szCs w:val="28"/>
        </w:rPr>
        <w:t xml:space="preserve"> mazāk nekā 2012.gada sākumā.</w:t>
      </w:r>
    </w:p>
    <w:p w:rsidR="00687CB9" w:rsidRDefault="00FB7700" w:rsidP="0077399B">
      <w:pPr>
        <w:shd w:val="clear" w:color="auto" w:fill="FFFFFF"/>
        <w:spacing w:after="0" w:line="240" w:lineRule="auto"/>
        <w:ind w:firstLine="567"/>
        <w:jc w:val="both"/>
        <w:rPr>
          <w:sz w:val="26"/>
          <w:szCs w:val="28"/>
        </w:rPr>
      </w:pPr>
      <w:r w:rsidRPr="00CD7B6E">
        <w:rPr>
          <w:sz w:val="26"/>
          <w:szCs w:val="28"/>
        </w:rPr>
        <w:t xml:space="preserve">Dzimstības līmenis valstī ilgstoši ir zemā līmenī, kas nav pietiekams esošā iedzīvotāju skaita atražošanai. Pieaugot iedzīvotāju ienākumiem, no 2005.gada dzimstības rādītāji pieauga – palielinājās gan dzimušo skaits, gan dzimstības </w:t>
      </w:r>
      <w:r w:rsidRPr="00CD7B6E">
        <w:rPr>
          <w:sz w:val="26"/>
          <w:szCs w:val="28"/>
        </w:rPr>
        <w:lastRenderedPageBreak/>
        <w:t xml:space="preserve">koeficients. </w:t>
      </w:r>
      <w:r>
        <w:rPr>
          <w:sz w:val="26"/>
          <w:szCs w:val="28"/>
        </w:rPr>
        <w:t>No 2009.gada dzimušo skaits vairākus gadus</w:t>
      </w:r>
      <w:r w:rsidRPr="00CD7B6E">
        <w:rPr>
          <w:sz w:val="26"/>
          <w:szCs w:val="28"/>
        </w:rPr>
        <w:t xml:space="preserve"> samazin</w:t>
      </w:r>
      <w:r>
        <w:rPr>
          <w:sz w:val="26"/>
          <w:szCs w:val="28"/>
        </w:rPr>
        <w:t>āj</w:t>
      </w:r>
      <w:r w:rsidRPr="00CD7B6E">
        <w:rPr>
          <w:sz w:val="26"/>
          <w:szCs w:val="28"/>
        </w:rPr>
        <w:t xml:space="preserve">ās. </w:t>
      </w:r>
      <w:r>
        <w:rPr>
          <w:sz w:val="26"/>
          <w:szCs w:val="28"/>
        </w:rPr>
        <w:t xml:space="preserve">Taču </w:t>
      </w:r>
      <w:r w:rsidRPr="00CD7B6E">
        <w:rPr>
          <w:sz w:val="26"/>
          <w:szCs w:val="28"/>
        </w:rPr>
        <w:t>201</w:t>
      </w:r>
      <w:r>
        <w:rPr>
          <w:sz w:val="26"/>
          <w:szCs w:val="28"/>
        </w:rPr>
        <w:t>2</w:t>
      </w:r>
      <w:r w:rsidRPr="00CD7B6E">
        <w:rPr>
          <w:sz w:val="26"/>
          <w:szCs w:val="28"/>
        </w:rPr>
        <w:t xml:space="preserve">.gadā </w:t>
      </w:r>
      <w:r>
        <w:rPr>
          <w:sz w:val="26"/>
          <w:szCs w:val="28"/>
        </w:rPr>
        <w:t>atsākās dzimstības pieaugums, dzimušo</w:t>
      </w:r>
      <w:r w:rsidRPr="00CD7B6E">
        <w:rPr>
          <w:sz w:val="26"/>
          <w:szCs w:val="28"/>
        </w:rPr>
        <w:t xml:space="preserve"> skaits </w:t>
      </w:r>
      <w:r>
        <w:rPr>
          <w:sz w:val="26"/>
          <w:szCs w:val="28"/>
        </w:rPr>
        <w:t>palielinājās par 5,7</w:t>
      </w:r>
      <w:r w:rsidRPr="00CD7B6E">
        <w:rPr>
          <w:sz w:val="26"/>
          <w:szCs w:val="28"/>
        </w:rPr>
        <w:t xml:space="preserve">% </w:t>
      </w:r>
      <w:r>
        <w:rPr>
          <w:sz w:val="26"/>
          <w:szCs w:val="28"/>
        </w:rPr>
        <w:t>salīdzinājumā ar</w:t>
      </w:r>
      <w:r w:rsidRPr="00CD7B6E">
        <w:rPr>
          <w:sz w:val="26"/>
          <w:szCs w:val="28"/>
        </w:rPr>
        <w:t xml:space="preserve"> iepriekšēj</w:t>
      </w:r>
      <w:r>
        <w:rPr>
          <w:sz w:val="26"/>
          <w:szCs w:val="28"/>
        </w:rPr>
        <w:t>o</w:t>
      </w:r>
      <w:r w:rsidRPr="00CD7B6E">
        <w:rPr>
          <w:sz w:val="26"/>
          <w:szCs w:val="28"/>
        </w:rPr>
        <w:t xml:space="preserve"> gad</w:t>
      </w:r>
      <w:r>
        <w:rPr>
          <w:sz w:val="26"/>
          <w:szCs w:val="28"/>
        </w:rPr>
        <w:t>u</w:t>
      </w:r>
      <w:r w:rsidRPr="00CD7B6E">
        <w:rPr>
          <w:sz w:val="26"/>
          <w:szCs w:val="28"/>
        </w:rPr>
        <w:t>.</w:t>
      </w:r>
    </w:p>
    <w:p w:rsidR="00687CB9" w:rsidRDefault="00FB7700" w:rsidP="0077399B">
      <w:pPr>
        <w:shd w:val="clear" w:color="auto" w:fill="FFFFFF"/>
        <w:spacing w:after="0" w:line="240" w:lineRule="auto"/>
        <w:ind w:firstLine="567"/>
        <w:jc w:val="both"/>
        <w:rPr>
          <w:sz w:val="26"/>
          <w:szCs w:val="28"/>
        </w:rPr>
      </w:pPr>
      <w:r w:rsidRPr="00CD7B6E">
        <w:rPr>
          <w:sz w:val="26"/>
          <w:szCs w:val="28"/>
        </w:rPr>
        <w:t>Valstī mirstības rādītāji samazinā</w:t>
      </w:r>
      <w:r>
        <w:rPr>
          <w:sz w:val="26"/>
          <w:szCs w:val="28"/>
        </w:rPr>
        <w:t>jā</w:t>
      </w:r>
      <w:r w:rsidRPr="00CD7B6E">
        <w:rPr>
          <w:sz w:val="26"/>
          <w:szCs w:val="28"/>
        </w:rPr>
        <w:t>s</w:t>
      </w:r>
      <w:r>
        <w:rPr>
          <w:sz w:val="26"/>
          <w:szCs w:val="28"/>
        </w:rPr>
        <w:t xml:space="preserve"> kopš</w:t>
      </w:r>
      <w:r w:rsidRPr="00CD7B6E">
        <w:rPr>
          <w:sz w:val="26"/>
          <w:szCs w:val="28"/>
        </w:rPr>
        <w:t xml:space="preserve"> 2007.gad</w:t>
      </w:r>
      <w:r>
        <w:rPr>
          <w:sz w:val="26"/>
          <w:szCs w:val="28"/>
        </w:rPr>
        <w:t>a</w:t>
      </w:r>
      <w:r w:rsidRPr="00CD7B6E">
        <w:rPr>
          <w:sz w:val="26"/>
          <w:szCs w:val="28"/>
        </w:rPr>
        <w:t>. 201</w:t>
      </w:r>
      <w:r>
        <w:rPr>
          <w:sz w:val="26"/>
          <w:szCs w:val="28"/>
        </w:rPr>
        <w:t>2</w:t>
      </w:r>
      <w:r w:rsidRPr="00CD7B6E">
        <w:rPr>
          <w:sz w:val="26"/>
          <w:szCs w:val="28"/>
        </w:rPr>
        <w:t>.gadā</w:t>
      </w:r>
      <w:r>
        <w:rPr>
          <w:sz w:val="26"/>
          <w:szCs w:val="28"/>
        </w:rPr>
        <w:t xml:space="preserve"> </w:t>
      </w:r>
      <w:r w:rsidRPr="00CD7B6E">
        <w:rPr>
          <w:sz w:val="26"/>
          <w:szCs w:val="28"/>
        </w:rPr>
        <w:t>mirušo skait</w:t>
      </w:r>
      <w:r w:rsidR="00053BFB">
        <w:rPr>
          <w:sz w:val="26"/>
          <w:szCs w:val="28"/>
        </w:rPr>
        <w:t>s nedaudz pieauga –</w:t>
      </w:r>
      <w:r>
        <w:rPr>
          <w:sz w:val="26"/>
          <w:szCs w:val="28"/>
        </w:rPr>
        <w:t xml:space="preserve"> p</w:t>
      </w:r>
      <w:r w:rsidRPr="00CD7B6E">
        <w:rPr>
          <w:sz w:val="26"/>
          <w:szCs w:val="28"/>
        </w:rPr>
        <w:t xml:space="preserve">ar </w:t>
      </w:r>
      <w:r>
        <w:rPr>
          <w:sz w:val="26"/>
          <w:szCs w:val="28"/>
        </w:rPr>
        <w:t>1,7</w:t>
      </w:r>
      <w:r w:rsidRPr="00CD7B6E">
        <w:rPr>
          <w:sz w:val="26"/>
          <w:szCs w:val="28"/>
        </w:rPr>
        <w:t>%</w:t>
      </w:r>
      <w:r w:rsidR="00053BFB">
        <w:rPr>
          <w:sz w:val="26"/>
          <w:szCs w:val="28"/>
        </w:rPr>
        <w:t>,</w:t>
      </w:r>
      <w:r w:rsidRPr="00CD7B6E">
        <w:rPr>
          <w:sz w:val="26"/>
          <w:szCs w:val="28"/>
        </w:rPr>
        <w:t xml:space="preserve"> salīdzin</w:t>
      </w:r>
      <w:r>
        <w:rPr>
          <w:sz w:val="26"/>
          <w:szCs w:val="28"/>
        </w:rPr>
        <w:t>ot</w:t>
      </w:r>
      <w:r w:rsidRPr="00CD7B6E">
        <w:rPr>
          <w:sz w:val="26"/>
          <w:szCs w:val="28"/>
        </w:rPr>
        <w:t xml:space="preserve"> ar iepriekšējo gadu. </w:t>
      </w:r>
      <w:r>
        <w:rPr>
          <w:sz w:val="26"/>
          <w:szCs w:val="28"/>
        </w:rPr>
        <w:t>Taču kopumā</w:t>
      </w:r>
      <w:r w:rsidRPr="00CD7B6E">
        <w:rPr>
          <w:sz w:val="26"/>
          <w:szCs w:val="28"/>
        </w:rPr>
        <w:t xml:space="preserve"> ir uzlabojies iedzīvotāju dabiskā pieauguma koeficients, lai arī </w:t>
      </w:r>
      <w:r>
        <w:rPr>
          <w:sz w:val="26"/>
          <w:szCs w:val="28"/>
        </w:rPr>
        <w:t xml:space="preserve">joprojām tas ir negatīvs </w:t>
      </w:r>
      <w:r w:rsidRPr="00CD7B6E">
        <w:rPr>
          <w:sz w:val="26"/>
          <w:szCs w:val="28"/>
        </w:rPr>
        <w:t>(201</w:t>
      </w:r>
      <w:r>
        <w:rPr>
          <w:sz w:val="26"/>
          <w:szCs w:val="28"/>
        </w:rPr>
        <w:t>2</w:t>
      </w:r>
      <w:r w:rsidRPr="00CD7B6E">
        <w:rPr>
          <w:sz w:val="26"/>
          <w:szCs w:val="28"/>
        </w:rPr>
        <w:t>.gadā tas bija -4,</w:t>
      </w:r>
      <w:r>
        <w:rPr>
          <w:sz w:val="26"/>
          <w:szCs w:val="28"/>
        </w:rPr>
        <w:t>5</w:t>
      </w:r>
      <w:r w:rsidRPr="00CD7B6E">
        <w:rPr>
          <w:sz w:val="26"/>
          <w:szCs w:val="28"/>
        </w:rPr>
        <w:t xml:space="preserve"> uz 1000 iedzīvotājiem).</w:t>
      </w:r>
    </w:p>
    <w:p w:rsidR="00687CB9" w:rsidRDefault="00FB7700" w:rsidP="0077399B">
      <w:pPr>
        <w:shd w:val="clear" w:color="auto" w:fill="FFFFFF"/>
        <w:spacing w:after="0" w:line="240" w:lineRule="auto"/>
        <w:ind w:firstLine="567"/>
        <w:jc w:val="both"/>
        <w:rPr>
          <w:sz w:val="26"/>
          <w:szCs w:val="28"/>
        </w:rPr>
      </w:pPr>
      <w:r w:rsidRPr="00CD7B6E">
        <w:rPr>
          <w:sz w:val="26"/>
          <w:szCs w:val="28"/>
        </w:rPr>
        <w:t xml:space="preserve">Turpinās sabiedrības novecošanās process – samazinoties iedzīvotāju skaitam līdz darbspējas vecumam un </w:t>
      </w:r>
      <w:r w:rsidRPr="00CD7B6E">
        <w:rPr>
          <w:sz w:val="26"/>
          <w:szCs w:val="28"/>
          <w:shd w:val="clear" w:color="auto" w:fill="FFFFFF"/>
        </w:rPr>
        <w:t>darbspējas vecumā</w:t>
      </w:r>
      <w:r w:rsidRPr="00CD7B6E">
        <w:rPr>
          <w:sz w:val="26"/>
          <w:szCs w:val="28"/>
        </w:rPr>
        <w:t>, vienlaikus pieaug to</w:t>
      </w:r>
      <w:r w:rsidR="008F2AA8">
        <w:rPr>
          <w:sz w:val="26"/>
          <w:szCs w:val="28"/>
        </w:rPr>
        <w:t xml:space="preserve"> skaits virs darbspējas vecuma.</w:t>
      </w:r>
    </w:p>
    <w:p w:rsidR="00687CB9" w:rsidRDefault="00FB7700" w:rsidP="0077399B">
      <w:pPr>
        <w:spacing w:after="0" w:line="240" w:lineRule="auto"/>
        <w:ind w:firstLine="720"/>
        <w:jc w:val="right"/>
        <w:rPr>
          <w:sz w:val="26"/>
          <w:szCs w:val="26"/>
        </w:rPr>
      </w:pPr>
      <w:r w:rsidRPr="00CD7B6E">
        <w:rPr>
          <w:sz w:val="26"/>
          <w:szCs w:val="26"/>
        </w:rPr>
        <w:t>2.1. attēls</w:t>
      </w:r>
    </w:p>
    <w:p w:rsidR="00687CB9" w:rsidRDefault="00FB7700" w:rsidP="0077399B">
      <w:pPr>
        <w:spacing w:after="0" w:line="240" w:lineRule="auto"/>
        <w:jc w:val="center"/>
      </w:pPr>
      <w:r w:rsidRPr="00CD7B6E">
        <w:rPr>
          <w:b/>
          <w:bCs/>
          <w:sz w:val="26"/>
          <w:szCs w:val="26"/>
        </w:rPr>
        <w:t>Iedzīvotāju vecumstruktūra gada sākumā</w:t>
      </w:r>
      <w:r w:rsidRPr="00CD7B6E">
        <w:rPr>
          <w:b/>
          <w:bCs/>
          <w:sz w:val="26"/>
          <w:szCs w:val="26"/>
        </w:rPr>
        <w:br/>
      </w:r>
      <w:r w:rsidRPr="00CD7B6E">
        <w:t>(</w:t>
      </w:r>
      <w:proofErr w:type="spellStart"/>
      <w:r w:rsidRPr="00CD7B6E">
        <w:t>tūkst</w:t>
      </w:r>
      <w:proofErr w:type="spellEnd"/>
      <w:r w:rsidRPr="00CD7B6E">
        <w:t>.)</w:t>
      </w:r>
    </w:p>
    <w:p w:rsidR="00687CB9" w:rsidRDefault="00FB7700" w:rsidP="0077399B">
      <w:pPr>
        <w:spacing w:after="0" w:line="240" w:lineRule="auto"/>
        <w:jc w:val="center"/>
        <w:rPr>
          <w:sz w:val="26"/>
          <w:szCs w:val="26"/>
        </w:rPr>
      </w:pPr>
      <w:bookmarkStart w:id="19" w:name="_MON_1400592646"/>
      <w:bookmarkStart w:id="20" w:name="_MON_1400592726"/>
      <w:bookmarkStart w:id="21" w:name="_MON_1400592773"/>
      <w:bookmarkStart w:id="22" w:name="_MON_1400592815"/>
      <w:bookmarkStart w:id="23" w:name="_MON_1400592981"/>
      <w:bookmarkStart w:id="24" w:name="_MON_1400592995"/>
      <w:bookmarkStart w:id="25" w:name="_MON_1400593009"/>
      <w:bookmarkStart w:id="26" w:name="_MON_1400593022"/>
      <w:bookmarkStart w:id="27" w:name="_MON_1400593323"/>
      <w:bookmarkStart w:id="28" w:name="_MON_1400593383"/>
      <w:bookmarkStart w:id="29" w:name="_MON_1400592561"/>
      <w:bookmarkEnd w:id="19"/>
      <w:bookmarkEnd w:id="20"/>
      <w:bookmarkEnd w:id="21"/>
      <w:bookmarkEnd w:id="22"/>
      <w:bookmarkEnd w:id="23"/>
      <w:bookmarkEnd w:id="24"/>
      <w:bookmarkEnd w:id="25"/>
      <w:bookmarkEnd w:id="26"/>
      <w:bookmarkEnd w:id="27"/>
      <w:bookmarkEnd w:id="28"/>
      <w:bookmarkEnd w:id="29"/>
      <w:r w:rsidRPr="00CD7B6E">
        <w:rPr>
          <w:noProof/>
          <w:sz w:val="26"/>
          <w:szCs w:val="26"/>
          <w:lang w:eastAsia="lv-LV"/>
        </w:rPr>
        <w:drawing>
          <wp:inline distT="0" distB="0" distL="0" distR="0" wp14:anchorId="09AD6BF7" wp14:editId="5D1385CC">
            <wp:extent cx="5760000" cy="2880000"/>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87CB9" w:rsidRDefault="00687CB9" w:rsidP="0077399B">
      <w:pPr>
        <w:spacing w:after="0" w:line="240" w:lineRule="auto"/>
        <w:ind w:firstLine="567"/>
        <w:jc w:val="both"/>
        <w:rPr>
          <w:spacing w:val="-2"/>
          <w:sz w:val="20"/>
          <w:szCs w:val="20"/>
        </w:rPr>
      </w:pPr>
    </w:p>
    <w:p w:rsidR="00687CB9" w:rsidRDefault="00FB7700" w:rsidP="0077399B">
      <w:pPr>
        <w:spacing w:after="0" w:line="240" w:lineRule="auto"/>
        <w:ind w:firstLine="567"/>
        <w:jc w:val="both"/>
        <w:rPr>
          <w:sz w:val="26"/>
          <w:szCs w:val="26"/>
        </w:rPr>
      </w:pPr>
      <w:r w:rsidRPr="00CD7B6E">
        <w:rPr>
          <w:sz w:val="26"/>
          <w:szCs w:val="26"/>
        </w:rPr>
        <w:t>Iedzīvotāju skaits darbaspējas vecumā (15-74 gadi) 201</w:t>
      </w:r>
      <w:r>
        <w:rPr>
          <w:sz w:val="26"/>
          <w:szCs w:val="26"/>
        </w:rPr>
        <w:t>2</w:t>
      </w:r>
      <w:r w:rsidRPr="00CD7B6E">
        <w:rPr>
          <w:sz w:val="26"/>
          <w:szCs w:val="26"/>
        </w:rPr>
        <w:t>.gada sākumā bija 1</w:t>
      </w:r>
      <w:r>
        <w:rPr>
          <w:sz w:val="26"/>
          <w:szCs w:val="26"/>
        </w:rPr>
        <w:t>580,5</w:t>
      </w:r>
      <w:r w:rsidRPr="00CD7B6E">
        <w:rPr>
          <w:sz w:val="26"/>
          <w:szCs w:val="26"/>
        </w:rPr>
        <w:t> </w:t>
      </w:r>
      <w:proofErr w:type="spellStart"/>
      <w:r w:rsidRPr="00CD7B6E">
        <w:rPr>
          <w:sz w:val="26"/>
          <w:szCs w:val="26"/>
        </w:rPr>
        <w:t>tūkst</w:t>
      </w:r>
      <w:proofErr w:type="spellEnd"/>
      <w:r w:rsidRPr="00CD7B6E">
        <w:rPr>
          <w:sz w:val="26"/>
          <w:szCs w:val="26"/>
        </w:rPr>
        <w:t xml:space="preserve">., kas ir par </w:t>
      </w:r>
      <w:r>
        <w:rPr>
          <w:sz w:val="26"/>
          <w:szCs w:val="26"/>
        </w:rPr>
        <w:t>34,3</w:t>
      </w:r>
      <w:r w:rsidRPr="00CD7B6E">
        <w:rPr>
          <w:color w:val="808080"/>
          <w:sz w:val="26"/>
          <w:szCs w:val="26"/>
        </w:rPr>
        <w:t> </w:t>
      </w:r>
      <w:proofErr w:type="spellStart"/>
      <w:r w:rsidRPr="00CD7B6E">
        <w:rPr>
          <w:sz w:val="26"/>
          <w:szCs w:val="26"/>
        </w:rPr>
        <w:t>tūkst</w:t>
      </w:r>
      <w:proofErr w:type="spellEnd"/>
      <w:r w:rsidRPr="00CD7B6E">
        <w:rPr>
          <w:sz w:val="26"/>
          <w:szCs w:val="26"/>
        </w:rPr>
        <w:t>. mazāk nekā 201</w:t>
      </w:r>
      <w:r>
        <w:rPr>
          <w:sz w:val="26"/>
          <w:szCs w:val="26"/>
        </w:rPr>
        <w:t>1</w:t>
      </w:r>
      <w:r w:rsidRPr="00CD7B6E">
        <w:rPr>
          <w:sz w:val="26"/>
          <w:szCs w:val="26"/>
        </w:rPr>
        <w:t xml:space="preserve">.gada sākumā. Lielākā ietekme bija iedzīvotāju skaita samazinājumam </w:t>
      </w:r>
      <w:r>
        <w:rPr>
          <w:sz w:val="26"/>
          <w:szCs w:val="26"/>
        </w:rPr>
        <w:t xml:space="preserve">jaunākajās darbspējas </w:t>
      </w:r>
      <w:r w:rsidRPr="00CD7B6E">
        <w:rPr>
          <w:sz w:val="26"/>
          <w:szCs w:val="26"/>
        </w:rPr>
        <w:t>vecuma grupā</w:t>
      </w:r>
      <w:r>
        <w:rPr>
          <w:sz w:val="26"/>
          <w:szCs w:val="26"/>
        </w:rPr>
        <w:t>s:</w:t>
      </w:r>
      <w:r w:rsidRPr="00CD7B6E">
        <w:rPr>
          <w:sz w:val="26"/>
          <w:szCs w:val="26"/>
        </w:rPr>
        <w:t xml:space="preserve"> </w:t>
      </w:r>
      <w:r w:rsidR="00B05745">
        <w:rPr>
          <w:sz w:val="26"/>
          <w:szCs w:val="26"/>
        </w:rPr>
        <w:br/>
      </w:r>
      <w:r w:rsidRPr="00CD7B6E">
        <w:rPr>
          <w:sz w:val="26"/>
          <w:szCs w:val="26"/>
        </w:rPr>
        <w:t>15-19 gadi (par 12</w:t>
      </w:r>
      <w:r>
        <w:rPr>
          <w:sz w:val="26"/>
          <w:szCs w:val="26"/>
        </w:rPr>
        <w:t xml:space="preserve">,9 </w:t>
      </w:r>
      <w:proofErr w:type="spellStart"/>
      <w:r>
        <w:rPr>
          <w:sz w:val="26"/>
          <w:szCs w:val="26"/>
        </w:rPr>
        <w:t>tūkst</w:t>
      </w:r>
      <w:proofErr w:type="spellEnd"/>
      <w:r>
        <w:rPr>
          <w:sz w:val="26"/>
          <w:szCs w:val="26"/>
        </w:rPr>
        <w:t>. jeb 10,5</w:t>
      </w:r>
      <w:r w:rsidRPr="00CD7B6E">
        <w:rPr>
          <w:sz w:val="26"/>
          <w:szCs w:val="26"/>
        </w:rPr>
        <w:t xml:space="preserve">%) un </w:t>
      </w:r>
      <w:r>
        <w:rPr>
          <w:sz w:val="26"/>
          <w:szCs w:val="26"/>
        </w:rPr>
        <w:t>20-24</w:t>
      </w:r>
      <w:r w:rsidRPr="00CD7B6E">
        <w:rPr>
          <w:sz w:val="26"/>
          <w:szCs w:val="26"/>
        </w:rPr>
        <w:t xml:space="preserve"> gadi (par </w:t>
      </w:r>
      <w:r>
        <w:rPr>
          <w:sz w:val="26"/>
          <w:szCs w:val="26"/>
        </w:rPr>
        <w:t>8,2</w:t>
      </w:r>
      <w:r w:rsidRPr="00CD7B6E">
        <w:rPr>
          <w:sz w:val="26"/>
          <w:szCs w:val="26"/>
        </w:rPr>
        <w:t xml:space="preserve"> </w:t>
      </w:r>
      <w:proofErr w:type="spellStart"/>
      <w:r w:rsidRPr="00CD7B6E">
        <w:rPr>
          <w:sz w:val="26"/>
          <w:szCs w:val="26"/>
        </w:rPr>
        <w:t>tūkst</w:t>
      </w:r>
      <w:proofErr w:type="spellEnd"/>
      <w:r w:rsidRPr="00CD7B6E">
        <w:rPr>
          <w:sz w:val="26"/>
          <w:szCs w:val="26"/>
        </w:rPr>
        <w:t xml:space="preserve">. jeb </w:t>
      </w:r>
      <w:r>
        <w:rPr>
          <w:sz w:val="26"/>
          <w:szCs w:val="26"/>
        </w:rPr>
        <w:t>5,3</w:t>
      </w:r>
      <w:r w:rsidRPr="00CD7B6E">
        <w:rPr>
          <w:sz w:val="26"/>
          <w:szCs w:val="26"/>
        </w:rPr>
        <w:t>%)</w:t>
      </w:r>
      <w:r>
        <w:rPr>
          <w:sz w:val="26"/>
          <w:szCs w:val="26"/>
        </w:rPr>
        <w:t xml:space="preserve">. Vecākajās vecuma grupās lielākais samazinājums bija vecuma grupās 65-69 gadi (par 6,6 </w:t>
      </w:r>
      <w:proofErr w:type="spellStart"/>
      <w:r>
        <w:rPr>
          <w:sz w:val="26"/>
          <w:szCs w:val="26"/>
        </w:rPr>
        <w:t>tūkst</w:t>
      </w:r>
      <w:proofErr w:type="spellEnd"/>
      <w:r>
        <w:rPr>
          <w:sz w:val="26"/>
          <w:szCs w:val="26"/>
        </w:rPr>
        <w:t xml:space="preserve">. jeb par 6,2%) un 45-49 gadi (par 5,7 </w:t>
      </w:r>
      <w:proofErr w:type="spellStart"/>
      <w:r>
        <w:rPr>
          <w:sz w:val="26"/>
          <w:szCs w:val="26"/>
        </w:rPr>
        <w:t>tūkst</w:t>
      </w:r>
      <w:proofErr w:type="spellEnd"/>
      <w:r>
        <w:rPr>
          <w:sz w:val="26"/>
          <w:szCs w:val="26"/>
        </w:rPr>
        <w:t>. jeb par 3,8%)</w:t>
      </w:r>
      <w:r w:rsidRPr="00CD7B6E">
        <w:rPr>
          <w:sz w:val="26"/>
          <w:szCs w:val="26"/>
        </w:rPr>
        <w:t>.</w:t>
      </w:r>
    </w:p>
    <w:p w:rsidR="00687CB9" w:rsidRDefault="00FB7700" w:rsidP="0077399B">
      <w:pPr>
        <w:spacing w:after="0" w:line="240" w:lineRule="auto"/>
        <w:ind w:firstLine="567"/>
        <w:jc w:val="both"/>
        <w:rPr>
          <w:sz w:val="26"/>
          <w:szCs w:val="26"/>
        </w:rPr>
      </w:pPr>
      <w:r w:rsidRPr="00CD7B6E">
        <w:rPr>
          <w:sz w:val="26"/>
          <w:szCs w:val="26"/>
        </w:rPr>
        <w:t>Laika posmā no 2000.gada līdz 201</w:t>
      </w:r>
      <w:r>
        <w:rPr>
          <w:sz w:val="26"/>
          <w:szCs w:val="26"/>
        </w:rPr>
        <w:t xml:space="preserve">1.gada sākumam migrācijas rezultātā iedzīvotāju </w:t>
      </w:r>
      <w:r w:rsidRPr="00CD7B6E">
        <w:rPr>
          <w:sz w:val="26"/>
          <w:szCs w:val="26"/>
        </w:rPr>
        <w:t>skaits kopumā</w:t>
      </w:r>
      <w:r>
        <w:rPr>
          <w:sz w:val="26"/>
          <w:szCs w:val="26"/>
        </w:rPr>
        <w:t xml:space="preserve"> ir samazinājies, un emigrējušo skaits</w:t>
      </w:r>
      <w:r w:rsidRPr="00CD7B6E">
        <w:rPr>
          <w:sz w:val="26"/>
          <w:szCs w:val="26"/>
        </w:rPr>
        <w:t xml:space="preserve"> </w:t>
      </w:r>
      <w:r w:rsidR="00B05745">
        <w:rPr>
          <w:sz w:val="26"/>
          <w:szCs w:val="26"/>
        </w:rPr>
        <w:t xml:space="preserve">par </w:t>
      </w:r>
      <w:r w:rsidRPr="00CD7B6E">
        <w:rPr>
          <w:sz w:val="26"/>
          <w:szCs w:val="26"/>
        </w:rPr>
        <w:t>2</w:t>
      </w:r>
      <w:r>
        <w:rPr>
          <w:sz w:val="26"/>
          <w:szCs w:val="26"/>
        </w:rPr>
        <w:t>15</w:t>
      </w:r>
      <w:r w:rsidRPr="00CD7B6E">
        <w:rPr>
          <w:sz w:val="26"/>
          <w:szCs w:val="26"/>
        </w:rPr>
        <w:t xml:space="preserve"> </w:t>
      </w:r>
      <w:proofErr w:type="spellStart"/>
      <w:r w:rsidRPr="00CD7B6E">
        <w:rPr>
          <w:sz w:val="26"/>
          <w:szCs w:val="26"/>
        </w:rPr>
        <w:t>tūkst</w:t>
      </w:r>
      <w:proofErr w:type="spellEnd"/>
      <w:r w:rsidR="00053BFB">
        <w:rPr>
          <w:sz w:val="26"/>
          <w:szCs w:val="26"/>
        </w:rPr>
        <w:t>.</w:t>
      </w:r>
      <w:r w:rsidRPr="00CD7B6E">
        <w:rPr>
          <w:sz w:val="26"/>
          <w:szCs w:val="26"/>
        </w:rPr>
        <w:t xml:space="preserve"> </w:t>
      </w:r>
      <w:r>
        <w:rPr>
          <w:sz w:val="26"/>
          <w:szCs w:val="26"/>
        </w:rPr>
        <w:t>pārsniedz imigrējušo iedzīvotāju skaitu</w:t>
      </w:r>
      <w:r w:rsidRPr="00CD7B6E">
        <w:rPr>
          <w:sz w:val="26"/>
          <w:szCs w:val="26"/>
        </w:rPr>
        <w:t>. Galvenais izbraukšanas mērķis ir darba meklējumi ārvalstīs. No valsts emigrē galvenokārt darbspējas vecuma iedzīvotāji.</w:t>
      </w:r>
    </w:p>
    <w:p w:rsidR="00687CB9" w:rsidRDefault="00FB7700" w:rsidP="0077399B">
      <w:pPr>
        <w:shd w:val="clear" w:color="auto" w:fill="FFFFFF"/>
        <w:spacing w:after="0" w:line="240" w:lineRule="auto"/>
        <w:ind w:firstLine="567"/>
        <w:jc w:val="both"/>
        <w:rPr>
          <w:sz w:val="26"/>
          <w:szCs w:val="28"/>
        </w:rPr>
      </w:pPr>
      <w:r>
        <w:rPr>
          <w:sz w:val="26"/>
          <w:szCs w:val="28"/>
        </w:rPr>
        <w:t xml:space="preserve">Migrācijas plūsmas uz ārvalstīm strauji pieauga, </w:t>
      </w:r>
      <w:r w:rsidR="00026AE9">
        <w:rPr>
          <w:sz w:val="26"/>
          <w:szCs w:val="28"/>
        </w:rPr>
        <w:t>pasliktino</w:t>
      </w:r>
      <w:r>
        <w:rPr>
          <w:sz w:val="26"/>
          <w:szCs w:val="28"/>
        </w:rPr>
        <w:t>ties ekonomiskai situācijai. 2008.gadā negatīvais migrācijas saldo pieauga 2,8 reizes. Negatīvā migrācijas saldo kulminācija tika sasniegta 2009. un 2010.</w:t>
      </w:r>
      <w:r w:rsidR="00053BFB">
        <w:rPr>
          <w:sz w:val="26"/>
          <w:szCs w:val="28"/>
        </w:rPr>
        <w:t>gadā</w:t>
      </w:r>
      <w:r>
        <w:rPr>
          <w:sz w:val="26"/>
          <w:szCs w:val="28"/>
        </w:rPr>
        <w:t xml:space="preserve">. </w:t>
      </w:r>
      <w:r w:rsidRPr="00CD7B6E">
        <w:rPr>
          <w:sz w:val="26"/>
          <w:szCs w:val="28"/>
        </w:rPr>
        <w:t>Savukārt 2011.</w:t>
      </w:r>
      <w:r w:rsidR="00026AE9">
        <w:rPr>
          <w:sz w:val="26"/>
          <w:szCs w:val="28"/>
        </w:rPr>
        <w:t xml:space="preserve"> un 2012.</w:t>
      </w:r>
      <w:r w:rsidRPr="00CD7B6E">
        <w:rPr>
          <w:sz w:val="26"/>
          <w:szCs w:val="28"/>
        </w:rPr>
        <w:t xml:space="preserve">gadā migrācijas rādītāji </w:t>
      </w:r>
      <w:r>
        <w:rPr>
          <w:sz w:val="26"/>
          <w:szCs w:val="28"/>
        </w:rPr>
        <w:t>ir uzlabo</w:t>
      </w:r>
      <w:r w:rsidR="00026AE9">
        <w:rPr>
          <w:sz w:val="26"/>
          <w:szCs w:val="28"/>
        </w:rPr>
        <w:t>jušies</w:t>
      </w:r>
      <w:r w:rsidRPr="00CD7B6E">
        <w:rPr>
          <w:sz w:val="26"/>
          <w:szCs w:val="28"/>
        </w:rPr>
        <w:t>.</w:t>
      </w:r>
    </w:p>
    <w:p w:rsidR="00687CB9" w:rsidRDefault="00FB7700" w:rsidP="0077399B">
      <w:pPr>
        <w:spacing w:after="0" w:line="240" w:lineRule="auto"/>
        <w:rPr>
          <w:sz w:val="26"/>
          <w:szCs w:val="26"/>
        </w:rPr>
      </w:pPr>
      <w:r>
        <w:rPr>
          <w:sz w:val="26"/>
          <w:szCs w:val="26"/>
        </w:rPr>
        <w:br w:type="page"/>
      </w:r>
    </w:p>
    <w:p w:rsidR="00687CB9" w:rsidRDefault="00FB7700" w:rsidP="0077399B">
      <w:pPr>
        <w:spacing w:after="0" w:line="240" w:lineRule="auto"/>
        <w:ind w:firstLine="720"/>
        <w:jc w:val="right"/>
        <w:rPr>
          <w:sz w:val="26"/>
          <w:szCs w:val="26"/>
        </w:rPr>
      </w:pPr>
      <w:r w:rsidRPr="00CD7B6E">
        <w:rPr>
          <w:sz w:val="26"/>
          <w:szCs w:val="26"/>
        </w:rPr>
        <w:lastRenderedPageBreak/>
        <w:t>2.2. attēls</w:t>
      </w:r>
    </w:p>
    <w:p w:rsidR="00687CB9" w:rsidRDefault="00FB7700" w:rsidP="0077399B">
      <w:pPr>
        <w:spacing w:after="0" w:line="240" w:lineRule="auto"/>
        <w:jc w:val="center"/>
      </w:pPr>
      <w:r w:rsidRPr="00CD7B6E">
        <w:rPr>
          <w:b/>
          <w:bCs/>
          <w:sz w:val="26"/>
          <w:szCs w:val="26"/>
        </w:rPr>
        <w:t>Iedzīvotāju skaits vecuma grupās 201</w:t>
      </w:r>
      <w:r>
        <w:rPr>
          <w:b/>
          <w:bCs/>
          <w:sz w:val="26"/>
          <w:szCs w:val="26"/>
        </w:rPr>
        <w:t>2</w:t>
      </w:r>
      <w:r w:rsidRPr="00CD7B6E">
        <w:rPr>
          <w:b/>
          <w:bCs/>
          <w:sz w:val="26"/>
          <w:szCs w:val="26"/>
        </w:rPr>
        <w:t>.gada sākumā</w:t>
      </w:r>
      <w:r w:rsidRPr="00CD7B6E">
        <w:rPr>
          <w:b/>
          <w:bCs/>
          <w:sz w:val="26"/>
          <w:szCs w:val="26"/>
        </w:rPr>
        <w:br/>
      </w:r>
      <w:r w:rsidRPr="001545AF">
        <w:t>(</w:t>
      </w:r>
      <w:proofErr w:type="spellStart"/>
      <w:r w:rsidRPr="001545AF">
        <w:t>tūkst</w:t>
      </w:r>
      <w:proofErr w:type="spellEnd"/>
      <w:r w:rsidRPr="001545AF">
        <w:t>.)</w:t>
      </w:r>
    </w:p>
    <w:p w:rsidR="00687CB9" w:rsidRDefault="00FB7700" w:rsidP="0077399B">
      <w:pPr>
        <w:spacing w:after="0" w:line="240" w:lineRule="auto"/>
        <w:jc w:val="center"/>
        <w:rPr>
          <w:sz w:val="26"/>
          <w:szCs w:val="26"/>
        </w:rPr>
      </w:pPr>
      <w:r w:rsidRPr="00CD7B6E">
        <w:rPr>
          <w:rFonts w:eastAsia="Arial Unicode MS"/>
          <w:b/>
          <w:iCs/>
          <w:noProof/>
          <w:sz w:val="26"/>
          <w:szCs w:val="26"/>
          <w:lang w:eastAsia="lv-LV"/>
        </w:rPr>
        <w:drawing>
          <wp:inline distT="0" distB="0" distL="0" distR="0" wp14:anchorId="5100BD3F" wp14:editId="2469076F">
            <wp:extent cx="5762445" cy="5270740"/>
            <wp:effectExtent l="0" t="0" r="0" b="63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87CB9" w:rsidRDefault="00687CB9" w:rsidP="0077399B">
      <w:pPr>
        <w:spacing w:after="0" w:line="240" w:lineRule="auto"/>
        <w:jc w:val="center"/>
        <w:rPr>
          <w:sz w:val="26"/>
          <w:szCs w:val="26"/>
        </w:rPr>
      </w:pPr>
    </w:p>
    <w:p w:rsidR="00687CB9" w:rsidRDefault="00FB7700" w:rsidP="0077399B">
      <w:pPr>
        <w:spacing w:after="0" w:line="240" w:lineRule="auto"/>
        <w:ind w:firstLine="567"/>
        <w:jc w:val="both"/>
        <w:rPr>
          <w:sz w:val="26"/>
          <w:szCs w:val="26"/>
        </w:rPr>
      </w:pPr>
      <w:r w:rsidRPr="00CD7B6E">
        <w:rPr>
          <w:sz w:val="26"/>
          <w:szCs w:val="26"/>
        </w:rPr>
        <w:t>Taču jāatzīmē, ka, ņemot vērā brīvo darbaspēka kustību ES, emigrācijas plūsmas nav iespējams uztvert precīzi. Ne tikai Latvija, bet arī citas ES dalībvalstis saskaras ar problēmām precīzi noteikt iedzīvotāju skaitu, kas izbraukuši no valsts darba meklējumu nolūkā.</w:t>
      </w:r>
    </w:p>
    <w:p w:rsidR="00687CB9" w:rsidRDefault="00FB7700" w:rsidP="0077399B">
      <w:pPr>
        <w:spacing w:after="0" w:line="240" w:lineRule="auto"/>
        <w:ind w:firstLine="567"/>
        <w:jc w:val="both"/>
        <w:rPr>
          <w:sz w:val="26"/>
          <w:szCs w:val="26"/>
        </w:rPr>
      </w:pPr>
      <w:r w:rsidRPr="00CD7B6E">
        <w:rPr>
          <w:sz w:val="26"/>
          <w:szCs w:val="26"/>
        </w:rPr>
        <w:t>Latvijas darbaspēka resursus papildina arī valstī strādājošie viesstrādnieki. Šobrīd viņi veido nelielu daļu no darbaspēka piedāvājuma, 201</w:t>
      </w:r>
      <w:r>
        <w:rPr>
          <w:sz w:val="26"/>
          <w:szCs w:val="26"/>
        </w:rPr>
        <w:t>2</w:t>
      </w:r>
      <w:r w:rsidRPr="00CD7B6E">
        <w:rPr>
          <w:sz w:val="26"/>
          <w:szCs w:val="26"/>
        </w:rPr>
        <w:t>.gadā ārzemniekiem tika izsniegtas 2,</w:t>
      </w:r>
      <w:r>
        <w:rPr>
          <w:sz w:val="26"/>
          <w:szCs w:val="26"/>
        </w:rPr>
        <w:t>7</w:t>
      </w:r>
      <w:r w:rsidRPr="00CD7B6E">
        <w:rPr>
          <w:sz w:val="26"/>
          <w:szCs w:val="26"/>
        </w:rPr>
        <w:t xml:space="preserve"> </w:t>
      </w:r>
      <w:proofErr w:type="spellStart"/>
      <w:r w:rsidRPr="00CD7B6E">
        <w:rPr>
          <w:sz w:val="26"/>
          <w:szCs w:val="26"/>
        </w:rPr>
        <w:t>tūkst</w:t>
      </w:r>
      <w:proofErr w:type="spellEnd"/>
      <w:r w:rsidRPr="00CD7B6E">
        <w:rPr>
          <w:sz w:val="26"/>
          <w:szCs w:val="26"/>
        </w:rPr>
        <w:t>. darba atļaujas.</w:t>
      </w:r>
    </w:p>
    <w:p w:rsidR="00687CB9" w:rsidRDefault="00687CB9" w:rsidP="0077399B">
      <w:pPr>
        <w:spacing w:after="0" w:line="240" w:lineRule="auto"/>
        <w:jc w:val="both"/>
        <w:rPr>
          <w:sz w:val="26"/>
          <w:szCs w:val="26"/>
        </w:rPr>
      </w:pPr>
    </w:p>
    <w:p w:rsidR="00687CB9" w:rsidRDefault="00FB7700" w:rsidP="0077399B">
      <w:pPr>
        <w:spacing w:after="0" w:line="240" w:lineRule="auto"/>
        <w:rPr>
          <w:rFonts w:eastAsia="Arial Unicode MS"/>
          <w:b/>
          <w:iCs/>
          <w:sz w:val="26"/>
          <w:szCs w:val="26"/>
        </w:rPr>
      </w:pPr>
      <w:r w:rsidRPr="00CD7B6E">
        <w:rPr>
          <w:rFonts w:eastAsia="Arial Unicode MS"/>
          <w:b/>
          <w:iCs/>
          <w:sz w:val="26"/>
          <w:szCs w:val="26"/>
        </w:rPr>
        <w:t>Iedzīvotāju ekonomiskā aktivitāte</w:t>
      </w:r>
    </w:p>
    <w:p w:rsidR="00D90219" w:rsidRPr="00D90219" w:rsidRDefault="00D90219" w:rsidP="0077399B">
      <w:pPr>
        <w:spacing w:after="0" w:line="240" w:lineRule="auto"/>
        <w:ind w:firstLine="567"/>
        <w:jc w:val="both"/>
        <w:rPr>
          <w:sz w:val="8"/>
          <w:szCs w:val="26"/>
        </w:rPr>
      </w:pPr>
    </w:p>
    <w:p w:rsidR="00687CB9" w:rsidRDefault="00FB7700" w:rsidP="0077399B">
      <w:pPr>
        <w:spacing w:after="0" w:line="240" w:lineRule="auto"/>
        <w:ind w:firstLine="567"/>
        <w:jc w:val="both"/>
        <w:rPr>
          <w:sz w:val="26"/>
          <w:szCs w:val="26"/>
        </w:rPr>
      </w:pPr>
      <w:r w:rsidRPr="00CD7B6E">
        <w:rPr>
          <w:sz w:val="26"/>
          <w:szCs w:val="26"/>
        </w:rPr>
        <w:t>201</w:t>
      </w:r>
      <w:r>
        <w:rPr>
          <w:sz w:val="26"/>
          <w:szCs w:val="26"/>
        </w:rPr>
        <w:t>2</w:t>
      </w:r>
      <w:r w:rsidRPr="00CD7B6E">
        <w:rPr>
          <w:sz w:val="26"/>
          <w:szCs w:val="26"/>
        </w:rPr>
        <w:t>.gadā ekonomiskās aktiv</w:t>
      </w:r>
      <w:r>
        <w:rPr>
          <w:sz w:val="26"/>
          <w:szCs w:val="26"/>
        </w:rPr>
        <w:t>itātes līmenis (15-74 gadi) nedaudz palielinājās, sasniedzot</w:t>
      </w:r>
      <w:r w:rsidRPr="00CD7B6E">
        <w:rPr>
          <w:sz w:val="26"/>
          <w:szCs w:val="26"/>
        </w:rPr>
        <w:t xml:space="preserve"> 6</w:t>
      </w:r>
      <w:r>
        <w:rPr>
          <w:sz w:val="26"/>
          <w:szCs w:val="26"/>
        </w:rPr>
        <w:t>6,1% līmeni</w:t>
      </w:r>
      <w:r w:rsidR="008F2AA8">
        <w:rPr>
          <w:sz w:val="26"/>
          <w:szCs w:val="26"/>
        </w:rPr>
        <w:t>.</w:t>
      </w:r>
    </w:p>
    <w:p w:rsidR="00070EBB" w:rsidRDefault="00070EBB">
      <w:pPr>
        <w:spacing w:after="0" w:line="240" w:lineRule="auto"/>
        <w:rPr>
          <w:sz w:val="26"/>
          <w:szCs w:val="26"/>
        </w:rPr>
      </w:pPr>
      <w:r>
        <w:rPr>
          <w:sz w:val="26"/>
          <w:szCs w:val="26"/>
        </w:rPr>
        <w:br w:type="page"/>
      </w:r>
    </w:p>
    <w:p w:rsidR="00687CB9" w:rsidRDefault="00FB7700" w:rsidP="0077399B">
      <w:pPr>
        <w:spacing w:after="0" w:line="240" w:lineRule="auto"/>
        <w:ind w:firstLine="709"/>
        <w:jc w:val="right"/>
        <w:rPr>
          <w:sz w:val="26"/>
          <w:szCs w:val="26"/>
        </w:rPr>
      </w:pPr>
      <w:r w:rsidRPr="00CD7B6E">
        <w:rPr>
          <w:sz w:val="26"/>
          <w:szCs w:val="26"/>
        </w:rPr>
        <w:lastRenderedPageBreak/>
        <w:t>2.</w:t>
      </w:r>
      <w:r w:rsidR="00895051">
        <w:rPr>
          <w:sz w:val="26"/>
          <w:szCs w:val="26"/>
        </w:rPr>
        <w:t>3</w:t>
      </w:r>
      <w:r w:rsidRPr="00CD7B6E">
        <w:rPr>
          <w:sz w:val="26"/>
          <w:szCs w:val="26"/>
        </w:rPr>
        <w:t>. attēls</w:t>
      </w:r>
    </w:p>
    <w:p w:rsidR="00687CB9" w:rsidRDefault="00FB7700" w:rsidP="0077399B">
      <w:pPr>
        <w:spacing w:after="0" w:line="240" w:lineRule="auto"/>
        <w:jc w:val="center"/>
        <w:rPr>
          <w:b/>
          <w:sz w:val="26"/>
          <w:szCs w:val="26"/>
        </w:rPr>
      </w:pPr>
      <w:r>
        <w:rPr>
          <w:b/>
          <w:bCs/>
          <w:sz w:val="26"/>
          <w:szCs w:val="26"/>
        </w:rPr>
        <w:t>Situācija darba tirgū</w:t>
      </w:r>
      <w:r w:rsidRPr="00CD7B6E">
        <w:rPr>
          <w:b/>
          <w:bCs/>
          <w:sz w:val="26"/>
          <w:szCs w:val="26"/>
        </w:rPr>
        <w:t xml:space="preserve"> </w:t>
      </w:r>
      <w:r w:rsidRPr="00CD7B6E">
        <w:rPr>
          <w:b/>
          <w:sz w:val="26"/>
          <w:szCs w:val="26"/>
        </w:rPr>
        <w:t>201</w:t>
      </w:r>
      <w:r>
        <w:rPr>
          <w:b/>
          <w:sz w:val="26"/>
          <w:szCs w:val="26"/>
        </w:rPr>
        <w:t>2</w:t>
      </w:r>
      <w:r w:rsidRPr="00CD7B6E">
        <w:rPr>
          <w:b/>
          <w:sz w:val="26"/>
          <w:szCs w:val="26"/>
        </w:rPr>
        <w:t>.gadā</w:t>
      </w:r>
    </w:p>
    <w:p w:rsidR="00687CB9" w:rsidRDefault="00FB7700" w:rsidP="0077399B">
      <w:pPr>
        <w:spacing w:after="0" w:line="240" w:lineRule="auto"/>
        <w:jc w:val="center"/>
      </w:pPr>
      <w:r w:rsidRPr="00CD7B6E">
        <w:t>(</w:t>
      </w:r>
      <w:proofErr w:type="spellStart"/>
      <w:r w:rsidRPr="00CD7B6E">
        <w:t>tūkst</w:t>
      </w:r>
      <w:proofErr w:type="spellEnd"/>
      <w:r w:rsidRPr="00CD7B6E">
        <w:t>.)</w:t>
      </w:r>
    </w:p>
    <w:p w:rsidR="003559F3" w:rsidRPr="00CD7B6E" w:rsidRDefault="003559F3" w:rsidP="0077399B">
      <w:pPr>
        <w:spacing w:after="0" w:line="240" w:lineRule="auto"/>
        <w:jc w:val="center"/>
        <w:rPr>
          <w:sz w:val="24"/>
          <w:szCs w:val="28"/>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2633"/>
        <w:gridCol w:w="373"/>
        <w:gridCol w:w="726"/>
        <w:gridCol w:w="1998"/>
        <w:gridCol w:w="332"/>
        <w:gridCol w:w="1843"/>
        <w:gridCol w:w="1316"/>
        <w:gridCol w:w="101"/>
      </w:tblGrid>
      <w:tr w:rsidR="00FB7700" w:rsidRPr="00C6066A" w:rsidTr="00B05745">
        <w:trPr>
          <w:gridAfter w:val="1"/>
          <w:wAfter w:w="101" w:type="dxa"/>
        </w:trPr>
        <w:tc>
          <w:tcPr>
            <w:tcW w:w="9221" w:type="dxa"/>
            <w:gridSpan w:val="7"/>
            <w:tcBorders>
              <w:bottom w:val="nil"/>
            </w:tcBorders>
          </w:tcPr>
          <w:p w:rsidR="00687CB9" w:rsidRPr="00B05745" w:rsidRDefault="00FB7700" w:rsidP="0077399B">
            <w:pPr>
              <w:spacing w:after="0" w:line="240" w:lineRule="auto"/>
              <w:jc w:val="center"/>
              <w:rPr>
                <w:b/>
                <w:sz w:val="20"/>
                <w:szCs w:val="26"/>
              </w:rPr>
            </w:pPr>
            <w:r w:rsidRPr="00B05745">
              <w:rPr>
                <w:b/>
                <w:sz w:val="20"/>
                <w:szCs w:val="26"/>
              </w:rPr>
              <w:t>Iedzīvotāju skaits darbaspējas vecumā (15-74 gadi)</w:t>
            </w:r>
            <w:r w:rsidRPr="00C6066A">
              <w:rPr>
                <w:sz w:val="20"/>
                <w:szCs w:val="26"/>
              </w:rPr>
              <w:br/>
            </w:r>
            <w:r w:rsidRPr="00B05745">
              <w:rPr>
                <w:b/>
                <w:sz w:val="20"/>
                <w:szCs w:val="26"/>
              </w:rPr>
              <w:t xml:space="preserve">1574 </w:t>
            </w:r>
            <w:proofErr w:type="spellStart"/>
            <w:r w:rsidRPr="00B05745">
              <w:rPr>
                <w:b/>
                <w:sz w:val="20"/>
                <w:szCs w:val="26"/>
              </w:rPr>
              <w:t>tūkst</w:t>
            </w:r>
            <w:proofErr w:type="spellEnd"/>
            <w:r w:rsidR="00B05745">
              <w:rPr>
                <w:b/>
                <w:sz w:val="20"/>
                <w:szCs w:val="26"/>
              </w:rPr>
              <w:t>.</w:t>
            </w:r>
          </w:p>
          <w:p w:rsidR="00FB7700" w:rsidRPr="00C6066A" w:rsidRDefault="00B05745" w:rsidP="00B05745">
            <w:pPr>
              <w:spacing w:after="0" w:line="240" w:lineRule="auto"/>
              <w:ind w:left="113"/>
              <w:rPr>
                <w:sz w:val="20"/>
                <w:szCs w:val="26"/>
              </w:rPr>
            </w:pPr>
            <w:r>
              <w:rPr>
                <w:noProof/>
                <w:sz w:val="20"/>
                <w:szCs w:val="26"/>
                <w:lang w:eastAsia="lv-LV"/>
              </w:rPr>
              <mc:AlternateContent>
                <mc:Choice Requires="wps">
                  <w:drawing>
                    <wp:inline distT="0" distB="0" distL="0" distR="0" wp14:anchorId="0DDE717B" wp14:editId="29B43F1F">
                      <wp:extent cx="286068" cy="5464493"/>
                      <wp:effectExtent l="1587" t="0" r="20638" b="20637"/>
                      <wp:docPr id="32" name="Left Brace 32"/>
                      <wp:cNvGraphicFramePr/>
                      <a:graphic xmlns:a="http://schemas.openxmlformats.org/drawingml/2006/main">
                        <a:graphicData uri="http://schemas.microsoft.com/office/word/2010/wordprocessingShape">
                          <wps:wsp>
                            <wps:cNvSpPr/>
                            <wps:spPr>
                              <a:xfrm rot="5400000">
                                <a:off x="0" y="0"/>
                                <a:ext cx="286068" cy="5464493"/>
                              </a:xfrm>
                              <a:prstGeom prst="leftBrace">
                                <a:avLst>
                                  <a:gd name="adj1" fmla="val 4884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6" type="#_x0000_t87" style="width:22.55pt;height:430.3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" adj="552" strokecolor="black [3213]">
                      <w10:anchorlock/>
                    </v:shape>
                  </w:pict>
                </mc:Fallback>
              </mc:AlternateContent>
            </w:r>
          </w:p>
        </w:tc>
      </w:tr>
      <w:tr w:rsidR="00B05745" w:rsidRPr="00C6066A" w:rsidTr="00B05745">
        <w:trPr>
          <w:gridAfter w:val="1"/>
          <w:wAfter w:w="101" w:type="dxa"/>
        </w:trPr>
        <w:tc>
          <w:tcPr>
            <w:tcW w:w="9221" w:type="dxa"/>
            <w:gridSpan w:val="7"/>
            <w:tcBorders>
              <w:top w:val="nil"/>
              <w:left w:val="nil"/>
              <w:bottom w:val="nil"/>
              <w:right w:val="nil"/>
            </w:tcBorders>
            <w:vAlign w:val="center"/>
          </w:tcPr>
          <w:p w:rsidR="00B05745" w:rsidRDefault="00B05745" w:rsidP="0077399B">
            <w:pPr>
              <w:spacing w:after="0" w:line="240" w:lineRule="auto"/>
              <w:ind w:right="851"/>
              <w:jc w:val="center"/>
              <w:rPr>
                <w:sz w:val="20"/>
                <w:szCs w:val="26"/>
              </w:rPr>
            </w:pPr>
          </w:p>
        </w:tc>
      </w:tr>
      <w:tr w:rsidR="001306EC" w:rsidRPr="00C6066A" w:rsidTr="00B05745">
        <w:tc>
          <w:tcPr>
            <w:tcW w:w="3732" w:type="dxa"/>
            <w:gridSpan w:val="3"/>
            <w:tcBorders>
              <w:top w:val="nil"/>
              <w:left w:val="nil"/>
              <w:bottom w:val="nil"/>
              <w:right w:val="nil"/>
            </w:tcBorders>
            <w:vAlign w:val="center"/>
          </w:tcPr>
          <w:p w:rsidR="00FB7700" w:rsidRPr="00B05745" w:rsidRDefault="00FB7700" w:rsidP="00B05745">
            <w:pPr>
              <w:spacing w:after="0" w:line="240" w:lineRule="auto"/>
              <w:ind w:left="1560"/>
              <w:jc w:val="center"/>
              <w:rPr>
                <w:b/>
                <w:sz w:val="20"/>
                <w:szCs w:val="26"/>
              </w:rPr>
            </w:pPr>
            <w:r w:rsidRPr="00B05745">
              <w:rPr>
                <w:b/>
                <w:sz w:val="20"/>
                <w:szCs w:val="26"/>
              </w:rPr>
              <w:t>Nodarbinātie</w:t>
            </w:r>
            <w:r w:rsidRPr="00B05745">
              <w:rPr>
                <w:b/>
                <w:sz w:val="20"/>
                <w:szCs w:val="26"/>
              </w:rPr>
              <w:br/>
              <w:t xml:space="preserve">886 </w:t>
            </w:r>
            <w:proofErr w:type="spellStart"/>
            <w:r w:rsidRPr="00B05745">
              <w:rPr>
                <w:b/>
                <w:sz w:val="20"/>
                <w:szCs w:val="26"/>
              </w:rPr>
              <w:t>tūkst</w:t>
            </w:r>
            <w:proofErr w:type="spellEnd"/>
            <w:r w:rsidRPr="00B05745">
              <w:rPr>
                <w:b/>
                <w:sz w:val="20"/>
                <w:szCs w:val="26"/>
              </w:rPr>
              <w:t>.</w:t>
            </w:r>
          </w:p>
        </w:tc>
        <w:tc>
          <w:tcPr>
            <w:tcW w:w="2330" w:type="dxa"/>
            <w:gridSpan w:val="2"/>
            <w:tcBorders>
              <w:top w:val="nil"/>
              <w:left w:val="nil"/>
              <w:bottom w:val="nil"/>
              <w:right w:val="nil"/>
            </w:tcBorders>
          </w:tcPr>
          <w:p w:rsidR="00FB7700" w:rsidRPr="00B05745" w:rsidRDefault="00FB7700" w:rsidP="00B05745">
            <w:pPr>
              <w:spacing w:after="0" w:line="240" w:lineRule="auto"/>
              <w:ind w:left="946" w:right="-108"/>
              <w:jc w:val="center"/>
              <w:rPr>
                <w:b/>
                <w:sz w:val="20"/>
                <w:szCs w:val="26"/>
              </w:rPr>
            </w:pPr>
            <w:r w:rsidRPr="00B05745">
              <w:rPr>
                <w:b/>
                <w:sz w:val="20"/>
                <w:szCs w:val="26"/>
              </w:rPr>
              <w:t>Bezdarbnieki</w:t>
            </w:r>
            <w:r w:rsidRPr="00B05745">
              <w:rPr>
                <w:b/>
                <w:sz w:val="20"/>
                <w:szCs w:val="26"/>
              </w:rPr>
              <w:br/>
              <w:t xml:space="preserve">156 </w:t>
            </w:r>
            <w:proofErr w:type="spellStart"/>
            <w:r w:rsidRPr="00B05745">
              <w:rPr>
                <w:b/>
                <w:sz w:val="20"/>
                <w:szCs w:val="26"/>
              </w:rPr>
              <w:t>tūkst</w:t>
            </w:r>
            <w:proofErr w:type="spellEnd"/>
            <w:r w:rsidRPr="00B05745">
              <w:rPr>
                <w:b/>
                <w:sz w:val="20"/>
                <w:szCs w:val="26"/>
              </w:rPr>
              <w:t>.</w:t>
            </w:r>
          </w:p>
        </w:tc>
        <w:tc>
          <w:tcPr>
            <w:tcW w:w="3260" w:type="dxa"/>
            <w:gridSpan w:val="3"/>
            <w:tcBorders>
              <w:top w:val="nil"/>
              <w:left w:val="nil"/>
              <w:bottom w:val="nil"/>
              <w:right w:val="nil"/>
            </w:tcBorders>
          </w:tcPr>
          <w:p w:rsidR="00FB7700" w:rsidRPr="00B05745" w:rsidRDefault="00FB7700" w:rsidP="00B05745">
            <w:pPr>
              <w:spacing w:after="0" w:line="240" w:lineRule="auto"/>
              <w:ind w:left="34" w:right="601"/>
              <w:jc w:val="center"/>
              <w:rPr>
                <w:b/>
                <w:sz w:val="20"/>
                <w:szCs w:val="26"/>
              </w:rPr>
            </w:pPr>
            <w:r w:rsidRPr="00B05745">
              <w:rPr>
                <w:b/>
                <w:sz w:val="20"/>
                <w:szCs w:val="26"/>
              </w:rPr>
              <w:t>Ekonomiski neaktīvie</w:t>
            </w:r>
            <w:r w:rsidRPr="00B05745">
              <w:rPr>
                <w:b/>
                <w:sz w:val="20"/>
                <w:szCs w:val="26"/>
              </w:rPr>
              <w:br/>
              <w:t xml:space="preserve">533 </w:t>
            </w:r>
            <w:proofErr w:type="spellStart"/>
            <w:r w:rsidRPr="00B05745">
              <w:rPr>
                <w:b/>
                <w:sz w:val="20"/>
                <w:szCs w:val="26"/>
              </w:rPr>
              <w:t>tūkst</w:t>
            </w:r>
            <w:proofErr w:type="spellEnd"/>
            <w:r w:rsidRPr="00B05745">
              <w:rPr>
                <w:b/>
                <w:sz w:val="20"/>
                <w:szCs w:val="26"/>
              </w:rPr>
              <w:t>.</w:t>
            </w:r>
          </w:p>
        </w:tc>
      </w:tr>
      <w:tr w:rsidR="00F7604D" w:rsidRPr="00C6066A" w:rsidTr="00B05745">
        <w:trPr>
          <w:gridAfter w:val="1"/>
          <w:wAfter w:w="101" w:type="dxa"/>
        </w:trPr>
        <w:tc>
          <w:tcPr>
            <w:tcW w:w="9221" w:type="dxa"/>
            <w:gridSpan w:val="7"/>
            <w:tcBorders>
              <w:top w:val="nil"/>
            </w:tcBorders>
            <w:vAlign w:val="center"/>
          </w:tcPr>
          <w:p w:rsidR="00F7604D" w:rsidRDefault="00F7604D" w:rsidP="0077399B">
            <w:pPr>
              <w:spacing w:after="0" w:line="240" w:lineRule="auto"/>
              <w:ind w:left="113" w:right="-57"/>
              <w:rPr>
                <w:sz w:val="20"/>
                <w:szCs w:val="26"/>
              </w:rPr>
            </w:pPr>
            <w:r>
              <w:rPr>
                <w:noProof/>
                <w:sz w:val="20"/>
                <w:szCs w:val="26"/>
                <w:lang w:eastAsia="lv-LV"/>
              </w:rPr>
              <mc:AlternateContent>
                <mc:Choice Requires="wps">
                  <w:drawing>
                    <wp:inline distT="0" distB="0" distL="0" distR="0" wp14:anchorId="023A64E3" wp14:editId="153D0533">
                      <wp:extent cx="286068" cy="3087655"/>
                      <wp:effectExtent l="8890" t="0" r="27940" b="27940"/>
                      <wp:docPr id="85" name="Left Brace 85"/>
                      <wp:cNvGraphicFramePr/>
                      <a:graphic xmlns:a="http://schemas.openxmlformats.org/drawingml/2006/main">
                        <a:graphicData uri="http://schemas.microsoft.com/office/word/2010/wordprocessingShape">
                          <wps:wsp>
                            <wps:cNvSpPr/>
                            <wps:spPr>
                              <a:xfrm rot="5400000">
                                <a:off x="0" y="0"/>
                                <a:ext cx="286068" cy="3087655"/>
                              </a:xfrm>
                              <a:prstGeom prst="leftBrace">
                                <a:avLst>
                                  <a:gd name="adj1" fmla="val 4884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5" o:spid="_x0000_s1026" type="#_x0000_t87" style="width:22.55pt;height:243.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" adj="977" strokecolor="black [3213]">
                      <w10:anchorlock/>
                    </v:shape>
                  </w:pict>
                </mc:Fallback>
              </mc:AlternateContent>
            </w:r>
            <w:r>
              <w:rPr>
                <w:noProof/>
                <w:sz w:val="20"/>
                <w:szCs w:val="26"/>
                <w:lang w:eastAsia="lv-LV"/>
              </w:rPr>
              <mc:AlternateContent>
                <mc:Choice Requires="wps">
                  <w:drawing>
                    <wp:inline distT="0" distB="0" distL="0" distR="0" wp14:anchorId="60FD39DD" wp14:editId="6DA1B6F0">
                      <wp:extent cx="286068" cy="493394"/>
                      <wp:effectExtent l="0" t="8255" r="10795" b="10795"/>
                      <wp:docPr id="88" name="Left Brace 88"/>
                      <wp:cNvGraphicFramePr/>
                      <a:graphic xmlns:a="http://schemas.openxmlformats.org/drawingml/2006/main">
                        <a:graphicData uri="http://schemas.microsoft.com/office/word/2010/wordprocessingShape">
                          <wps:wsp>
                            <wps:cNvSpPr/>
                            <wps:spPr>
                              <a:xfrm rot="5400000">
                                <a:off x="0" y="0"/>
                                <a:ext cx="286068" cy="493394"/>
                              </a:xfrm>
                              <a:prstGeom prst="leftBrace">
                                <a:avLst>
                                  <a:gd name="adj1" fmla="val 4884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 Brace 88" o:spid="_x0000_s1026" type="#_x0000_t87" style="width:22.55pt;height:38.8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" adj="6117" strokecolor="black [3213]">
                      <w10:anchorlock/>
                    </v:shape>
                  </w:pict>
                </mc:Fallback>
              </mc:AlternateContent>
            </w:r>
            <w:r>
              <w:rPr>
                <w:noProof/>
                <w:sz w:val="20"/>
                <w:szCs w:val="26"/>
                <w:lang w:eastAsia="lv-LV"/>
              </w:rPr>
              <mc:AlternateContent>
                <mc:Choice Requires="wps">
                  <w:drawing>
                    <wp:inline distT="0" distB="0" distL="0" distR="0" wp14:anchorId="6FF4055A" wp14:editId="7F7E4ABF">
                      <wp:extent cx="286068" cy="1861185"/>
                      <wp:effectExtent l="0" t="6668" r="12383" b="12382"/>
                      <wp:docPr id="89" name="Left Brace 89"/>
                      <wp:cNvGraphicFramePr/>
                      <a:graphic xmlns:a="http://schemas.openxmlformats.org/drawingml/2006/main">
                        <a:graphicData uri="http://schemas.microsoft.com/office/word/2010/wordprocessingShape">
                          <wps:wsp>
                            <wps:cNvSpPr/>
                            <wps:spPr>
                              <a:xfrm rot="5400000">
                                <a:off x="0" y="0"/>
                                <a:ext cx="286068" cy="1861185"/>
                              </a:xfrm>
                              <a:prstGeom prst="leftBrace">
                                <a:avLst>
                                  <a:gd name="adj1" fmla="val 4884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 Brace 89" o:spid="_x0000_s1026" type="#_x0000_t87" style="width:22.55pt;height:146.5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" adj="1622" strokecolor="black [3213]">
                      <w10:anchorlock/>
                    </v:shape>
                  </w:pict>
                </mc:Fallback>
              </mc:AlternateContent>
            </w:r>
          </w:p>
        </w:tc>
      </w:tr>
      <w:tr w:rsidR="00FB7700" w:rsidRPr="00C6066A" w:rsidTr="00B05745">
        <w:trPr>
          <w:gridAfter w:val="1"/>
          <w:wAfter w:w="101" w:type="dxa"/>
        </w:trPr>
        <w:tc>
          <w:tcPr>
            <w:tcW w:w="9221" w:type="dxa"/>
            <w:gridSpan w:val="7"/>
            <w:tcBorders>
              <w:bottom w:val="nil"/>
            </w:tcBorders>
          </w:tcPr>
          <w:p w:rsidR="00FB7700" w:rsidRPr="00C6066A" w:rsidRDefault="00FB7700" w:rsidP="0077399B">
            <w:pPr>
              <w:spacing w:after="0" w:line="240" w:lineRule="auto"/>
              <w:jc w:val="right"/>
              <w:rPr>
                <w:sz w:val="20"/>
                <w:szCs w:val="26"/>
              </w:rPr>
            </w:pPr>
            <w:r w:rsidRPr="00C6066A">
              <w:rPr>
                <w:noProof/>
                <w:sz w:val="20"/>
                <w:szCs w:val="26"/>
                <w:lang w:eastAsia="lv-LV"/>
              </w:rPr>
              <w:drawing>
                <wp:inline distT="0" distB="0" distL="0" distR="0" wp14:anchorId="2B0687BC" wp14:editId="34920500">
                  <wp:extent cx="5688280" cy="629392"/>
                  <wp:effectExtent l="0" t="0" r="8255"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B05745" w:rsidRPr="00C6066A" w:rsidTr="00B05745">
        <w:trPr>
          <w:gridAfter w:val="1"/>
          <w:wAfter w:w="101" w:type="dxa"/>
        </w:trPr>
        <w:tc>
          <w:tcPr>
            <w:tcW w:w="2633" w:type="dxa"/>
            <w:tcBorders>
              <w:top w:val="nil"/>
              <w:left w:val="nil"/>
              <w:bottom w:val="nil"/>
              <w:right w:val="nil"/>
            </w:tcBorders>
            <w:vAlign w:val="center"/>
          </w:tcPr>
          <w:p w:rsidR="00B05745" w:rsidRPr="00C6066A" w:rsidRDefault="00B05745" w:rsidP="0077399B">
            <w:pPr>
              <w:spacing w:after="0" w:line="240" w:lineRule="auto"/>
              <w:ind w:left="1418"/>
              <w:jc w:val="center"/>
              <w:rPr>
                <w:sz w:val="20"/>
                <w:szCs w:val="26"/>
              </w:rPr>
            </w:pPr>
          </w:p>
        </w:tc>
        <w:tc>
          <w:tcPr>
            <w:tcW w:w="373" w:type="dxa"/>
            <w:tcBorders>
              <w:top w:val="nil"/>
              <w:left w:val="nil"/>
              <w:bottom w:val="nil"/>
              <w:right w:val="nil"/>
            </w:tcBorders>
            <w:vAlign w:val="bottom"/>
          </w:tcPr>
          <w:p w:rsidR="00B05745" w:rsidRPr="00C6066A" w:rsidRDefault="00B05745" w:rsidP="0077399B">
            <w:pPr>
              <w:spacing w:after="0" w:line="240" w:lineRule="auto"/>
              <w:rPr>
                <w:sz w:val="20"/>
                <w:szCs w:val="26"/>
              </w:rPr>
            </w:pPr>
          </w:p>
        </w:tc>
        <w:tc>
          <w:tcPr>
            <w:tcW w:w="2724" w:type="dxa"/>
            <w:gridSpan w:val="2"/>
            <w:tcBorders>
              <w:top w:val="nil"/>
              <w:left w:val="nil"/>
              <w:bottom w:val="nil"/>
              <w:right w:val="nil"/>
            </w:tcBorders>
          </w:tcPr>
          <w:p w:rsidR="00B05745" w:rsidRPr="00026AE9" w:rsidRDefault="00B05745" w:rsidP="0077399B">
            <w:pPr>
              <w:spacing w:after="0" w:line="240" w:lineRule="auto"/>
              <w:jc w:val="both"/>
              <w:rPr>
                <w:b/>
                <w:sz w:val="20"/>
                <w:szCs w:val="26"/>
              </w:rPr>
            </w:pPr>
          </w:p>
        </w:tc>
        <w:tc>
          <w:tcPr>
            <w:tcW w:w="3491" w:type="dxa"/>
            <w:gridSpan w:val="3"/>
            <w:tcBorders>
              <w:top w:val="nil"/>
              <w:left w:val="nil"/>
              <w:bottom w:val="nil"/>
              <w:right w:val="nil"/>
            </w:tcBorders>
          </w:tcPr>
          <w:p w:rsidR="00B05745" w:rsidRPr="00026AE9" w:rsidRDefault="00B05745" w:rsidP="00B05745">
            <w:pPr>
              <w:spacing w:after="0" w:line="240" w:lineRule="auto"/>
              <w:ind w:firstLine="65"/>
              <w:rPr>
                <w:b/>
                <w:sz w:val="20"/>
                <w:szCs w:val="26"/>
              </w:rPr>
            </w:pPr>
            <w:r>
              <w:rPr>
                <w:noProof/>
                <w:sz w:val="20"/>
                <w:szCs w:val="26"/>
                <w:lang w:eastAsia="lv-LV"/>
              </w:rPr>
              <mc:AlternateContent>
                <mc:Choice Requires="wps">
                  <w:drawing>
                    <wp:inline distT="0" distB="0" distL="0" distR="0" wp14:anchorId="60D69256" wp14:editId="22B8D612">
                      <wp:extent cx="286068" cy="1861185"/>
                      <wp:effectExtent l="0" t="6668" r="12383" b="12382"/>
                      <wp:docPr id="55" name="Left Brace 55"/>
                      <wp:cNvGraphicFramePr/>
                      <a:graphic xmlns:a="http://schemas.openxmlformats.org/drawingml/2006/main">
                        <a:graphicData uri="http://schemas.microsoft.com/office/word/2010/wordprocessingShape">
                          <wps:wsp>
                            <wps:cNvSpPr/>
                            <wps:spPr>
                              <a:xfrm rot="16200000">
                                <a:off x="0" y="0"/>
                                <a:ext cx="286068" cy="1861185"/>
                              </a:xfrm>
                              <a:prstGeom prst="leftBrace">
                                <a:avLst>
                                  <a:gd name="adj1" fmla="val 4884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 Brace 55" o:spid="_x0000_s1026" type="#_x0000_t87" style="width:22.55pt;height:146.5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" adj="1622" strokecolor="black [3213]">
                      <w10:anchorlock/>
                    </v:shape>
                  </w:pict>
                </mc:Fallback>
              </mc:AlternateContent>
            </w:r>
          </w:p>
        </w:tc>
      </w:tr>
      <w:tr w:rsidR="0056462F" w:rsidRPr="00C6066A" w:rsidTr="00B05745">
        <w:trPr>
          <w:gridAfter w:val="1"/>
          <w:wAfter w:w="101" w:type="dxa"/>
        </w:trPr>
        <w:tc>
          <w:tcPr>
            <w:tcW w:w="2633" w:type="dxa"/>
            <w:vMerge w:val="restart"/>
            <w:tcBorders>
              <w:top w:val="nil"/>
              <w:left w:val="nil"/>
              <w:bottom w:val="nil"/>
              <w:right w:val="nil"/>
            </w:tcBorders>
            <w:vAlign w:val="center"/>
          </w:tcPr>
          <w:p w:rsidR="00FB7700" w:rsidRPr="00C6066A" w:rsidRDefault="00FB7700" w:rsidP="0077399B">
            <w:pPr>
              <w:spacing w:after="0" w:line="240" w:lineRule="auto"/>
              <w:ind w:left="1418"/>
              <w:jc w:val="center"/>
              <w:rPr>
                <w:sz w:val="20"/>
                <w:szCs w:val="26"/>
              </w:rPr>
            </w:pPr>
          </w:p>
        </w:tc>
        <w:tc>
          <w:tcPr>
            <w:tcW w:w="373" w:type="dxa"/>
            <w:vMerge w:val="restart"/>
            <w:tcBorders>
              <w:top w:val="nil"/>
              <w:left w:val="nil"/>
              <w:bottom w:val="nil"/>
              <w:right w:val="nil"/>
            </w:tcBorders>
            <w:vAlign w:val="bottom"/>
          </w:tcPr>
          <w:p w:rsidR="00FB7700" w:rsidRPr="00C6066A" w:rsidRDefault="00FB7700" w:rsidP="0077399B">
            <w:pPr>
              <w:spacing w:after="0" w:line="240" w:lineRule="auto"/>
              <w:rPr>
                <w:sz w:val="20"/>
                <w:szCs w:val="26"/>
              </w:rPr>
            </w:pPr>
          </w:p>
        </w:tc>
        <w:tc>
          <w:tcPr>
            <w:tcW w:w="4899" w:type="dxa"/>
            <w:gridSpan w:val="4"/>
            <w:tcBorders>
              <w:top w:val="nil"/>
              <w:left w:val="nil"/>
              <w:bottom w:val="nil"/>
              <w:right w:val="nil"/>
            </w:tcBorders>
          </w:tcPr>
          <w:p w:rsidR="001C2D82" w:rsidRPr="00B05745" w:rsidRDefault="001C2D82" w:rsidP="00B05745">
            <w:pPr>
              <w:spacing w:after="0" w:line="240" w:lineRule="auto"/>
              <w:ind w:left="963" w:hanging="255"/>
              <w:jc w:val="both"/>
              <w:rPr>
                <w:b/>
                <w:sz w:val="8"/>
                <w:szCs w:val="26"/>
              </w:rPr>
            </w:pPr>
          </w:p>
          <w:p w:rsidR="00687CB9" w:rsidRPr="00026AE9" w:rsidRDefault="0056462F" w:rsidP="00B05745">
            <w:pPr>
              <w:spacing w:after="0" w:line="240" w:lineRule="auto"/>
              <w:ind w:left="963" w:hanging="255"/>
              <w:jc w:val="both"/>
              <w:rPr>
                <w:b/>
                <w:sz w:val="20"/>
                <w:szCs w:val="26"/>
              </w:rPr>
            </w:pPr>
            <w:r w:rsidRPr="00026AE9">
              <w:rPr>
                <w:b/>
                <w:sz w:val="20"/>
                <w:szCs w:val="26"/>
              </w:rPr>
              <w:t>Ekonomiski neaktīvie:</w:t>
            </w:r>
          </w:p>
          <w:p w:rsidR="00687CB9" w:rsidRPr="00026AE9" w:rsidRDefault="0056462F" w:rsidP="00B05745">
            <w:pPr>
              <w:spacing w:after="0" w:line="240" w:lineRule="auto"/>
              <w:ind w:left="963" w:hanging="255"/>
              <w:jc w:val="both"/>
              <w:rPr>
                <w:sz w:val="20"/>
                <w:szCs w:val="26"/>
              </w:rPr>
            </w:pPr>
            <w:r w:rsidRPr="00026AE9">
              <w:rPr>
                <w:sz w:val="20"/>
                <w:szCs w:val="26"/>
              </w:rPr>
              <w:t>tajā skaitā:</w:t>
            </w:r>
          </w:p>
          <w:p w:rsidR="00FB7700" w:rsidRPr="00026AE9" w:rsidRDefault="0056462F" w:rsidP="00B05745">
            <w:pPr>
              <w:pStyle w:val="ListParagraph"/>
              <w:numPr>
                <w:ilvl w:val="0"/>
                <w:numId w:val="5"/>
              </w:numPr>
              <w:spacing w:after="0" w:line="240" w:lineRule="auto"/>
              <w:ind w:left="963" w:hanging="255"/>
              <w:jc w:val="both"/>
              <w:rPr>
                <w:sz w:val="20"/>
                <w:szCs w:val="26"/>
              </w:rPr>
            </w:pPr>
            <w:r w:rsidRPr="00026AE9">
              <w:rPr>
                <w:sz w:val="20"/>
                <w:szCs w:val="26"/>
              </w:rPr>
              <w:t>s</w:t>
            </w:r>
            <w:r w:rsidR="00FB7700" w:rsidRPr="00026AE9">
              <w:rPr>
                <w:sz w:val="20"/>
                <w:szCs w:val="26"/>
              </w:rPr>
              <w:t>kolēni, studenti</w:t>
            </w:r>
          </w:p>
        </w:tc>
        <w:tc>
          <w:tcPr>
            <w:tcW w:w="1316" w:type="dxa"/>
            <w:tcBorders>
              <w:top w:val="nil"/>
              <w:left w:val="nil"/>
              <w:bottom w:val="nil"/>
              <w:right w:val="nil"/>
            </w:tcBorders>
          </w:tcPr>
          <w:p w:rsidR="001C2D82" w:rsidRPr="00B05745" w:rsidRDefault="001C2D82" w:rsidP="00B05745">
            <w:pPr>
              <w:tabs>
                <w:tab w:val="decimal" w:pos="340"/>
              </w:tabs>
              <w:spacing w:after="0" w:line="240" w:lineRule="auto"/>
              <w:rPr>
                <w:b/>
                <w:sz w:val="8"/>
                <w:szCs w:val="26"/>
              </w:rPr>
            </w:pPr>
          </w:p>
          <w:p w:rsidR="00687CB9" w:rsidRPr="00026AE9" w:rsidRDefault="0056462F" w:rsidP="00B05745">
            <w:pPr>
              <w:tabs>
                <w:tab w:val="decimal" w:pos="340"/>
              </w:tabs>
              <w:spacing w:after="0" w:line="240" w:lineRule="auto"/>
              <w:rPr>
                <w:b/>
                <w:sz w:val="20"/>
                <w:szCs w:val="26"/>
              </w:rPr>
            </w:pPr>
            <w:r w:rsidRPr="00026AE9">
              <w:rPr>
                <w:b/>
                <w:sz w:val="20"/>
                <w:szCs w:val="26"/>
              </w:rPr>
              <w:t xml:space="preserve">533 </w:t>
            </w:r>
            <w:proofErr w:type="spellStart"/>
            <w:r w:rsidRPr="00026AE9">
              <w:rPr>
                <w:b/>
                <w:sz w:val="20"/>
                <w:szCs w:val="26"/>
              </w:rPr>
              <w:t>tūkst</w:t>
            </w:r>
            <w:proofErr w:type="spellEnd"/>
            <w:r w:rsidRPr="00026AE9">
              <w:rPr>
                <w:b/>
                <w:sz w:val="20"/>
                <w:szCs w:val="26"/>
              </w:rPr>
              <w:t>.</w:t>
            </w:r>
          </w:p>
          <w:p w:rsidR="00687CB9" w:rsidRPr="00026AE9" w:rsidRDefault="00687CB9" w:rsidP="00B05745">
            <w:pPr>
              <w:tabs>
                <w:tab w:val="decimal" w:pos="340"/>
              </w:tabs>
              <w:spacing w:after="0" w:line="240" w:lineRule="auto"/>
              <w:rPr>
                <w:sz w:val="20"/>
                <w:szCs w:val="26"/>
              </w:rPr>
            </w:pPr>
          </w:p>
          <w:p w:rsidR="00FB7700" w:rsidRPr="00026AE9" w:rsidRDefault="00FB7700" w:rsidP="00B05745">
            <w:pPr>
              <w:tabs>
                <w:tab w:val="decimal" w:pos="340"/>
              </w:tabs>
              <w:spacing w:after="0" w:line="240" w:lineRule="auto"/>
              <w:rPr>
                <w:sz w:val="20"/>
                <w:szCs w:val="26"/>
              </w:rPr>
            </w:pPr>
            <w:r w:rsidRPr="00026AE9">
              <w:rPr>
                <w:sz w:val="20"/>
                <w:szCs w:val="26"/>
              </w:rPr>
              <w:t>141</w:t>
            </w:r>
            <w:r w:rsidR="0056462F" w:rsidRPr="00026AE9">
              <w:rPr>
                <w:sz w:val="20"/>
                <w:szCs w:val="26"/>
              </w:rPr>
              <w:t xml:space="preserve"> </w:t>
            </w:r>
            <w:proofErr w:type="spellStart"/>
            <w:r w:rsidR="0056462F" w:rsidRPr="00026AE9">
              <w:rPr>
                <w:sz w:val="20"/>
                <w:szCs w:val="26"/>
              </w:rPr>
              <w:t>tūkst</w:t>
            </w:r>
            <w:proofErr w:type="spellEnd"/>
            <w:r w:rsidR="0056462F" w:rsidRPr="00026AE9">
              <w:rPr>
                <w:sz w:val="20"/>
                <w:szCs w:val="26"/>
              </w:rPr>
              <w:t>.</w:t>
            </w:r>
          </w:p>
        </w:tc>
      </w:tr>
      <w:tr w:rsidR="0056462F" w:rsidRPr="00C6066A" w:rsidTr="00B05745">
        <w:trPr>
          <w:gridAfter w:val="1"/>
          <w:wAfter w:w="101" w:type="dxa"/>
        </w:trPr>
        <w:tc>
          <w:tcPr>
            <w:tcW w:w="263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37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4899" w:type="dxa"/>
            <w:gridSpan w:val="4"/>
            <w:tcBorders>
              <w:top w:val="nil"/>
              <w:left w:val="nil"/>
              <w:bottom w:val="nil"/>
              <w:right w:val="nil"/>
            </w:tcBorders>
          </w:tcPr>
          <w:p w:rsidR="00FB7700" w:rsidRPr="001C2D82" w:rsidRDefault="0056462F" w:rsidP="00B05745">
            <w:pPr>
              <w:pStyle w:val="ListParagraph"/>
              <w:numPr>
                <w:ilvl w:val="0"/>
                <w:numId w:val="6"/>
              </w:numPr>
              <w:spacing w:after="0" w:line="240" w:lineRule="auto"/>
              <w:ind w:left="963" w:hanging="255"/>
              <w:jc w:val="both"/>
              <w:rPr>
                <w:sz w:val="20"/>
                <w:szCs w:val="26"/>
              </w:rPr>
            </w:pPr>
            <w:r w:rsidRPr="001C2D82">
              <w:rPr>
                <w:sz w:val="20"/>
                <w:szCs w:val="26"/>
              </w:rPr>
              <w:t>p</w:t>
            </w:r>
            <w:r w:rsidR="00FB7700" w:rsidRPr="001C2D82">
              <w:rPr>
                <w:sz w:val="20"/>
                <w:szCs w:val="26"/>
              </w:rPr>
              <w:t>ensionāri, kas saņem tikai pensiju</w:t>
            </w:r>
          </w:p>
        </w:tc>
        <w:tc>
          <w:tcPr>
            <w:tcW w:w="1316" w:type="dxa"/>
            <w:tcBorders>
              <w:top w:val="nil"/>
              <w:left w:val="nil"/>
              <w:bottom w:val="nil"/>
              <w:right w:val="nil"/>
            </w:tcBorders>
          </w:tcPr>
          <w:p w:rsidR="00FB7700" w:rsidRPr="001C2D82" w:rsidRDefault="00FB7700" w:rsidP="00B05745">
            <w:pPr>
              <w:tabs>
                <w:tab w:val="decimal" w:pos="340"/>
              </w:tabs>
              <w:spacing w:after="0" w:line="240" w:lineRule="auto"/>
              <w:rPr>
                <w:sz w:val="20"/>
                <w:szCs w:val="26"/>
              </w:rPr>
            </w:pPr>
            <w:r w:rsidRPr="001C2D82">
              <w:rPr>
                <w:sz w:val="20"/>
                <w:szCs w:val="26"/>
              </w:rPr>
              <w:t>249</w:t>
            </w:r>
            <w:r w:rsidR="0056462F" w:rsidRPr="001C2D82">
              <w:rPr>
                <w:sz w:val="20"/>
                <w:szCs w:val="26"/>
              </w:rPr>
              <w:t xml:space="preserve"> </w:t>
            </w:r>
            <w:proofErr w:type="spellStart"/>
            <w:r w:rsidR="0056462F" w:rsidRPr="001C2D82">
              <w:rPr>
                <w:sz w:val="20"/>
                <w:szCs w:val="26"/>
              </w:rPr>
              <w:t>tūkst</w:t>
            </w:r>
            <w:proofErr w:type="spellEnd"/>
            <w:r w:rsidR="0056462F" w:rsidRPr="001C2D82">
              <w:rPr>
                <w:sz w:val="20"/>
                <w:szCs w:val="26"/>
              </w:rPr>
              <w:t>.</w:t>
            </w:r>
          </w:p>
        </w:tc>
      </w:tr>
      <w:tr w:rsidR="0056462F" w:rsidRPr="0056462F" w:rsidTr="00B05745">
        <w:trPr>
          <w:gridAfter w:val="1"/>
          <w:wAfter w:w="101" w:type="dxa"/>
        </w:trPr>
        <w:tc>
          <w:tcPr>
            <w:tcW w:w="263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37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4899" w:type="dxa"/>
            <w:gridSpan w:val="4"/>
            <w:tcBorders>
              <w:top w:val="nil"/>
              <w:left w:val="nil"/>
              <w:bottom w:val="nil"/>
              <w:right w:val="nil"/>
            </w:tcBorders>
          </w:tcPr>
          <w:p w:rsidR="00FB7700" w:rsidRPr="001C2D82" w:rsidRDefault="0056462F" w:rsidP="00B05745">
            <w:pPr>
              <w:pStyle w:val="ListParagraph"/>
              <w:numPr>
                <w:ilvl w:val="0"/>
                <w:numId w:val="6"/>
              </w:numPr>
              <w:spacing w:after="0" w:line="240" w:lineRule="auto"/>
              <w:ind w:left="963" w:hanging="255"/>
              <w:jc w:val="both"/>
              <w:rPr>
                <w:color w:val="000000" w:themeColor="text1"/>
                <w:sz w:val="20"/>
                <w:szCs w:val="26"/>
              </w:rPr>
            </w:pPr>
            <w:r w:rsidRPr="001C2D82">
              <w:rPr>
                <w:color w:val="000000" w:themeColor="text1"/>
                <w:sz w:val="20"/>
                <w:szCs w:val="26"/>
              </w:rPr>
              <w:t>m</w:t>
            </w:r>
            <w:r w:rsidR="001C2D82">
              <w:rPr>
                <w:color w:val="000000" w:themeColor="text1"/>
                <w:sz w:val="20"/>
                <w:szCs w:val="26"/>
              </w:rPr>
              <w:t>ājsaimnieki /</w:t>
            </w:r>
            <w:r w:rsidR="00FB7700" w:rsidRPr="001C2D82">
              <w:rPr>
                <w:color w:val="000000" w:themeColor="text1"/>
                <w:sz w:val="20"/>
                <w:szCs w:val="26"/>
              </w:rPr>
              <w:t>-</w:t>
            </w:r>
            <w:proofErr w:type="spellStart"/>
            <w:r w:rsidR="00FB7700" w:rsidRPr="001C2D82">
              <w:rPr>
                <w:color w:val="000000" w:themeColor="text1"/>
                <w:sz w:val="20"/>
                <w:szCs w:val="26"/>
              </w:rPr>
              <w:t>ces</w:t>
            </w:r>
            <w:proofErr w:type="spellEnd"/>
          </w:p>
        </w:tc>
        <w:tc>
          <w:tcPr>
            <w:tcW w:w="1316" w:type="dxa"/>
            <w:tcBorders>
              <w:top w:val="nil"/>
              <w:left w:val="nil"/>
              <w:bottom w:val="nil"/>
              <w:right w:val="nil"/>
            </w:tcBorders>
          </w:tcPr>
          <w:p w:rsidR="00FB7700" w:rsidRPr="001C2D82" w:rsidRDefault="00FB7700" w:rsidP="00B05745">
            <w:pPr>
              <w:tabs>
                <w:tab w:val="decimal" w:pos="340"/>
              </w:tabs>
              <w:spacing w:after="0" w:line="240" w:lineRule="auto"/>
              <w:rPr>
                <w:color w:val="000000" w:themeColor="text1"/>
                <w:sz w:val="20"/>
                <w:szCs w:val="26"/>
              </w:rPr>
            </w:pPr>
            <w:r w:rsidRPr="001C2D82">
              <w:rPr>
                <w:color w:val="000000" w:themeColor="text1"/>
                <w:sz w:val="20"/>
                <w:szCs w:val="26"/>
              </w:rPr>
              <w:t>52</w:t>
            </w:r>
            <w:r w:rsidR="0056462F" w:rsidRPr="001C2D82">
              <w:rPr>
                <w:color w:val="000000" w:themeColor="text1"/>
                <w:sz w:val="20"/>
                <w:szCs w:val="26"/>
              </w:rPr>
              <w:t xml:space="preserve"> </w:t>
            </w:r>
            <w:proofErr w:type="spellStart"/>
            <w:r w:rsidR="0056462F" w:rsidRPr="001C2D82">
              <w:rPr>
                <w:color w:val="000000" w:themeColor="text1"/>
                <w:sz w:val="20"/>
                <w:szCs w:val="26"/>
              </w:rPr>
              <w:t>tūkst</w:t>
            </w:r>
            <w:proofErr w:type="spellEnd"/>
            <w:r w:rsidR="0056462F" w:rsidRPr="001C2D82">
              <w:rPr>
                <w:color w:val="000000" w:themeColor="text1"/>
                <w:sz w:val="20"/>
                <w:szCs w:val="26"/>
              </w:rPr>
              <w:t>.</w:t>
            </w:r>
          </w:p>
        </w:tc>
      </w:tr>
      <w:tr w:rsidR="0056462F" w:rsidRPr="00C6066A" w:rsidTr="00B05745">
        <w:trPr>
          <w:gridAfter w:val="1"/>
          <w:wAfter w:w="101" w:type="dxa"/>
        </w:trPr>
        <w:tc>
          <w:tcPr>
            <w:tcW w:w="263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37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4899" w:type="dxa"/>
            <w:gridSpan w:val="4"/>
            <w:tcBorders>
              <w:top w:val="nil"/>
              <w:left w:val="nil"/>
              <w:bottom w:val="nil"/>
              <w:right w:val="nil"/>
            </w:tcBorders>
          </w:tcPr>
          <w:p w:rsidR="00FB7700" w:rsidRPr="001C2D82" w:rsidRDefault="0056462F" w:rsidP="00B05745">
            <w:pPr>
              <w:pStyle w:val="ListParagraph"/>
              <w:numPr>
                <w:ilvl w:val="0"/>
                <w:numId w:val="6"/>
              </w:numPr>
              <w:spacing w:after="0" w:line="240" w:lineRule="auto"/>
              <w:ind w:left="963" w:hanging="255"/>
              <w:jc w:val="both"/>
              <w:rPr>
                <w:color w:val="000000" w:themeColor="text1"/>
                <w:sz w:val="20"/>
                <w:szCs w:val="26"/>
              </w:rPr>
            </w:pPr>
            <w:r w:rsidRPr="001C2D82">
              <w:rPr>
                <w:color w:val="000000" w:themeColor="text1"/>
                <w:sz w:val="20"/>
                <w:szCs w:val="26"/>
              </w:rPr>
              <w:t>i</w:t>
            </w:r>
            <w:r w:rsidR="00FB7700" w:rsidRPr="001C2D82">
              <w:rPr>
                <w:color w:val="000000" w:themeColor="text1"/>
                <w:sz w:val="20"/>
                <w:szCs w:val="26"/>
              </w:rPr>
              <w:t>nvalīdi, ilgstoši darbnespējīgās personas</w:t>
            </w:r>
          </w:p>
        </w:tc>
        <w:tc>
          <w:tcPr>
            <w:tcW w:w="1316" w:type="dxa"/>
            <w:tcBorders>
              <w:top w:val="nil"/>
              <w:left w:val="nil"/>
              <w:bottom w:val="nil"/>
              <w:right w:val="nil"/>
            </w:tcBorders>
          </w:tcPr>
          <w:p w:rsidR="00FB7700" w:rsidRPr="001C2D82" w:rsidRDefault="00FB7700" w:rsidP="00B05745">
            <w:pPr>
              <w:tabs>
                <w:tab w:val="decimal" w:pos="340"/>
              </w:tabs>
              <w:spacing w:after="0" w:line="240" w:lineRule="auto"/>
              <w:rPr>
                <w:color w:val="000000" w:themeColor="text1"/>
                <w:sz w:val="20"/>
                <w:szCs w:val="26"/>
              </w:rPr>
            </w:pPr>
            <w:r w:rsidRPr="001C2D82">
              <w:rPr>
                <w:color w:val="000000" w:themeColor="text1"/>
                <w:sz w:val="20"/>
                <w:szCs w:val="26"/>
              </w:rPr>
              <w:t>45</w:t>
            </w:r>
            <w:r w:rsidR="0056462F" w:rsidRPr="001C2D82">
              <w:rPr>
                <w:color w:val="000000" w:themeColor="text1"/>
                <w:sz w:val="20"/>
                <w:szCs w:val="26"/>
              </w:rPr>
              <w:t xml:space="preserve"> </w:t>
            </w:r>
            <w:proofErr w:type="spellStart"/>
            <w:r w:rsidR="0056462F" w:rsidRPr="001C2D82">
              <w:rPr>
                <w:color w:val="000000" w:themeColor="text1"/>
                <w:sz w:val="20"/>
                <w:szCs w:val="26"/>
              </w:rPr>
              <w:t>tūkst</w:t>
            </w:r>
            <w:proofErr w:type="spellEnd"/>
            <w:r w:rsidR="0056462F" w:rsidRPr="001C2D82">
              <w:rPr>
                <w:color w:val="000000" w:themeColor="text1"/>
                <w:sz w:val="20"/>
                <w:szCs w:val="26"/>
              </w:rPr>
              <w:t>.</w:t>
            </w:r>
          </w:p>
        </w:tc>
      </w:tr>
      <w:tr w:rsidR="0056462F" w:rsidRPr="0056462F" w:rsidTr="00B05745">
        <w:trPr>
          <w:gridAfter w:val="1"/>
          <w:wAfter w:w="101" w:type="dxa"/>
        </w:trPr>
        <w:tc>
          <w:tcPr>
            <w:tcW w:w="263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37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4899" w:type="dxa"/>
            <w:gridSpan w:val="4"/>
            <w:tcBorders>
              <w:top w:val="nil"/>
              <w:left w:val="nil"/>
              <w:bottom w:val="nil"/>
              <w:right w:val="nil"/>
            </w:tcBorders>
          </w:tcPr>
          <w:p w:rsidR="00FB7700" w:rsidRPr="001C2D82" w:rsidRDefault="0056462F" w:rsidP="00B05745">
            <w:pPr>
              <w:pStyle w:val="ListParagraph"/>
              <w:numPr>
                <w:ilvl w:val="0"/>
                <w:numId w:val="6"/>
              </w:numPr>
              <w:spacing w:after="0" w:line="240" w:lineRule="auto"/>
              <w:ind w:left="963" w:hanging="255"/>
              <w:jc w:val="both"/>
              <w:rPr>
                <w:color w:val="000000" w:themeColor="text1"/>
                <w:sz w:val="20"/>
                <w:szCs w:val="26"/>
              </w:rPr>
            </w:pPr>
            <w:r w:rsidRPr="001C2D82">
              <w:rPr>
                <w:color w:val="000000" w:themeColor="text1"/>
                <w:sz w:val="20"/>
                <w:szCs w:val="26"/>
              </w:rPr>
              <w:t>b</w:t>
            </w:r>
            <w:r w:rsidR="00FB7700" w:rsidRPr="001C2D82">
              <w:rPr>
                <w:color w:val="000000" w:themeColor="text1"/>
                <w:sz w:val="20"/>
                <w:szCs w:val="26"/>
              </w:rPr>
              <w:t>ērna kopšanas atvaļinājumā esošas personas</w:t>
            </w:r>
          </w:p>
        </w:tc>
        <w:tc>
          <w:tcPr>
            <w:tcW w:w="1316" w:type="dxa"/>
            <w:tcBorders>
              <w:top w:val="nil"/>
              <w:left w:val="nil"/>
              <w:bottom w:val="nil"/>
              <w:right w:val="nil"/>
            </w:tcBorders>
          </w:tcPr>
          <w:p w:rsidR="00FB7700" w:rsidRPr="001C2D82" w:rsidRDefault="00FB7700" w:rsidP="00B05745">
            <w:pPr>
              <w:tabs>
                <w:tab w:val="decimal" w:pos="340"/>
              </w:tabs>
              <w:spacing w:after="0" w:line="240" w:lineRule="auto"/>
              <w:rPr>
                <w:color w:val="000000" w:themeColor="text1"/>
                <w:sz w:val="20"/>
                <w:szCs w:val="26"/>
              </w:rPr>
            </w:pPr>
            <w:r w:rsidRPr="001C2D82">
              <w:rPr>
                <w:color w:val="000000" w:themeColor="text1"/>
                <w:sz w:val="20"/>
                <w:szCs w:val="26"/>
              </w:rPr>
              <w:t>10</w:t>
            </w:r>
            <w:r w:rsidR="0056462F" w:rsidRPr="001C2D82">
              <w:rPr>
                <w:color w:val="000000" w:themeColor="text1"/>
                <w:sz w:val="20"/>
                <w:szCs w:val="26"/>
              </w:rPr>
              <w:t xml:space="preserve"> </w:t>
            </w:r>
            <w:proofErr w:type="spellStart"/>
            <w:r w:rsidR="0056462F" w:rsidRPr="001C2D82">
              <w:rPr>
                <w:color w:val="000000" w:themeColor="text1"/>
                <w:sz w:val="20"/>
                <w:szCs w:val="26"/>
              </w:rPr>
              <w:t>tūkst</w:t>
            </w:r>
            <w:proofErr w:type="spellEnd"/>
            <w:r w:rsidR="0056462F" w:rsidRPr="001C2D82">
              <w:rPr>
                <w:color w:val="000000" w:themeColor="text1"/>
                <w:sz w:val="20"/>
                <w:szCs w:val="26"/>
              </w:rPr>
              <w:t>.</w:t>
            </w:r>
          </w:p>
        </w:tc>
      </w:tr>
      <w:tr w:rsidR="0056462F" w:rsidRPr="0056462F" w:rsidTr="00B05745">
        <w:trPr>
          <w:gridAfter w:val="1"/>
          <w:wAfter w:w="101" w:type="dxa"/>
        </w:trPr>
        <w:tc>
          <w:tcPr>
            <w:tcW w:w="263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373" w:type="dxa"/>
            <w:vMerge/>
            <w:tcBorders>
              <w:top w:val="nil"/>
              <w:left w:val="nil"/>
              <w:bottom w:val="nil"/>
              <w:right w:val="nil"/>
            </w:tcBorders>
          </w:tcPr>
          <w:p w:rsidR="00FB7700" w:rsidRPr="00C6066A" w:rsidRDefault="00FB7700" w:rsidP="0077399B">
            <w:pPr>
              <w:spacing w:after="0" w:line="240" w:lineRule="auto"/>
              <w:jc w:val="both"/>
              <w:rPr>
                <w:sz w:val="20"/>
                <w:szCs w:val="26"/>
              </w:rPr>
            </w:pPr>
          </w:p>
        </w:tc>
        <w:tc>
          <w:tcPr>
            <w:tcW w:w="4899" w:type="dxa"/>
            <w:gridSpan w:val="4"/>
            <w:tcBorders>
              <w:top w:val="nil"/>
              <w:left w:val="nil"/>
              <w:bottom w:val="nil"/>
              <w:right w:val="nil"/>
            </w:tcBorders>
          </w:tcPr>
          <w:p w:rsidR="00FB7700" w:rsidRPr="001C2D82" w:rsidRDefault="0056462F" w:rsidP="00B05745">
            <w:pPr>
              <w:pStyle w:val="ListParagraph"/>
              <w:numPr>
                <w:ilvl w:val="0"/>
                <w:numId w:val="6"/>
              </w:numPr>
              <w:spacing w:after="0" w:line="240" w:lineRule="auto"/>
              <w:ind w:left="963" w:hanging="255"/>
              <w:jc w:val="both"/>
              <w:rPr>
                <w:color w:val="000000" w:themeColor="text1"/>
                <w:sz w:val="20"/>
                <w:szCs w:val="26"/>
              </w:rPr>
            </w:pPr>
            <w:r w:rsidRPr="001C2D82">
              <w:rPr>
                <w:color w:val="000000" w:themeColor="text1"/>
                <w:sz w:val="20"/>
                <w:szCs w:val="26"/>
              </w:rPr>
              <w:t>c</w:t>
            </w:r>
            <w:r w:rsidR="00FB7700" w:rsidRPr="001C2D82">
              <w:rPr>
                <w:color w:val="000000" w:themeColor="text1"/>
                <w:sz w:val="20"/>
                <w:szCs w:val="26"/>
              </w:rPr>
              <w:t>iti</w:t>
            </w:r>
          </w:p>
        </w:tc>
        <w:tc>
          <w:tcPr>
            <w:tcW w:w="1316" w:type="dxa"/>
            <w:tcBorders>
              <w:top w:val="nil"/>
              <w:left w:val="nil"/>
              <w:bottom w:val="nil"/>
              <w:right w:val="nil"/>
            </w:tcBorders>
          </w:tcPr>
          <w:p w:rsidR="00FB7700" w:rsidRPr="001C2D82" w:rsidRDefault="00FB7700" w:rsidP="00B05745">
            <w:pPr>
              <w:tabs>
                <w:tab w:val="decimal" w:pos="340"/>
              </w:tabs>
              <w:spacing w:after="0" w:line="240" w:lineRule="auto"/>
              <w:rPr>
                <w:color w:val="000000" w:themeColor="text1"/>
                <w:sz w:val="20"/>
                <w:szCs w:val="26"/>
              </w:rPr>
            </w:pPr>
            <w:r w:rsidRPr="001C2D82">
              <w:rPr>
                <w:color w:val="000000" w:themeColor="text1"/>
                <w:sz w:val="20"/>
                <w:szCs w:val="26"/>
              </w:rPr>
              <w:t>35</w:t>
            </w:r>
            <w:r w:rsidR="0056462F" w:rsidRPr="001C2D82">
              <w:rPr>
                <w:color w:val="000000" w:themeColor="text1"/>
                <w:sz w:val="20"/>
                <w:szCs w:val="26"/>
              </w:rPr>
              <w:t xml:space="preserve"> </w:t>
            </w:r>
            <w:proofErr w:type="spellStart"/>
            <w:r w:rsidR="0056462F" w:rsidRPr="001C2D82">
              <w:rPr>
                <w:color w:val="000000" w:themeColor="text1"/>
                <w:sz w:val="20"/>
                <w:szCs w:val="26"/>
              </w:rPr>
              <w:t>tūkst</w:t>
            </w:r>
            <w:proofErr w:type="spellEnd"/>
            <w:r w:rsidR="0056462F" w:rsidRPr="001C2D82">
              <w:rPr>
                <w:color w:val="000000" w:themeColor="text1"/>
                <w:sz w:val="20"/>
                <w:szCs w:val="26"/>
              </w:rPr>
              <w:t>.</w:t>
            </w:r>
          </w:p>
        </w:tc>
      </w:tr>
    </w:tbl>
    <w:p w:rsidR="00687CB9" w:rsidRDefault="00687CB9" w:rsidP="0077399B">
      <w:pPr>
        <w:spacing w:after="0" w:line="240" w:lineRule="auto"/>
        <w:ind w:firstLine="567"/>
        <w:jc w:val="both"/>
        <w:rPr>
          <w:sz w:val="26"/>
          <w:szCs w:val="26"/>
        </w:rPr>
      </w:pPr>
    </w:p>
    <w:p w:rsidR="00687CB9" w:rsidRDefault="00FB7700" w:rsidP="0077399B">
      <w:pPr>
        <w:spacing w:after="0" w:line="240" w:lineRule="auto"/>
        <w:ind w:firstLine="567"/>
        <w:jc w:val="both"/>
        <w:rPr>
          <w:sz w:val="26"/>
          <w:szCs w:val="26"/>
        </w:rPr>
      </w:pPr>
      <w:r w:rsidRPr="00CD7B6E">
        <w:rPr>
          <w:sz w:val="26"/>
          <w:szCs w:val="26"/>
        </w:rPr>
        <w:t>Ekonomiskās aktivitātes līme</w:t>
      </w:r>
      <w:r>
        <w:rPr>
          <w:sz w:val="26"/>
          <w:szCs w:val="26"/>
        </w:rPr>
        <w:t>nis ir pieaudzis gandrīz visās vecuma grupās.</w:t>
      </w:r>
      <w:r w:rsidRPr="00CD7B6E">
        <w:rPr>
          <w:sz w:val="26"/>
          <w:szCs w:val="26"/>
        </w:rPr>
        <w:t xml:space="preserve"> </w:t>
      </w:r>
      <w:r>
        <w:rPr>
          <w:sz w:val="26"/>
          <w:szCs w:val="26"/>
        </w:rPr>
        <w:t>S</w:t>
      </w:r>
      <w:r w:rsidRPr="00CD7B6E">
        <w:rPr>
          <w:sz w:val="26"/>
          <w:szCs w:val="26"/>
        </w:rPr>
        <w:t xml:space="preserve">traujākais pieaugums ir </w:t>
      </w:r>
      <w:r>
        <w:rPr>
          <w:sz w:val="26"/>
          <w:szCs w:val="26"/>
        </w:rPr>
        <w:t xml:space="preserve">jaunākajās </w:t>
      </w:r>
      <w:r w:rsidRPr="00CD7B6E">
        <w:rPr>
          <w:sz w:val="26"/>
          <w:szCs w:val="26"/>
        </w:rPr>
        <w:t>vecuma grupā</w:t>
      </w:r>
      <w:r>
        <w:rPr>
          <w:sz w:val="26"/>
          <w:szCs w:val="26"/>
        </w:rPr>
        <w:t xml:space="preserve">s 15-19 </w:t>
      </w:r>
      <w:r w:rsidRPr="00CD7B6E">
        <w:rPr>
          <w:sz w:val="26"/>
          <w:szCs w:val="26"/>
        </w:rPr>
        <w:t>gadi</w:t>
      </w:r>
      <w:r>
        <w:rPr>
          <w:sz w:val="26"/>
          <w:szCs w:val="26"/>
        </w:rPr>
        <w:t xml:space="preserve"> un 20-24 gadi</w:t>
      </w:r>
      <w:r w:rsidRPr="00CD7B6E">
        <w:rPr>
          <w:sz w:val="26"/>
          <w:szCs w:val="26"/>
        </w:rPr>
        <w:t>.</w:t>
      </w:r>
      <w:r>
        <w:rPr>
          <w:sz w:val="26"/>
          <w:szCs w:val="26"/>
        </w:rPr>
        <w:t xml:space="preserve"> </w:t>
      </w:r>
      <w:r w:rsidRPr="00CD7B6E">
        <w:rPr>
          <w:sz w:val="26"/>
          <w:szCs w:val="26"/>
        </w:rPr>
        <w:t>Savukārt</w:t>
      </w:r>
      <w:r>
        <w:rPr>
          <w:sz w:val="26"/>
          <w:szCs w:val="26"/>
        </w:rPr>
        <w:t xml:space="preserve"> s</w:t>
      </w:r>
      <w:r w:rsidRPr="00CD7B6E">
        <w:rPr>
          <w:sz w:val="26"/>
          <w:szCs w:val="26"/>
        </w:rPr>
        <w:t>amazināš</w:t>
      </w:r>
      <w:r w:rsidR="00886C81">
        <w:rPr>
          <w:sz w:val="26"/>
          <w:szCs w:val="26"/>
        </w:rPr>
        <w:t xml:space="preserve">anās ir vērojama </w:t>
      </w:r>
      <w:r>
        <w:rPr>
          <w:sz w:val="26"/>
          <w:szCs w:val="26"/>
        </w:rPr>
        <w:t>tikai vecuma grupās 30-34 gadi un 50-54 gadi</w:t>
      </w:r>
      <w:r w:rsidRPr="00CD7B6E">
        <w:rPr>
          <w:sz w:val="26"/>
          <w:szCs w:val="26"/>
        </w:rPr>
        <w:t>.</w:t>
      </w:r>
    </w:p>
    <w:p w:rsidR="00687CB9" w:rsidRDefault="00FB7700" w:rsidP="0077399B">
      <w:pPr>
        <w:spacing w:after="0" w:line="240" w:lineRule="auto"/>
        <w:ind w:firstLine="567"/>
        <w:jc w:val="both"/>
        <w:rPr>
          <w:sz w:val="26"/>
          <w:szCs w:val="26"/>
        </w:rPr>
      </w:pPr>
      <w:r w:rsidRPr="00CD7B6E">
        <w:rPr>
          <w:sz w:val="26"/>
          <w:szCs w:val="26"/>
        </w:rPr>
        <w:t xml:space="preserve">Pakāpeniski turpina palielināties ekonomiski aktīvo iedzīvotāju īpatsvars ar </w:t>
      </w:r>
      <w:r w:rsidR="00053BFB">
        <w:rPr>
          <w:b/>
          <w:sz w:val="26"/>
          <w:szCs w:val="26"/>
        </w:rPr>
        <w:t>augstāko izglītību</w:t>
      </w:r>
      <w:r w:rsidRPr="00CD7B6E">
        <w:rPr>
          <w:sz w:val="26"/>
          <w:szCs w:val="26"/>
        </w:rPr>
        <w:t xml:space="preserve"> un 201</w:t>
      </w:r>
      <w:r>
        <w:rPr>
          <w:sz w:val="26"/>
          <w:szCs w:val="26"/>
        </w:rPr>
        <w:t>2</w:t>
      </w:r>
      <w:r w:rsidRPr="00CD7B6E">
        <w:rPr>
          <w:color w:val="808080"/>
          <w:sz w:val="26"/>
          <w:szCs w:val="26"/>
        </w:rPr>
        <w:t>.</w:t>
      </w:r>
      <w:r w:rsidRPr="00CD7B6E">
        <w:rPr>
          <w:sz w:val="26"/>
          <w:szCs w:val="26"/>
        </w:rPr>
        <w:t xml:space="preserve">gadā tas bija </w:t>
      </w:r>
      <w:r>
        <w:rPr>
          <w:sz w:val="26"/>
          <w:szCs w:val="26"/>
        </w:rPr>
        <w:t>31</w:t>
      </w:r>
      <w:r w:rsidR="00026AE9">
        <w:rPr>
          <w:sz w:val="26"/>
          <w:szCs w:val="26"/>
        </w:rPr>
        <w:t xml:space="preserve"> procents</w:t>
      </w:r>
      <w:r w:rsidR="003559F3">
        <w:rPr>
          <w:sz w:val="26"/>
          <w:szCs w:val="26"/>
        </w:rPr>
        <w:t>.</w:t>
      </w:r>
    </w:p>
    <w:p w:rsidR="00687CB9" w:rsidRDefault="00FB7700" w:rsidP="0077399B">
      <w:pPr>
        <w:spacing w:after="0" w:line="240" w:lineRule="auto"/>
        <w:ind w:firstLine="709"/>
        <w:jc w:val="right"/>
        <w:rPr>
          <w:sz w:val="26"/>
          <w:szCs w:val="26"/>
        </w:rPr>
      </w:pPr>
      <w:r w:rsidRPr="00CD7B6E">
        <w:rPr>
          <w:sz w:val="26"/>
          <w:szCs w:val="26"/>
        </w:rPr>
        <w:t>2.</w:t>
      </w:r>
      <w:r w:rsidR="00895051">
        <w:rPr>
          <w:sz w:val="26"/>
          <w:szCs w:val="26"/>
        </w:rPr>
        <w:t>4</w:t>
      </w:r>
      <w:r w:rsidRPr="00CD7B6E">
        <w:rPr>
          <w:sz w:val="26"/>
          <w:szCs w:val="26"/>
        </w:rPr>
        <w:t>. attēls</w:t>
      </w:r>
    </w:p>
    <w:p w:rsidR="00687CB9" w:rsidRDefault="00FB7700" w:rsidP="0077399B">
      <w:pPr>
        <w:spacing w:after="0" w:line="240" w:lineRule="auto"/>
        <w:jc w:val="center"/>
        <w:rPr>
          <w:b/>
          <w:sz w:val="26"/>
          <w:szCs w:val="26"/>
        </w:rPr>
      </w:pPr>
      <w:r w:rsidRPr="00CD7B6E">
        <w:rPr>
          <w:b/>
          <w:sz w:val="26"/>
          <w:szCs w:val="26"/>
        </w:rPr>
        <w:t>Ekonomiski aktīvo iedzīvotāju sadalījums pēc izglītības līmeņa</w:t>
      </w:r>
    </w:p>
    <w:p w:rsidR="00687CB9" w:rsidRDefault="00FB7700" w:rsidP="0077399B">
      <w:pPr>
        <w:spacing w:after="0" w:line="240" w:lineRule="auto"/>
        <w:jc w:val="center"/>
        <w:rPr>
          <w:szCs w:val="28"/>
        </w:rPr>
      </w:pPr>
      <w:r w:rsidRPr="00CD7B6E">
        <w:rPr>
          <w:szCs w:val="28"/>
        </w:rPr>
        <w:t>(%</w:t>
      </w:r>
      <w:r w:rsidRPr="00CD7B6E">
        <w:rPr>
          <w:bCs/>
          <w:szCs w:val="28"/>
        </w:rPr>
        <w:t>, 15-74 gadu vecumā</w:t>
      </w:r>
      <w:r w:rsidRPr="00CD7B6E">
        <w:rPr>
          <w:szCs w:val="28"/>
        </w:rPr>
        <w:t>)</w:t>
      </w:r>
    </w:p>
    <w:p w:rsidR="00687CB9" w:rsidRDefault="00FB7700" w:rsidP="0077399B">
      <w:pPr>
        <w:spacing w:after="0" w:line="240" w:lineRule="auto"/>
        <w:jc w:val="center"/>
        <w:rPr>
          <w:noProof/>
          <w:sz w:val="24"/>
          <w:szCs w:val="28"/>
          <w:lang w:eastAsia="lv-LV"/>
        </w:rPr>
      </w:pPr>
      <w:r w:rsidRPr="00CD7B6E">
        <w:rPr>
          <w:noProof/>
          <w:sz w:val="24"/>
          <w:szCs w:val="28"/>
          <w:lang w:eastAsia="lv-LV"/>
        </w:rPr>
        <w:drawing>
          <wp:inline distT="0" distB="0" distL="0" distR="0" wp14:anchorId="4B0C38A3" wp14:editId="2EE59E3B">
            <wp:extent cx="5760000" cy="2880000"/>
            <wp:effectExtent l="0" t="0" r="0" b="0"/>
            <wp:docPr id="76"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6F95" w:rsidRPr="002F6F95" w:rsidRDefault="002F6F95" w:rsidP="0077399B">
      <w:pPr>
        <w:spacing w:after="0" w:line="240" w:lineRule="auto"/>
        <w:ind w:firstLine="720"/>
        <w:jc w:val="both"/>
        <w:rPr>
          <w:spacing w:val="-2"/>
          <w:sz w:val="8"/>
          <w:szCs w:val="20"/>
        </w:rPr>
      </w:pPr>
    </w:p>
    <w:p w:rsidR="00687CB9" w:rsidRPr="00026AE9" w:rsidRDefault="00FB7700" w:rsidP="0077399B">
      <w:pPr>
        <w:spacing w:after="0" w:line="240" w:lineRule="auto"/>
        <w:ind w:firstLine="720"/>
        <w:jc w:val="both"/>
        <w:rPr>
          <w:spacing w:val="-2"/>
          <w:szCs w:val="20"/>
        </w:rPr>
      </w:pPr>
      <w:r w:rsidRPr="00026AE9">
        <w:rPr>
          <w:spacing w:val="-2"/>
          <w:szCs w:val="20"/>
        </w:rPr>
        <w:t>Avots: CSP</w:t>
      </w:r>
    </w:p>
    <w:p w:rsidR="00687CB9" w:rsidRDefault="00FB7700" w:rsidP="0077399B">
      <w:pPr>
        <w:spacing w:after="0" w:line="240" w:lineRule="auto"/>
        <w:ind w:firstLine="567"/>
        <w:jc w:val="both"/>
        <w:rPr>
          <w:color w:val="000000"/>
          <w:sz w:val="26"/>
          <w:szCs w:val="26"/>
        </w:rPr>
      </w:pPr>
      <w:r w:rsidRPr="0083570B">
        <w:rPr>
          <w:sz w:val="26"/>
          <w:szCs w:val="26"/>
        </w:rPr>
        <w:lastRenderedPageBreak/>
        <w:t>Vislielā</w:t>
      </w:r>
      <w:r w:rsidRPr="00CD7B6E">
        <w:rPr>
          <w:sz w:val="26"/>
          <w:szCs w:val="26"/>
        </w:rPr>
        <w:t xml:space="preserve">kais </w:t>
      </w:r>
      <w:r>
        <w:rPr>
          <w:sz w:val="26"/>
          <w:szCs w:val="26"/>
        </w:rPr>
        <w:t xml:space="preserve">darbaspēka </w:t>
      </w:r>
      <w:r w:rsidRPr="00CD7B6E">
        <w:rPr>
          <w:sz w:val="26"/>
          <w:szCs w:val="26"/>
        </w:rPr>
        <w:t>piedāvājums</w:t>
      </w:r>
      <w:r>
        <w:rPr>
          <w:sz w:val="26"/>
          <w:szCs w:val="26"/>
        </w:rPr>
        <w:t xml:space="preserve"> ar augstāko izglītību</w:t>
      </w:r>
      <w:r w:rsidRPr="00CD7B6E">
        <w:rPr>
          <w:sz w:val="26"/>
          <w:szCs w:val="26"/>
        </w:rPr>
        <w:t xml:space="preserve"> ir </w:t>
      </w:r>
      <w:r w:rsidRPr="00CD7B6E">
        <w:rPr>
          <w:color w:val="000000"/>
          <w:sz w:val="26"/>
          <w:szCs w:val="26"/>
        </w:rPr>
        <w:t xml:space="preserve">sociālo zinātņu, </w:t>
      </w:r>
      <w:proofErr w:type="spellStart"/>
      <w:r w:rsidRPr="00CD7B6E">
        <w:rPr>
          <w:color w:val="000000"/>
          <w:sz w:val="26"/>
          <w:szCs w:val="26"/>
        </w:rPr>
        <w:t>komerczinību</w:t>
      </w:r>
      <w:proofErr w:type="spellEnd"/>
      <w:r w:rsidRPr="00CD7B6E">
        <w:rPr>
          <w:color w:val="000000"/>
          <w:sz w:val="26"/>
          <w:szCs w:val="26"/>
        </w:rPr>
        <w:t xml:space="preserve"> un tiesību</w:t>
      </w:r>
      <w:r w:rsidRPr="00CD7B6E">
        <w:rPr>
          <w:sz w:val="26"/>
          <w:szCs w:val="26"/>
        </w:rPr>
        <w:t xml:space="preserve"> izglītības tematiskajā grupā</w:t>
      </w:r>
      <w:r w:rsidRPr="00CD7B6E">
        <w:rPr>
          <w:color w:val="000000"/>
          <w:sz w:val="26"/>
          <w:szCs w:val="26"/>
        </w:rPr>
        <w:t xml:space="preserve">. To nosaka iepriekšējo gadu studentu izvēle iegūt augstāko izglītību šajā tematiskajā grupā. </w:t>
      </w:r>
      <w:r>
        <w:rPr>
          <w:color w:val="000000"/>
          <w:sz w:val="26"/>
          <w:szCs w:val="26"/>
        </w:rPr>
        <w:t xml:space="preserve">Nākamās lielākās ekonomiski aktīvo iedzīvotāju </w:t>
      </w:r>
      <w:r>
        <w:rPr>
          <w:sz w:val="26"/>
          <w:szCs w:val="26"/>
        </w:rPr>
        <w:t>izglītības tematisk</w:t>
      </w:r>
      <w:r w:rsidRPr="00CD7B6E">
        <w:rPr>
          <w:sz w:val="26"/>
          <w:szCs w:val="26"/>
        </w:rPr>
        <w:t>ā</w:t>
      </w:r>
      <w:r>
        <w:rPr>
          <w:sz w:val="26"/>
          <w:szCs w:val="26"/>
        </w:rPr>
        <w:t>s</w:t>
      </w:r>
      <w:r w:rsidRPr="00CD7B6E">
        <w:rPr>
          <w:sz w:val="26"/>
          <w:szCs w:val="26"/>
        </w:rPr>
        <w:t xml:space="preserve"> grup</w:t>
      </w:r>
      <w:r>
        <w:rPr>
          <w:sz w:val="26"/>
          <w:szCs w:val="26"/>
        </w:rPr>
        <w:t xml:space="preserve">as </w:t>
      </w:r>
      <w:r w:rsidRPr="00CD7B6E">
        <w:rPr>
          <w:color w:val="000000"/>
          <w:sz w:val="26"/>
          <w:szCs w:val="26"/>
        </w:rPr>
        <w:t>inženierzinātņu, ražošanas un būvniecības tematiskā grup</w:t>
      </w:r>
      <w:r>
        <w:rPr>
          <w:color w:val="000000"/>
          <w:sz w:val="26"/>
          <w:szCs w:val="26"/>
        </w:rPr>
        <w:t>a un izglītības tematiskā grupa</w:t>
      </w:r>
      <w:r w:rsidRPr="00CD7B6E">
        <w:rPr>
          <w:color w:val="000000"/>
          <w:sz w:val="26"/>
          <w:szCs w:val="26"/>
        </w:rPr>
        <w:t>, k</w:t>
      </w:r>
      <w:r>
        <w:rPr>
          <w:color w:val="000000"/>
          <w:sz w:val="26"/>
          <w:szCs w:val="26"/>
        </w:rPr>
        <w:t>urās pastiprināta uzmanība jāpievērš to</w:t>
      </w:r>
      <w:r w:rsidRPr="00CD7B6E">
        <w:rPr>
          <w:color w:val="000000"/>
          <w:sz w:val="26"/>
          <w:szCs w:val="26"/>
        </w:rPr>
        <w:t xml:space="preserve"> vecumstruktūr</w:t>
      </w:r>
      <w:r>
        <w:rPr>
          <w:color w:val="000000"/>
          <w:sz w:val="26"/>
          <w:szCs w:val="26"/>
        </w:rPr>
        <w:t>ai</w:t>
      </w:r>
      <w:r w:rsidRPr="00CD7B6E">
        <w:rPr>
          <w:color w:val="000000"/>
          <w:sz w:val="26"/>
          <w:szCs w:val="26"/>
        </w:rPr>
        <w:t>.</w:t>
      </w:r>
    </w:p>
    <w:p w:rsidR="00232700" w:rsidRDefault="00232700" w:rsidP="00232700">
      <w:pPr>
        <w:spacing w:after="0" w:line="240" w:lineRule="auto"/>
        <w:jc w:val="right"/>
        <w:rPr>
          <w:sz w:val="26"/>
          <w:szCs w:val="26"/>
        </w:rPr>
      </w:pPr>
      <w:r w:rsidRPr="00CD7B6E">
        <w:rPr>
          <w:sz w:val="26"/>
          <w:szCs w:val="26"/>
        </w:rPr>
        <w:t>2.</w:t>
      </w:r>
      <w:r>
        <w:rPr>
          <w:sz w:val="26"/>
          <w:szCs w:val="26"/>
        </w:rPr>
        <w:t>5</w:t>
      </w:r>
      <w:r w:rsidRPr="00CD7B6E">
        <w:rPr>
          <w:sz w:val="26"/>
          <w:szCs w:val="26"/>
        </w:rPr>
        <w:t>. attēls</w:t>
      </w:r>
    </w:p>
    <w:p w:rsidR="00232700" w:rsidRDefault="00232700" w:rsidP="00232700">
      <w:pPr>
        <w:spacing w:after="0" w:line="240" w:lineRule="auto"/>
        <w:jc w:val="right"/>
        <w:rPr>
          <w:sz w:val="26"/>
          <w:szCs w:val="26"/>
        </w:rPr>
      </w:pPr>
    </w:p>
    <w:p w:rsidR="00232700" w:rsidRDefault="00232700" w:rsidP="00232700">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
          <w:bCs/>
          <w:spacing w:val="-2"/>
          <w:sz w:val="26"/>
          <w:szCs w:val="26"/>
        </w:rPr>
      </w:pPr>
      <w:r w:rsidRPr="00CD7B6E">
        <w:rPr>
          <w:b/>
          <w:bCs/>
          <w:spacing w:val="-2"/>
          <w:sz w:val="26"/>
          <w:szCs w:val="26"/>
        </w:rPr>
        <w:t>Ekonomiski aktīvie iedzīvotāji sadalījumā pa izglītības tematiskajām grupām</w:t>
      </w:r>
    </w:p>
    <w:p w:rsidR="00232700" w:rsidRPr="00CD7B6E" w:rsidRDefault="00232700" w:rsidP="00232700">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Cs/>
          <w:spacing w:val="-2"/>
          <w:sz w:val="22"/>
          <w:szCs w:val="22"/>
        </w:rPr>
      </w:pPr>
      <w:r w:rsidRPr="00CD7B6E">
        <w:rPr>
          <w:bCs/>
          <w:spacing w:val="-2"/>
          <w:sz w:val="22"/>
          <w:szCs w:val="22"/>
        </w:rPr>
        <w:t>(201</w:t>
      </w:r>
      <w:r>
        <w:rPr>
          <w:bCs/>
          <w:spacing w:val="-2"/>
          <w:sz w:val="22"/>
          <w:szCs w:val="22"/>
        </w:rPr>
        <w:t>2</w:t>
      </w:r>
      <w:r w:rsidRPr="00CD7B6E">
        <w:rPr>
          <w:bCs/>
          <w:spacing w:val="-2"/>
          <w:sz w:val="22"/>
          <w:szCs w:val="22"/>
        </w:rPr>
        <w:t>.gadā)</w:t>
      </w:r>
    </w:p>
    <w:tbl>
      <w:tblPr>
        <w:tblW w:w="9612" w:type="dxa"/>
        <w:jc w:val="center"/>
        <w:tblLook w:val="01E0" w:firstRow="1" w:lastRow="1" w:firstColumn="1" w:lastColumn="1" w:noHBand="0" w:noVBand="0"/>
      </w:tblPr>
      <w:tblGrid>
        <w:gridCol w:w="4821"/>
        <w:gridCol w:w="4791"/>
      </w:tblGrid>
      <w:tr w:rsidR="00232700" w:rsidRPr="00CD7B6E" w:rsidTr="000E76F4">
        <w:trPr>
          <w:trHeight w:val="205"/>
          <w:jc w:val="center"/>
        </w:trPr>
        <w:tc>
          <w:tcPr>
            <w:tcW w:w="4821" w:type="dxa"/>
            <w:vAlign w:val="bottom"/>
          </w:tcPr>
          <w:p w:rsidR="00232700" w:rsidRPr="00CD7B6E" w:rsidRDefault="00232700" w:rsidP="000E76F4">
            <w:pPr>
              <w:tabs>
                <w:tab w:val="center" w:pos="2409"/>
              </w:tabs>
              <w:spacing w:after="0" w:line="240" w:lineRule="auto"/>
              <w:jc w:val="center"/>
              <w:rPr>
                <w:rFonts w:eastAsia="Times New Roman"/>
                <w:lang w:eastAsia="lv-LV"/>
              </w:rPr>
            </w:pPr>
            <w:r w:rsidRPr="00CD7B6E">
              <w:rPr>
                <w:bCs/>
                <w:spacing w:val="-2"/>
              </w:rPr>
              <w:t>ar augstāko izglītību</w:t>
            </w:r>
            <w:r w:rsidRPr="00CD7B6E">
              <w:rPr>
                <w:rFonts w:eastAsia="Times New Roman"/>
                <w:bCs/>
                <w:color w:val="000000"/>
              </w:rPr>
              <w:t xml:space="preserve"> (%)</w:t>
            </w:r>
          </w:p>
        </w:tc>
        <w:tc>
          <w:tcPr>
            <w:tcW w:w="4791" w:type="dxa"/>
            <w:vAlign w:val="bottom"/>
          </w:tcPr>
          <w:p w:rsidR="00232700" w:rsidRPr="00CD7B6E" w:rsidRDefault="00232700" w:rsidP="000E76F4">
            <w:pPr>
              <w:tabs>
                <w:tab w:val="center" w:pos="2415"/>
              </w:tabs>
              <w:spacing w:after="0" w:line="240" w:lineRule="auto"/>
              <w:jc w:val="center"/>
              <w:rPr>
                <w:rFonts w:eastAsia="Times New Roman"/>
                <w:lang w:eastAsia="lv-LV"/>
              </w:rPr>
            </w:pPr>
            <w:r w:rsidRPr="00CD7B6E">
              <w:rPr>
                <w:bCs/>
                <w:spacing w:val="-2"/>
              </w:rPr>
              <w:t xml:space="preserve">ar vidējo izglītību </w:t>
            </w:r>
            <w:r w:rsidRPr="00CD7B6E">
              <w:rPr>
                <w:rFonts w:eastAsia="Times New Roman"/>
                <w:bCs/>
                <w:color w:val="000000"/>
              </w:rPr>
              <w:t>(%)</w:t>
            </w:r>
          </w:p>
        </w:tc>
      </w:tr>
      <w:tr w:rsidR="00232700" w:rsidRPr="00CD7B6E" w:rsidTr="000E76F4">
        <w:trPr>
          <w:trHeight w:val="2862"/>
          <w:jc w:val="center"/>
        </w:trPr>
        <w:tc>
          <w:tcPr>
            <w:tcW w:w="4821" w:type="dxa"/>
          </w:tcPr>
          <w:p w:rsidR="00232700" w:rsidRPr="00CD7B6E" w:rsidRDefault="00232700" w:rsidP="000E76F4">
            <w:pPr>
              <w:spacing w:after="0" w:line="240" w:lineRule="auto"/>
              <w:rPr>
                <w:rFonts w:eastAsia="Times New Roman"/>
              </w:rPr>
            </w:pPr>
            <w:r w:rsidRPr="00CD7B6E">
              <w:rPr>
                <w:b/>
                <w:noProof/>
                <w:sz w:val="28"/>
                <w:szCs w:val="28"/>
                <w:lang w:eastAsia="lv-LV"/>
              </w:rPr>
              <w:drawing>
                <wp:inline distT="0" distB="0" distL="0" distR="0" wp14:anchorId="4920C410" wp14:editId="090E7E72">
                  <wp:extent cx="2844000" cy="2880000"/>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91" w:type="dxa"/>
          </w:tcPr>
          <w:p w:rsidR="00232700" w:rsidRPr="00CD7B6E" w:rsidRDefault="00232700" w:rsidP="000E76F4">
            <w:pPr>
              <w:spacing w:after="0" w:line="240" w:lineRule="auto"/>
              <w:rPr>
                <w:rFonts w:eastAsia="Times New Roman"/>
              </w:rPr>
            </w:pPr>
            <w:r w:rsidRPr="00CD7B6E">
              <w:rPr>
                <w:b/>
                <w:noProof/>
                <w:sz w:val="28"/>
                <w:szCs w:val="28"/>
                <w:lang w:eastAsia="lv-LV"/>
              </w:rPr>
              <w:drawing>
                <wp:inline distT="0" distB="0" distL="0" distR="0" wp14:anchorId="0C158CB8" wp14:editId="31C43640">
                  <wp:extent cx="2844000" cy="2880000"/>
                  <wp:effectExtent l="0" t="0" r="0" b="0"/>
                  <wp:docPr id="77"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232700" w:rsidRPr="00026AE9" w:rsidRDefault="00232700" w:rsidP="00232700">
      <w:pPr>
        <w:spacing w:after="0" w:line="240" w:lineRule="auto"/>
        <w:ind w:firstLine="567"/>
        <w:jc w:val="both"/>
        <w:rPr>
          <w:spacing w:val="-2"/>
          <w:szCs w:val="20"/>
        </w:rPr>
      </w:pPr>
      <w:r w:rsidRPr="00026AE9">
        <w:rPr>
          <w:spacing w:val="-2"/>
          <w:szCs w:val="20"/>
        </w:rPr>
        <w:t>Avots: CSP</w:t>
      </w:r>
    </w:p>
    <w:p w:rsidR="00232700" w:rsidRDefault="00232700" w:rsidP="0077399B">
      <w:pPr>
        <w:spacing w:after="0" w:line="240" w:lineRule="auto"/>
        <w:ind w:firstLine="567"/>
        <w:jc w:val="both"/>
        <w:rPr>
          <w:color w:val="000000"/>
          <w:sz w:val="26"/>
          <w:szCs w:val="26"/>
        </w:rPr>
      </w:pPr>
    </w:p>
    <w:p w:rsidR="00432FCE" w:rsidRPr="00432FCE" w:rsidRDefault="00432FCE" w:rsidP="00432FCE">
      <w:pPr>
        <w:spacing w:after="0" w:line="240" w:lineRule="auto"/>
        <w:ind w:firstLine="567"/>
        <w:jc w:val="both"/>
        <w:rPr>
          <w:sz w:val="26"/>
          <w:szCs w:val="26"/>
        </w:rPr>
      </w:pPr>
      <w:r w:rsidRPr="00432FCE">
        <w:rPr>
          <w:sz w:val="26"/>
          <w:szCs w:val="26"/>
        </w:rPr>
        <w:t xml:space="preserve">Atsevišķās nozarēs un profesijās </w:t>
      </w:r>
      <w:r w:rsidR="00232700">
        <w:rPr>
          <w:sz w:val="26"/>
          <w:szCs w:val="26"/>
        </w:rPr>
        <w:t xml:space="preserve">aktuāla problēma ir </w:t>
      </w:r>
      <w:r w:rsidRPr="00432FCE">
        <w:rPr>
          <w:sz w:val="26"/>
          <w:szCs w:val="26"/>
        </w:rPr>
        <w:t>darbaspēka novecošanās</w:t>
      </w:r>
      <w:r w:rsidR="00232700">
        <w:rPr>
          <w:sz w:val="26"/>
          <w:szCs w:val="26"/>
        </w:rPr>
        <w:t xml:space="preserve">. </w:t>
      </w:r>
      <w:r w:rsidR="001E4BA5">
        <w:rPr>
          <w:sz w:val="26"/>
          <w:szCs w:val="26"/>
        </w:rPr>
        <w:t>Piemēram, 201</w:t>
      </w:r>
      <w:r w:rsidR="00232700">
        <w:rPr>
          <w:sz w:val="26"/>
          <w:szCs w:val="26"/>
        </w:rPr>
        <w:t>2</w:t>
      </w:r>
      <w:r w:rsidR="001E4BA5">
        <w:rPr>
          <w:sz w:val="26"/>
          <w:szCs w:val="26"/>
        </w:rPr>
        <w:t>.</w:t>
      </w:r>
      <w:r w:rsidRPr="00432FCE">
        <w:rPr>
          <w:sz w:val="26"/>
          <w:szCs w:val="26"/>
        </w:rPr>
        <w:t>gadā apstrāde</w:t>
      </w:r>
      <w:r w:rsidR="00232700">
        <w:rPr>
          <w:sz w:val="26"/>
          <w:szCs w:val="26"/>
        </w:rPr>
        <w:t>s rūpniecībā bija nodarbināti 124</w:t>
      </w:r>
      <w:r w:rsidR="00053BFB">
        <w:rPr>
          <w:sz w:val="26"/>
          <w:szCs w:val="26"/>
        </w:rPr>
        <w:t xml:space="preserve"> </w:t>
      </w:r>
      <w:proofErr w:type="spellStart"/>
      <w:r w:rsidRPr="00432FCE">
        <w:rPr>
          <w:sz w:val="26"/>
          <w:szCs w:val="26"/>
        </w:rPr>
        <w:t>tūkst</w:t>
      </w:r>
      <w:proofErr w:type="spellEnd"/>
      <w:r w:rsidRPr="00432FCE">
        <w:rPr>
          <w:sz w:val="26"/>
          <w:szCs w:val="26"/>
        </w:rPr>
        <w:t>. iedzīvotāju. Nozarē nodarbināto vidējais vecums bija aptuveni 42 gadi, kas kopumā neliecina par būtisku darbaspēka vecumstruktūras asimetriju un darbaspēka novecošanos kā problēmu nozarē kopumā. Vienlaikus gluži citāda aina vērojama atsevišķu jomu un kvalifikācijas sp</w:t>
      </w:r>
      <w:r w:rsidR="001E4BA5">
        <w:rPr>
          <w:sz w:val="26"/>
          <w:szCs w:val="26"/>
        </w:rPr>
        <w:t>eciālistu grupu ietvaros. 201</w:t>
      </w:r>
      <w:r w:rsidR="00232700">
        <w:rPr>
          <w:sz w:val="26"/>
          <w:szCs w:val="26"/>
        </w:rPr>
        <w:t>2</w:t>
      </w:r>
      <w:r w:rsidR="001E4BA5">
        <w:rPr>
          <w:sz w:val="26"/>
          <w:szCs w:val="26"/>
        </w:rPr>
        <w:t>.</w:t>
      </w:r>
      <w:r w:rsidRPr="00432FCE">
        <w:rPr>
          <w:sz w:val="26"/>
          <w:szCs w:val="26"/>
        </w:rPr>
        <w:t>gadā aptuveni puse (4</w:t>
      </w:r>
      <w:r w:rsidR="00232700">
        <w:rPr>
          <w:sz w:val="26"/>
          <w:szCs w:val="26"/>
        </w:rPr>
        <w:t>3</w:t>
      </w:r>
      <w:r w:rsidRPr="00432FCE">
        <w:rPr>
          <w:sz w:val="26"/>
          <w:szCs w:val="26"/>
        </w:rPr>
        <w:t>%) no apstrādes rūpniecībā nodarbinātajiem augstākās kvalifikācijas inženierzinātņu jomas speciālistiem (veido aptuveni 5% no nozarē nodar</w:t>
      </w:r>
      <w:r w:rsidR="00232700">
        <w:rPr>
          <w:sz w:val="26"/>
          <w:szCs w:val="26"/>
        </w:rPr>
        <w:t>binātajiem) bija vecumā virs 50 </w:t>
      </w:r>
      <w:r w:rsidRPr="00432FCE">
        <w:rPr>
          <w:sz w:val="26"/>
          <w:szCs w:val="26"/>
        </w:rPr>
        <w:t xml:space="preserve">gadiem, bet </w:t>
      </w:r>
      <w:r w:rsidR="00232700">
        <w:rPr>
          <w:sz w:val="26"/>
          <w:szCs w:val="26"/>
        </w:rPr>
        <w:t>14</w:t>
      </w:r>
      <w:r w:rsidRPr="00432FCE">
        <w:rPr>
          <w:sz w:val="26"/>
          <w:szCs w:val="26"/>
        </w:rPr>
        <w:t>% bija pirmspensi</w:t>
      </w:r>
      <w:r w:rsidR="001E4BA5">
        <w:rPr>
          <w:sz w:val="26"/>
          <w:szCs w:val="26"/>
        </w:rPr>
        <w:t>jas un pensijas vecumā (virs 60 </w:t>
      </w:r>
      <w:r w:rsidRPr="00432FCE">
        <w:rPr>
          <w:sz w:val="26"/>
          <w:szCs w:val="26"/>
        </w:rPr>
        <w:t>gadiem). Inženier</w:t>
      </w:r>
      <w:r w:rsidR="00232700">
        <w:rPr>
          <w:sz w:val="26"/>
          <w:szCs w:val="26"/>
        </w:rPr>
        <w:softHyphen/>
      </w:r>
      <w:r w:rsidRPr="00432FCE">
        <w:rPr>
          <w:sz w:val="26"/>
          <w:szCs w:val="26"/>
        </w:rPr>
        <w:t>zinātņu vecāko speciālistu vidējais vecums bija 49 gadi, kas ir par 4 gadiem augstāks nekā vidējais rādītājs tautsaimniecībā. Tas norāda uz atbilstošās kvalifikācijas darbaspēka pastiprinātu novecošanos un piedāvājuma straujāku samazināšanos nākotnē.</w:t>
      </w:r>
    </w:p>
    <w:p w:rsidR="00232700" w:rsidRDefault="00232700">
      <w:pPr>
        <w:spacing w:after="0" w:line="240" w:lineRule="auto"/>
        <w:rPr>
          <w:sz w:val="26"/>
          <w:szCs w:val="26"/>
        </w:rPr>
      </w:pPr>
      <w:r>
        <w:rPr>
          <w:sz w:val="26"/>
          <w:szCs w:val="26"/>
        </w:rPr>
        <w:br w:type="page"/>
      </w:r>
    </w:p>
    <w:p w:rsidR="00432FCE" w:rsidRPr="00432FCE" w:rsidRDefault="00432FCE" w:rsidP="00432FCE">
      <w:pPr>
        <w:spacing w:after="0" w:line="240" w:lineRule="auto"/>
        <w:ind w:firstLine="567"/>
        <w:jc w:val="both"/>
        <w:rPr>
          <w:sz w:val="26"/>
          <w:szCs w:val="26"/>
        </w:rPr>
      </w:pPr>
      <w:r w:rsidRPr="00432FCE">
        <w:rPr>
          <w:sz w:val="26"/>
          <w:szCs w:val="26"/>
        </w:rPr>
        <w:lastRenderedPageBreak/>
        <w:t>Galven</w:t>
      </w:r>
      <w:r w:rsidR="00232700">
        <w:rPr>
          <w:sz w:val="26"/>
          <w:szCs w:val="26"/>
        </w:rPr>
        <w:t>okārt novecošanās</w:t>
      </w:r>
      <w:r w:rsidRPr="00432FCE">
        <w:rPr>
          <w:sz w:val="26"/>
          <w:szCs w:val="26"/>
        </w:rPr>
        <w:t xml:space="preserve"> problēmas</w:t>
      </w:r>
      <w:r w:rsidR="00232700">
        <w:rPr>
          <w:sz w:val="26"/>
          <w:szCs w:val="26"/>
        </w:rPr>
        <w:t xml:space="preserve"> skar</w:t>
      </w:r>
      <w:r w:rsidRPr="00432FCE">
        <w:rPr>
          <w:sz w:val="26"/>
          <w:szCs w:val="26"/>
        </w:rPr>
        <w:t xml:space="preserve"> dabas un inženierzinātņu jomu speciālistus (gan vidējās</w:t>
      </w:r>
      <w:r w:rsidR="00B05745">
        <w:rPr>
          <w:sz w:val="26"/>
          <w:szCs w:val="26"/>
        </w:rPr>
        <w:t>,</w:t>
      </w:r>
      <w:r w:rsidRPr="00432FCE">
        <w:rPr>
          <w:sz w:val="26"/>
          <w:szCs w:val="26"/>
        </w:rPr>
        <w:t xml:space="preserve"> gan augstākās izglītības līm</w:t>
      </w:r>
      <w:r w:rsidR="00B05745">
        <w:rPr>
          <w:sz w:val="26"/>
          <w:szCs w:val="26"/>
        </w:rPr>
        <w:t>enī), jo jaunieši dažādu iemeslu</w:t>
      </w:r>
      <w:r w:rsidRPr="00432FCE">
        <w:rPr>
          <w:sz w:val="26"/>
          <w:szCs w:val="26"/>
        </w:rPr>
        <w:t xml:space="preserve"> dēļ, ne labprāt izvēlas šos studiju virzienus. Problēmu nevar atrisināt tikai ar budžeta vietu skaita palielināšanu, bet nepieciešami arī uzlabojumi vispārējā izglītībā, lai paaugstinātu jauniešu zināšanas eksaktos priekšmetos un palielinātu bērnu interesi par tiem.</w:t>
      </w:r>
    </w:p>
    <w:p w:rsidR="00432FCE" w:rsidRDefault="00432FCE" w:rsidP="00432FCE">
      <w:pPr>
        <w:jc w:val="right"/>
        <w:rPr>
          <w:sz w:val="26"/>
          <w:szCs w:val="28"/>
        </w:rPr>
      </w:pPr>
      <w:r>
        <w:rPr>
          <w:sz w:val="26"/>
          <w:szCs w:val="28"/>
        </w:rPr>
        <w:t>2.</w:t>
      </w:r>
      <w:r w:rsidR="00232700">
        <w:rPr>
          <w:sz w:val="26"/>
          <w:szCs w:val="28"/>
        </w:rPr>
        <w:t>6</w:t>
      </w:r>
      <w:r w:rsidRPr="00432FCE">
        <w:rPr>
          <w:sz w:val="26"/>
          <w:szCs w:val="28"/>
        </w:rPr>
        <w:t>.</w:t>
      </w:r>
      <w:r>
        <w:rPr>
          <w:sz w:val="26"/>
          <w:szCs w:val="28"/>
        </w:rPr>
        <w:t xml:space="preserve"> </w:t>
      </w:r>
      <w:r w:rsidRPr="00432FCE">
        <w:rPr>
          <w:sz w:val="26"/>
          <w:szCs w:val="28"/>
        </w:rPr>
        <w:t>attēls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523"/>
      </w:tblGrid>
      <w:tr w:rsidR="00521971" w:rsidRPr="00521971" w:rsidTr="00895051">
        <w:trPr>
          <w:trHeight w:val="423"/>
        </w:trPr>
        <w:tc>
          <w:tcPr>
            <w:tcW w:w="2565" w:type="pct"/>
            <w:vAlign w:val="bottom"/>
          </w:tcPr>
          <w:p w:rsidR="00521971" w:rsidRPr="00521971" w:rsidRDefault="00521971" w:rsidP="00895051">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bCs/>
                <w:spacing w:val="-2"/>
                <w:sz w:val="26"/>
                <w:szCs w:val="26"/>
              </w:rPr>
            </w:pPr>
            <w:r w:rsidRPr="00521971">
              <w:rPr>
                <w:b/>
                <w:bCs/>
                <w:spacing w:val="-2"/>
                <w:sz w:val="26"/>
                <w:szCs w:val="26"/>
              </w:rPr>
              <w:t xml:space="preserve">Zinātnes un inženierzinātņu </w:t>
            </w:r>
            <w:r>
              <w:rPr>
                <w:b/>
                <w:bCs/>
                <w:spacing w:val="-2"/>
                <w:sz w:val="26"/>
                <w:szCs w:val="26"/>
              </w:rPr>
              <w:br/>
            </w:r>
            <w:r w:rsidRPr="00521971">
              <w:rPr>
                <w:b/>
                <w:bCs/>
                <w:spacing w:val="-2"/>
                <w:sz w:val="26"/>
                <w:szCs w:val="26"/>
              </w:rPr>
              <w:t>jomas vecāko speciālistu</w:t>
            </w:r>
            <w:r w:rsidRPr="00521971">
              <w:rPr>
                <w:bCs/>
                <w:spacing w:val="-2"/>
                <w:sz w:val="26"/>
                <w:szCs w:val="26"/>
              </w:rPr>
              <w:t xml:space="preserve"> </w:t>
            </w:r>
            <w:r w:rsidRPr="00521971">
              <w:rPr>
                <w:b/>
                <w:bCs/>
                <w:spacing w:val="-2"/>
                <w:sz w:val="26"/>
                <w:szCs w:val="26"/>
              </w:rPr>
              <w:t>vecumstruktūra</w:t>
            </w:r>
            <w:r w:rsidRPr="00521971">
              <w:rPr>
                <w:bCs/>
                <w:spacing w:val="-2"/>
                <w:sz w:val="26"/>
                <w:szCs w:val="26"/>
              </w:rPr>
              <w:t xml:space="preserve">, </w:t>
            </w:r>
            <w:r>
              <w:rPr>
                <w:bCs/>
                <w:spacing w:val="-2"/>
                <w:sz w:val="26"/>
                <w:szCs w:val="26"/>
              </w:rPr>
              <w:br/>
            </w:r>
            <w:r w:rsidRPr="00521971">
              <w:rPr>
                <w:bCs/>
                <w:spacing w:val="-2"/>
                <w:sz w:val="26"/>
                <w:szCs w:val="26"/>
              </w:rPr>
              <w:t>2012.gadā, %,</w:t>
            </w:r>
          </w:p>
          <w:p w:rsidR="00521971" w:rsidRPr="00521971" w:rsidRDefault="00521971" w:rsidP="00895051">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bCs/>
                <w:spacing w:val="-2"/>
                <w:sz w:val="26"/>
                <w:szCs w:val="26"/>
              </w:rPr>
            </w:pPr>
          </w:p>
        </w:tc>
        <w:tc>
          <w:tcPr>
            <w:tcW w:w="2435" w:type="pct"/>
          </w:tcPr>
          <w:p w:rsidR="00521971" w:rsidRPr="00521971" w:rsidRDefault="00521971" w:rsidP="00895051">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bCs/>
                <w:spacing w:val="-2"/>
                <w:sz w:val="26"/>
                <w:szCs w:val="26"/>
              </w:rPr>
            </w:pPr>
            <w:r w:rsidRPr="00521971">
              <w:rPr>
                <w:b/>
                <w:bCs/>
                <w:spacing w:val="-2"/>
                <w:sz w:val="26"/>
                <w:szCs w:val="26"/>
              </w:rPr>
              <w:t>Apstrādes rūpniecībā nodarbināto Inženierzinātņu jomas vecāko speciālistu</w:t>
            </w:r>
            <w:r w:rsidRPr="00521971">
              <w:rPr>
                <w:bCs/>
                <w:spacing w:val="-2"/>
                <w:sz w:val="26"/>
                <w:szCs w:val="26"/>
              </w:rPr>
              <w:t xml:space="preserve"> </w:t>
            </w:r>
            <w:r w:rsidRPr="00521971">
              <w:rPr>
                <w:b/>
                <w:bCs/>
                <w:spacing w:val="-2"/>
                <w:sz w:val="26"/>
                <w:szCs w:val="26"/>
              </w:rPr>
              <w:t>vecumstruktūra</w:t>
            </w:r>
            <w:r w:rsidRPr="00521971">
              <w:rPr>
                <w:bCs/>
                <w:spacing w:val="-2"/>
                <w:sz w:val="26"/>
                <w:szCs w:val="26"/>
              </w:rPr>
              <w:t xml:space="preserve">, </w:t>
            </w:r>
            <w:r>
              <w:rPr>
                <w:bCs/>
                <w:spacing w:val="-2"/>
                <w:sz w:val="26"/>
                <w:szCs w:val="26"/>
              </w:rPr>
              <w:br/>
            </w:r>
            <w:r w:rsidRPr="00521971">
              <w:rPr>
                <w:bCs/>
                <w:spacing w:val="-2"/>
                <w:sz w:val="26"/>
                <w:szCs w:val="26"/>
              </w:rPr>
              <w:t>2012.gadā, %</w:t>
            </w:r>
          </w:p>
        </w:tc>
      </w:tr>
      <w:tr w:rsidR="00521971" w:rsidRPr="00A91230" w:rsidTr="00895051">
        <w:trPr>
          <w:trHeight w:val="3126"/>
        </w:trPr>
        <w:tc>
          <w:tcPr>
            <w:tcW w:w="2565" w:type="pct"/>
          </w:tcPr>
          <w:p w:rsidR="00521971" w:rsidRPr="00A91230" w:rsidRDefault="00521971" w:rsidP="00895051">
            <w:pPr>
              <w:tabs>
                <w:tab w:val="center" w:pos="2469"/>
              </w:tabs>
              <w:rPr>
                <w:sz w:val="26"/>
                <w:szCs w:val="26"/>
              </w:rPr>
            </w:pPr>
            <w:r w:rsidRPr="00A91230">
              <w:rPr>
                <w:sz w:val="26"/>
                <w:szCs w:val="26"/>
              </w:rPr>
              <w:tab/>
            </w:r>
            <w:r w:rsidRPr="00A91230">
              <w:rPr>
                <w:noProof/>
                <w:sz w:val="26"/>
                <w:szCs w:val="26"/>
                <w:lang w:eastAsia="lv-LV"/>
              </w:rPr>
              <w:drawing>
                <wp:inline distT="0" distB="0" distL="0" distR="0" wp14:anchorId="5EE79B6C" wp14:editId="76426FE6">
                  <wp:extent cx="2817628" cy="1637414"/>
                  <wp:effectExtent l="0" t="0" r="1905" b="127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435" w:type="pct"/>
          </w:tcPr>
          <w:p w:rsidR="00521971" w:rsidRPr="00A91230" w:rsidRDefault="00521971" w:rsidP="00895051">
            <w:pPr>
              <w:jc w:val="center"/>
              <w:rPr>
                <w:sz w:val="26"/>
                <w:szCs w:val="26"/>
              </w:rPr>
            </w:pPr>
            <w:r w:rsidRPr="00A91230">
              <w:rPr>
                <w:noProof/>
                <w:sz w:val="26"/>
                <w:szCs w:val="26"/>
                <w:lang w:eastAsia="lv-LV"/>
              </w:rPr>
              <w:drawing>
                <wp:inline distT="0" distB="0" distL="0" distR="0" wp14:anchorId="6DCBB972" wp14:editId="3B964406">
                  <wp:extent cx="2817628" cy="1828800"/>
                  <wp:effectExtent l="0" t="0" r="190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432FCE" w:rsidRPr="00026AE9" w:rsidRDefault="00432FCE" w:rsidP="00432FCE">
      <w:pPr>
        <w:spacing w:after="0" w:line="240" w:lineRule="auto"/>
        <w:ind w:firstLine="720"/>
        <w:jc w:val="both"/>
        <w:rPr>
          <w:spacing w:val="-2"/>
          <w:szCs w:val="20"/>
        </w:rPr>
      </w:pPr>
      <w:r w:rsidRPr="00026AE9">
        <w:rPr>
          <w:spacing w:val="-2"/>
          <w:szCs w:val="20"/>
        </w:rPr>
        <w:t>Avots: CSP</w:t>
      </w:r>
    </w:p>
    <w:p w:rsidR="00687CB9" w:rsidRDefault="00687CB9" w:rsidP="00521971">
      <w:pPr>
        <w:spacing w:after="0" w:line="240" w:lineRule="auto"/>
        <w:ind w:firstLine="567"/>
        <w:jc w:val="both"/>
        <w:rPr>
          <w:spacing w:val="-2"/>
          <w:sz w:val="20"/>
          <w:szCs w:val="20"/>
        </w:rPr>
      </w:pPr>
    </w:p>
    <w:p w:rsidR="00687CB9" w:rsidRDefault="00FB7700" w:rsidP="00521971">
      <w:pPr>
        <w:spacing w:after="0" w:line="240" w:lineRule="auto"/>
        <w:ind w:firstLine="567"/>
        <w:jc w:val="both"/>
        <w:rPr>
          <w:sz w:val="26"/>
          <w:szCs w:val="26"/>
        </w:rPr>
      </w:pPr>
      <w:r w:rsidRPr="00CD7B6E">
        <w:rPr>
          <w:sz w:val="26"/>
          <w:szCs w:val="26"/>
        </w:rPr>
        <w:t xml:space="preserve">Ekonomiski aktīvo iedzīvotāju skaits ar </w:t>
      </w:r>
      <w:r w:rsidRPr="00CD7B6E">
        <w:rPr>
          <w:b/>
          <w:sz w:val="26"/>
          <w:szCs w:val="26"/>
        </w:rPr>
        <w:t>vidējo izglītību</w:t>
      </w:r>
      <w:r w:rsidRPr="00CD7B6E">
        <w:rPr>
          <w:sz w:val="26"/>
          <w:szCs w:val="26"/>
        </w:rPr>
        <w:t xml:space="preserve"> 201</w:t>
      </w:r>
      <w:r>
        <w:rPr>
          <w:sz w:val="26"/>
          <w:szCs w:val="26"/>
        </w:rPr>
        <w:t>2</w:t>
      </w:r>
      <w:r w:rsidRPr="00CD7B6E">
        <w:rPr>
          <w:sz w:val="26"/>
          <w:szCs w:val="26"/>
        </w:rPr>
        <w:t xml:space="preserve">.gadā </w:t>
      </w:r>
      <w:r>
        <w:rPr>
          <w:sz w:val="26"/>
          <w:szCs w:val="26"/>
        </w:rPr>
        <w:t xml:space="preserve">bija tādā pašā līmenī kā </w:t>
      </w:r>
      <w:r w:rsidRPr="00CD7B6E">
        <w:rPr>
          <w:sz w:val="26"/>
          <w:szCs w:val="26"/>
        </w:rPr>
        <w:t>201</w:t>
      </w:r>
      <w:r>
        <w:rPr>
          <w:sz w:val="26"/>
          <w:szCs w:val="26"/>
        </w:rPr>
        <w:t>1</w:t>
      </w:r>
      <w:r w:rsidRPr="00CD7B6E">
        <w:rPr>
          <w:sz w:val="26"/>
          <w:szCs w:val="26"/>
        </w:rPr>
        <w:t>.gad</w:t>
      </w:r>
      <w:r>
        <w:rPr>
          <w:sz w:val="26"/>
          <w:szCs w:val="26"/>
        </w:rPr>
        <w:t>ā</w:t>
      </w:r>
      <w:r w:rsidRPr="00CD7B6E">
        <w:rPr>
          <w:sz w:val="26"/>
          <w:szCs w:val="26"/>
        </w:rPr>
        <w:t xml:space="preserve">. </w:t>
      </w:r>
      <w:r w:rsidRPr="00CD7B6E">
        <w:rPr>
          <w:rFonts w:eastAsia="Times New Roman"/>
          <w:color w:val="000000"/>
          <w:sz w:val="26"/>
          <w:szCs w:val="26"/>
          <w:lang w:eastAsia="lv-LV"/>
        </w:rPr>
        <w:t xml:space="preserve">Vērā ņemams iedzīvotāju skaits ar vidējo izglītību darba tirgū ir bez mācību iestādē iegūtas specialitātes </w:t>
      </w:r>
      <w:r>
        <w:rPr>
          <w:rFonts w:eastAsia="Times New Roman"/>
          <w:color w:val="000000"/>
          <w:sz w:val="26"/>
          <w:szCs w:val="26"/>
          <w:lang w:eastAsia="lv-LV"/>
        </w:rPr>
        <w:t>–</w:t>
      </w:r>
      <w:r w:rsidRPr="00CD7B6E">
        <w:rPr>
          <w:rFonts w:eastAsia="Times New Roman"/>
          <w:color w:val="000000"/>
          <w:sz w:val="26"/>
          <w:szCs w:val="26"/>
          <w:lang w:eastAsia="lv-LV"/>
        </w:rPr>
        <w:t xml:space="preserve"> 4</w:t>
      </w:r>
      <w:r>
        <w:rPr>
          <w:rFonts w:eastAsia="Times New Roman"/>
          <w:color w:val="000000"/>
          <w:sz w:val="26"/>
          <w:szCs w:val="26"/>
          <w:lang w:eastAsia="lv-LV"/>
        </w:rPr>
        <w:t>3</w:t>
      </w:r>
      <w:r w:rsidRPr="00CD7B6E">
        <w:rPr>
          <w:rFonts w:eastAsia="Times New Roman"/>
          <w:color w:val="000000"/>
          <w:sz w:val="26"/>
          <w:szCs w:val="26"/>
          <w:lang w:eastAsia="lv-LV"/>
        </w:rPr>
        <w:t>%</w:t>
      </w:r>
      <w:r>
        <w:rPr>
          <w:rFonts w:eastAsia="Times New Roman"/>
          <w:color w:val="000000"/>
          <w:sz w:val="26"/>
          <w:szCs w:val="26"/>
          <w:lang w:eastAsia="lv-LV"/>
        </w:rPr>
        <w:t xml:space="preserve"> no visiem ekonomiski aktīvajiem iedzīvotājiem ar vidējo izglītību</w:t>
      </w:r>
      <w:r w:rsidRPr="00CD7B6E">
        <w:rPr>
          <w:rFonts w:eastAsia="Times New Roman"/>
          <w:color w:val="000000"/>
          <w:sz w:val="26"/>
          <w:szCs w:val="26"/>
          <w:lang w:eastAsia="lv-LV"/>
        </w:rPr>
        <w:t xml:space="preserve">. </w:t>
      </w:r>
      <w:r>
        <w:rPr>
          <w:rFonts w:eastAsia="Times New Roman"/>
          <w:color w:val="000000"/>
          <w:sz w:val="26"/>
          <w:szCs w:val="26"/>
          <w:lang w:eastAsia="lv-LV"/>
        </w:rPr>
        <w:t xml:space="preserve">Savukārt lielāko daļu no </w:t>
      </w:r>
      <w:r w:rsidRPr="00CD7B6E">
        <w:rPr>
          <w:sz w:val="26"/>
          <w:szCs w:val="26"/>
        </w:rPr>
        <w:t>ekonomiski aktīvo iedzīvotāj</w:t>
      </w:r>
      <w:r>
        <w:rPr>
          <w:sz w:val="26"/>
          <w:szCs w:val="26"/>
        </w:rPr>
        <w:t>iem</w:t>
      </w:r>
      <w:r w:rsidRPr="00CD7B6E">
        <w:rPr>
          <w:sz w:val="26"/>
          <w:szCs w:val="26"/>
        </w:rPr>
        <w:t xml:space="preserve"> ar vidējo profesionālo izglītību</w:t>
      </w:r>
      <w:r>
        <w:rPr>
          <w:sz w:val="26"/>
          <w:szCs w:val="26"/>
        </w:rPr>
        <w:t xml:space="preserve"> veido </w:t>
      </w:r>
      <w:r w:rsidRPr="00CD7B6E">
        <w:rPr>
          <w:color w:val="000000"/>
          <w:sz w:val="26"/>
          <w:szCs w:val="26"/>
        </w:rPr>
        <w:t>inženierzinātņu, ražošanas un būvniecības tematiskā grup</w:t>
      </w:r>
      <w:r>
        <w:rPr>
          <w:color w:val="000000"/>
          <w:sz w:val="26"/>
          <w:szCs w:val="26"/>
        </w:rPr>
        <w:t>as pārstāvji</w:t>
      </w:r>
      <w:r w:rsidRPr="00CD7B6E">
        <w:rPr>
          <w:sz w:val="26"/>
          <w:szCs w:val="26"/>
        </w:rPr>
        <w:t>.</w:t>
      </w:r>
    </w:p>
    <w:p w:rsidR="00687CB9" w:rsidRDefault="00687CB9" w:rsidP="0077399B">
      <w:pPr>
        <w:spacing w:after="0" w:line="240" w:lineRule="auto"/>
        <w:jc w:val="both"/>
        <w:rPr>
          <w:sz w:val="26"/>
          <w:szCs w:val="26"/>
        </w:rPr>
      </w:pPr>
    </w:p>
    <w:p w:rsidR="00687CB9" w:rsidRDefault="00FB7700" w:rsidP="0077399B">
      <w:pPr>
        <w:spacing w:after="0" w:line="240" w:lineRule="auto"/>
        <w:jc w:val="both"/>
        <w:rPr>
          <w:b/>
          <w:sz w:val="26"/>
          <w:szCs w:val="26"/>
        </w:rPr>
      </w:pPr>
      <w:r w:rsidRPr="00CD7B6E">
        <w:rPr>
          <w:b/>
          <w:sz w:val="26"/>
          <w:szCs w:val="26"/>
        </w:rPr>
        <w:t>Izglītības piedāvājums</w:t>
      </w:r>
    </w:p>
    <w:p w:rsidR="00D90219" w:rsidRPr="00D90219" w:rsidRDefault="00D90219" w:rsidP="0077399B">
      <w:pPr>
        <w:spacing w:after="0" w:line="240" w:lineRule="auto"/>
        <w:ind w:firstLine="567"/>
        <w:jc w:val="both"/>
        <w:rPr>
          <w:sz w:val="8"/>
          <w:szCs w:val="26"/>
        </w:rPr>
      </w:pPr>
    </w:p>
    <w:p w:rsidR="00687CB9" w:rsidRDefault="00FB7700" w:rsidP="0077399B">
      <w:pPr>
        <w:spacing w:after="0" w:line="240" w:lineRule="auto"/>
        <w:ind w:firstLine="567"/>
        <w:jc w:val="both"/>
        <w:rPr>
          <w:sz w:val="26"/>
          <w:szCs w:val="26"/>
        </w:rPr>
      </w:pPr>
      <w:r w:rsidRPr="00CD7B6E">
        <w:rPr>
          <w:sz w:val="26"/>
          <w:szCs w:val="26"/>
        </w:rPr>
        <w:t xml:space="preserve">Ilgstoši zemā dzimstība </w:t>
      </w:r>
      <w:r>
        <w:rPr>
          <w:sz w:val="26"/>
          <w:szCs w:val="26"/>
        </w:rPr>
        <w:t>būtiski ietekmē</w:t>
      </w:r>
      <w:r w:rsidRPr="00CD7B6E">
        <w:rPr>
          <w:sz w:val="26"/>
          <w:szCs w:val="26"/>
        </w:rPr>
        <w:t xml:space="preserve"> pamatskolu beigušo skaitu,</w:t>
      </w:r>
      <w:r>
        <w:rPr>
          <w:sz w:val="26"/>
          <w:szCs w:val="26"/>
        </w:rPr>
        <w:t xml:space="preserve"> vienlaikus </w:t>
      </w:r>
      <w:r w:rsidRPr="00CD7B6E">
        <w:rPr>
          <w:sz w:val="26"/>
          <w:szCs w:val="26"/>
        </w:rPr>
        <w:t xml:space="preserve">negatīvi ietekmējot vidējās izglītības iestādēs uzņemto audzēkņu skaitu. Pamatskolu beidzēju izvēle par turpmāko izglītības iestādi lielākā mērā ietekmē vidējās izglītības struktūru. </w:t>
      </w:r>
      <w:r>
        <w:rPr>
          <w:sz w:val="26"/>
          <w:szCs w:val="26"/>
        </w:rPr>
        <w:t>Jāatzīmē, ka a</w:t>
      </w:r>
      <w:r w:rsidRPr="00CD7B6E">
        <w:rPr>
          <w:sz w:val="26"/>
          <w:szCs w:val="26"/>
        </w:rPr>
        <w:t>izvien lielāka pamatskolu beidzēju daļa izvēlas turpināt mācības profesionālās izglītības iestādēs.</w:t>
      </w:r>
    </w:p>
    <w:p w:rsidR="00026AE9" w:rsidRDefault="00026AE9">
      <w:pPr>
        <w:spacing w:after="0" w:line="240" w:lineRule="auto"/>
        <w:rPr>
          <w:sz w:val="26"/>
          <w:szCs w:val="26"/>
        </w:rPr>
      </w:pPr>
      <w:r>
        <w:rPr>
          <w:sz w:val="26"/>
          <w:szCs w:val="26"/>
        </w:rPr>
        <w:br w:type="page"/>
      </w:r>
    </w:p>
    <w:p w:rsidR="00687CB9" w:rsidRDefault="00FB7700" w:rsidP="0077399B">
      <w:pPr>
        <w:spacing w:after="0" w:line="240" w:lineRule="auto"/>
        <w:ind w:firstLine="567"/>
        <w:jc w:val="right"/>
        <w:rPr>
          <w:sz w:val="26"/>
          <w:szCs w:val="26"/>
        </w:rPr>
      </w:pPr>
      <w:r w:rsidRPr="00CD7B6E">
        <w:rPr>
          <w:sz w:val="26"/>
          <w:szCs w:val="26"/>
        </w:rPr>
        <w:lastRenderedPageBreak/>
        <w:t>2.7. attēls</w:t>
      </w:r>
    </w:p>
    <w:p w:rsidR="00687CB9" w:rsidRDefault="00FB7700"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
          <w:bCs/>
          <w:spacing w:val="-2"/>
          <w:sz w:val="26"/>
          <w:szCs w:val="26"/>
        </w:rPr>
      </w:pPr>
      <w:r w:rsidRPr="00CD7B6E">
        <w:rPr>
          <w:b/>
          <w:bCs/>
          <w:spacing w:val="-2"/>
          <w:sz w:val="26"/>
          <w:szCs w:val="26"/>
        </w:rPr>
        <w:t xml:space="preserve">Uzņemtie audzēkņi </w:t>
      </w:r>
      <w:r>
        <w:rPr>
          <w:b/>
          <w:bCs/>
          <w:spacing w:val="-2"/>
          <w:sz w:val="26"/>
          <w:szCs w:val="26"/>
        </w:rPr>
        <w:t>un studenti izglītības iestādēs</w:t>
      </w:r>
    </w:p>
    <w:p w:rsidR="00687CB9" w:rsidRDefault="00FB7700"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Cs/>
          <w:spacing w:val="-2"/>
          <w:sz w:val="22"/>
          <w:szCs w:val="22"/>
        </w:rPr>
      </w:pPr>
      <w:r w:rsidRPr="00CD7B6E">
        <w:rPr>
          <w:bCs/>
          <w:spacing w:val="-2"/>
          <w:sz w:val="22"/>
          <w:szCs w:val="22"/>
        </w:rPr>
        <w:t>(</w:t>
      </w:r>
      <w:proofErr w:type="spellStart"/>
      <w:r w:rsidRPr="00CD7B6E">
        <w:rPr>
          <w:bCs/>
          <w:spacing w:val="-2"/>
          <w:sz w:val="22"/>
          <w:szCs w:val="22"/>
        </w:rPr>
        <w:t>tūkst</w:t>
      </w:r>
      <w:proofErr w:type="spellEnd"/>
      <w:r w:rsidRPr="00CD7B6E">
        <w:rPr>
          <w:bCs/>
          <w:spacing w:val="-2"/>
          <w:sz w:val="22"/>
          <w:szCs w:val="22"/>
        </w:rPr>
        <w:t>.)</w:t>
      </w:r>
    </w:p>
    <w:p w:rsidR="00687CB9" w:rsidRDefault="00FB7700" w:rsidP="0077399B">
      <w:pPr>
        <w:spacing w:after="0" w:line="240" w:lineRule="auto"/>
        <w:jc w:val="center"/>
        <w:rPr>
          <w:sz w:val="28"/>
          <w:szCs w:val="28"/>
        </w:rPr>
      </w:pPr>
      <w:r w:rsidRPr="00CD7B6E">
        <w:rPr>
          <w:noProof/>
          <w:sz w:val="28"/>
          <w:szCs w:val="28"/>
          <w:lang w:eastAsia="lv-LV"/>
        </w:rPr>
        <w:drawing>
          <wp:inline distT="0" distB="0" distL="0" distR="0" wp14:anchorId="75DD9CFE" wp14:editId="51DCAEEA">
            <wp:extent cx="5760000" cy="288000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7CB9" w:rsidRPr="00F3399B" w:rsidRDefault="00687CB9" w:rsidP="0077399B">
      <w:pPr>
        <w:spacing w:after="0" w:line="240" w:lineRule="auto"/>
        <w:ind w:firstLine="567"/>
        <w:jc w:val="both"/>
        <w:rPr>
          <w:sz w:val="8"/>
          <w:szCs w:val="16"/>
        </w:rPr>
      </w:pPr>
    </w:p>
    <w:p w:rsidR="00521971" w:rsidRPr="00026AE9" w:rsidRDefault="00521971" w:rsidP="00521971">
      <w:pPr>
        <w:spacing w:after="0" w:line="240" w:lineRule="auto"/>
        <w:ind w:firstLine="567"/>
        <w:jc w:val="both"/>
        <w:rPr>
          <w:spacing w:val="-2"/>
          <w:szCs w:val="20"/>
        </w:rPr>
      </w:pPr>
      <w:r w:rsidRPr="00026AE9">
        <w:rPr>
          <w:spacing w:val="-2"/>
          <w:szCs w:val="20"/>
        </w:rPr>
        <w:t>Avots: CSP</w:t>
      </w:r>
    </w:p>
    <w:p w:rsidR="00521971" w:rsidRPr="00061C54" w:rsidRDefault="00521971" w:rsidP="0077399B">
      <w:pPr>
        <w:spacing w:after="0" w:line="240" w:lineRule="auto"/>
        <w:ind w:firstLine="567"/>
        <w:jc w:val="both"/>
        <w:rPr>
          <w:sz w:val="18"/>
          <w:szCs w:val="16"/>
        </w:rPr>
      </w:pPr>
    </w:p>
    <w:p w:rsidR="00687CB9" w:rsidRDefault="00FB7700" w:rsidP="0077399B">
      <w:pPr>
        <w:spacing w:after="0" w:line="240" w:lineRule="auto"/>
        <w:ind w:firstLine="567"/>
        <w:jc w:val="both"/>
        <w:rPr>
          <w:sz w:val="26"/>
          <w:szCs w:val="26"/>
        </w:rPr>
      </w:pPr>
      <w:r w:rsidRPr="009B6015">
        <w:rPr>
          <w:sz w:val="26"/>
          <w:szCs w:val="26"/>
        </w:rPr>
        <w:t>Jau vairākus gadus samazinās vidusskolās uzņemto audzēkņu skaits, vienlaikus profesionālās izglītības iestādēs uzņemto audzēkņu skaitam paliekot aptuveni tajā pašā līmenī. Tas skaidrojams ar kopējo demogrāfisko situāciju valstī (samazinās pamatskolu beigušo jauniešu skaits), kā arī ar to, ka pieaug to personu skaits, kas ar jau iepriekš iegūtu izglītību, tai skaitā vispārējo vidējo, mācības turpina profesionālās izglītības iestādēs.</w:t>
      </w:r>
    </w:p>
    <w:p w:rsidR="00F3399B" w:rsidRDefault="00F3399B" w:rsidP="00F3399B">
      <w:pPr>
        <w:spacing w:after="0" w:line="240" w:lineRule="auto"/>
        <w:ind w:firstLine="709"/>
        <w:jc w:val="right"/>
        <w:rPr>
          <w:sz w:val="26"/>
          <w:szCs w:val="26"/>
        </w:rPr>
      </w:pPr>
      <w:r>
        <w:rPr>
          <w:sz w:val="26"/>
          <w:szCs w:val="26"/>
        </w:rPr>
        <w:t>2.3. tabula</w:t>
      </w:r>
    </w:p>
    <w:p w:rsidR="00F3399B" w:rsidRDefault="00F3399B" w:rsidP="00F3399B">
      <w:pPr>
        <w:pStyle w:val="9pirmstab3"/>
        <w:tabs>
          <w:tab w:val="left" w:pos="720"/>
        </w:tabs>
        <w:suppressAutoHyphens/>
        <w:spacing w:after="0"/>
        <w:rPr>
          <w:b/>
          <w:bCs/>
          <w:spacing w:val="-2"/>
          <w:sz w:val="26"/>
          <w:szCs w:val="26"/>
        </w:rPr>
      </w:pPr>
      <w:r>
        <w:rPr>
          <w:b/>
          <w:bCs/>
          <w:spacing w:val="-2"/>
          <w:sz w:val="26"/>
          <w:szCs w:val="26"/>
        </w:rPr>
        <w:t>Pamatskolu un vidusskolu beigušo turpmākā apmācība</w:t>
      </w:r>
    </w:p>
    <w:p w:rsidR="00F3399B" w:rsidRDefault="00F3399B" w:rsidP="00F3399B">
      <w:pPr>
        <w:pStyle w:val="9pirmstab3"/>
        <w:tabs>
          <w:tab w:val="left" w:pos="720"/>
        </w:tabs>
        <w:suppressAutoHyphens/>
        <w:spacing w:after="0"/>
        <w:rPr>
          <w:bCs/>
          <w:spacing w:val="-2"/>
          <w:sz w:val="8"/>
          <w:szCs w:val="8"/>
        </w:rPr>
      </w:pPr>
    </w:p>
    <w:tbl>
      <w:tblPr>
        <w:tblStyle w:val="MediumList1-Accent4"/>
        <w:tblW w:w="9285" w:type="dxa"/>
        <w:jc w:val="center"/>
        <w:tblLayout w:type="fixed"/>
        <w:tblLook w:val="0400" w:firstRow="0" w:lastRow="0" w:firstColumn="0" w:lastColumn="0" w:noHBand="0" w:noVBand="1"/>
      </w:tblPr>
      <w:tblGrid>
        <w:gridCol w:w="4012"/>
        <w:gridCol w:w="754"/>
        <w:gridCol w:w="754"/>
        <w:gridCol w:w="753"/>
        <w:gridCol w:w="753"/>
        <w:gridCol w:w="753"/>
        <w:gridCol w:w="753"/>
        <w:gridCol w:w="753"/>
      </w:tblGrid>
      <w:tr w:rsidR="00F3399B" w:rsidTr="001E4BA5">
        <w:trPr>
          <w:cnfStyle w:val="000000100000" w:firstRow="0" w:lastRow="0" w:firstColumn="0" w:lastColumn="0" w:oddVBand="0" w:evenVBand="0" w:oddHBand="1" w:evenHBand="0" w:firstRowFirstColumn="0" w:firstRowLastColumn="0" w:lastRowFirstColumn="0" w:lastRowLastColumn="0"/>
          <w:jc w:val="center"/>
        </w:trPr>
        <w:tc>
          <w:tcPr>
            <w:tcW w:w="4014" w:type="dxa"/>
            <w:tcBorders>
              <w:top w:val="single" w:sz="8" w:space="0" w:color="8064A2" w:themeColor="accent4"/>
              <w:left w:val="nil"/>
              <w:bottom w:val="single" w:sz="8" w:space="0" w:color="8064A2" w:themeColor="accent4"/>
              <w:right w:val="nil"/>
            </w:tcBorders>
          </w:tcPr>
          <w:p w:rsidR="00F3399B" w:rsidRDefault="00F3399B">
            <w:pPr>
              <w:numPr>
                <w:ilvl w:val="12"/>
                <w:numId w:val="0"/>
              </w:numPr>
              <w:spacing w:before="40" w:after="40" w:line="240" w:lineRule="auto"/>
              <w:jc w:val="center"/>
              <w:rPr>
                <w:b/>
                <w:sz w:val="20"/>
                <w:szCs w:val="20"/>
              </w:rPr>
            </w:pPr>
          </w:p>
        </w:tc>
        <w:tc>
          <w:tcPr>
            <w:tcW w:w="754"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2006</w:t>
            </w:r>
          </w:p>
        </w:tc>
        <w:tc>
          <w:tcPr>
            <w:tcW w:w="754"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2007</w:t>
            </w:r>
          </w:p>
        </w:tc>
        <w:tc>
          <w:tcPr>
            <w:tcW w:w="753"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2008</w:t>
            </w:r>
          </w:p>
        </w:tc>
        <w:tc>
          <w:tcPr>
            <w:tcW w:w="753"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2009</w:t>
            </w:r>
          </w:p>
        </w:tc>
        <w:tc>
          <w:tcPr>
            <w:tcW w:w="753"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2010</w:t>
            </w:r>
          </w:p>
        </w:tc>
        <w:tc>
          <w:tcPr>
            <w:tcW w:w="753"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2011</w:t>
            </w:r>
          </w:p>
        </w:tc>
        <w:tc>
          <w:tcPr>
            <w:tcW w:w="753" w:type="dxa"/>
            <w:tcBorders>
              <w:top w:val="single" w:sz="8" w:space="0" w:color="8064A2" w:themeColor="accent4"/>
              <w:left w:val="nil"/>
              <w:bottom w:val="single" w:sz="8" w:space="0" w:color="8064A2" w:themeColor="accent4"/>
              <w:right w:val="nil"/>
            </w:tcBorders>
            <w:hideMark/>
          </w:tcPr>
          <w:p w:rsidR="00F3399B" w:rsidRDefault="00F3399B">
            <w:pPr>
              <w:keepLines/>
              <w:numPr>
                <w:ilvl w:val="12"/>
                <w:numId w:val="0"/>
              </w:numPr>
              <w:spacing w:before="40" w:after="40" w:line="240" w:lineRule="auto"/>
              <w:ind w:left="-79" w:right="-56"/>
              <w:jc w:val="center"/>
              <w:rPr>
                <w:b/>
                <w:sz w:val="20"/>
                <w:szCs w:val="20"/>
              </w:rPr>
            </w:pPr>
            <w:r>
              <w:rPr>
                <w:b/>
                <w:sz w:val="20"/>
                <w:szCs w:val="20"/>
              </w:rPr>
              <w:t>2012</w:t>
            </w:r>
          </w:p>
        </w:tc>
      </w:tr>
      <w:tr w:rsidR="00F3399B" w:rsidTr="001E4BA5">
        <w:trPr>
          <w:jc w:val="center"/>
        </w:trPr>
        <w:tc>
          <w:tcPr>
            <w:tcW w:w="4014" w:type="dxa"/>
            <w:tcBorders>
              <w:top w:val="single" w:sz="8" w:space="0" w:color="8064A2" w:themeColor="accent4"/>
              <w:left w:val="nil"/>
              <w:bottom w:val="nil"/>
              <w:right w:val="nil"/>
            </w:tcBorders>
            <w:hideMark/>
          </w:tcPr>
          <w:p w:rsidR="00F3399B" w:rsidRDefault="00F3399B">
            <w:pPr>
              <w:numPr>
                <w:ilvl w:val="12"/>
                <w:numId w:val="0"/>
              </w:numPr>
              <w:spacing w:before="40" w:after="40" w:line="240" w:lineRule="auto"/>
              <w:rPr>
                <w:sz w:val="20"/>
                <w:szCs w:val="20"/>
              </w:rPr>
            </w:pPr>
            <w:r>
              <w:rPr>
                <w:b/>
                <w:sz w:val="20"/>
                <w:szCs w:val="20"/>
              </w:rPr>
              <w:t xml:space="preserve">Pamatskolu beigušo skaits, </w:t>
            </w:r>
            <w:proofErr w:type="spellStart"/>
            <w:r>
              <w:rPr>
                <w:sz w:val="20"/>
                <w:szCs w:val="20"/>
              </w:rPr>
              <w:t>tūkst</w:t>
            </w:r>
            <w:proofErr w:type="spellEnd"/>
            <w:r>
              <w:rPr>
                <w:sz w:val="20"/>
                <w:szCs w:val="20"/>
              </w:rPr>
              <w:t>.</w:t>
            </w:r>
          </w:p>
          <w:p w:rsidR="00F3399B" w:rsidRDefault="00F3399B">
            <w:pPr>
              <w:numPr>
                <w:ilvl w:val="12"/>
                <w:numId w:val="0"/>
              </w:numPr>
              <w:spacing w:before="40" w:after="40" w:line="240" w:lineRule="auto"/>
              <w:ind w:firstLine="142"/>
              <w:rPr>
                <w:b/>
                <w:sz w:val="20"/>
                <w:szCs w:val="20"/>
              </w:rPr>
            </w:pPr>
            <w:r>
              <w:rPr>
                <w:sz w:val="20"/>
                <w:szCs w:val="20"/>
              </w:rPr>
              <w:t>no tiem, %</w:t>
            </w:r>
          </w:p>
        </w:tc>
        <w:tc>
          <w:tcPr>
            <w:tcW w:w="754"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32,1</w:t>
            </w:r>
          </w:p>
        </w:tc>
        <w:tc>
          <w:tcPr>
            <w:tcW w:w="754"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29,9</w:t>
            </w:r>
          </w:p>
        </w:tc>
        <w:tc>
          <w:tcPr>
            <w:tcW w:w="753"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28,2</w:t>
            </w:r>
          </w:p>
        </w:tc>
        <w:tc>
          <w:tcPr>
            <w:tcW w:w="753"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25,1</w:t>
            </w:r>
          </w:p>
        </w:tc>
        <w:tc>
          <w:tcPr>
            <w:tcW w:w="753"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22,3</w:t>
            </w:r>
          </w:p>
        </w:tc>
        <w:tc>
          <w:tcPr>
            <w:tcW w:w="753"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20,2</w:t>
            </w:r>
          </w:p>
        </w:tc>
        <w:tc>
          <w:tcPr>
            <w:tcW w:w="753" w:type="dxa"/>
            <w:tcBorders>
              <w:top w:val="single" w:sz="8" w:space="0" w:color="8064A2" w:themeColor="accent4"/>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17,8</w:t>
            </w:r>
          </w:p>
        </w:tc>
      </w:tr>
      <w:tr w:rsidR="00F3399B" w:rsidTr="001E4BA5">
        <w:trPr>
          <w:cnfStyle w:val="000000100000" w:firstRow="0" w:lastRow="0" w:firstColumn="0" w:lastColumn="0" w:oddVBand="0" w:evenVBand="0" w:oddHBand="1" w:evenHBand="0" w:firstRowFirstColumn="0" w:firstRowLastColumn="0" w:lastRowFirstColumn="0" w:lastRowLastColumn="0"/>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mācības turpina vidusskolās</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64,5</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62,1</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62,7</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68,4</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60,9</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60,7</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60,8</w:t>
            </w:r>
          </w:p>
        </w:tc>
      </w:tr>
      <w:tr w:rsidR="00F3399B" w:rsidTr="001E4BA5">
        <w:trPr>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xml:space="preserve">... mācības turpina profesionālās </w:t>
            </w:r>
            <w:r w:rsidR="001E4BA5">
              <w:rPr>
                <w:sz w:val="20"/>
                <w:szCs w:val="20"/>
              </w:rPr>
              <w:br/>
            </w:r>
            <w:r>
              <w:rPr>
                <w:sz w:val="20"/>
                <w:szCs w:val="20"/>
              </w:rPr>
              <w:t>izglītības iestādēs</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30,4</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30,4</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32,7</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28,1</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33,8</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33,9</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33,8</w:t>
            </w:r>
          </w:p>
        </w:tc>
      </w:tr>
      <w:tr w:rsidR="00F3399B" w:rsidTr="001E4BA5">
        <w:trPr>
          <w:cnfStyle w:val="000000100000" w:firstRow="0" w:lastRow="0" w:firstColumn="0" w:lastColumn="0" w:oddVBand="0" w:evenVBand="0" w:oddHBand="1" w:evenHBand="0" w:firstRowFirstColumn="0" w:firstRowLastColumn="0" w:lastRowFirstColumn="0" w:lastRowLastColumn="0"/>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xml:space="preserve">... mācības neturpina </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5,1</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7,5</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4,6</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3,5</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5,3</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5,4</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5,4</w:t>
            </w:r>
          </w:p>
        </w:tc>
      </w:tr>
      <w:tr w:rsidR="00F3399B" w:rsidTr="001E4BA5">
        <w:trPr>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rPr>
                <w:sz w:val="20"/>
                <w:szCs w:val="20"/>
              </w:rPr>
            </w:pPr>
            <w:r>
              <w:rPr>
                <w:b/>
                <w:sz w:val="20"/>
                <w:szCs w:val="20"/>
              </w:rPr>
              <w:t xml:space="preserve">vidusskolu beigušo skaits, </w:t>
            </w:r>
            <w:proofErr w:type="spellStart"/>
            <w:r>
              <w:rPr>
                <w:sz w:val="20"/>
                <w:szCs w:val="20"/>
              </w:rPr>
              <w:t>tūkst</w:t>
            </w:r>
            <w:proofErr w:type="spellEnd"/>
            <w:r>
              <w:rPr>
                <w:sz w:val="20"/>
                <w:szCs w:val="20"/>
              </w:rPr>
              <w:t>.,</w:t>
            </w:r>
          </w:p>
          <w:p w:rsidR="00F3399B" w:rsidRDefault="00F3399B">
            <w:pPr>
              <w:numPr>
                <w:ilvl w:val="12"/>
                <w:numId w:val="0"/>
              </w:numPr>
              <w:spacing w:before="40" w:after="40" w:line="240" w:lineRule="auto"/>
              <w:rPr>
                <w:b/>
                <w:sz w:val="20"/>
                <w:szCs w:val="20"/>
              </w:rPr>
            </w:pPr>
            <w:r>
              <w:rPr>
                <w:sz w:val="20"/>
                <w:szCs w:val="20"/>
              </w:rPr>
              <w:t>no tiem, %</w:t>
            </w:r>
          </w:p>
        </w:tc>
        <w:tc>
          <w:tcPr>
            <w:tcW w:w="754"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20,9</w:t>
            </w:r>
          </w:p>
        </w:tc>
        <w:tc>
          <w:tcPr>
            <w:tcW w:w="754"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20,7</w:t>
            </w:r>
          </w:p>
        </w:tc>
        <w:tc>
          <w:tcPr>
            <w:tcW w:w="753"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20,3</w:t>
            </w:r>
          </w:p>
        </w:tc>
        <w:tc>
          <w:tcPr>
            <w:tcW w:w="753"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20,0</w:t>
            </w:r>
          </w:p>
        </w:tc>
        <w:tc>
          <w:tcPr>
            <w:tcW w:w="753"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19,0</w:t>
            </w:r>
          </w:p>
        </w:tc>
        <w:tc>
          <w:tcPr>
            <w:tcW w:w="753"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18,2</w:t>
            </w:r>
          </w:p>
        </w:tc>
        <w:tc>
          <w:tcPr>
            <w:tcW w:w="753" w:type="dxa"/>
            <w:tcBorders>
              <w:top w:val="nil"/>
              <w:left w:val="nil"/>
              <w:bottom w:val="nil"/>
              <w:right w:val="nil"/>
            </w:tcBorders>
            <w:hideMark/>
          </w:tcPr>
          <w:p w:rsidR="00F3399B" w:rsidRDefault="00F3399B" w:rsidP="001E4BA5">
            <w:pPr>
              <w:tabs>
                <w:tab w:val="decimal" w:pos="299"/>
              </w:tabs>
              <w:spacing w:before="40" w:after="40" w:line="240" w:lineRule="auto"/>
              <w:rPr>
                <w:sz w:val="20"/>
                <w:szCs w:val="20"/>
              </w:rPr>
            </w:pPr>
            <w:r>
              <w:rPr>
                <w:sz w:val="20"/>
                <w:szCs w:val="20"/>
              </w:rPr>
              <w:t>16,6</w:t>
            </w:r>
          </w:p>
        </w:tc>
      </w:tr>
      <w:tr w:rsidR="00F3399B" w:rsidTr="001E4BA5">
        <w:trPr>
          <w:cnfStyle w:val="000000100000" w:firstRow="0" w:lastRow="0" w:firstColumn="0" w:lastColumn="0" w:oddVBand="0" w:evenVBand="0" w:oddHBand="1" w:evenHBand="0" w:firstRowFirstColumn="0" w:firstRowLastColumn="0" w:lastRowFirstColumn="0" w:lastRowLastColumn="0"/>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mācības turpina augstskolās un koledžās</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73,1</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74,4</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75,0</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66,4</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58,9</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58,3</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62,8</w:t>
            </w:r>
          </w:p>
        </w:tc>
      </w:tr>
      <w:tr w:rsidR="00F3399B" w:rsidTr="001E4BA5">
        <w:trPr>
          <w:jc w:val="center"/>
        </w:trPr>
        <w:tc>
          <w:tcPr>
            <w:tcW w:w="4014" w:type="dxa"/>
            <w:tcBorders>
              <w:top w:val="nil"/>
              <w:left w:val="nil"/>
              <w:bottom w:val="nil"/>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xml:space="preserve">... mācības turpina profesionālās </w:t>
            </w:r>
            <w:r w:rsidR="001E4BA5">
              <w:rPr>
                <w:sz w:val="20"/>
                <w:szCs w:val="20"/>
              </w:rPr>
              <w:br/>
            </w:r>
            <w:r>
              <w:rPr>
                <w:sz w:val="20"/>
                <w:szCs w:val="20"/>
              </w:rPr>
              <w:t>izglītības iestādēs</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3,2</w:t>
            </w:r>
          </w:p>
        </w:tc>
        <w:tc>
          <w:tcPr>
            <w:tcW w:w="754"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2,8</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2,8</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2,3</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4,2</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5,3</w:t>
            </w:r>
          </w:p>
        </w:tc>
        <w:tc>
          <w:tcPr>
            <w:tcW w:w="753" w:type="dxa"/>
            <w:tcBorders>
              <w:top w:val="nil"/>
              <w:left w:val="nil"/>
              <w:bottom w:val="nil"/>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6,4</w:t>
            </w:r>
          </w:p>
        </w:tc>
      </w:tr>
      <w:tr w:rsidR="00F3399B" w:rsidTr="001E4BA5">
        <w:trPr>
          <w:cnfStyle w:val="000000100000" w:firstRow="0" w:lastRow="0" w:firstColumn="0" w:lastColumn="0" w:oddVBand="0" w:evenVBand="0" w:oddHBand="1" w:evenHBand="0" w:firstRowFirstColumn="0" w:firstRowLastColumn="0" w:lastRowFirstColumn="0" w:lastRowLastColumn="0"/>
          <w:jc w:val="center"/>
        </w:trPr>
        <w:tc>
          <w:tcPr>
            <w:tcW w:w="4014" w:type="dxa"/>
            <w:tcBorders>
              <w:top w:val="nil"/>
              <w:left w:val="nil"/>
              <w:bottom w:val="single" w:sz="8" w:space="0" w:color="8064A2" w:themeColor="accent4"/>
              <w:right w:val="nil"/>
            </w:tcBorders>
            <w:hideMark/>
          </w:tcPr>
          <w:p w:rsidR="00F3399B" w:rsidRDefault="00F3399B">
            <w:pPr>
              <w:numPr>
                <w:ilvl w:val="12"/>
                <w:numId w:val="0"/>
              </w:numPr>
              <w:spacing w:before="40" w:after="40" w:line="240" w:lineRule="auto"/>
              <w:ind w:left="224" w:hanging="224"/>
              <w:rPr>
                <w:sz w:val="20"/>
                <w:szCs w:val="20"/>
              </w:rPr>
            </w:pPr>
            <w:r>
              <w:rPr>
                <w:sz w:val="20"/>
                <w:szCs w:val="20"/>
              </w:rPr>
              <w:t xml:space="preserve">... mācības neturpina </w:t>
            </w:r>
          </w:p>
        </w:tc>
        <w:tc>
          <w:tcPr>
            <w:tcW w:w="754"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23,7</w:t>
            </w:r>
          </w:p>
        </w:tc>
        <w:tc>
          <w:tcPr>
            <w:tcW w:w="754"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22,8</w:t>
            </w:r>
          </w:p>
        </w:tc>
        <w:tc>
          <w:tcPr>
            <w:tcW w:w="753"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22,2</w:t>
            </w:r>
          </w:p>
        </w:tc>
        <w:tc>
          <w:tcPr>
            <w:tcW w:w="753"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31,3</w:t>
            </w:r>
          </w:p>
        </w:tc>
        <w:tc>
          <w:tcPr>
            <w:tcW w:w="753"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36,9</w:t>
            </w:r>
          </w:p>
        </w:tc>
        <w:tc>
          <w:tcPr>
            <w:tcW w:w="753"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36,4</w:t>
            </w:r>
          </w:p>
        </w:tc>
        <w:tc>
          <w:tcPr>
            <w:tcW w:w="753" w:type="dxa"/>
            <w:tcBorders>
              <w:top w:val="nil"/>
              <w:left w:val="nil"/>
              <w:bottom w:val="single" w:sz="8" w:space="0" w:color="8064A2" w:themeColor="accent4"/>
              <w:right w:val="nil"/>
            </w:tcBorders>
            <w:vAlign w:val="center"/>
            <w:hideMark/>
          </w:tcPr>
          <w:p w:rsidR="00F3399B" w:rsidRDefault="00F3399B" w:rsidP="001E4BA5">
            <w:pPr>
              <w:tabs>
                <w:tab w:val="decimal" w:pos="299"/>
              </w:tabs>
              <w:spacing w:before="40" w:after="40" w:line="240" w:lineRule="auto"/>
              <w:rPr>
                <w:sz w:val="20"/>
                <w:szCs w:val="20"/>
              </w:rPr>
            </w:pPr>
            <w:r>
              <w:rPr>
                <w:sz w:val="20"/>
                <w:szCs w:val="20"/>
              </w:rPr>
              <w:t>30,8</w:t>
            </w:r>
          </w:p>
        </w:tc>
      </w:tr>
    </w:tbl>
    <w:p w:rsidR="00061C54" w:rsidRPr="002F6F95" w:rsidRDefault="00061C54" w:rsidP="00061C54">
      <w:pPr>
        <w:spacing w:after="0" w:line="240" w:lineRule="auto"/>
        <w:jc w:val="both"/>
        <w:rPr>
          <w:spacing w:val="-2"/>
          <w:sz w:val="8"/>
          <w:szCs w:val="20"/>
        </w:rPr>
      </w:pPr>
    </w:p>
    <w:p w:rsidR="00061C54" w:rsidRPr="00743675" w:rsidRDefault="00061C54" w:rsidP="00061C54">
      <w:pPr>
        <w:spacing w:after="0" w:line="240" w:lineRule="auto"/>
        <w:jc w:val="both"/>
        <w:rPr>
          <w:spacing w:val="-2"/>
          <w:szCs w:val="20"/>
        </w:rPr>
      </w:pPr>
      <w:r w:rsidRPr="00743675">
        <w:rPr>
          <w:spacing w:val="-2"/>
          <w:szCs w:val="20"/>
        </w:rPr>
        <w:t>Avots: CSP</w:t>
      </w:r>
    </w:p>
    <w:p w:rsidR="00061C54" w:rsidRPr="00061C54" w:rsidRDefault="00061C54" w:rsidP="00F3399B">
      <w:pPr>
        <w:spacing w:after="0" w:line="240" w:lineRule="auto"/>
        <w:ind w:firstLine="567"/>
        <w:jc w:val="both"/>
        <w:rPr>
          <w:sz w:val="14"/>
          <w:szCs w:val="26"/>
        </w:rPr>
      </w:pPr>
    </w:p>
    <w:p w:rsidR="00687CB9" w:rsidRDefault="00FB7700" w:rsidP="0077399B">
      <w:pPr>
        <w:spacing w:after="0" w:line="240" w:lineRule="auto"/>
        <w:ind w:firstLine="567"/>
        <w:jc w:val="both"/>
        <w:rPr>
          <w:color w:val="000000"/>
          <w:sz w:val="26"/>
          <w:szCs w:val="26"/>
        </w:rPr>
      </w:pPr>
      <w:r w:rsidRPr="00CD7B6E">
        <w:rPr>
          <w:sz w:val="26"/>
          <w:szCs w:val="26"/>
        </w:rPr>
        <w:t xml:space="preserve">Pēc krasā samazinājuma 2009.gadā </w:t>
      </w:r>
      <w:r>
        <w:rPr>
          <w:sz w:val="26"/>
          <w:szCs w:val="26"/>
        </w:rPr>
        <w:t xml:space="preserve">kopumā </w:t>
      </w:r>
      <w:r w:rsidRPr="00CD7B6E">
        <w:rPr>
          <w:sz w:val="26"/>
          <w:szCs w:val="26"/>
        </w:rPr>
        <w:t>uzņemto studentu skaits augstskolās un koledžās ir nostabilizējies.</w:t>
      </w:r>
      <w:r>
        <w:rPr>
          <w:sz w:val="26"/>
          <w:szCs w:val="26"/>
        </w:rPr>
        <w:t xml:space="preserve"> Uzņemto struktūra </w:t>
      </w:r>
      <w:r w:rsidRPr="00CD7B6E">
        <w:rPr>
          <w:sz w:val="26"/>
          <w:szCs w:val="26"/>
        </w:rPr>
        <w:t>201</w:t>
      </w:r>
      <w:r>
        <w:rPr>
          <w:sz w:val="26"/>
          <w:szCs w:val="26"/>
        </w:rPr>
        <w:t>2</w:t>
      </w:r>
      <w:r w:rsidRPr="00CD7B6E">
        <w:rPr>
          <w:sz w:val="26"/>
          <w:szCs w:val="26"/>
        </w:rPr>
        <w:t>.gadā</w:t>
      </w:r>
      <w:r>
        <w:rPr>
          <w:sz w:val="26"/>
          <w:szCs w:val="26"/>
        </w:rPr>
        <w:t xml:space="preserve"> būtiski nav izmainījusies, tajā pašā laikā</w:t>
      </w:r>
      <w:r w:rsidRPr="00CD7B6E">
        <w:rPr>
          <w:sz w:val="26"/>
          <w:szCs w:val="26"/>
        </w:rPr>
        <w:t xml:space="preserve"> turpināja</w:t>
      </w:r>
      <w:r>
        <w:rPr>
          <w:sz w:val="26"/>
          <w:szCs w:val="26"/>
        </w:rPr>
        <w:t xml:space="preserve"> pakāpeniski</w:t>
      </w:r>
      <w:r w:rsidRPr="00CD7B6E">
        <w:rPr>
          <w:sz w:val="26"/>
          <w:szCs w:val="26"/>
        </w:rPr>
        <w:t xml:space="preserve"> mazināties </w:t>
      </w:r>
      <w:r w:rsidRPr="00CD7B6E">
        <w:rPr>
          <w:color w:val="000000"/>
          <w:sz w:val="26"/>
          <w:szCs w:val="26"/>
        </w:rPr>
        <w:t xml:space="preserve">sociālo zinātņu, kā arī humanitāro zinātņu </w:t>
      </w:r>
      <w:r w:rsidRPr="00CD7B6E">
        <w:rPr>
          <w:sz w:val="26"/>
          <w:szCs w:val="26"/>
        </w:rPr>
        <w:t xml:space="preserve">tematisko grupu </w:t>
      </w:r>
      <w:r w:rsidRPr="00CD7B6E">
        <w:rPr>
          <w:color w:val="000000"/>
          <w:sz w:val="26"/>
          <w:szCs w:val="26"/>
        </w:rPr>
        <w:t xml:space="preserve">studentu īpatsvars. </w:t>
      </w:r>
      <w:r w:rsidR="00432FCE">
        <w:rPr>
          <w:color w:val="000000"/>
          <w:sz w:val="26"/>
          <w:szCs w:val="26"/>
        </w:rPr>
        <w:t>Liela</w:t>
      </w:r>
      <w:r w:rsidRPr="00CD7B6E">
        <w:rPr>
          <w:color w:val="000000"/>
          <w:sz w:val="26"/>
          <w:szCs w:val="26"/>
        </w:rPr>
        <w:t xml:space="preserve"> nozīme studiju izvēlē ir iespējai studēt par valsts budžeta līdzekļiem.</w:t>
      </w:r>
    </w:p>
    <w:p w:rsidR="00687CB9" w:rsidRDefault="00FB7700" w:rsidP="0077399B">
      <w:pPr>
        <w:spacing w:after="0" w:line="240" w:lineRule="auto"/>
        <w:jc w:val="right"/>
        <w:rPr>
          <w:sz w:val="26"/>
          <w:szCs w:val="26"/>
        </w:rPr>
      </w:pPr>
      <w:r w:rsidRPr="00CD7B6E">
        <w:rPr>
          <w:sz w:val="26"/>
          <w:szCs w:val="26"/>
        </w:rPr>
        <w:lastRenderedPageBreak/>
        <w:t>2.8. attēls</w:t>
      </w:r>
    </w:p>
    <w:p w:rsidR="00FB7700" w:rsidRDefault="00FB7700"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
          <w:bCs/>
          <w:spacing w:val="-2"/>
          <w:sz w:val="26"/>
          <w:szCs w:val="26"/>
        </w:rPr>
      </w:pPr>
      <w:r w:rsidRPr="00CD7B6E">
        <w:rPr>
          <w:b/>
          <w:bCs/>
          <w:spacing w:val="-2"/>
          <w:sz w:val="26"/>
          <w:szCs w:val="26"/>
        </w:rPr>
        <w:t>Studentu skaita sadalījums augstskolās un koledžās pa izglī</w:t>
      </w:r>
      <w:r>
        <w:rPr>
          <w:b/>
          <w:bCs/>
          <w:spacing w:val="-2"/>
          <w:sz w:val="26"/>
          <w:szCs w:val="26"/>
        </w:rPr>
        <w:t xml:space="preserve">tības </w:t>
      </w:r>
      <w:r w:rsidR="00432FCE">
        <w:rPr>
          <w:b/>
          <w:bCs/>
          <w:spacing w:val="-2"/>
          <w:sz w:val="26"/>
          <w:szCs w:val="26"/>
        </w:rPr>
        <w:br/>
      </w:r>
      <w:r>
        <w:rPr>
          <w:b/>
          <w:bCs/>
          <w:spacing w:val="-2"/>
          <w:sz w:val="26"/>
          <w:szCs w:val="26"/>
        </w:rPr>
        <w:t>tematiskajām grupām 2012.</w:t>
      </w:r>
      <w:r w:rsidR="00053BFB">
        <w:rPr>
          <w:b/>
          <w:bCs/>
          <w:spacing w:val="-2"/>
          <w:sz w:val="26"/>
          <w:szCs w:val="26"/>
        </w:rPr>
        <w:t xml:space="preserve">/2013. </w:t>
      </w:r>
      <w:r w:rsidRPr="00CD7B6E">
        <w:rPr>
          <w:b/>
          <w:bCs/>
          <w:spacing w:val="-2"/>
          <w:sz w:val="26"/>
          <w:szCs w:val="26"/>
        </w:rPr>
        <w:t>mācību gada sākumā</w:t>
      </w:r>
    </w:p>
    <w:p w:rsidR="00D90219" w:rsidRPr="00D90219" w:rsidRDefault="00D90219"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Cs/>
          <w:spacing w:val="-2"/>
          <w:sz w:val="8"/>
          <w:szCs w:val="26"/>
        </w:rPr>
      </w:pPr>
    </w:p>
    <w:tbl>
      <w:tblPr>
        <w:tblW w:w="9612" w:type="dxa"/>
        <w:jc w:val="center"/>
        <w:tblLook w:val="01E0" w:firstRow="1" w:lastRow="1" w:firstColumn="1" w:lastColumn="1" w:noHBand="0" w:noVBand="0"/>
      </w:tblPr>
      <w:tblGrid>
        <w:gridCol w:w="4821"/>
        <w:gridCol w:w="4791"/>
      </w:tblGrid>
      <w:tr w:rsidR="00FB7700" w:rsidRPr="00CD7B6E" w:rsidTr="00687CB9">
        <w:trPr>
          <w:trHeight w:val="205"/>
          <w:jc w:val="center"/>
        </w:trPr>
        <w:tc>
          <w:tcPr>
            <w:tcW w:w="4821" w:type="dxa"/>
            <w:vAlign w:val="bottom"/>
          </w:tcPr>
          <w:p w:rsidR="00FB7700" w:rsidRPr="00CD7B6E" w:rsidRDefault="00FB7700" w:rsidP="0077399B">
            <w:pPr>
              <w:tabs>
                <w:tab w:val="center" w:pos="2409"/>
              </w:tabs>
              <w:spacing w:after="0" w:line="240" w:lineRule="auto"/>
              <w:jc w:val="center"/>
              <w:rPr>
                <w:rFonts w:eastAsia="Times New Roman"/>
                <w:szCs w:val="20"/>
                <w:lang w:eastAsia="lv-LV"/>
              </w:rPr>
            </w:pPr>
            <w:r w:rsidRPr="00CD7B6E">
              <w:rPr>
                <w:rFonts w:eastAsia="Times New Roman"/>
                <w:bCs/>
                <w:color w:val="000000"/>
                <w:szCs w:val="20"/>
              </w:rPr>
              <w:t>uzņemto studentu skaits (%)</w:t>
            </w:r>
          </w:p>
        </w:tc>
        <w:tc>
          <w:tcPr>
            <w:tcW w:w="4791" w:type="dxa"/>
            <w:vAlign w:val="bottom"/>
          </w:tcPr>
          <w:p w:rsidR="00FB7700" w:rsidRPr="00CD7B6E" w:rsidRDefault="00FB7700" w:rsidP="0077399B">
            <w:pPr>
              <w:tabs>
                <w:tab w:val="center" w:pos="2415"/>
              </w:tabs>
              <w:spacing w:after="0" w:line="240" w:lineRule="auto"/>
              <w:jc w:val="center"/>
              <w:rPr>
                <w:rFonts w:eastAsia="Times New Roman"/>
                <w:szCs w:val="20"/>
                <w:lang w:eastAsia="lv-LV"/>
              </w:rPr>
            </w:pPr>
            <w:r w:rsidRPr="00CD7B6E">
              <w:rPr>
                <w:rFonts w:eastAsia="Times New Roman"/>
                <w:bCs/>
                <w:color w:val="000000"/>
                <w:szCs w:val="20"/>
              </w:rPr>
              <w:t>grādu vai kvalifikāciju ieguvušo skaits (%)</w:t>
            </w:r>
          </w:p>
        </w:tc>
      </w:tr>
      <w:tr w:rsidR="00FB7700" w:rsidRPr="00CD7B6E" w:rsidTr="00687CB9">
        <w:trPr>
          <w:trHeight w:val="2862"/>
          <w:jc w:val="center"/>
        </w:trPr>
        <w:tc>
          <w:tcPr>
            <w:tcW w:w="4821" w:type="dxa"/>
          </w:tcPr>
          <w:p w:rsidR="00FB7700" w:rsidRPr="00CD7B6E" w:rsidRDefault="00FB7700" w:rsidP="0077399B">
            <w:pPr>
              <w:spacing w:after="0" w:line="240" w:lineRule="auto"/>
              <w:rPr>
                <w:rFonts w:eastAsia="Times New Roman"/>
              </w:rPr>
            </w:pPr>
            <w:r w:rsidRPr="00CD7B6E">
              <w:rPr>
                <w:b/>
                <w:noProof/>
                <w:sz w:val="28"/>
                <w:szCs w:val="28"/>
                <w:lang w:eastAsia="lv-LV"/>
              </w:rPr>
              <w:drawing>
                <wp:inline distT="0" distB="0" distL="0" distR="0" wp14:anchorId="1A2F1D67" wp14:editId="1C87BC75">
                  <wp:extent cx="2844800" cy="2705100"/>
                  <wp:effectExtent l="0" t="0" r="0" b="0"/>
                  <wp:docPr id="79"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91" w:type="dxa"/>
          </w:tcPr>
          <w:p w:rsidR="00FB7700" w:rsidRPr="00CD7B6E" w:rsidRDefault="00FB7700" w:rsidP="0077399B">
            <w:pPr>
              <w:spacing w:after="0" w:line="240" w:lineRule="auto"/>
              <w:rPr>
                <w:rFonts w:eastAsia="Times New Roman"/>
              </w:rPr>
            </w:pPr>
            <w:r w:rsidRPr="00CD7B6E">
              <w:rPr>
                <w:b/>
                <w:noProof/>
                <w:sz w:val="28"/>
                <w:szCs w:val="28"/>
                <w:lang w:eastAsia="lv-LV"/>
              </w:rPr>
              <w:drawing>
                <wp:inline distT="0" distB="0" distL="0" distR="0" wp14:anchorId="1E558549" wp14:editId="51E6FE83">
                  <wp:extent cx="2844800" cy="2705100"/>
                  <wp:effectExtent l="0" t="0" r="0" b="0"/>
                  <wp:docPr id="81"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687CB9" w:rsidRPr="00C903BE" w:rsidRDefault="00687CB9" w:rsidP="0077399B">
      <w:pPr>
        <w:spacing w:after="0" w:line="240" w:lineRule="auto"/>
        <w:ind w:firstLine="567"/>
        <w:jc w:val="both"/>
        <w:rPr>
          <w:sz w:val="8"/>
          <w:szCs w:val="28"/>
        </w:rPr>
      </w:pPr>
    </w:p>
    <w:p w:rsidR="00521971" w:rsidRPr="00026AE9" w:rsidRDefault="00521971" w:rsidP="00521971">
      <w:pPr>
        <w:spacing w:after="0" w:line="240" w:lineRule="auto"/>
        <w:ind w:firstLine="567"/>
        <w:jc w:val="both"/>
        <w:rPr>
          <w:spacing w:val="-2"/>
          <w:szCs w:val="20"/>
        </w:rPr>
      </w:pPr>
      <w:r w:rsidRPr="00026AE9">
        <w:rPr>
          <w:spacing w:val="-2"/>
          <w:szCs w:val="20"/>
        </w:rPr>
        <w:t>Avots: CSP</w:t>
      </w:r>
    </w:p>
    <w:p w:rsidR="00C67AC2" w:rsidRPr="00C903BE" w:rsidRDefault="00C67AC2" w:rsidP="0077399B">
      <w:pPr>
        <w:spacing w:after="0" w:line="240" w:lineRule="auto"/>
        <w:ind w:firstLine="567"/>
        <w:jc w:val="both"/>
        <w:rPr>
          <w:sz w:val="20"/>
          <w:szCs w:val="28"/>
        </w:rPr>
      </w:pPr>
    </w:p>
    <w:p w:rsidR="00C67AC2" w:rsidRDefault="00432FCE" w:rsidP="0077399B">
      <w:pPr>
        <w:spacing w:after="0" w:line="240" w:lineRule="auto"/>
        <w:ind w:firstLine="567"/>
        <w:jc w:val="both"/>
        <w:rPr>
          <w:sz w:val="26"/>
          <w:szCs w:val="28"/>
        </w:rPr>
      </w:pPr>
      <w:r>
        <w:rPr>
          <w:sz w:val="26"/>
          <w:szCs w:val="28"/>
        </w:rPr>
        <w:t xml:space="preserve">Lai gan </w:t>
      </w:r>
      <w:r w:rsidR="006C337F">
        <w:rPr>
          <w:sz w:val="26"/>
          <w:szCs w:val="28"/>
        </w:rPr>
        <w:t>2012.</w:t>
      </w:r>
      <w:r>
        <w:rPr>
          <w:sz w:val="26"/>
          <w:szCs w:val="28"/>
        </w:rPr>
        <w:t xml:space="preserve">gadā visstraujāk budžeta vietu skaits tika palielināts </w:t>
      </w:r>
      <w:r w:rsidR="006C337F">
        <w:rPr>
          <w:sz w:val="26"/>
          <w:szCs w:val="28"/>
        </w:rPr>
        <w:t xml:space="preserve">inženierzinātņu, ražošanas un būvniecības </w:t>
      </w:r>
      <w:r w:rsidR="008239EE" w:rsidRPr="00CD7B6E">
        <w:rPr>
          <w:sz w:val="26"/>
          <w:szCs w:val="26"/>
        </w:rPr>
        <w:t xml:space="preserve">izglītības </w:t>
      </w:r>
      <w:r w:rsidR="006C337F">
        <w:rPr>
          <w:sz w:val="26"/>
          <w:szCs w:val="28"/>
        </w:rPr>
        <w:t xml:space="preserve">tematiskajā grupā, tomēr </w:t>
      </w:r>
      <w:r w:rsidR="00C903BE">
        <w:rPr>
          <w:sz w:val="26"/>
          <w:szCs w:val="28"/>
        </w:rPr>
        <w:t xml:space="preserve">tikpat </w:t>
      </w:r>
      <w:r w:rsidR="006C337F">
        <w:rPr>
          <w:sz w:val="26"/>
          <w:szCs w:val="28"/>
        </w:rPr>
        <w:t>strauj</w:t>
      </w:r>
      <w:r w:rsidR="00C903BE">
        <w:rPr>
          <w:sz w:val="26"/>
          <w:szCs w:val="28"/>
        </w:rPr>
        <w:t>š</w:t>
      </w:r>
      <w:r w:rsidR="006C337F">
        <w:rPr>
          <w:sz w:val="26"/>
          <w:szCs w:val="28"/>
        </w:rPr>
        <w:t xml:space="preserve"> pieaugums uzņemto studentu skaita ziņā bija </w:t>
      </w:r>
      <w:r w:rsidR="00C903BE">
        <w:rPr>
          <w:sz w:val="26"/>
          <w:szCs w:val="28"/>
        </w:rPr>
        <w:t xml:space="preserve">arī </w:t>
      </w:r>
      <w:r w:rsidR="006C337F">
        <w:rPr>
          <w:sz w:val="26"/>
          <w:szCs w:val="28"/>
        </w:rPr>
        <w:t xml:space="preserve">sociālo zinātņu, </w:t>
      </w:r>
      <w:proofErr w:type="spellStart"/>
      <w:r w:rsidR="006C337F">
        <w:rPr>
          <w:sz w:val="26"/>
          <w:szCs w:val="28"/>
        </w:rPr>
        <w:t>komerczinību</w:t>
      </w:r>
      <w:proofErr w:type="spellEnd"/>
      <w:r w:rsidR="006C337F">
        <w:rPr>
          <w:sz w:val="26"/>
          <w:szCs w:val="28"/>
        </w:rPr>
        <w:t xml:space="preserve"> un tiesību </w:t>
      </w:r>
      <w:r w:rsidR="008239EE" w:rsidRPr="00CD7B6E">
        <w:rPr>
          <w:sz w:val="26"/>
          <w:szCs w:val="26"/>
        </w:rPr>
        <w:t xml:space="preserve">izglītības </w:t>
      </w:r>
      <w:r w:rsidR="00C903BE">
        <w:rPr>
          <w:sz w:val="26"/>
          <w:szCs w:val="28"/>
        </w:rPr>
        <w:t xml:space="preserve">tematiskajā grupā un veselības aprūpes un sociālās labklājības </w:t>
      </w:r>
      <w:r w:rsidR="00C903BE" w:rsidRPr="00CD7B6E">
        <w:rPr>
          <w:sz w:val="26"/>
          <w:szCs w:val="26"/>
        </w:rPr>
        <w:t xml:space="preserve">izglītības </w:t>
      </w:r>
      <w:r w:rsidR="00C903BE">
        <w:rPr>
          <w:sz w:val="26"/>
          <w:szCs w:val="28"/>
        </w:rPr>
        <w:t>tematiskajā grupā, kurās budžeta vietu skaits netika palielināts.</w:t>
      </w:r>
    </w:p>
    <w:p w:rsidR="00C67AC2" w:rsidRDefault="004713D6" w:rsidP="004713D6">
      <w:pPr>
        <w:spacing w:after="0" w:line="240" w:lineRule="auto"/>
        <w:ind w:firstLine="567"/>
        <w:jc w:val="right"/>
        <w:rPr>
          <w:sz w:val="26"/>
          <w:szCs w:val="28"/>
        </w:rPr>
      </w:pPr>
      <w:r>
        <w:rPr>
          <w:sz w:val="26"/>
          <w:szCs w:val="28"/>
        </w:rPr>
        <w:t>2.9. attēls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67AC2" w:rsidTr="004713D6">
        <w:tc>
          <w:tcPr>
            <w:tcW w:w="4643" w:type="dxa"/>
          </w:tcPr>
          <w:p w:rsidR="00C67AC2" w:rsidRDefault="00C67AC2" w:rsidP="00C67AC2">
            <w:pPr>
              <w:spacing w:after="0" w:line="240" w:lineRule="auto"/>
              <w:jc w:val="both"/>
              <w:rPr>
                <w:sz w:val="26"/>
                <w:szCs w:val="28"/>
              </w:rPr>
            </w:pPr>
            <w:r w:rsidRPr="00E627D3">
              <w:rPr>
                <w:noProof/>
                <w:sz w:val="26"/>
                <w:szCs w:val="26"/>
                <w:lang w:eastAsia="lv-LV"/>
              </w:rPr>
              <w:drawing>
                <wp:inline distT="0" distB="0" distL="0" distR="0" wp14:anchorId="15C6D30F" wp14:editId="079BA2EC">
                  <wp:extent cx="2695575" cy="3914775"/>
                  <wp:effectExtent l="0" t="0" r="0" b="0"/>
                  <wp:docPr id="64"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44" w:type="dxa"/>
          </w:tcPr>
          <w:p w:rsidR="00C67AC2" w:rsidRDefault="004713D6" w:rsidP="00C67AC2">
            <w:pPr>
              <w:spacing w:after="0" w:line="240" w:lineRule="auto"/>
              <w:jc w:val="both"/>
              <w:rPr>
                <w:sz w:val="26"/>
                <w:szCs w:val="28"/>
              </w:rPr>
            </w:pPr>
            <w:r w:rsidRPr="00E627D3">
              <w:rPr>
                <w:noProof/>
                <w:sz w:val="26"/>
                <w:szCs w:val="26"/>
                <w:lang w:eastAsia="lv-LV"/>
              </w:rPr>
              <w:drawing>
                <wp:inline distT="0" distB="0" distL="0" distR="0" wp14:anchorId="78C5DB3F" wp14:editId="597903D6">
                  <wp:extent cx="2695575" cy="3914775"/>
                  <wp:effectExtent l="0" t="0" r="0" b="0"/>
                  <wp:docPr id="6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687CB9" w:rsidRDefault="00FB7700" w:rsidP="0077399B">
      <w:pPr>
        <w:spacing w:after="0" w:line="240" w:lineRule="auto"/>
        <w:ind w:firstLine="567"/>
        <w:jc w:val="both"/>
        <w:rPr>
          <w:sz w:val="26"/>
          <w:szCs w:val="26"/>
        </w:rPr>
      </w:pPr>
      <w:r>
        <w:rPr>
          <w:sz w:val="26"/>
          <w:szCs w:val="26"/>
        </w:rPr>
        <w:lastRenderedPageBreak/>
        <w:t>Arī v</w:t>
      </w:r>
      <w:r w:rsidRPr="00CD7B6E">
        <w:rPr>
          <w:sz w:val="26"/>
          <w:szCs w:val="26"/>
        </w:rPr>
        <w:t>idējās profesionālās izglītības iestāžu audzēkņu skaita struktūra sadalījumā pēc izglītības tematiskām grupām 201</w:t>
      </w:r>
      <w:r>
        <w:rPr>
          <w:sz w:val="26"/>
          <w:szCs w:val="26"/>
        </w:rPr>
        <w:t>2</w:t>
      </w:r>
      <w:r w:rsidRPr="00CD7B6E">
        <w:rPr>
          <w:sz w:val="26"/>
          <w:szCs w:val="26"/>
        </w:rPr>
        <w:t>.gadā nav būtiski mainījusies. Gada laikā uzņemto audzēkņu ziņā</w:t>
      </w:r>
      <w:r>
        <w:rPr>
          <w:sz w:val="26"/>
          <w:szCs w:val="26"/>
        </w:rPr>
        <w:t xml:space="preserve"> pieaudzis</w:t>
      </w:r>
      <w:r w:rsidRPr="00CD7B6E">
        <w:rPr>
          <w:sz w:val="26"/>
          <w:szCs w:val="26"/>
        </w:rPr>
        <w:t xml:space="preserve"> lauksaimniecības, </w:t>
      </w:r>
      <w:r>
        <w:rPr>
          <w:sz w:val="26"/>
          <w:szCs w:val="26"/>
        </w:rPr>
        <w:t>veselības aprūpes</w:t>
      </w:r>
      <w:r w:rsidRPr="00CD7B6E">
        <w:rPr>
          <w:sz w:val="26"/>
          <w:szCs w:val="26"/>
        </w:rPr>
        <w:t xml:space="preserve"> un humanitāro zinātņu tematisko grupu īpatsvars, audzēkņiem dodot priekšroku </w:t>
      </w:r>
      <w:r>
        <w:rPr>
          <w:sz w:val="26"/>
          <w:szCs w:val="26"/>
        </w:rPr>
        <w:t>šī</w:t>
      </w:r>
      <w:r w:rsidR="003559F3">
        <w:rPr>
          <w:sz w:val="26"/>
          <w:szCs w:val="26"/>
        </w:rPr>
        <w:t>m izglītības jomām.</w:t>
      </w:r>
    </w:p>
    <w:p w:rsidR="00687CB9" w:rsidRDefault="00FB7700" w:rsidP="004713D6">
      <w:pPr>
        <w:spacing w:before="120" w:after="120" w:line="240" w:lineRule="auto"/>
        <w:jc w:val="right"/>
        <w:rPr>
          <w:sz w:val="26"/>
          <w:szCs w:val="26"/>
        </w:rPr>
      </w:pPr>
      <w:r w:rsidRPr="00CD7B6E">
        <w:rPr>
          <w:sz w:val="26"/>
          <w:szCs w:val="26"/>
        </w:rPr>
        <w:t>2.</w:t>
      </w:r>
      <w:r w:rsidR="004713D6">
        <w:rPr>
          <w:sz w:val="26"/>
          <w:szCs w:val="26"/>
        </w:rPr>
        <w:t>10</w:t>
      </w:r>
      <w:r w:rsidRPr="00CD7B6E">
        <w:rPr>
          <w:sz w:val="26"/>
          <w:szCs w:val="26"/>
        </w:rPr>
        <w:t>. attēls</w:t>
      </w:r>
    </w:p>
    <w:p w:rsidR="00FB7700" w:rsidRPr="00CD7B6E" w:rsidRDefault="00FB7700" w:rsidP="0077399B">
      <w:pPr>
        <w:pStyle w:val="9pirmstab3"/>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uppressAutoHyphens/>
        <w:spacing w:after="0"/>
        <w:rPr>
          <w:b/>
          <w:bCs/>
          <w:spacing w:val="-2"/>
          <w:sz w:val="26"/>
          <w:szCs w:val="26"/>
        </w:rPr>
      </w:pPr>
      <w:r w:rsidRPr="00CD7B6E">
        <w:rPr>
          <w:b/>
          <w:bCs/>
          <w:spacing w:val="-2"/>
          <w:sz w:val="26"/>
          <w:szCs w:val="26"/>
        </w:rPr>
        <w:t xml:space="preserve">Audzēkņu skaita sadalījums profesionālās izglītības iestādēs </w:t>
      </w:r>
      <w:r w:rsidRPr="00CD7B6E">
        <w:rPr>
          <w:b/>
          <w:bCs/>
          <w:spacing w:val="-2"/>
          <w:sz w:val="26"/>
          <w:szCs w:val="26"/>
        </w:rPr>
        <w:br/>
        <w:t>pa izglītības tematiskām grupām 201</w:t>
      </w:r>
      <w:r>
        <w:rPr>
          <w:b/>
          <w:bCs/>
          <w:spacing w:val="-2"/>
          <w:sz w:val="26"/>
          <w:szCs w:val="26"/>
        </w:rPr>
        <w:t>2</w:t>
      </w:r>
      <w:r w:rsidRPr="00CD7B6E">
        <w:rPr>
          <w:b/>
          <w:bCs/>
          <w:spacing w:val="-2"/>
          <w:sz w:val="26"/>
          <w:szCs w:val="26"/>
        </w:rPr>
        <w:t>.</w:t>
      </w:r>
      <w:r w:rsidR="00053BFB">
        <w:rPr>
          <w:b/>
          <w:bCs/>
          <w:spacing w:val="-2"/>
          <w:sz w:val="26"/>
          <w:szCs w:val="26"/>
        </w:rPr>
        <w:t>/2013.</w:t>
      </w:r>
      <w:r w:rsidRPr="00CD7B6E">
        <w:rPr>
          <w:b/>
          <w:bCs/>
          <w:spacing w:val="-2"/>
          <w:sz w:val="26"/>
          <w:szCs w:val="26"/>
        </w:rPr>
        <w:t xml:space="preserve"> mācību gada sākumā</w:t>
      </w:r>
    </w:p>
    <w:tbl>
      <w:tblPr>
        <w:tblW w:w="9612" w:type="dxa"/>
        <w:jc w:val="center"/>
        <w:tblLook w:val="01E0" w:firstRow="1" w:lastRow="1" w:firstColumn="1" w:lastColumn="1" w:noHBand="0" w:noVBand="0"/>
      </w:tblPr>
      <w:tblGrid>
        <w:gridCol w:w="4821"/>
        <w:gridCol w:w="4791"/>
      </w:tblGrid>
      <w:tr w:rsidR="00FB7700" w:rsidRPr="00CD7B6E" w:rsidTr="00687CB9">
        <w:trPr>
          <w:trHeight w:val="205"/>
          <w:jc w:val="center"/>
        </w:trPr>
        <w:tc>
          <w:tcPr>
            <w:tcW w:w="4821" w:type="dxa"/>
            <w:vAlign w:val="bottom"/>
          </w:tcPr>
          <w:p w:rsidR="00FB7700" w:rsidRPr="00CD7B6E" w:rsidRDefault="00FB7700" w:rsidP="0077399B">
            <w:pPr>
              <w:tabs>
                <w:tab w:val="center" w:pos="2409"/>
              </w:tabs>
              <w:spacing w:after="0" w:line="240" w:lineRule="auto"/>
              <w:jc w:val="center"/>
              <w:rPr>
                <w:rFonts w:eastAsia="Times New Roman"/>
                <w:szCs w:val="20"/>
                <w:lang w:eastAsia="lv-LV"/>
              </w:rPr>
            </w:pPr>
            <w:r w:rsidRPr="00CD7B6E">
              <w:rPr>
                <w:rFonts w:eastAsia="Times New Roman"/>
                <w:bCs/>
                <w:color w:val="000000"/>
                <w:szCs w:val="20"/>
              </w:rPr>
              <w:t>uzņemto audzēkņu skaits (%)</w:t>
            </w:r>
          </w:p>
        </w:tc>
        <w:tc>
          <w:tcPr>
            <w:tcW w:w="4791" w:type="dxa"/>
            <w:vAlign w:val="bottom"/>
          </w:tcPr>
          <w:p w:rsidR="00FB7700" w:rsidRPr="00CD7B6E" w:rsidRDefault="00FB7700" w:rsidP="0077399B">
            <w:pPr>
              <w:tabs>
                <w:tab w:val="center" w:pos="2415"/>
              </w:tabs>
              <w:spacing w:after="0" w:line="240" w:lineRule="auto"/>
              <w:jc w:val="center"/>
              <w:rPr>
                <w:rFonts w:eastAsia="Times New Roman"/>
                <w:szCs w:val="20"/>
                <w:lang w:eastAsia="lv-LV"/>
              </w:rPr>
            </w:pPr>
            <w:r w:rsidRPr="00CD7B6E">
              <w:rPr>
                <w:rFonts w:eastAsia="Times New Roman"/>
                <w:bCs/>
                <w:color w:val="000000"/>
                <w:szCs w:val="20"/>
              </w:rPr>
              <w:t>absolventu skaits (%)</w:t>
            </w:r>
          </w:p>
        </w:tc>
      </w:tr>
      <w:tr w:rsidR="00FB7700" w:rsidRPr="00CD7B6E" w:rsidTr="00687CB9">
        <w:trPr>
          <w:trHeight w:val="2862"/>
          <w:jc w:val="center"/>
        </w:trPr>
        <w:tc>
          <w:tcPr>
            <w:tcW w:w="4821" w:type="dxa"/>
          </w:tcPr>
          <w:p w:rsidR="00FB7700" w:rsidRPr="00CD7B6E" w:rsidRDefault="00FB7700" w:rsidP="0077399B">
            <w:pPr>
              <w:spacing w:after="0" w:line="240" w:lineRule="auto"/>
              <w:rPr>
                <w:rFonts w:eastAsia="Times New Roman"/>
              </w:rPr>
            </w:pPr>
            <w:r w:rsidRPr="00CD7B6E">
              <w:rPr>
                <w:b/>
                <w:noProof/>
                <w:sz w:val="28"/>
                <w:szCs w:val="28"/>
                <w:lang w:eastAsia="lv-LV"/>
              </w:rPr>
              <w:drawing>
                <wp:inline distT="0" distB="0" distL="0" distR="0" wp14:anchorId="25BEBBE3" wp14:editId="213AB435">
                  <wp:extent cx="2844000" cy="2880000"/>
                  <wp:effectExtent l="0" t="0" r="0" b="0"/>
                  <wp:docPr id="82"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91" w:type="dxa"/>
          </w:tcPr>
          <w:p w:rsidR="00FB7700" w:rsidRPr="00CD7B6E" w:rsidRDefault="00FB7700" w:rsidP="0077399B">
            <w:pPr>
              <w:spacing w:after="0" w:line="240" w:lineRule="auto"/>
              <w:rPr>
                <w:rFonts w:eastAsia="Times New Roman"/>
              </w:rPr>
            </w:pPr>
            <w:r w:rsidRPr="00CD7B6E">
              <w:rPr>
                <w:b/>
                <w:noProof/>
                <w:sz w:val="28"/>
                <w:szCs w:val="28"/>
                <w:lang w:eastAsia="lv-LV"/>
              </w:rPr>
              <w:drawing>
                <wp:inline distT="0" distB="0" distL="0" distR="0" wp14:anchorId="64200654" wp14:editId="3B9FC3BF">
                  <wp:extent cx="2844000" cy="2880000"/>
                  <wp:effectExtent l="0" t="0" r="0" b="0"/>
                  <wp:docPr id="83"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687CB9" w:rsidRDefault="00687CB9" w:rsidP="0077399B">
      <w:pPr>
        <w:spacing w:after="0" w:line="240" w:lineRule="auto"/>
        <w:ind w:firstLine="567"/>
        <w:jc w:val="both"/>
        <w:rPr>
          <w:sz w:val="26"/>
          <w:szCs w:val="26"/>
        </w:rPr>
      </w:pPr>
    </w:p>
    <w:p w:rsidR="00687CB9" w:rsidRDefault="00FB7700" w:rsidP="0077399B">
      <w:pPr>
        <w:spacing w:after="0" w:line="240" w:lineRule="auto"/>
        <w:ind w:firstLine="567"/>
        <w:jc w:val="both"/>
        <w:rPr>
          <w:sz w:val="26"/>
          <w:szCs w:val="26"/>
        </w:rPr>
      </w:pPr>
      <w:r w:rsidRPr="00CD7B6E">
        <w:rPr>
          <w:sz w:val="26"/>
          <w:szCs w:val="26"/>
        </w:rPr>
        <w:t>Pieaugušo iedzīvotāju piedalīšanās mūžizglītībā</w:t>
      </w:r>
      <w:r w:rsidRPr="00CD7B6E">
        <w:rPr>
          <w:rStyle w:val="FootnoteReference"/>
          <w:sz w:val="26"/>
          <w:szCs w:val="26"/>
        </w:rPr>
        <w:footnoteReference w:id="6"/>
      </w:r>
      <w:r w:rsidRPr="00CD7B6E">
        <w:rPr>
          <w:sz w:val="26"/>
          <w:szCs w:val="26"/>
        </w:rPr>
        <w:t xml:space="preserve"> </w:t>
      </w:r>
      <w:r>
        <w:rPr>
          <w:sz w:val="26"/>
          <w:szCs w:val="26"/>
        </w:rPr>
        <w:t>rādītāji 2012.gadā ir uzlabojušies. 2011</w:t>
      </w:r>
      <w:r w:rsidRPr="00CD7B6E">
        <w:rPr>
          <w:sz w:val="26"/>
          <w:szCs w:val="26"/>
        </w:rPr>
        <w:t>.gadā mūžizglītībā bija iesaistīti 5,1% no iedzīvotājiem vecumā no 25 līdz 64 gadiem</w:t>
      </w:r>
      <w:r w:rsidR="006C337F">
        <w:rPr>
          <w:sz w:val="26"/>
          <w:szCs w:val="26"/>
        </w:rPr>
        <w:t>, savukārt 2012.gadā – 7</w:t>
      </w:r>
      <w:r w:rsidR="00053BFB">
        <w:rPr>
          <w:sz w:val="26"/>
          <w:szCs w:val="26"/>
        </w:rPr>
        <w:t xml:space="preserve"> procenti</w:t>
      </w:r>
      <w:r w:rsidRPr="00CD7B6E">
        <w:rPr>
          <w:sz w:val="26"/>
          <w:szCs w:val="26"/>
        </w:rPr>
        <w:t>.</w:t>
      </w:r>
    </w:p>
    <w:p w:rsidR="00687CB9" w:rsidRDefault="00FB7700" w:rsidP="0077399B">
      <w:pPr>
        <w:spacing w:after="0" w:line="240" w:lineRule="auto"/>
        <w:ind w:firstLine="567"/>
        <w:jc w:val="both"/>
        <w:rPr>
          <w:sz w:val="26"/>
          <w:szCs w:val="26"/>
        </w:rPr>
      </w:pPr>
      <w:r w:rsidRPr="00CD7B6E">
        <w:rPr>
          <w:sz w:val="26"/>
          <w:szCs w:val="26"/>
        </w:rPr>
        <w:t>Atkarībā no iepriekš iegūtas izglītības atšķiras arī piedalīšanās aktivitāte</w:t>
      </w:r>
      <w:r w:rsidRPr="00CD7B6E">
        <w:rPr>
          <w:sz w:val="28"/>
          <w:szCs w:val="28"/>
        </w:rPr>
        <w:t xml:space="preserve"> </w:t>
      </w:r>
      <w:r w:rsidRPr="00CD7B6E">
        <w:rPr>
          <w:sz w:val="26"/>
          <w:szCs w:val="26"/>
        </w:rPr>
        <w:t>mūžizglītībā – iedzīvotāji ar augstāko izglītību aktīvāk izvēlas piedalīties mūžizglītības pasākumos. Mūžizglītības pasāk</w:t>
      </w:r>
      <w:r>
        <w:rPr>
          <w:sz w:val="26"/>
          <w:szCs w:val="26"/>
        </w:rPr>
        <w:t>umos 2012.gadā tika iesaistīti 11,6</w:t>
      </w:r>
      <w:r w:rsidRPr="00CD7B6E">
        <w:rPr>
          <w:sz w:val="26"/>
          <w:szCs w:val="26"/>
        </w:rPr>
        <w:t>% no iedzīvotājiem ar augstāko izglītību. Vismazākā aktivitāte ir iedzīvotāj</w:t>
      </w:r>
      <w:r>
        <w:rPr>
          <w:sz w:val="26"/>
          <w:szCs w:val="26"/>
        </w:rPr>
        <w:t>iem ar pamat</w:t>
      </w:r>
      <w:r w:rsidRPr="00CD7B6E">
        <w:rPr>
          <w:sz w:val="26"/>
          <w:szCs w:val="26"/>
        </w:rPr>
        <w:t xml:space="preserve">izglītību, tikai </w:t>
      </w:r>
      <w:r>
        <w:rPr>
          <w:sz w:val="26"/>
          <w:szCs w:val="26"/>
        </w:rPr>
        <w:t>2,8</w:t>
      </w:r>
      <w:r w:rsidRPr="00CD7B6E">
        <w:rPr>
          <w:sz w:val="26"/>
          <w:szCs w:val="26"/>
        </w:rPr>
        <w:t>% no šīs grupas iedzīvotājiem iesaistījās mūžizglītībā.</w:t>
      </w:r>
    </w:p>
    <w:p w:rsidR="00687CB9" w:rsidRDefault="00FB7700" w:rsidP="0077399B">
      <w:pPr>
        <w:spacing w:after="0" w:line="240" w:lineRule="auto"/>
        <w:ind w:firstLine="567"/>
        <w:jc w:val="both"/>
      </w:pPr>
      <w:r w:rsidRPr="00CD7B6E">
        <w:rPr>
          <w:sz w:val="26"/>
          <w:szCs w:val="26"/>
        </w:rPr>
        <w:t>Sievietes tradicionāli mūžizglītībā iesaistās daudz aktīvāk nekā vīrieši. Siev</w:t>
      </w:r>
      <w:r>
        <w:rPr>
          <w:sz w:val="26"/>
          <w:szCs w:val="26"/>
        </w:rPr>
        <w:t>iešu iesaistes īpatsvars bija 7,9</w:t>
      </w:r>
      <w:r w:rsidRPr="00CD7B6E">
        <w:rPr>
          <w:sz w:val="26"/>
          <w:szCs w:val="26"/>
        </w:rPr>
        <w:t xml:space="preserve">% iepretim vīriešu </w:t>
      </w:r>
      <w:r>
        <w:rPr>
          <w:sz w:val="26"/>
          <w:szCs w:val="26"/>
        </w:rPr>
        <w:t>6</w:t>
      </w:r>
      <w:r w:rsidRPr="00CD7B6E">
        <w:rPr>
          <w:sz w:val="26"/>
          <w:szCs w:val="26"/>
        </w:rPr>
        <w:t xml:space="preserve"> procenti</w:t>
      </w:r>
      <w:r>
        <w:rPr>
          <w:sz w:val="26"/>
          <w:szCs w:val="26"/>
        </w:rPr>
        <w:t>em</w:t>
      </w:r>
      <w:r w:rsidRPr="00CD7B6E">
        <w:rPr>
          <w:sz w:val="26"/>
          <w:szCs w:val="26"/>
        </w:rPr>
        <w:t>.</w:t>
      </w:r>
    </w:p>
    <w:p w:rsidR="00521971" w:rsidRDefault="00521971">
      <w:pPr>
        <w:spacing w:after="0" w:line="240" w:lineRule="auto"/>
        <w:rPr>
          <w:b/>
          <w:sz w:val="28"/>
          <w:szCs w:val="28"/>
        </w:rPr>
      </w:pPr>
      <w:r>
        <w:rPr>
          <w:szCs w:val="28"/>
        </w:rPr>
        <w:br w:type="page"/>
      </w:r>
    </w:p>
    <w:p w:rsidR="00687CB9" w:rsidRDefault="00FB7700" w:rsidP="0077399B">
      <w:pPr>
        <w:pStyle w:val="Heading2"/>
        <w:pBdr>
          <w:bottom w:val="thinThickSmallGap" w:sz="18" w:space="1" w:color="8064A2" w:themeColor="accent4"/>
        </w:pBdr>
        <w:spacing w:before="0" w:after="0" w:line="240" w:lineRule="auto"/>
        <w:rPr>
          <w:szCs w:val="28"/>
        </w:rPr>
      </w:pPr>
      <w:bookmarkStart w:id="30" w:name="_Toc357503117"/>
      <w:r w:rsidRPr="00CD7B6E">
        <w:rPr>
          <w:szCs w:val="28"/>
        </w:rPr>
        <w:lastRenderedPageBreak/>
        <w:t>2.3. Darba tirgus pieprasījuma un piedāvājuma atbilstība</w:t>
      </w:r>
      <w:bookmarkEnd w:id="30"/>
    </w:p>
    <w:p w:rsidR="00687CB9" w:rsidRDefault="00687CB9" w:rsidP="0077399B">
      <w:pPr>
        <w:spacing w:after="0" w:line="240" w:lineRule="auto"/>
        <w:jc w:val="both"/>
        <w:rPr>
          <w:spacing w:val="4"/>
          <w:sz w:val="26"/>
          <w:szCs w:val="28"/>
        </w:rPr>
      </w:pPr>
    </w:p>
    <w:p w:rsidR="00687CB9" w:rsidRDefault="00FB7700" w:rsidP="0077399B">
      <w:pPr>
        <w:spacing w:after="0" w:line="240" w:lineRule="auto"/>
        <w:rPr>
          <w:rFonts w:eastAsia="Arial Unicode MS"/>
          <w:b/>
          <w:iCs/>
          <w:sz w:val="26"/>
          <w:szCs w:val="26"/>
        </w:rPr>
      </w:pPr>
      <w:r w:rsidRPr="00CD7B6E">
        <w:rPr>
          <w:rFonts w:eastAsia="Arial Unicode MS"/>
          <w:b/>
          <w:iCs/>
          <w:sz w:val="26"/>
          <w:szCs w:val="26"/>
        </w:rPr>
        <w:t>Brīvās darba vietas</w:t>
      </w:r>
    </w:p>
    <w:p w:rsidR="00CA709A" w:rsidRPr="00CA709A" w:rsidRDefault="00CA709A" w:rsidP="00CA709A">
      <w:pPr>
        <w:spacing w:after="0" w:line="240" w:lineRule="auto"/>
        <w:jc w:val="both"/>
        <w:rPr>
          <w:spacing w:val="4"/>
          <w:sz w:val="8"/>
          <w:szCs w:val="28"/>
        </w:rPr>
      </w:pPr>
    </w:p>
    <w:p w:rsidR="00687CB9" w:rsidRDefault="00C903BE" w:rsidP="0077399B">
      <w:pPr>
        <w:pStyle w:val="BodyTextIndent2"/>
        <w:spacing w:after="0" w:line="240" w:lineRule="auto"/>
        <w:ind w:left="0" w:firstLine="567"/>
        <w:jc w:val="both"/>
        <w:rPr>
          <w:sz w:val="26"/>
          <w:szCs w:val="26"/>
        </w:rPr>
      </w:pPr>
      <w:r>
        <w:rPr>
          <w:sz w:val="26"/>
          <w:szCs w:val="26"/>
        </w:rPr>
        <w:t>Arī 2012.gadā bija</w:t>
      </w:r>
      <w:r w:rsidR="00FB7700" w:rsidRPr="00CD7B6E">
        <w:rPr>
          <w:sz w:val="26"/>
          <w:szCs w:val="26"/>
        </w:rPr>
        <w:t xml:space="preserve"> vērojams brīvo darba vietu skaita pakāpenisks pieaugums</w:t>
      </w:r>
      <w:r w:rsidR="00FB7700" w:rsidRPr="0088129C">
        <w:rPr>
          <w:sz w:val="26"/>
          <w:szCs w:val="26"/>
        </w:rPr>
        <w:t xml:space="preserve"> </w:t>
      </w:r>
      <w:r w:rsidR="00FB7700" w:rsidRPr="00CD7B6E">
        <w:rPr>
          <w:sz w:val="26"/>
          <w:szCs w:val="26"/>
        </w:rPr>
        <w:t>gandrīz visās nozarēs.</w:t>
      </w:r>
      <w:r w:rsidR="00FB7700">
        <w:rPr>
          <w:sz w:val="26"/>
          <w:szCs w:val="26"/>
        </w:rPr>
        <w:t xml:space="preserve"> Sabiedriskajos pakalpojumos</w:t>
      </w:r>
      <w:r w:rsidR="00FB7700" w:rsidRPr="00CD7B6E">
        <w:rPr>
          <w:sz w:val="26"/>
          <w:szCs w:val="26"/>
        </w:rPr>
        <w:t xml:space="preserve"> tas </w:t>
      </w:r>
      <w:r>
        <w:rPr>
          <w:sz w:val="26"/>
          <w:szCs w:val="26"/>
        </w:rPr>
        <w:t xml:space="preserve">2012.gadā </w:t>
      </w:r>
      <w:r w:rsidR="00FB7700" w:rsidRPr="00CD7B6E">
        <w:rPr>
          <w:sz w:val="26"/>
          <w:szCs w:val="26"/>
        </w:rPr>
        <w:t xml:space="preserve">ir saglabājies iepriekšējā gada līmenī. </w:t>
      </w:r>
      <w:r w:rsidR="00FB7700">
        <w:rPr>
          <w:sz w:val="26"/>
          <w:szCs w:val="26"/>
        </w:rPr>
        <w:t>Straujākais</w:t>
      </w:r>
      <w:r w:rsidR="00FB7700" w:rsidRPr="00CD7B6E">
        <w:rPr>
          <w:sz w:val="26"/>
          <w:szCs w:val="26"/>
        </w:rPr>
        <w:t xml:space="preserve"> </w:t>
      </w:r>
      <w:r w:rsidR="00FB7700">
        <w:rPr>
          <w:sz w:val="26"/>
          <w:szCs w:val="26"/>
        </w:rPr>
        <w:t>brīvo darba vietu skaita</w:t>
      </w:r>
      <w:r w:rsidR="00FB7700" w:rsidRPr="00CD7B6E">
        <w:rPr>
          <w:sz w:val="26"/>
          <w:szCs w:val="26"/>
        </w:rPr>
        <w:t xml:space="preserve"> pieaugums </w:t>
      </w:r>
      <w:r w:rsidR="00FB7700">
        <w:rPr>
          <w:sz w:val="26"/>
          <w:szCs w:val="26"/>
        </w:rPr>
        <w:t xml:space="preserve">ir </w:t>
      </w:r>
      <w:r w:rsidR="00FB7700">
        <w:rPr>
          <w:rFonts w:eastAsia="Times New Roman"/>
          <w:color w:val="000000"/>
          <w:sz w:val="26"/>
          <w:szCs w:val="26"/>
          <w:lang w:eastAsia="lv-LV"/>
        </w:rPr>
        <w:t xml:space="preserve">transporta </w:t>
      </w:r>
      <w:r w:rsidR="00FB7700" w:rsidRPr="00CD7B6E">
        <w:rPr>
          <w:rFonts w:eastAsia="Times New Roman"/>
          <w:color w:val="000000"/>
          <w:sz w:val="26"/>
          <w:szCs w:val="26"/>
          <w:lang w:eastAsia="lv-LV"/>
        </w:rPr>
        <w:t>nozarē</w:t>
      </w:r>
      <w:r w:rsidR="00FB7700" w:rsidRPr="00CD7B6E">
        <w:rPr>
          <w:sz w:val="26"/>
          <w:szCs w:val="26"/>
        </w:rPr>
        <w:t>, brīvo darbvietu skaitam pieaugot</w:t>
      </w:r>
      <w:r w:rsidR="00FB7700">
        <w:rPr>
          <w:sz w:val="26"/>
          <w:szCs w:val="26"/>
        </w:rPr>
        <w:t xml:space="preserve"> 2,4</w:t>
      </w:r>
      <w:r w:rsidR="00FB7700" w:rsidRPr="00CD7B6E">
        <w:rPr>
          <w:sz w:val="26"/>
          <w:szCs w:val="26"/>
        </w:rPr>
        <w:t xml:space="preserve"> reizes. </w:t>
      </w:r>
      <w:r w:rsidR="00FB7700">
        <w:rPr>
          <w:sz w:val="26"/>
          <w:szCs w:val="26"/>
        </w:rPr>
        <w:t>Citu komercpakalpojumu un apstrādes rūpniecības nozarēs pieaugums pārsniedz 1,6 reizes.</w:t>
      </w:r>
    </w:p>
    <w:p w:rsidR="00687CB9" w:rsidRDefault="00FB7700" w:rsidP="0077399B">
      <w:pPr>
        <w:pStyle w:val="BodyTextIndent2"/>
        <w:spacing w:after="0" w:line="240" w:lineRule="auto"/>
        <w:ind w:left="0" w:firstLine="709"/>
        <w:jc w:val="right"/>
        <w:rPr>
          <w:sz w:val="26"/>
          <w:szCs w:val="26"/>
        </w:rPr>
      </w:pPr>
      <w:r w:rsidRPr="00CD7B6E">
        <w:rPr>
          <w:sz w:val="26"/>
          <w:szCs w:val="26"/>
        </w:rPr>
        <w:t>2.1</w:t>
      </w:r>
      <w:r w:rsidR="00895051">
        <w:rPr>
          <w:sz w:val="26"/>
          <w:szCs w:val="26"/>
        </w:rPr>
        <w:t>1</w:t>
      </w:r>
      <w:r w:rsidRPr="00CD7B6E">
        <w:rPr>
          <w:sz w:val="26"/>
          <w:szCs w:val="26"/>
        </w:rPr>
        <w:t>. attēls</w:t>
      </w:r>
    </w:p>
    <w:p w:rsidR="00053BFB" w:rsidRPr="00053BFB" w:rsidRDefault="00FB7700" w:rsidP="0077399B">
      <w:pPr>
        <w:spacing w:after="0" w:line="240" w:lineRule="auto"/>
        <w:jc w:val="center"/>
        <w:rPr>
          <w:b/>
          <w:bCs/>
          <w:sz w:val="26"/>
          <w:szCs w:val="28"/>
        </w:rPr>
      </w:pPr>
      <w:r w:rsidRPr="00053BFB">
        <w:rPr>
          <w:b/>
          <w:bCs/>
          <w:sz w:val="26"/>
          <w:szCs w:val="28"/>
        </w:rPr>
        <w:t>Brīvo darba vietu skaits</w:t>
      </w:r>
    </w:p>
    <w:p w:rsidR="00687CB9" w:rsidRDefault="00053BFB" w:rsidP="0077399B">
      <w:pPr>
        <w:spacing w:after="0" w:line="240" w:lineRule="auto"/>
        <w:jc w:val="center"/>
        <w:rPr>
          <w:szCs w:val="28"/>
        </w:rPr>
      </w:pPr>
      <w:r>
        <w:rPr>
          <w:szCs w:val="28"/>
        </w:rPr>
        <w:t xml:space="preserve">(ceturkšņa beigās, </w:t>
      </w:r>
      <w:proofErr w:type="spellStart"/>
      <w:r>
        <w:rPr>
          <w:szCs w:val="28"/>
        </w:rPr>
        <w:t>tūkst</w:t>
      </w:r>
      <w:proofErr w:type="spellEnd"/>
      <w:r>
        <w:rPr>
          <w:szCs w:val="28"/>
        </w:rPr>
        <w:t>.</w:t>
      </w:r>
      <w:r w:rsidR="00FB7700" w:rsidRPr="00CD7B6E">
        <w:rPr>
          <w:szCs w:val="28"/>
        </w:rPr>
        <w:t>)</w:t>
      </w:r>
    </w:p>
    <w:p w:rsidR="00687CB9" w:rsidRDefault="00FB7700" w:rsidP="0077399B">
      <w:pPr>
        <w:spacing w:after="0" w:line="240" w:lineRule="auto"/>
        <w:jc w:val="center"/>
      </w:pPr>
      <w:r w:rsidRPr="00CD7B6E">
        <w:rPr>
          <w:noProof/>
          <w:lang w:eastAsia="lv-LV"/>
        </w:rPr>
        <w:drawing>
          <wp:inline distT="0" distB="0" distL="0" distR="0" wp14:anchorId="7B253A32" wp14:editId="5E3678C3">
            <wp:extent cx="5760000" cy="2880000"/>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06D55" w:rsidRDefault="00F06D55" w:rsidP="0077399B">
      <w:pPr>
        <w:spacing w:after="0" w:line="240" w:lineRule="auto"/>
        <w:ind w:firstLine="567"/>
        <w:jc w:val="both"/>
        <w:rPr>
          <w:sz w:val="26"/>
          <w:szCs w:val="26"/>
        </w:rPr>
      </w:pPr>
    </w:p>
    <w:p w:rsidR="00687CB9" w:rsidRDefault="00FB7700" w:rsidP="0077399B">
      <w:pPr>
        <w:spacing w:after="0" w:line="240" w:lineRule="auto"/>
        <w:ind w:firstLine="567"/>
        <w:jc w:val="both"/>
        <w:rPr>
          <w:sz w:val="26"/>
          <w:szCs w:val="26"/>
        </w:rPr>
      </w:pPr>
      <w:r w:rsidRPr="00CD7B6E">
        <w:rPr>
          <w:sz w:val="26"/>
          <w:szCs w:val="26"/>
        </w:rPr>
        <w:t>Brīvo darba vietu dinamika un sadalījums pa nozarēm vēl neliecina, par strukturālā bezdarba veidošanos. Tomēr šis risks pastāv saistībā ar ilgstošā bezdarba pieaugumu.</w:t>
      </w:r>
    </w:p>
    <w:p w:rsidR="00687CB9" w:rsidRDefault="00687CB9" w:rsidP="0077399B">
      <w:pPr>
        <w:spacing w:after="0" w:line="240" w:lineRule="auto"/>
        <w:jc w:val="both"/>
        <w:rPr>
          <w:sz w:val="26"/>
          <w:szCs w:val="28"/>
        </w:rPr>
      </w:pPr>
    </w:p>
    <w:p w:rsidR="00687CB9" w:rsidRDefault="00FB7700" w:rsidP="0077399B">
      <w:pPr>
        <w:spacing w:after="0" w:line="240" w:lineRule="auto"/>
        <w:jc w:val="both"/>
        <w:rPr>
          <w:b/>
          <w:sz w:val="26"/>
          <w:szCs w:val="26"/>
        </w:rPr>
      </w:pPr>
      <w:r w:rsidRPr="00CD7B6E">
        <w:rPr>
          <w:b/>
          <w:sz w:val="26"/>
          <w:szCs w:val="26"/>
        </w:rPr>
        <w:t>Bezdarba raksturojums</w:t>
      </w:r>
    </w:p>
    <w:p w:rsidR="00CA709A" w:rsidRPr="00CA709A" w:rsidRDefault="00CA709A" w:rsidP="00CA709A">
      <w:pPr>
        <w:spacing w:after="0" w:line="240" w:lineRule="auto"/>
        <w:jc w:val="both"/>
        <w:rPr>
          <w:spacing w:val="4"/>
          <w:sz w:val="8"/>
          <w:szCs w:val="28"/>
        </w:rPr>
      </w:pPr>
    </w:p>
    <w:p w:rsidR="00687CB9" w:rsidRDefault="00FB7700" w:rsidP="0077399B">
      <w:pPr>
        <w:spacing w:after="0" w:line="240" w:lineRule="auto"/>
        <w:ind w:firstLine="567"/>
        <w:jc w:val="both"/>
        <w:rPr>
          <w:sz w:val="26"/>
          <w:szCs w:val="26"/>
        </w:rPr>
      </w:pPr>
      <w:r>
        <w:rPr>
          <w:sz w:val="26"/>
          <w:szCs w:val="26"/>
        </w:rPr>
        <w:t>Pēc CSP datiem darba meklētā</w:t>
      </w:r>
      <w:r w:rsidR="006C337F">
        <w:rPr>
          <w:sz w:val="26"/>
          <w:szCs w:val="26"/>
        </w:rPr>
        <w:t>ju skaits 2012</w:t>
      </w:r>
      <w:r>
        <w:rPr>
          <w:sz w:val="26"/>
          <w:szCs w:val="26"/>
        </w:rPr>
        <w:t xml:space="preserve">.gadā bija 155,5 </w:t>
      </w:r>
      <w:proofErr w:type="spellStart"/>
      <w:r>
        <w:rPr>
          <w:sz w:val="26"/>
          <w:szCs w:val="26"/>
        </w:rPr>
        <w:t>tūkst</w:t>
      </w:r>
      <w:proofErr w:type="spellEnd"/>
      <w:r w:rsidR="00B30E66">
        <w:rPr>
          <w:sz w:val="26"/>
          <w:szCs w:val="26"/>
        </w:rPr>
        <w:t>.</w:t>
      </w:r>
      <w:r>
        <w:rPr>
          <w:sz w:val="26"/>
          <w:szCs w:val="26"/>
        </w:rPr>
        <w:t xml:space="preserve"> un bezdarba līmenis bija 14,9% no ekonomiski aktīvajiem iedzīvotājiem.</w:t>
      </w:r>
    </w:p>
    <w:p w:rsidR="00687CB9" w:rsidRDefault="00FB7700" w:rsidP="0077399B">
      <w:pPr>
        <w:spacing w:after="0" w:line="240" w:lineRule="auto"/>
        <w:ind w:firstLine="567"/>
        <w:jc w:val="both"/>
        <w:rPr>
          <w:sz w:val="26"/>
          <w:szCs w:val="26"/>
        </w:rPr>
      </w:pPr>
      <w:r w:rsidRPr="00CD7B6E">
        <w:rPr>
          <w:sz w:val="26"/>
          <w:szCs w:val="26"/>
        </w:rPr>
        <w:t>Bezdarba līmenis iedzīvotājiem ar augstāko izglītību 201</w:t>
      </w:r>
      <w:r>
        <w:rPr>
          <w:sz w:val="26"/>
          <w:szCs w:val="26"/>
        </w:rPr>
        <w:t>2</w:t>
      </w:r>
      <w:r w:rsidRPr="00CD7B6E">
        <w:rPr>
          <w:sz w:val="26"/>
          <w:szCs w:val="26"/>
        </w:rPr>
        <w:t xml:space="preserve">.gadā bija </w:t>
      </w:r>
      <w:r>
        <w:rPr>
          <w:sz w:val="26"/>
          <w:szCs w:val="26"/>
        </w:rPr>
        <w:t>6,8%</w:t>
      </w:r>
      <w:r w:rsidRPr="00CD7B6E">
        <w:rPr>
          <w:sz w:val="26"/>
          <w:szCs w:val="26"/>
        </w:rPr>
        <w:t>.</w:t>
      </w:r>
      <w:r>
        <w:rPr>
          <w:sz w:val="26"/>
          <w:szCs w:val="26"/>
        </w:rPr>
        <w:t xml:space="preserve"> </w:t>
      </w:r>
      <w:r w:rsidRPr="00CD7B6E">
        <w:rPr>
          <w:sz w:val="26"/>
          <w:szCs w:val="26"/>
        </w:rPr>
        <w:t>Viszemākais bezdarba līmenis iedzīvotājiem ar augstāko izglītību bija veselības aprūpe</w:t>
      </w:r>
      <w:r>
        <w:rPr>
          <w:sz w:val="26"/>
          <w:szCs w:val="26"/>
        </w:rPr>
        <w:t>s</w:t>
      </w:r>
      <w:r w:rsidRPr="00CD7B6E">
        <w:rPr>
          <w:sz w:val="26"/>
          <w:szCs w:val="26"/>
        </w:rPr>
        <w:t xml:space="preserve"> un sociālā</w:t>
      </w:r>
      <w:r>
        <w:rPr>
          <w:sz w:val="26"/>
          <w:szCs w:val="26"/>
        </w:rPr>
        <w:t>s</w:t>
      </w:r>
      <w:r w:rsidRPr="00CD7B6E">
        <w:rPr>
          <w:sz w:val="26"/>
          <w:szCs w:val="26"/>
        </w:rPr>
        <w:t xml:space="preserve"> labklājība</w:t>
      </w:r>
      <w:r>
        <w:rPr>
          <w:sz w:val="26"/>
          <w:szCs w:val="26"/>
        </w:rPr>
        <w:t xml:space="preserve">s </w:t>
      </w:r>
      <w:r w:rsidRPr="00CD7B6E">
        <w:rPr>
          <w:sz w:val="26"/>
          <w:szCs w:val="26"/>
        </w:rPr>
        <w:t xml:space="preserve">izglītības tematiskajā grupā. Savukārt augstākais – </w:t>
      </w:r>
      <w:r>
        <w:rPr>
          <w:sz w:val="26"/>
          <w:szCs w:val="26"/>
        </w:rPr>
        <w:t xml:space="preserve">lauksaimniecības </w:t>
      </w:r>
      <w:r w:rsidR="00C903BE" w:rsidRPr="00CD7B6E">
        <w:rPr>
          <w:sz w:val="26"/>
          <w:szCs w:val="26"/>
        </w:rPr>
        <w:t xml:space="preserve">izglītības tematiskajā </w:t>
      </w:r>
      <w:r>
        <w:rPr>
          <w:sz w:val="26"/>
          <w:szCs w:val="26"/>
        </w:rPr>
        <w:t xml:space="preserve">grupā un </w:t>
      </w:r>
      <w:r w:rsidRPr="00CD7B6E">
        <w:rPr>
          <w:sz w:val="26"/>
          <w:szCs w:val="26"/>
        </w:rPr>
        <w:t xml:space="preserve">humanitāro zinātņu un mākslas </w:t>
      </w:r>
      <w:r w:rsidR="00C903BE" w:rsidRPr="00CD7B6E">
        <w:rPr>
          <w:sz w:val="26"/>
          <w:szCs w:val="26"/>
        </w:rPr>
        <w:t xml:space="preserve">izglītības tematiskajā </w:t>
      </w:r>
      <w:r w:rsidRPr="00CD7B6E">
        <w:rPr>
          <w:sz w:val="26"/>
          <w:szCs w:val="26"/>
        </w:rPr>
        <w:t xml:space="preserve">grupā. Lielākā grupa absolūtā izteiksmē ir sociālo zinātņu, </w:t>
      </w:r>
      <w:proofErr w:type="spellStart"/>
      <w:r w:rsidRPr="00CD7B6E">
        <w:rPr>
          <w:sz w:val="26"/>
          <w:szCs w:val="26"/>
        </w:rPr>
        <w:t>komerczinību</w:t>
      </w:r>
      <w:proofErr w:type="spellEnd"/>
      <w:r w:rsidRPr="00CD7B6E">
        <w:rPr>
          <w:sz w:val="26"/>
          <w:szCs w:val="26"/>
        </w:rPr>
        <w:t xml:space="preserve"> un tiesību </w:t>
      </w:r>
      <w:r w:rsidR="00C903BE">
        <w:rPr>
          <w:sz w:val="26"/>
          <w:szCs w:val="26"/>
        </w:rPr>
        <w:t>izglītības tematisk</w:t>
      </w:r>
      <w:r w:rsidR="00C903BE" w:rsidRPr="00CD7B6E">
        <w:rPr>
          <w:sz w:val="26"/>
          <w:szCs w:val="26"/>
        </w:rPr>
        <w:t xml:space="preserve">ā </w:t>
      </w:r>
      <w:r w:rsidRPr="00CD7B6E">
        <w:rPr>
          <w:sz w:val="26"/>
          <w:szCs w:val="26"/>
        </w:rPr>
        <w:t>grupa.</w:t>
      </w:r>
    </w:p>
    <w:p w:rsidR="00687CB9" w:rsidRDefault="00687CB9" w:rsidP="0077399B">
      <w:pPr>
        <w:spacing w:after="0" w:line="240" w:lineRule="auto"/>
        <w:rPr>
          <w:sz w:val="26"/>
          <w:szCs w:val="26"/>
        </w:rPr>
      </w:pPr>
    </w:p>
    <w:p w:rsidR="00521971" w:rsidRDefault="00521971">
      <w:pPr>
        <w:spacing w:after="0" w:line="240" w:lineRule="auto"/>
        <w:rPr>
          <w:sz w:val="26"/>
          <w:szCs w:val="26"/>
        </w:rPr>
      </w:pPr>
      <w:r>
        <w:rPr>
          <w:sz w:val="26"/>
          <w:szCs w:val="26"/>
        </w:rPr>
        <w:br w:type="page"/>
      </w:r>
    </w:p>
    <w:p w:rsidR="00687CB9" w:rsidRDefault="00FB7700" w:rsidP="0077399B">
      <w:pPr>
        <w:spacing w:after="0" w:line="240" w:lineRule="auto"/>
        <w:ind w:firstLine="709"/>
        <w:jc w:val="right"/>
        <w:rPr>
          <w:sz w:val="26"/>
          <w:szCs w:val="26"/>
        </w:rPr>
      </w:pPr>
      <w:r w:rsidRPr="00CD7B6E">
        <w:rPr>
          <w:sz w:val="26"/>
          <w:szCs w:val="26"/>
        </w:rPr>
        <w:lastRenderedPageBreak/>
        <w:t>2.1</w:t>
      </w:r>
      <w:r w:rsidR="00895051">
        <w:rPr>
          <w:sz w:val="26"/>
          <w:szCs w:val="26"/>
        </w:rPr>
        <w:t>2</w:t>
      </w:r>
      <w:r w:rsidRPr="00CD7B6E">
        <w:rPr>
          <w:sz w:val="26"/>
          <w:szCs w:val="26"/>
        </w:rPr>
        <w:t>. attēls</w:t>
      </w:r>
    </w:p>
    <w:p w:rsidR="00687CB9" w:rsidRDefault="00FB7700" w:rsidP="0077399B">
      <w:pPr>
        <w:spacing w:after="0" w:line="240" w:lineRule="auto"/>
        <w:jc w:val="center"/>
        <w:rPr>
          <w:b/>
          <w:sz w:val="26"/>
          <w:szCs w:val="26"/>
        </w:rPr>
      </w:pPr>
      <w:r w:rsidRPr="00CD7B6E">
        <w:rPr>
          <w:b/>
          <w:sz w:val="26"/>
          <w:szCs w:val="26"/>
        </w:rPr>
        <w:t>Bezdarba līmenis iedzīvotājiem ar augstāko izglītību sadalījumā pa izglītības tematiskajām grupām 201</w:t>
      </w:r>
      <w:r>
        <w:rPr>
          <w:b/>
          <w:sz w:val="26"/>
          <w:szCs w:val="26"/>
        </w:rPr>
        <w:t>2.</w:t>
      </w:r>
      <w:r w:rsidRPr="00CD7B6E">
        <w:rPr>
          <w:b/>
          <w:sz w:val="26"/>
          <w:szCs w:val="26"/>
        </w:rPr>
        <w:t>gadā</w:t>
      </w:r>
    </w:p>
    <w:p w:rsidR="00687CB9" w:rsidRDefault="00FB7700" w:rsidP="0077399B">
      <w:pPr>
        <w:spacing w:after="0" w:line="240" w:lineRule="auto"/>
        <w:jc w:val="center"/>
        <w:rPr>
          <w:szCs w:val="26"/>
        </w:rPr>
      </w:pPr>
      <w:r w:rsidRPr="00CD7B6E">
        <w:rPr>
          <w:szCs w:val="26"/>
        </w:rPr>
        <w:t>(</w:t>
      </w:r>
      <w:r w:rsidRPr="00CD7B6E">
        <w:rPr>
          <w:bCs/>
          <w:szCs w:val="26"/>
        </w:rPr>
        <w:t>% pret ekonomiski aktīvajiem iedzīvotājiem</w:t>
      </w:r>
      <w:r w:rsidRPr="00CD7B6E">
        <w:rPr>
          <w:szCs w:val="26"/>
        </w:rPr>
        <w:t>)</w:t>
      </w:r>
    </w:p>
    <w:p w:rsidR="00687CB9" w:rsidRDefault="00FB7700" w:rsidP="0077399B">
      <w:pPr>
        <w:spacing w:after="0" w:line="240" w:lineRule="auto"/>
        <w:jc w:val="center"/>
        <w:rPr>
          <w:sz w:val="24"/>
          <w:szCs w:val="24"/>
        </w:rPr>
      </w:pPr>
      <w:r w:rsidRPr="00CD7B6E">
        <w:rPr>
          <w:noProof/>
          <w:sz w:val="28"/>
          <w:szCs w:val="28"/>
          <w:lang w:eastAsia="lv-LV"/>
        </w:rPr>
        <w:drawing>
          <wp:inline distT="0" distB="0" distL="0" distR="0" wp14:anchorId="6AC3C08E" wp14:editId="72BF011E">
            <wp:extent cx="5760000" cy="2880000"/>
            <wp:effectExtent l="0" t="0" r="0" b="0"/>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87CB9" w:rsidRDefault="00687CB9" w:rsidP="0077399B">
      <w:pPr>
        <w:spacing w:after="0" w:line="240" w:lineRule="auto"/>
        <w:ind w:firstLine="567"/>
        <w:jc w:val="both"/>
        <w:rPr>
          <w:sz w:val="26"/>
          <w:szCs w:val="28"/>
        </w:rPr>
      </w:pPr>
    </w:p>
    <w:p w:rsidR="00687CB9" w:rsidRDefault="00FB7700" w:rsidP="0077399B">
      <w:pPr>
        <w:spacing w:after="0" w:line="240" w:lineRule="auto"/>
        <w:ind w:firstLine="567"/>
        <w:jc w:val="both"/>
        <w:rPr>
          <w:sz w:val="26"/>
          <w:szCs w:val="26"/>
        </w:rPr>
      </w:pPr>
      <w:r w:rsidRPr="00CD7B6E">
        <w:rPr>
          <w:sz w:val="26"/>
          <w:szCs w:val="26"/>
        </w:rPr>
        <w:t>Vidējais bezdarba līmenis iedzīvotājiem ar vidējo izglītību ir ievērojami augstāks nekā ar augstāko izglītību – 1</w:t>
      </w:r>
      <w:r>
        <w:rPr>
          <w:sz w:val="26"/>
          <w:szCs w:val="26"/>
        </w:rPr>
        <w:t>7,5</w:t>
      </w:r>
      <w:r w:rsidRPr="00CD7B6E">
        <w:rPr>
          <w:sz w:val="26"/>
          <w:szCs w:val="26"/>
        </w:rPr>
        <w:t xml:space="preserve">%. Zemākais bezdarba līmenis šajā izglītības līmenī ir veselības aprūpes un sociālās labklājības </w:t>
      </w:r>
      <w:r w:rsidR="008239EE">
        <w:rPr>
          <w:sz w:val="26"/>
          <w:szCs w:val="26"/>
        </w:rPr>
        <w:t xml:space="preserve">izglītības tematiskajā </w:t>
      </w:r>
      <w:r w:rsidRPr="00CD7B6E">
        <w:rPr>
          <w:sz w:val="26"/>
          <w:szCs w:val="26"/>
        </w:rPr>
        <w:t xml:space="preserve">grupā un </w:t>
      </w:r>
      <w:r w:rsidR="008239EE">
        <w:rPr>
          <w:sz w:val="26"/>
          <w:szCs w:val="26"/>
        </w:rPr>
        <w:t>lauksaimniecības</w:t>
      </w:r>
      <w:r w:rsidR="008239EE" w:rsidRPr="008239EE">
        <w:rPr>
          <w:sz w:val="26"/>
          <w:szCs w:val="26"/>
        </w:rPr>
        <w:t xml:space="preserve"> </w:t>
      </w:r>
      <w:r w:rsidR="008239EE">
        <w:rPr>
          <w:sz w:val="26"/>
          <w:szCs w:val="26"/>
        </w:rPr>
        <w:t>izglītības tematiskajā grupā</w:t>
      </w:r>
      <w:r w:rsidRPr="00CD7B6E">
        <w:rPr>
          <w:sz w:val="26"/>
          <w:szCs w:val="26"/>
        </w:rPr>
        <w:t>. Savukārt</w:t>
      </w:r>
      <w:r w:rsidR="008239EE">
        <w:rPr>
          <w:sz w:val="26"/>
          <w:szCs w:val="26"/>
        </w:rPr>
        <w:t>,</w:t>
      </w:r>
      <w:r w:rsidRPr="00CD7B6E">
        <w:rPr>
          <w:sz w:val="26"/>
          <w:szCs w:val="26"/>
        </w:rPr>
        <w:t xml:space="preserve"> lielākais bezdarba līmenis ir humanitāro zinātņu un mākslas </w:t>
      </w:r>
      <w:r w:rsidR="008239EE">
        <w:rPr>
          <w:sz w:val="26"/>
          <w:szCs w:val="26"/>
        </w:rPr>
        <w:t xml:space="preserve">izglītības tematiskajā </w:t>
      </w:r>
      <w:r w:rsidRPr="00CD7B6E">
        <w:rPr>
          <w:sz w:val="26"/>
          <w:szCs w:val="26"/>
        </w:rPr>
        <w:t xml:space="preserve">grupā. </w:t>
      </w:r>
      <w:r>
        <w:rPr>
          <w:sz w:val="26"/>
          <w:szCs w:val="26"/>
        </w:rPr>
        <w:t>A</w:t>
      </w:r>
      <w:r w:rsidRPr="00CD7B6E">
        <w:rPr>
          <w:sz w:val="26"/>
          <w:szCs w:val="26"/>
        </w:rPr>
        <w:t xml:space="preserve">bsolūtā izteiksmē </w:t>
      </w:r>
      <w:r>
        <w:rPr>
          <w:sz w:val="26"/>
          <w:szCs w:val="26"/>
        </w:rPr>
        <w:t>visvairāk bezdarbnieku ir ar vidējo vispārējo izglītību</w:t>
      </w:r>
      <w:r w:rsidRPr="00CD7B6E">
        <w:rPr>
          <w:sz w:val="26"/>
          <w:szCs w:val="26"/>
        </w:rPr>
        <w:t xml:space="preserve"> – gandrīz puse no šī izglītības līmeņa bezdarbniekiem.</w:t>
      </w:r>
    </w:p>
    <w:p w:rsidR="00687CB9" w:rsidRDefault="00FB7700" w:rsidP="0077399B">
      <w:pPr>
        <w:spacing w:after="0" w:line="240" w:lineRule="auto"/>
        <w:ind w:firstLine="709"/>
        <w:jc w:val="right"/>
        <w:rPr>
          <w:sz w:val="26"/>
          <w:szCs w:val="26"/>
        </w:rPr>
      </w:pPr>
      <w:r w:rsidRPr="00CD7B6E">
        <w:rPr>
          <w:sz w:val="26"/>
          <w:szCs w:val="26"/>
        </w:rPr>
        <w:t>2.1</w:t>
      </w:r>
      <w:r w:rsidR="00895051">
        <w:rPr>
          <w:sz w:val="26"/>
          <w:szCs w:val="26"/>
        </w:rPr>
        <w:t>3</w:t>
      </w:r>
      <w:r w:rsidRPr="00CD7B6E">
        <w:rPr>
          <w:sz w:val="26"/>
          <w:szCs w:val="26"/>
        </w:rPr>
        <w:t>. attēls</w:t>
      </w:r>
    </w:p>
    <w:p w:rsidR="00687CB9" w:rsidRDefault="00FB7700" w:rsidP="0077399B">
      <w:pPr>
        <w:spacing w:after="0" w:line="240" w:lineRule="auto"/>
        <w:jc w:val="center"/>
        <w:rPr>
          <w:b/>
          <w:sz w:val="26"/>
          <w:szCs w:val="26"/>
        </w:rPr>
      </w:pPr>
      <w:r w:rsidRPr="00CD7B6E">
        <w:rPr>
          <w:b/>
          <w:sz w:val="26"/>
          <w:szCs w:val="26"/>
        </w:rPr>
        <w:t>Bezdarba līmenis iedzīvotājiem ar vidējo izglītību sadalījumā pa izglītības tematiskajām grupām 201</w:t>
      </w:r>
      <w:r>
        <w:rPr>
          <w:b/>
          <w:sz w:val="26"/>
          <w:szCs w:val="26"/>
        </w:rPr>
        <w:t>2</w:t>
      </w:r>
      <w:r w:rsidRPr="00CD7B6E">
        <w:rPr>
          <w:b/>
          <w:sz w:val="26"/>
          <w:szCs w:val="26"/>
        </w:rPr>
        <w:t>.gadā</w:t>
      </w:r>
    </w:p>
    <w:p w:rsidR="00687CB9" w:rsidRDefault="00FB7700" w:rsidP="0077399B">
      <w:pPr>
        <w:spacing w:after="0" w:line="240" w:lineRule="auto"/>
        <w:jc w:val="center"/>
        <w:rPr>
          <w:szCs w:val="26"/>
        </w:rPr>
      </w:pPr>
      <w:r w:rsidRPr="00CD7B6E">
        <w:rPr>
          <w:szCs w:val="26"/>
        </w:rPr>
        <w:t>(</w:t>
      </w:r>
      <w:r w:rsidRPr="00CD7B6E">
        <w:rPr>
          <w:bCs/>
          <w:szCs w:val="26"/>
        </w:rPr>
        <w:t>% pret ekonomiski aktīvajiem iedzīvotājiem</w:t>
      </w:r>
      <w:r w:rsidRPr="00CD7B6E">
        <w:rPr>
          <w:szCs w:val="26"/>
        </w:rPr>
        <w:t>)</w:t>
      </w:r>
    </w:p>
    <w:p w:rsidR="00687CB9" w:rsidRDefault="00FB7700" w:rsidP="0077399B">
      <w:pPr>
        <w:spacing w:after="0" w:line="240" w:lineRule="auto"/>
        <w:jc w:val="center"/>
        <w:rPr>
          <w:szCs w:val="26"/>
        </w:rPr>
      </w:pPr>
      <w:r w:rsidRPr="00CD7B6E">
        <w:rPr>
          <w:noProof/>
          <w:sz w:val="28"/>
          <w:szCs w:val="28"/>
          <w:lang w:eastAsia="lv-LV"/>
        </w:rPr>
        <w:drawing>
          <wp:inline distT="0" distB="0" distL="0" distR="0" wp14:anchorId="249ACD91" wp14:editId="61CCFC48">
            <wp:extent cx="5760000" cy="2880000"/>
            <wp:effectExtent l="0" t="0" r="0" b="0"/>
            <wp:docPr id="84"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B30C9" w:rsidRDefault="00EB30C9">
      <w:pPr>
        <w:spacing w:after="0" w:line="240" w:lineRule="auto"/>
        <w:rPr>
          <w:szCs w:val="28"/>
        </w:rPr>
      </w:pPr>
    </w:p>
    <w:p w:rsidR="005E4D37" w:rsidRDefault="005E4D37">
      <w:pPr>
        <w:spacing w:after="0" w:line="240" w:lineRule="auto"/>
        <w:rPr>
          <w:szCs w:val="28"/>
        </w:rPr>
      </w:pPr>
    </w:p>
    <w:p w:rsidR="00EB30C9" w:rsidRPr="00CD7B6E" w:rsidRDefault="00EB30C9" w:rsidP="005E4D37">
      <w:pPr>
        <w:spacing w:after="0" w:line="240" w:lineRule="auto"/>
        <w:rPr>
          <w:b/>
          <w:sz w:val="26"/>
          <w:szCs w:val="26"/>
        </w:rPr>
      </w:pPr>
      <w:r w:rsidRPr="00CD7B6E">
        <w:rPr>
          <w:b/>
          <w:sz w:val="26"/>
          <w:szCs w:val="26"/>
        </w:rPr>
        <w:lastRenderedPageBreak/>
        <w:t>Nodarbināto izglītības atbilstība profesijas kvalifikācijai</w:t>
      </w:r>
    </w:p>
    <w:p w:rsidR="005E4D37" w:rsidRPr="005E4D37" w:rsidRDefault="005E4D37" w:rsidP="005E4D37">
      <w:pPr>
        <w:spacing w:after="0" w:line="240" w:lineRule="auto"/>
        <w:ind w:firstLine="720"/>
        <w:jc w:val="both"/>
        <w:rPr>
          <w:bCs/>
          <w:sz w:val="8"/>
          <w:szCs w:val="26"/>
        </w:rPr>
      </w:pPr>
    </w:p>
    <w:p w:rsidR="00743675" w:rsidRDefault="00743675" w:rsidP="005E4D37">
      <w:pPr>
        <w:spacing w:after="0" w:line="240" w:lineRule="auto"/>
        <w:ind w:firstLine="720"/>
        <w:jc w:val="both"/>
        <w:rPr>
          <w:bCs/>
          <w:sz w:val="26"/>
          <w:szCs w:val="26"/>
        </w:rPr>
      </w:pPr>
      <w:r>
        <w:rPr>
          <w:bCs/>
          <w:sz w:val="26"/>
          <w:szCs w:val="26"/>
        </w:rPr>
        <w:t>Salīdzinot nodarbināto iedzīvotāju sadalījumu gan pa iegūtās izglītības līmeņiem, gan pa profesiju kvalifikācijas grupām, redzams, ka nodarbināto skaits ar augstāko izglītību ir mazāks nekā nodarbināto skaits augstas kvalifikācijas profesijās, kurās pēc būtības jābūt cilvēkiem ar augstāko izglītību. Savukārt vidējas kvalifikācijas profesijās pieprasījums pēc nodarbinātajiem ar vidējo izglītību ir mazāks nekā piedāvājums.</w:t>
      </w:r>
    </w:p>
    <w:p w:rsidR="00743675" w:rsidRDefault="00743675" w:rsidP="00743675">
      <w:pPr>
        <w:spacing w:after="0" w:line="240" w:lineRule="auto"/>
        <w:jc w:val="right"/>
        <w:rPr>
          <w:sz w:val="26"/>
          <w:szCs w:val="26"/>
        </w:rPr>
      </w:pPr>
      <w:r>
        <w:rPr>
          <w:sz w:val="26"/>
          <w:szCs w:val="26"/>
        </w:rPr>
        <w:t>2.1</w:t>
      </w:r>
      <w:r w:rsidR="00895051">
        <w:rPr>
          <w:sz w:val="26"/>
          <w:szCs w:val="26"/>
        </w:rPr>
        <w:t>4</w:t>
      </w:r>
      <w:r>
        <w:rPr>
          <w:sz w:val="26"/>
          <w:szCs w:val="26"/>
        </w:rPr>
        <w:t>. attēls</w:t>
      </w:r>
    </w:p>
    <w:p w:rsidR="00743675" w:rsidRDefault="00743675" w:rsidP="00743675">
      <w:pPr>
        <w:spacing w:after="0" w:line="240" w:lineRule="auto"/>
        <w:jc w:val="center"/>
        <w:rPr>
          <w:b/>
          <w:sz w:val="26"/>
          <w:szCs w:val="26"/>
        </w:rPr>
      </w:pPr>
      <w:r>
        <w:rPr>
          <w:b/>
          <w:bCs/>
          <w:sz w:val="26"/>
          <w:szCs w:val="26"/>
        </w:rPr>
        <w:t xml:space="preserve">Nodarbinātie sadalījumā pēc izglītības līmeņa un </w:t>
      </w:r>
      <w:r>
        <w:rPr>
          <w:b/>
          <w:bCs/>
          <w:sz w:val="26"/>
          <w:szCs w:val="26"/>
        </w:rPr>
        <w:br/>
        <w:t>profesiju kvalifikācijas pakāpes 2012.gadā</w:t>
      </w:r>
    </w:p>
    <w:p w:rsidR="00743675" w:rsidRDefault="00743675" w:rsidP="00743675">
      <w:pPr>
        <w:spacing w:after="0" w:line="240" w:lineRule="auto"/>
        <w:jc w:val="center"/>
        <w:rPr>
          <w:bCs/>
          <w:sz w:val="28"/>
          <w:szCs w:val="28"/>
        </w:rPr>
      </w:pPr>
      <w:r>
        <w:rPr>
          <w:noProof/>
          <w:sz w:val="28"/>
          <w:szCs w:val="28"/>
          <w:lang w:eastAsia="lv-LV"/>
        </w:rPr>
        <w:drawing>
          <wp:inline distT="0" distB="0" distL="0" distR="0">
            <wp:extent cx="5765800" cy="2597150"/>
            <wp:effectExtent l="0" t="0" r="6350" b="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3675" w:rsidRDefault="00743675" w:rsidP="00743675">
      <w:pPr>
        <w:spacing w:after="0" w:line="240" w:lineRule="auto"/>
        <w:ind w:firstLine="567"/>
        <w:jc w:val="both"/>
        <w:rPr>
          <w:bCs/>
          <w:sz w:val="26"/>
          <w:szCs w:val="26"/>
        </w:rPr>
      </w:pPr>
    </w:p>
    <w:p w:rsidR="00743675" w:rsidRDefault="00743675" w:rsidP="00743675">
      <w:pPr>
        <w:spacing w:after="0" w:line="240" w:lineRule="auto"/>
        <w:ind w:firstLine="567"/>
        <w:jc w:val="both"/>
        <w:rPr>
          <w:bCs/>
          <w:sz w:val="26"/>
          <w:szCs w:val="26"/>
        </w:rPr>
      </w:pPr>
      <w:r>
        <w:rPr>
          <w:bCs/>
          <w:sz w:val="26"/>
          <w:szCs w:val="26"/>
        </w:rPr>
        <w:t>Tād</w:t>
      </w:r>
      <w:r w:rsidR="00C903BE">
        <w:rPr>
          <w:bCs/>
          <w:sz w:val="26"/>
          <w:szCs w:val="26"/>
        </w:rPr>
        <w:t>ē</w:t>
      </w:r>
      <w:r>
        <w:rPr>
          <w:bCs/>
          <w:sz w:val="26"/>
          <w:szCs w:val="26"/>
        </w:rPr>
        <w:t xml:space="preserve">jādi </w:t>
      </w:r>
      <w:r>
        <w:rPr>
          <w:sz w:val="26"/>
          <w:szCs w:val="26"/>
        </w:rPr>
        <w:t>atsevišķās profesiju grupās jau pašlaik ir izteikta neatbilstība starp nodarbināto izglītību un profesijai nepieciešamo izglītības jomu un līmeni.</w:t>
      </w:r>
    </w:p>
    <w:p w:rsidR="00743675" w:rsidRDefault="00743675" w:rsidP="00743675">
      <w:pPr>
        <w:pStyle w:val="ListParagraph"/>
        <w:spacing w:before="120" w:after="120" w:line="240" w:lineRule="auto"/>
        <w:ind w:left="0" w:firstLine="567"/>
        <w:jc w:val="right"/>
        <w:rPr>
          <w:sz w:val="26"/>
          <w:szCs w:val="26"/>
        </w:rPr>
      </w:pPr>
      <w:r>
        <w:rPr>
          <w:sz w:val="26"/>
          <w:szCs w:val="26"/>
        </w:rPr>
        <w:t>2.1</w:t>
      </w:r>
      <w:r w:rsidR="00895051">
        <w:rPr>
          <w:sz w:val="26"/>
          <w:szCs w:val="26"/>
        </w:rPr>
        <w:t>5</w:t>
      </w:r>
      <w:r>
        <w:rPr>
          <w:sz w:val="26"/>
          <w:szCs w:val="26"/>
        </w:rPr>
        <w:t>. attēls</w:t>
      </w:r>
    </w:p>
    <w:p w:rsidR="00743675" w:rsidRDefault="00743675" w:rsidP="00743675">
      <w:pPr>
        <w:spacing w:after="0" w:line="240" w:lineRule="auto"/>
        <w:ind w:left="-142" w:right="-143"/>
        <w:jc w:val="center"/>
        <w:rPr>
          <w:bCs/>
          <w:sz w:val="26"/>
          <w:szCs w:val="26"/>
        </w:rPr>
      </w:pPr>
      <w:r>
        <w:rPr>
          <w:b/>
          <w:bCs/>
          <w:sz w:val="26"/>
          <w:szCs w:val="26"/>
        </w:rPr>
        <w:t xml:space="preserve">Nodarbināto struktūra pa izglītības līmeņiem pēc profesiju </w:t>
      </w:r>
      <w:r>
        <w:rPr>
          <w:b/>
          <w:bCs/>
          <w:sz w:val="26"/>
          <w:szCs w:val="26"/>
        </w:rPr>
        <w:br/>
        <w:t>kvalifikācijas pakāpes 2012.gadā,</w:t>
      </w:r>
      <w:r>
        <w:rPr>
          <w:bCs/>
          <w:sz w:val="26"/>
          <w:szCs w:val="26"/>
        </w:rPr>
        <w:t xml:space="preserve"> %</w:t>
      </w:r>
    </w:p>
    <w:p w:rsidR="00743675" w:rsidRDefault="00743675" w:rsidP="00743675">
      <w:pPr>
        <w:spacing w:after="0" w:line="240" w:lineRule="auto"/>
        <w:jc w:val="center"/>
        <w:rPr>
          <w:bCs/>
          <w:sz w:val="26"/>
          <w:szCs w:val="26"/>
        </w:rPr>
      </w:pPr>
      <w:r>
        <w:rPr>
          <w:noProof/>
          <w:lang w:eastAsia="lv-LV"/>
        </w:rPr>
        <w:drawing>
          <wp:inline distT="0" distB="0" distL="0" distR="0">
            <wp:extent cx="5765800" cy="2609850"/>
            <wp:effectExtent l="0" t="0" r="6350" b="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399B" w:rsidRDefault="00F3399B" w:rsidP="00743675">
      <w:pPr>
        <w:spacing w:after="0" w:line="240" w:lineRule="auto"/>
        <w:ind w:firstLine="567"/>
        <w:jc w:val="both"/>
        <w:rPr>
          <w:sz w:val="26"/>
          <w:szCs w:val="26"/>
        </w:rPr>
      </w:pPr>
    </w:p>
    <w:p w:rsidR="00743675" w:rsidRDefault="00743675" w:rsidP="00743675">
      <w:pPr>
        <w:spacing w:after="0" w:line="240" w:lineRule="auto"/>
        <w:ind w:firstLine="567"/>
        <w:jc w:val="both"/>
        <w:rPr>
          <w:bCs/>
          <w:sz w:val="26"/>
          <w:szCs w:val="26"/>
        </w:rPr>
      </w:pPr>
      <w:r>
        <w:rPr>
          <w:sz w:val="26"/>
          <w:szCs w:val="26"/>
        </w:rPr>
        <w:t xml:space="preserve">Nodarbināto izglītības līmeņa atbilstība profesiju kvalifikācijai </w:t>
      </w:r>
      <w:r>
        <w:rPr>
          <w:bCs/>
          <w:sz w:val="26"/>
          <w:szCs w:val="26"/>
        </w:rPr>
        <w:t xml:space="preserve">vidējas kvalifikācijas profesiju grupā ir augstāka nekā augstas kvalifikācijas profesiju grupā. </w:t>
      </w:r>
      <w:r>
        <w:rPr>
          <w:bCs/>
          <w:sz w:val="26"/>
          <w:szCs w:val="26"/>
        </w:rPr>
        <w:lastRenderedPageBreak/>
        <w:t>Daļēji tas ir saistīts ar to, ka augstas kvalifikācijas profesijas grupā ir iekļauti visa veida iestāžu un to apakšvienību vadītāji, kuru ieņemamais amats nereti nav saistīts ar darbinieka atbil</w:t>
      </w:r>
      <w:r w:rsidR="005E4D37">
        <w:rPr>
          <w:bCs/>
          <w:sz w:val="26"/>
          <w:szCs w:val="26"/>
        </w:rPr>
        <w:t>stošo izglītības kvalifikāciju.</w:t>
      </w:r>
    </w:p>
    <w:p w:rsidR="005E4D37" w:rsidRDefault="005E4D37" w:rsidP="00521971">
      <w:pPr>
        <w:spacing w:after="0" w:line="240" w:lineRule="auto"/>
        <w:jc w:val="both"/>
        <w:rPr>
          <w:bCs/>
          <w:sz w:val="26"/>
          <w:szCs w:val="26"/>
        </w:rPr>
      </w:pPr>
    </w:p>
    <w:p w:rsidR="005E4D37" w:rsidRDefault="005E4D37" w:rsidP="005E4D37">
      <w:pPr>
        <w:spacing w:after="0" w:line="240" w:lineRule="auto"/>
        <w:jc w:val="both"/>
        <w:rPr>
          <w:b/>
          <w:bCs/>
          <w:iCs/>
          <w:sz w:val="26"/>
        </w:rPr>
      </w:pPr>
      <w:r>
        <w:rPr>
          <w:b/>
          <w:bCs/>
          <w:iCs/>
          <w:sz w:val="26"/>
        </w:rPr>
        <w:t>Ekonomikas ministrijas sagatavoto darba tirgus prognožu izmantošana</w:t>
      </w:r>
    </w:p>
    <w:p w:rsidR="005E4D37" w:rsidRPr="005E4D37" w:rsidRDefault="005E4D37" w:rsidP="005E4D37">
      <w:pPr>
        <w:spacing w:after="0" w:line="240" w:lineRule="auto"/>
        <w:jc w:val="both"/>
        <w:rPr>
          <w:bCs/>
          <w:iCs/>
          <w:sz w:val="8"/>
        </w:rPr>
      </w:pPr>
    </w:p>
    <w:p w:rsidR="005E4D37" w:rsidRPr="00B30E66" w:rsidRDefault="005E4D37" w:rsidP="005E4D37">
      <w:pPr>
        <w:spacing w:after="0" w:line="240" w:lineRule="auto"/>
        <w:ind w:firstLine="567"/>
        <w:jc w:val="both"/>
        <w:rPr>
          <w:bCs/>
          <w:iCs/>
          <w:spacing w:val="-2"/>
          <w:sz w:val="26"/>
        </w:rPr>
      </w:pPr>
      <w:r w:rsidRPr="00B30E66">
        <w:rPr>
          <w:bCs/>
          <w:iCs/>
          <w:spacing w:val="-2"/>
          <w:sz w:val="26"/>
        </w:rPr>
        <w:t>Profesionālās izglītības jomā darba tirgus prognozes tiek izmantotas galvenokārt kā viens no informācijas avotiem</w:t>
      </w:r>
      <w:r w:rsidR="00B30E66" w:rsidRPr="00B30E66">
        <w:rPr>
          <w:bCs/>
          <w:iCs/>
          <w:spacing w:val="-2"/>
          <w:sz w:val="26"/>
        </w:rPr>
        <w:t>,</w:t>
      </w:r>
      <w:r w:rsidRPr="00B30E66">
        <w:rPr>
          <w:bCs/>
          <w:iCs/>
          <w:spacing w:val="-2"/>
          <w:sz w:val="26"/>
        </w:rPr>
        <w:t xml:space="preserve"> veidojot uzņemšanas plānus kārtējam mācību gadam. </w:t>
      </w:r>
      <w:r w:rsidRPr="00B30E66">
        <w:rPr>
          <w:spacing w:val="-2"/>
          <w:sz w:val="26"/>
          <w:szCs w:val="28"/>
        </w:rPr>
        <w:t>Profesionālās izglītības piedāvājuma plānošanas procesā notiek detalizēta saskaņošana, ņemot vērā arī iepriekšējo gadu uzņemšanas rezultātus, starp IZM, profesionālās izglītības iestādēm, arodbiedrībām, nozaru pārstāvjiem un darba devējiem.</w:t>
      </w:r>
    </w:p>
    <w:p w:rsidR="005E4D37" w:rsidRDefault="005E4D37" w:rsidP="005E4D37">
      <w:pPr>
        <w:spacing w:after="0" w:line="240" w:lineRule="auto"/>
        <w:ind w:firstLine="567"/>
        <w:jc w:val="both"/>
        <w:rPr>
          <w:sz w:val="26"/>
          <w:szCs w:val="28"/>
        </w:rPr>
      </w:pPr>
      <w:r>
        <w:rPr>
          <w:sz w:val="26"/>
          <w:szCs w:val="28"/>
        </w:rPr>
        <w:t>Jaunu audzēkņu uzņemšana profesionālajās izglītības iestādēs šobrīd tiek plānota tikai 1 gadu uz priekšu. Ir ieceres veikt audzēkņu uzņemšanas plānošanu 3 gadu periodam uz priekšu (saistībā ar vidējā termiņa budžeta plānošanas procesu), tas atvieglotu plānošanas procesu un sniegtu perspektīvu vismaz 7 gadus uz priekšu.</w:t>
      </w:r>
    </w:p>
    <w:p w:rsidR="005E4D37" w:rsidRPr="005E4D37" w:rsidRDefault="005E4D37" w:rsidP="005E4D37">
      <w:pPr>
        <w:spacing w:after="0" w:line="240" w:lineRule="auto"/>
        <w:ind w:firstLine="567"/>
        <w:jc w:val="both"/>
        <w:rPr>
          <w:sz w:val="26"/>
          <w:szCs w:val="26"/>
        </w:rPr>
      </w:pPr>
      <w:r w:rsidRPr="005E4D37">
        <w:rPr>
          <w:sz w:val="26"/>
          <w:szCs w:val="26"/>
        </w:rPr>
        <w:t>Viena no galvenajām problēmām profesionālajā izglītībā ir lielais priekšlaicīgi profesionālās izglītības iestādes atstājušo audzēkņu skaits jeb atbirums (</w:t>
      </w:r>
      <w:r w:rsidR="009C43DB">
        <w:rPr>
          <w:sz w:val="26"/>
          <w:szCs w:val="26"/>
        </w:rPr>
        <w:t>saskaņā ara IZM datiem laika posmā no 2011. gada 1.oktobra līdz 2012.gada 1.oktobrim</w:t>
      </w:r>
      <w:r w:rsidRPr="005E4D37">
        <w:rPr>
          <w:sz w:val="26"/>
          <w:szCs w:val="26"/>
        </w:rPr>
        <w:t xml:space="preserve"> </w:t>
      </w:r>
      <w:r>
        <w:rPr>
          <w:sz w:val="26"/>
          <w:szCs w:val="26"/>
        </w:rPr>
        <w:t>–</w:t>
      </w:r>
      <w:r w:rsidRPr="005E4D37">
        <w:rPr>
          <w:sz w:val="26"/>
          <w:szCs w:val="26"/>
        </w:rPr>
        <w:t xml:space="preserve"> 1</w:t>
      </w:r>
      <w:r w:rsidR="009C43DB">
        <w:rPr>
          <w:sz w:val="26"/>
          <w:szCs w:val="26"/>
        </w:rPr>
        <w:t>5,8</w:t>
      </w:r>
      <w:r>
        <w:rPr>
          <w:sz w:val="26"/>
          <w:szCs w:val="26"/>
        </w:rPr>
        <w:t>% no kopējā audzēkņu skaita). Bez tam</w:t>
      </w:r>
      <w:r w:rsidRPr="005E4D37">
        <w:rPr>
          <w:sz w:val="26"/>
          <w:szCs w:val="26"/>
        </w:rPr>
        <w:t xml:space="preserve"> pēc skolas pabeigšanas, </w:t>
      </w:r>
      <w:r>
        <w:rPr>
          <w:sz w:val="26"/>
          <w:szCs w:val="26"/>
        </w:rPr>
        <w:t xml:space="preserve">daļa </w:t>
      </w:r>
      <w:r w:rsidRPr="005E4D37">
        <w:rPr>
          <w:sz w:val="26"/>
          <w:szCs w:val="26"/>
        </w:rPr>
        <w:t>absolvent</w:t>
      </w:r>
      <w:r>
        <w:rPr>
          <w:sz w:val="26"/>
          <w:szCs w:val="26"/>
        </w:rPr>
        <w:t>u</w:t>
      </w:r>
      <w:r w:rsidRPr="005E4D37">
        <w:rPr>
          <w:sz w:val="26"/>
          <w:szCs w:val="26"/>
        </w:rPr>
        <w:t xml:space="preserve"> neaiziet strādāt atbilstošajā profesijā. </w:t>
      </w:r>
      <w:r>
        <w:rPr>
          <w:sz w:val="26"/>
          <w:szCs w:val="26"/>
        </w:rPr>
        <w:t>Ņemot vērā</w:t>
      </w:r>
      <w:r w:rsidR="0079272F">
        <w:rPr>
          <w:sz w:val="26"/>
          <w:szCs w:val="26"/>
        </w:rPr>
        <w:t>, ka</w:t>
      </w:r>
      <w:r>
        <w:rPr>
          <w:sz w:val="26"/>
          <w:szCs w:val="26"/>
        </w:rPr>
        <w:t xml:space="preserve"> audzē</w:t>
      </w:r>
      <w:r w:rsidR="0079272F">
        <w:rPr>
          <w:sz w:val="26"/>
          <w:szCs w:val="26"/>
        </w:rPr>
        <w:t>kņu sadalījums</w:t>
      </w:r>
      <w:r w:rsidRPr="005E4D37">
        <w:rPr>
          <w:sz w:val="26"/>
          <w:szCs w:val="26"/>
        </w:rPr>
        <w:t xml:space="preserve"> </w:t>
      </w:r>
      <w:r w:rsidR="008652F2">
        <w:rPr>
          <w:sz w:val="26"/>
          <w:szCs w:val="26"/>
        </w:rPr>
        <w:t xml:space="preserve">vidējās izglītības pakāpē </w:t>
      </w:r>
      <w:r w:rsidRPr="005E4D37">
        <w:rPr>
          <w:sz w:val="26"/>
          <w:szCs w:val="26"/>
        </w:rPr>
        <w:t>starp vispārējo izglītību un profesionālo izglītību</w:t>
      </w:r>
      <w:r w:rsidR="0079272F">
        <w:rPr>
          <w:sz w:val="26"/>
          <w:szCs w:val="26"/>
        </w:rPr>
        <w:t xml:space="preserve"> ir par labu vispārējai izglītībai, </w:t>
      </w:r>
      <w:r>
        <w:rPr>
          <w:sz w:val="26"/>
          <w:szCs w:val="26"/>
        </w:rPr>
        <w:t>saglabājas speciālistu</w:t>
      </w:r>
      <w:r w:rsidRPr="005E4D37">
        <w:rPr>
          <w:sz w:val="26"/>
          <w:szCs w:val="26"/>
        </w:rPr>
        <w:t xml:space="preserve"> nepietiekamība un nākotnē, ņemot vērā nelabvēlīgās demogrāfijas tendences, disproporcijas var vēl vairāk pieaugt.</w:t>
      </w:r>
    </w:p>
    <w:p w:rsidR="00C94B6A" w:rsidRPr="00C94B6A" w:rsidRDefault="00C94B6A" w:rsidP="00C94B6A">
      <w:pPr>
        <w:spacing w:after="0" w:line="240" w:lineRule="auto"/>
        <w:ind w:right="170" w:firstLine="567"/>
        <w:jc w:val="both"/>
        <w:rPr>
          <w:bCs/>
          <w:iCs/>
          <w:sz w:val="26"/>
          <w:szCs w:val="28"/>
        </w:rPr>
      </w:pPr>
      <w:r w:rsidRPr="00C94B6A">
        <w:rPr>
          <w:bCs/>
          <w:iCs/>
          <w:sz w:val="26"/>
          <w:szCs w:val="28"/>
        </w:rPr>
        <w:t>Lai palielinātu izglītojamo skaitu profesionālajā izglītībā, tiek veikti pasākumi profesionālās izglītības pievilcības veicināšanai: infrastruktūras modernizēšana</w:t>
      </w:r>
      <w:r>
        <w:rPr>
          <w:bCs/>
          <w:iCs/>
          <w:sz w:val="26"/>
          <w:szCs w:val="28"/>
        </w:rPr>
        <w:t xml:space="preserve"> (piesaistot ES fondu līdzekļus)</w:t>
      </w:r>
      <w:r w:rsidRPr="00C94B6A">
        <w:rPr>
          <w:bCs/>
          <w:iCs/>
          <w:sz w:val="26"/>
          <w:szCs w:val="28"/>
        </w:rPr>
        <w:t>, izglītības programmu kvalitātes paaugstināšana (</w:t>
      </w:r>
      <w:proofErr w:type="spellStart"/>
      <w:r w:rsidRPr="00C94B6A">
        <w:rPr>
          <w:bCs/>
          <w:iCs/>
          <w:sz w:val="26"/>
          <w:szCs w:val="28"/>
        </w:rPr>
        <w:t>t.sk</w:t>
      </w:r>
      <w:proofErr w:type="spellEnd"/>
      <w:r w:rsidRPr="00C94B6A">
        <w:rPr>
          <w:bCs/>
          <w:iCs/>
          <w:sz w:val="26"/>
          <w:szCs w:val="28"/>
        </w:rPr>
        <w:t>. īstenojot īsas profesionālās izglītības programmas), prakšu un inovatīvas pieejas profesionālajā izglītībā nodrošināšana sadarbība ar Nozaru ekspertu padomēm, kuras pārstāv visas ieinteresētās puses. Tiek plānoti pasākumi (</w:t>
      </w:r>
      <w:proofErr w:type="spellStart"/>
      <w:r w:rsidRPr="00C94B6A">
        <w:rPr>
          <w:bCs/>
          <w:iCs/>
          <w:sz w:val="26"/>
          <w:szCs w:val="28"/>
        </w:rPr>
        <w:t>t.sk</w:t>
      </w:r>
      <w:proofErr w:type="spellEnd"/>
      <w:r w:rsidRPr="00C94B6A">
        <w:rPr>
          <w:bCs/>
          <w:iCs/>
          <w:sz w:val="26"/>
          <w:szCs w:val="28"/>
        </w:rPr>
        <w:t>. potenciāli</w:t>
      </w:r>
      <w:r>
        <w:rPr>
          <w:bCs/>
          <w:iCs/>
          <w:sz w:val="26"/>
          <w:szCs w:val="28"/>
        </w:rPr>
        <w:t xml:space="preserve"> </w:t>
      </w:r>
      <w:r w:rsidRPr="00C94B6A">
        <w:rPr>
          <w:bCs/>
          <w:iCs/>
          <w:sz w:val="26"/>
          <w:szCs w:val="28"/>
        </w:rPr>
        <w:t>pilotpro</w:t>
      </w:r>
      <w:r>
        <w:rPr>
          <w:bCs/>
          <w:iCs/>
          <w:sz w:val="26"/>
          <w:szCs w:val="28"/>
        </w:rPr>
        <w:softHyphen/>
      </w:r>
      <w:r w:rsidRPr="00C94B6A">
        <w:rPr>
          <w:bCs/>
          <w:iCs/>
          <w:sz w:val="26"/>
          <w:szCs w:val="28"/>
        </w:rPr>
        <w:t>jekti), ieviešot darba vidē balstītos profesionālās izglītības elementus, pamatojoties uz 2012.gada decembrī</w:t>
      </w:r>
      <w:r>
        <w:rPr>
          <w:bCs/>
          <w:iCs/>
          <w:sz w:val="26"/>
          <w:szCs w:val="28"/>
        </w:rPr>
        <w:t xml:space="preserve"> </w:t>
      </w:r>
      <w:r w:rsidRPr="00C94B6A">
        <w:rPr>
          <w:bCs/>
          <w:iCs/>
          <w:sz w:val="26"/>
          <w:szCs w:val="28"/>
        </w:rPr>
        <w:t>ar Vāciju parakstīto Memorandu par sadarbību profesionālajā izglītībā un apmācībā Eiropā. Ir notikušas sarunas ar nozarēs vadošām profesionālās izglītības</w:t>
      </w:r>
      <w:r>
        <w:rPr>
          <w:bCs/>
          <w:iCs/>
          <w:sz w:val="26"/>
          <w:szCs w:val="28"/>
        </w:rPr>
        <w:t xml:space="preserve"> </w:t>
      </w:r>
      <w:r w:rsidRPr="00C94B6A">
        <w:rPr>
          <w:bCs/>
          <w:iCs/>
          <w:sz w:val="26"/>
          <w:szCs w:val="28"/>
        </w:rPr>
        <w:t>iestādēm</w:t>
      </w:r>
      <w:r>
        <w:rPr>
          <w:bCs/>
          <w:iCs/>
          <w:sz w:val="26"/>
          <w:szCs w:val="28"/>
        </w:rPr>
        <w:t xml:space="preserve"> </w:t>
      </w:r>
      <w:r w:rsidRPr="00C94B6A">
        <w:rPr>
          <w:bCs/>
          <w:iCs/>
          <w:sz w:val="26"/>
          <w:szCs w:val="28"/>
        </w:rPr>
        <w:t>un uzņēmējiem par dalību minēto pilotprojektu īstenošanā.</w:t>
      </w:r>
    </w:p>
    <w:p w:rsidR="00C94B6A" w:rsidRPr="00C94B6A" w:rsidRDefault="00C94B6A" w:rsidP="00C94B6A">
      <w:pPr>
        <w:spacing w:after="0" w:line="240" w:lineRule="auto"/>
        <w:ind w:right="170" w:firstLine="567"/>
        <w:jc w:val="both"/>
        <w:rPr>
          <w:bCs/>
          <w:iCs/>
          <w:sz w:val="26"/>
          <w:szCs w:val="28"/>
        </w:rPr>
      </w:pPr>
      <w:r w:rsidRPr="00C94B6A">
        <w:rPr>
          <w:bCs/>
          <w:iCs/>
          <w:sz w:val="26"/>
          <w:szCs w:val="28"/>
        </w:rPr>
        <w:t>Vienlaikus, lai nodrošinātu profesionālās izglītības atbilstību tautsaimniecības vajadzībām un pieejamību pēc iespējas tuvāk audzēkņa dzīvesvietai,</w:t>
      </w:r>
      <w:r>
        <w:rPr>
          <w:bCs/>
          <w:iCs/>
          <w:sz w:val="26"/>
          <w:szCs w:val="28"/>
        </w:rPr>
        <w:t xml:space="preserve"> </w:t>
      </w:r>
      <w:r w:rsidRPr="00C94B6A">
        <w:rPr>
          <w:bCs/>
          <w:iCs/>
          <w:sz w:val="26"/>
          <w:szCs w:val="28"/>
        </w:rPr>
        <w:t xml:space="preserve">tiek turpināta izglītības iestāžu tīkla optimizācija un diferenciācija, lai pašvaldību līmenī būtu iespējams racionāli izmantot finanšu līdzekļus, ēku platības un cilvēku resursus, apvienojot vairākas nelielas izglītības iestādes. Atbilstoši tiesību aktos noteiktajiem kritērijiem tiek veidoti profesionālās izglītības kompetences centri, kas, </w:t>
      </w:r>
      <w:proofErr w:type="spellStart"/>
      <w:r w:rsidRPr="00C94B6A">
        <w:rPr>
          <w:bCs/>
          <w:iCs/>
          <w:sz w:val="26"/>
          <w:szCs w:val="28"/>
        </w:rPr>
        <w:t>t.sk</w:t>
      </w:r>
      <w:proofErr w:type="spellEnd"/>
      <w:r w:rsidRPr="00C94B6A">
        <w:rPr>
          <w:bCs/>
          <w:iCs/>
          <w:sz w:val="26"/>
          <w:szCs w:val="28"/>
        </w:rPr>
        <w:t>. sadarbībā ar nozares organizācijām un komersantiem, veic reģionālā vai nozares metodiskā centra un pedagogu tālākizglītības centra funkcijas, īsteno sadarbību ar atbilstošām darba devēju organizācijām vai to apvienībām nacionālā, nozaru vai reģionālā līmenī, kā arī izstrādā profesionālās izglītības programmu saturu nozares profesijās.</w:t>
      </w:r>
    </w:p>
    <w:p w:rsidR="00C94B6A" w:rsidRPr="00C94B6A" w:rsidRDefault="00C94B6A" w:rsidP="005E4D37">
      <w:pPr>
        <w:spacing w:after="0" w:line="240" w:lineRule="auto"/>
        <w:ind w:firstLine="567"/>
        <w:jc w:val="both"/>
        <w:rPr>
          <w:sz w:val="8"/>
          <w:szCs w:val="28"/>
        </w:rPr>
      </w:pPr>
    </w:p>
    <w:p w:rsidR="0079272F" w:rsidRDefault="0079272F" w:rsidP="0079272F">
      <w:pPr>
        <w:spacing w:after="0" w:line="240" w:lineRule="auto"/>
        <w:ind w:firstLine="567"/>
        <w:jc w:val="both"/>
        <w:rPr>
          <w:sz w:val="26"/>
          <w:szCs w:val="28"/>
        </w:rPr>
      </w:pPr>
      <w:r>
        <w:rPr>
          <w:sz w:val="26"/>
          <w:szCs w:val="28"/>
        </w:rPr>
        <w:t xml:space="preserve">IZM ir uzsākusi izstrādāt </w:t>
      </w:r>
      <w:r w:rsidRPr="0079272F">
        <w:rPr>
          <w:i/>
          <w:sz w:val="26"/>
          <w:szCs w:val="28"/>
        </w:rPr>
        <w:t>Izglītības attīst</w:t>
      </w:r>
      <w:r>
        <w:rPr>
          <w:i/>
          <w:sz w:val="26"/>
          <w:szCs w:val="28"/>
        </w:rPr>
        <w:t>ības pamatno</w:t>
      </w:r>
      <w:r w:rsidRPr="0079272F">
        <w:rPr>
          <w:i/>
          <w:sz w:val="26"/>
          <w:szCs w:val="28"/>
        </w:rPr>
        <w:t>stād</w:t>
      </w:r>
      <w:r>
        <w:rPr>
          <w:i/>
          <w:sz w:val="26"/>
          <w:szCs w:val="28"/>
        </w:rPr>
        <w:t>nes 2014.-2020.</w:t>
      </w:r>
      <w:r w:rsidRPr="0079272F">
        <w:rPr>
          <w:i/>
          <w:sz w:val="26"/>
          <w:szCs w:val="28"/>
        </w:rPr>
        <w:t>gadam</w:t>
      </w:r>
      <w:r>
        <w:rPr>
          <w:sz w:val="26"/>
          <w:szCs w:val="28"/>
        </w:rPr>
        <w:t xml:space="preserve">, kuru ietvaros, lai panāktu nepieciešamo speciālistu sagatavošanu atbilstoši darba tirgus pašreizējām prasībām un nākotnes prognozēm, tiks </w:t>
      </w:r>
      <w:r w:rsidR="00F006EA" w:rsidRPr="001548FD">
        <w:rPr>
          <w:sz w:val="26"/>
          <w:szCs w:val="26"/>
        </w:rPr>
        <w:t xml:space="preserve">pievērsta </w:t>
      </w:r>
      <w:r w:rsidR="00F006EA" w:rsidRPr="001548FD">
        <w:rPr>
          <w:sz w:val="26"/>
          <w:szCs w:val="26"/>
        </w:rPr>
        <w:lastRenderedPageBreak/>
        <w:t xml:space="preserve">pastiprināta uzmanība </w:t>
      </w:r>
      <w:r w:rsidR="00F006EA" w:rsidRPr="001548FD">
        <w:rPr>
          <w:rFonts w:eastAsia="Times New Roman"/>
          <w:bCs/>
          <w:sz w:val="26"/>
          <w:szCs w:val="26"/>
          <w:lang w:eastAsia="lv-LV"/>
        </w:rPr>
        <w:t>izglītību priekšlaicīgi pametušo vai profesionālo kvalifikāciju neieguvušo skaita samazināšanai</w:t>
      </w:r>
      <w:r>
        <w:rPr>
          <w:sz w:val="26"/>
          <w:szCs w:val="28"/>
        </w:rPr>
        <w:t>.</w:t>
      </w:r>
    </w:p>
    <w:p w:rsidR="005E4D37" w:rsidRDefault="005E4D37" w:rsidP="005E4D37">
      <w:pPr>
        <w:spacing w:after="0" w:line="240" w:lineRule="auto"/>
        <w:ind w:firstLine="567"/>
        <w:jc w:val="both"/>
        <w:rPr>
          <w:sz w:val="26"/>
          <w:szCs w:val="28"/>
        </w:rPr>
      </w:pPr>
      <w:r>
        <w:rPr>
          <w:sz w:val="26"/>
          <w:szCs w:val="28"/>
        </w:rPr>
        <w:t>Viena no IZM prioritātēm ir profesionālās izglītības programmu kvalitātes pilnveidošana, tostarp praks</w:t>
      </w:r>
      <w:r w:rsidR="00B30E66">
        <w:rPr>
          <w:sz w:val="26"/>
          <w:szCs w:val="28"/>
        </w:rPr>
        <w:t>es, īpaši kvalifikācijas prakšu</w:t>
      </w:r>
      <w:r>
        <w:rPr>
          <w:sz w:val="26"/>
          <w:szCs w:val="28"/>
        </w:rPr>
        <w:t xml:space="preserve"> vietu nodrošinājums, kā arī mācību rezultātu novērtēšanas uzlabošana.</w:t>
      </w:r>
    </w:p>
    <w:p w:rsidR="0064633F" w:rsidRPr="0064633F" w:rsidRDefault="005E4D37" w:rsidP="0064633F">
      <w:pPr>
        <w:spacing w:after="0" w:line="240" w:lineRule="auto"/>
        <w:ind w:firstLine="567"/>
        <w:jc w:val="both"/>
        <w:rPr>
          <w:sz w:val="26"/>
          <w:szCs w:val="28"/>
        </w:rPr>
      </w:pPr>
      <w:r>
        <w:rPr>
          <w:sz w:val="26"/>
          <w:szCs w:val="28"/>
        </w:rPr>
        <w:t>Ņemot vērā, ka karjeras izglītībai ir būtiska loma audzēkņu atbiruma mazināšanā un disproporciju mazināšanai darba tirgū, un tai tiek pievērsta ar arvien lielāka uzmanība, tomēr pagaidām vēl profesionālās izglītības iestādes nepietiekoši pievēr</w:t>
      </w:r>
      <w:r w:rsidR="0079272F">
        <w:rPr>
          <w:sz w:val="26"/>
          <w:szCs w:val="28"/>
        </w:rPr>
        <w:t>š uzmanību karjeras izglītībai.</w:t>
      </w:r>
      <w:r w:rsidR="00BC68BC">
        <w:rPr>
          <w:sz w:val="26"/>
          <w:szCs w:val="28"/>
        </w:rPr>
        <w:t xml:space="preserve"> </w:t>
      </w:r>
      <w:bookmarkStart w:id="31" w:name="OLE_LINK1"/>
      <w:bookmarkStart w:id="32" w:name="OLE_LINK2"/>
      <w:bookmarkEnd w:id="31"/>
      <w:r w:rsidR="00F006EA" w:rsidRPr="001548FD">
        <w:rPr>
          <w:bCs/>
          <w:sz w:val="26"/>
          <w:szCs w:val="26"/>
        </w:rPr>
        <w:t xml:space="preserve">IZM turpina darbu pie </w:t>
      </w:r>
      <w:r w:rsidR="00F006EA" w:rsidRPr="00F006EA">
        <w:rPr>
          <w:bCs/>
          <w:i/>
          <w:sz w:val="26"/>
          <w:szCs w:val="26"/>
        </w:rPr>
        <w:t>koncepcijas</w:t>
      </w:r>
      <w:r w:rsidR="00F006EA" w:rsidRPr="001548FD">
        <w:rPr>
          <w:bCs/>
          <w:sz w:val="26"/>
          <w:szCs w:val="26"/>
        </w:rPr>
        <w:t xml:space="preserve"> </w:t>
      </w:r>
      <w:r w:rsidR="0064633F" w:rsidRPr="0064633F">
        <w:rPr>
          <w:i/>
          <w:sz w:val="26"/>
          <w:szCs w:val="28"/>
        </w:rPr>
        <w:t>„Karjeras attīstības atbalsta sistēmas paplašināšana”</w:t>
      </w:r>
      <w:r w:rsidR="0064633F" w:rsidRPr="0064633F">
        <w:rPr>
          <w:sz w:val="26"/>
          <w:szCs w:val="28"/>
        </w:rPr>
        <w:t xml:space="preserve"> </w:t>
      </w:r>
      <w:r w:rsidR="00F006EA" w:rsidRPr="001548FD">
        <w:rPr>
          <w:bCs/>
          <w:sz w:val="26"/>
          <w:szCs w:val="26"/>
        </w:rPr>
        <w:t>izstrādes</w:t>
      </w:r>
      <w:r w:rsidR="00F006EA">
        <w:rPr>
          <w:bCs/>
          <w:sz w:val="26"/>
          <w:szCs w:val="26"/>
        </w:rPr>
        <w:t>,</w:t>
      </w:r>
      <w:r w:rsidR="00F006EA" w:rsidRPr="0064633F">
        <w:rPr>
          <w:i/>
          <w:sz w:val="26"/>
          <w:szCs w:val="28"/>
        </w:rPr>
        <w:t xml:space="preserve"> </w:t>
      </w:r>
      <w:r w:rsidR="0064633F" w:rsidRPr="0064633F">
        <w:rPr>
          <w:sz w:val="26"/>
          <w:szCs w:val="28"/>
        </w:rPr>
        <w:t>kurā tiks atspoguļots redzējums par vienotu karjeras izglītības attīstību Latvijā, kā arī karjeras kon</w:t>
      </w:r>
      <w:r w:rsidR="0064633F">
        <w:rPr>
          <w:sz w:val="26"/>
          <w:szCs w:val="28"/>
        </w:rPr>
        <w:t xml:space="preserve">sultantu </w:t>
      </w:r>
      <w:r w:rsidR="0064633F" w:rsidRPr="0064633F">
        <w:rPr>
          <w:sz w:val="26"/>
          <w:szCs w:val="28"/>
        </w:rPr>
        <w:t>nodrošināšanu.</w:t>
      </w:r>
    </w:p>
    <w:bookmarkEnd w:id="32"/>
    <w:p w:rsidR="00AD10C6" w:rsidRPr="00AD10C6" w:rsidRDefault="00AD10C6" w:rsidP="0079272F">
      <w:pPr>
        <w:spacing w:after="0" w:line="240" w:lineRule="auto"/>
        <w:ind w:firstLine="567"/>
        <w:jc w:val="both"/>
        <w:rPr>
          <w:bCs/>
          <w:iCs/>
          <w:sz w:val="8"/>
        </w:rPr>
      </w:pPr>
    </w:p>
    <w:p w:rsidR="005E4D37" w:rsidRDefault="005E4D37" w:rsidP="0079272F">
      <w:pPr>
        <w:spacing w:after="0" w:line="240" w:lineRule="auto"/>
        <w:ind w:firstLine="567"/>
        <w:jc w:val="both"/>
        <w:rPr>
          <w:bCs/>
          <w:iCs/>
          <w:sz w:val="26"/>
        </w:rPr>
      </w:pPr>
      <w:r>
        <w:rPr>
          <w:bCs/>
          <w:iCs/>
          <w:sz w:val="26"/>
        </w:rPr>
        <w:t>Darba ti</w:t>
      </w:r>
      <w:r w:rsidR="0079272F">
        <w:rPr>
          <w:bCs/>
          <w:iCs/>
          <w:sz w:val="26"/>
        </w:rPr>
        <w:t>r</w:t>
      </w:r>
      <w:r>
        <w:rPr>
          <w:bCs/>
          <w:iCs/>
          <w:sz w:val="26"/>
        </w:rPr>
        <w:t>gus vajadzību nodrošināšana ir viens no augstākās i</w:t>
      </w:r>
      <w:r w:rsidR="0079272F">
        <w:rPr>
          <w:bCs/>
          <w:iCs/>
          <w:sz w:val="26"/>
        </w:rPr>
        <w:t xml:space="preserve">zglītības uzdevumiem sabiedrībā, taču plānojot valsts budžeta vietu </w:t>
      </w:r>
      <w:r w:rsidR="00AD10C6">
        <w:rPr>
          <w:bCs/>
          <w:iCs/>
          <w:sz w:val="26"/>
        </w:rPr>
        <w:t xml:space="preserve">skaita </w:t>
      </w:r>
      <w:r w:rsidR="0079272F">
        <w:rPr>
          <w:bCs/>
          <w:iCs/>
          <w:sz w:val="26"/>
        </w:rPr>
        <w:t>sadalījumu</w:t>
      </w:r>
      <w:r w:rsidR="00AD10C6">
        <w:rPr>
          <w:bCs/>
          <w:iCs/>
          <w:sz w:val="26"/>
        </w:rPr>
        <w:t xml:space="preserve">, tiek ņemti vērā arī citi faktori, piemēram, katrā studiju jomā jāsaglabā kritiski minimālais studiju vietu skaits, lai netiktu apdraudēta gan attiecīgo zinātnes nozaru attīstība, gan akadēmiskā un zinātniskā personāla atjaunošana un papildināšana </w:t>
      </w:r>
      <w:proofErr w:type="spellStart"/>
      <w:r w:rsidR="00AD10C6">
        <w:rPr>
          <w:bCs/>
          <w:iCs/>
          <w:sz w:val="26"/>
        </w:rPr>
        <w:t>u.c</w:t>
      </w:r>
      <w:proofErr w:type="spellEnd"/>
      <w:r w:rsidR="00AD10C6">
        <w:rPr>
          <w:bCs/>
          <w:iCs/>
          <w:sz w:val="26"/>
        </w:rPr>
        <w:t>.</w:t>
      </w:r>
    </w:p>
    <w:p w:rsidR="005E4D37" w:rsidRDefault="005E4D37" w:rsidP="0079272F">
      <w:pPr>
        <w:spacing w:after="0" w:line="240" w:lineRule="auto"/>
        <w:ind w:firstLine="567"/>
        <w:jc w:val="both"/>
        <w:rPr>
          <w:bCs/>
          <w:iCs/>
          <w:sz w:val="26"/>
        </w:rPr>
      </w:pPr>
      <w:r>
        <w:rPr>
          <w:bCs/>
          <w:iCs/>
          <w:sz w:val="26"/>
        </w:rPr>
        <w:t xml:space="preserve">Augstākās izglītības jomā darba tirgus prognozes tiek izmantotas galvenokārt kā rīcības virzienu norādes, nosakot valsts budžeta vietu sadalījumu. Lai </w:t>
      </w:r>
      <w:proofErr w:type="spellStart"/>
      <w:r>
        <w:rPr>
          <w:bCs/>
          <w:iCs/>
          <w:sz w:val="26"/>
        </w:rPr>
        <w:t>detalizētāk</w:t>
      </w:r>
      <w:proofErr w:type="spellEnd"/>
      <w:r>
        <w:rPr>
          <w:bCs/>
          <w:iCs/>
          <w:sz w:val="26"/>
        </w:rPr>
        <w:t xml:space="preserve"> plānotu studiju vietu sadalījumu, notiek sadarbība ar konkrētiem darba devējiem un citām ieinteresētām pusēm, kam nepieciešami konkrētie speciālisti. Papildus tiek izmantotas arī augstskolu sniegtās ziņas par absolventu tālākajām darba gaitām.</w:t>
      </w:r>
    </w:p>
    <w:p w:rsidR="005E4D37" w:rsidRDefault="005E4D37" w:rsidP="0079272F">
      <w:pPr>
        <w:spacing w:after="0" w:line="240" w:lineRule="auto"/>
        <w:ind w:firstLine="567"/>
        <w:jc w:val="both"/>
        <w:rPr>
          <w:sz w:val="26"/>
          <w:szCs w:val="28"/>
        </w:rPr>
      </w:pPr>
      <w:r>
        <w:rPr>
          <w:sz w:val="26"/>
          <w:szCs w:val="28"/>
        </w:rPr>
        <w:t>Tomēr ar valsts budžeta</w:t>
      </w:r>
      <w:r>
        <w:rPr>
          <w:sz w:val="26"/>
        </w:rPr>
        <w:t xml:space="preserve"> </w:t>
      </w:r>
      <w:r>
        <w:rPr>
          <w:sz w:val="26"/>
          <w:szCs w:val="28"/>
        </w:rPr>
        <w:t>finansētajām studiju vietām tieši var ietekmēt tikai nelielu daļu (aptuveni 1/3) no studējošo kopskaita. Tādējādi ar valsts budžeta instrumentiem nepietiek, lai kopumā regulētu izmaiņas izglītības piedāvājumā un di</w:t>
      </w:r>
      <w:r w:rsidR="00AD10C6">
        <w:rPr>
          <w:sz w:val="26"/>
          <w:szCs w:val="28"/>
        </w:rPr>
        <w:t>sproporcija pieaug (</w:t>
      </w:r>
      <w:proofErr w:type="spellStart"/>
      <w:r w:rsidR="00AD10C6">
        <w:rPr>
          <w:sz w:val="26"/>
          <w:szCs w:val="28"/>
        </w:rPr>
        <w:t>skat</w:t>
      </w:r>
      <w:proofErr w:type="spellEnd"/>
      <w:r w:rsidR="00AD10C6">
        <w:rPr>
          <w:sz w:val="26"/>
          <w:szCs w:val="28"/>
        </w:rPr>
        <w:t>. 2.9. attēlu).</w:t>
      </w:r>
    </w:p>
    <w:p w:rsidR="005E4D37" w:rsidRDefault="005E4D37" w:rsidP="0079272F">
      <w:pPr>
        <w:tabs>
          <w:tab w:val="left" w:pos="1134"/>
        </w:tabs>
        <w:spacing w:after="0" w:line="240" w:lineRule="auto"/>
        <w:ind w:firstLine="567"/>
        <w:jc w:val="both"/>
        <w:rPr>
          <w:sz w:val="26"/>
          <w:szCs w:val="28"/>
        </w:rPr>
      </w:pPr>
      <w:r>
        <w:rPr>
          <w:sz w:val="26"/>
          <w:szCs w:val="28"/>
        </w:rPr>
        <w:t>Tādēļ būtiski ir uzlabot studiju programmu kvalitāti (</w:t>
      </w:r>
      <w:r w:rsidR="00AD10C6">
        <w:rPr>
          <w:sz w:val="26"/>
          <w:szCs w:val="28"/>
        </w:rPr>
        <w:t xml:space="preserve">ir </w:t>
      </w:r>
      <w:r>
        <w:rPr>
          <w:sz w:val="26"/>
          <w:szCs w:val="28"/>
        </w:rPr>
        <w:t>uzsākta studiju virzienu akreditācija, kuras laikā tiks izvērtēta katras studiju programmas kvalitāte), un jādomā kā plašāk iesaistīt un informēt visu sabiedrību kopumā, lai nodrošinā</w:t>
      </w:r>
      <w:r w:rsidR="00AD10C6">
        <w:rPr>
          <w:sz w:val="26"/>
          <w:szCs w:val="28"/>
        </w:rPr>
        <w:t>tu tautsaim</w:t>
      </w:r>
      <w:r w:rsidR="00AD10C6">
        <w:rPr>
          <w:sz w:val="26"/>
          <w:szCs w:val="28"/>
        </w:rPr>
        <w:softHyphen/>
        <w:t>niecības vajadzības.</w:t>
      </w:r>
    </w:p>
    <w:p w:rsidR="005E4D37" w:rsidRDefault="00AD10C6" w:rsidP="0079272F">
      <w:pPr>
        <w:tabs>
          <w:tab w:val="left" w:pos="1134"/>
        </w:tabs>
        <w:spacing w:after="0" w:line="240" w:lineRule="auto"/>
        <w:ind w:firstLine="567"/>
        <w:jc w:val="both"/>
        <w:rPr>
          <w:sz w:val="26"/>
          <w:szCs w:val="28"/>
        </w:rPr>
      </w:pPr>
      <w:r>
        <w:rPr>
          <w:sz w:val="26"/>
          <w:szCs w:val="28"/>
        </w:rPr>
        <w:t>Būtiska p</w:t>
      </w:r>
      <w:r w:rsidR="005E4D37">
        <w:rPr>
          <w:sz w:val="26"/>
          <w:szCs w:val="28"/>
        </w:rPr>
        <w:t>roblēma ir zemais potenciālo studentu skaits, kas vēlas un var studēt inženierzinātņu un dabas zinātņu programmās. Uzņemot studentus, kuru zināšanas ir vājas, pazeminās studiju kvalitāte, kā arī novērojams liels atbir</w:t>
      </w:r>
      <w:r>
        <w:rPr>
          <w:sz w:val="26"/>
          <w:szCs w:val="28"/>
        </w:rPr>
        <w:t>ums šajās programmās.</w:t>
      </w:r>
    </w:p>
    <w:p w:rsidR="005E4D37" w:rsidRDefault="005E4D37" w:rsidP="0079272F">
      <w:pPr>
        <w:spacing w:after="0" w:line="240" w:lineRule="auto"/>
        <w:ind w:firstLine="567"/>
        <w:jc w:val="both"/>
        <w:rPr>
          <w:sz w:val="26"/>
          <w:szCs w:val="28"/>
        </w:rPr>
      </w:pPr>
      <w:r>
        <w:rPr>
          <w:sz w:val="26"/>
          <w:szCs w:val="28"/>
        </w:rPr>
        <w:t xml:space="preserve">Tas ir jautājums, pie kura IZM tiek mērķtiecīgi strādāts. Mērķis ir radīt bērniem lielāku interesi par eksaktajiem priekšmetiem. IZM kopā ar universitātēm ir strādājusi pie satura reformas dabas zinātnēs, matemātikā un tehnoloģijās, sākot vispirms ar vidusskolas klasēm, tagad arī pamatskolas beigu klasēm. Vienlaikus tiek nodrošināta aprīkojuma un tehnoloģiju ieviešana skolās, kā arī veikta pedagogu apmācība kā tehnoloģijas ikdienā praksē izmantot. Tomēr pārmaiņas </w:t>
      </w:r>
      <w:r w:rsidR="00AD10C6">
        <w:rPr>
          <w:sz w:val="26"/>
          <w:szCs w:val="28"/>
        </w:rPr>
        <w:t>ir</w:t>
      </w:r>
      <w:r>
        <w:rPr>
          <w:sz w:val="26"/>
          <w:szCs w:val="28"/>
        </w:rPr>
        <w:t xml:space="preserve"> sagaidāmas </w:t>
      </w:r>
      <w:r w:rsidR="00AD10C6">
        <w:rPr>
          <w:sz w:val="26"/>
          <w:szCs w:val="28"/>
        </w:rPr>
        <w:t>ilgtermiņā</w:t>
      </w:r>
      <w:r>
        <w:rPr>
          <w:sz w:val="26"/>
          <w:szCs w:val="28"/>
        </w:rPr>
        <w:t>. Bērniem ir jāpabeidz pamatskola un vidusskola, lai viņi tikt</w:t>
      </w:r>
      <w:r w:rsidR="00AD10C6">
        <w:rPr>
          <w:sz w:val="26"/>
          <w:szCs w:val="28"/>
        </w:rPr>
        <w:t>u līdz konkrētajām studijām augstskolā.</w:t>
      </w:r>
    </w:p>
    <w:p w:rsidR="00AD10C6" w:rsidRDefault="00AD10C6" w:rsidP="0079272F">
      <w:pPr>
        <w:spacing w:after="0" w:line="240" w:lineRule="auto"/>
        <w:ind w:firstLine="567"/>
        <w:jc w:val="both"/>
        <w:rPr>
          <w:sz w:val="26"/>
          <w:szCs w:val="28"/>
        </w:rPr>
      </w:pPr>
      <w:r>
        <w:rPr>
          <w:sz w:val="26"/>
          <w:szCs w:val="28"/>
        </w:rPr>
        <w:t xml:space="preserve">Būtiska loma ir </w:t>
      </w:r>
      <w:r w:rsidR="005E4D37">
        <w:rPr>
          <w:sz w:val="26"/>
          <w:szCs w:val="28"/>
        </w:rPr>
        <w:t>arī karjeras izglītība</w:t>
      </w:r>
      <w:r>
        <w:rPr>
          <w:sz w:val="26"/>
          <w:szCs w:val="28"/>
        </w:rPr>
        <w:t xml:space="preserve">i </w:t>
      </w:r>
      <w:r w:rsidR="005E4D37">
        <w:rPr>
          <w:sz w:val="26"/>
          <w:szCs w:val="28"/>
        </w:rPr>
        <w:t xml:space="preserve">un </w:t>
      </w:r>
      <w:r>
        <w:rPr>
          <w:sz w:val="26"/>
          <w:szCs w:val="28"/>
        </w:rPr>
        <w:t>tās ieviešanai</w:t>
      </w:r>
      <w:r w:rsidR="005E4D37">
        <w:rPr>
          <w:sz w:val="26"/>
          <w:szCs w:val="28"/>
        </w:rPr>
        <w:t xml:space="preserve"> skolu ikdien</w:t>
      </w:r>
      <w:r>
        <w:rPr>
          <w:sz w:val="26"/>
          <w:szCs w:val="28"/>
        </w:rPr>
        <w:t>ā.</w:t>
      </w:r>
    </w:p>
    <w:p w:rsidR="005E4D37" w:rsidRDefault="005E4D37" w:rsidP="0079272F">
      <w:pPr>
        <w:spacing w:after="0" w:line="240" w:lineRule="auto"/>
        <w:ind w:firstLine="567"/>
        <w:jc w:val="both"/>
        <w:rPr>
          <w:sz w:val="26"/>
          <w:szCs w:val="28"/>
        </w:rPr>
      </w:pPr>
      <w:r>
        <w:rPr>
          <w:sz w:val="26"/>
          <w:szCs w:val="28"/>
        </w:rPr>
        <w:t>Notiek darbs pie jauna augstākās izglītība</w:t>
      </w:r>
      <w:r w:rsidR="007500E5">
        <w:rPr>
          <w:sz w:val="26"/>
          <w:szCs w:val="28"/>
        </w:rPr>
        <w:t>s finansēšanas modeļa izstrādes, lai sekmētu Latvijas augstākās izglītības starptautisko konkurētspēju, tostarp uzlabojot studiju kvalitāti.</w:t>
      </w:r>
    </w:p>
    <w:p w:rsidR="00C94B6A" w:rsidRDefault="00C94B6A">
      <w:pPr>
        <w:spacing w:after="0" w:line="240" w:lineRule="auto"/>
        <w:rPr>
          <w:bCs/>
          <w:iCs/>
          <w:sz w:val="26"/>
        </w:rPr>
      </w:pPr>
      <w:r>
        <w:rPr>
          <w:bCs/>
          <w:iCs/>
          <w:sz w:val="26"/>
        </w:rPr>
        <w:br w:type="page"/>
      </w:r>
    </w:p>
    <w:p w:rsidR="005E4D37" w:rsidRPr="007500E5" w:rsidRDefault="007500E5" w:rsidP="007500E5">
      <w:pPr>
        <w:spacing w:after="0" w:line="240" w:lineRule="auto"/>
        <w:jc w:val="right"/>
        <w:rPr>
          <w:bCs/>
          <w:iCs/>
          <w:sz w:val="26"/>
        </w:rPr>
      </w:pPr>
      <w:r w:rsidRPr="007500E5">
        <w:rPr>
          <w:bCs/>
          <w:iCs/>
          <w:sz w:val="26"/>
        </w:rPr>
        <w:lastRenderedPageBreak/>
        <w:t>2.</w:t>
      </w:r>
      <w:r w:rsidR="00F6144C">
        <w:rPr>
          <w:bCs/>
          <w:iCs/>
          <w:sz w:val="26"/>
        </w:rPr>
        <w:t>4</w:t>
      </w:r>
      <w:r w:rsidRPr="007500E5">
        <w:rPr>
          <w:bCs/>
          <w:iCs/>
          <w:sz w:val="26"/>
        </w:rPr>
        <w:t>. tabula</w:t>
      </w:r>
    </w:p>
    <w:p w:rsidR="007500E5" w:rsidRPr="007500E5" w:rsidRDefault="007500E5" w:rsidP="007500E5">
      <w:pPr>
        <w:spacing w:after="0" w:line="240" w:lineRule="auto"/>
        <w:jc w:val="right"/>
        <w:rPr>
          <w:bCs/>
          <w:iCs/>
          <w:sz w:val="12"/>
        </w:rPr>
      </w:pPr>
    </w:p>
    <w:p w:rsidR="005E4D37" w:rsidRDefault="005E4D37" w:rsidP="005E4D37">
      <w:pPr>
        <w:spacing w:after="0" w:line="240" w:lineRule="auto"/>
        <w:jc w:val="center"/>
        <w:rPr>
          <w:b/>
          <w:bCs/>
          <w:iCs/>
          <w:sz w:val="26"/>
        </w:rPr>
      </w:pPr>
      <w:r>
        <w:rPr>
          <w:b/>
          <w:bCs/>
          <w:iCs/>
          <w:sz w:val="26"/>
        </w:rPr>
        <w:t>Augstākās izglītības iestādēs uzņemto skaita par budžeta līdzekļiem</w:t>
      </w:r>
      <w:r>
        <w:rPr>
          <w:b/>
          <w:bCs/>
          <w:iCs/>
          <w:sz w:val="26"/>
        </w:rPr>
        <w:br/>
        <w:t>sadalījums pa izglītības tematiskajām grupām</w:t>
      </w:r>
    </w:p>
    <w:p w:rsidR="005E4D37" w:rsidRPr="007500E5" w:rsidRDefault="005E4D37" w:rsidP="005E4D37">
      <w:pPr>
        <w:spacing w:after="0" w:line="240" w:lineRule="auto"/>
        <w:jc w:val="center"/>
        <w:rPr>
          <w:sz w:val="12"/>
        </w:rPr>
      </w:pPr>
    </w:p>
    <w:tbl>
      <w:tblPr>
        <w:tblStyle w:val="LightShading-Accent3"/>
        <w:tblW w:w="5000" w:type="pct"/>
        <w:tblLayout w:type="fixed"/>
        <w:tblLook w:val="04A0" w:firstRow="1" w:lastRow="0" w:firstColumn="1" w:lastColumn="0" w:noHBand="0" w:noVBand="1"/>
      </w:tblPr>
      <w:tblGrid>
        <w:gridCol w:w="2651"/>
        <w:gridCol w:w="1105"/>
        <w:gridCol w:w="1105"/>
        <w:gridCol w:w="1107"/>
        <w:gridCol w:w="1105"/>
        <w:gridCol w:w="1105"/>
        <w:gridCol w:w="1109"/>
      </w:tblGrid>
      <w:tr w:rsidR="005E4D37" w:rsidTr="00750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8064A2" w:themeColor="accent4"/>
              <w:bottom w:val="nil"/>
              <w:right w:val="single" w:sz="4" w:space="0" w:color="8064A2" w:themeColor="accent4"/>
            </w:tcBorders>
            <w:noWrap/>
          </w:tcPr>
          <w:p w:rsidR="005E4D37" w:rsidRDefault="005E4D37" w:rsidP="007500E5">
            <w:pPr>
              <w:spacing w:before="40" w:after="40" w:line="240" w:lineRule="auto"/>
              <w:jc w:val="center"/>
              <w:rPr>
                <w:rFonts w:eastAsia="Times New Roman"/>
                <w:color w:val="000000" w:themeColor="text1"/>
                <w:sz w:val="20"/>
              </w:rPr>
            </w:pPr>
          </w:p>
        </w:tc>
        <w:tc>
          <w:tcPr>
            <w:tcW w:w="1786" w:type="pct"/>
            <w:gridSpan w:val="3"/>
            <w:tcBorders>
              <w:top w:val="single" w:sz="8" w:space="0" w:color="8064A2" w:themeColor="accent4"/>
              <w:left w:val="single" w:sz="4" w:space="0" w:color="8064A2" w:themeColor="accent4"/>
              <w:bottom w:val="nil"/>
              <w:right w:val="single" w:sz="4" w:space="0" w:color="8064A2" w:themeColor="accent4"/>
            </w:tcBorders>
            <w:noWrap/>
            <w:vAlign w:val="center"/>
            <w:hideMark/>
          </w:tcPr>
          <w:p w:rsidR="005E4D37" w:rsidRDefault="005E4D37" w:rsidP="007500E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sz w:val="20"/>
              </w:rPr>
            </w:pPr>
            <w:r>
              <w:rPr>
                <w:iCs/>
                <w:color w:val="000000" w:themeColor="text1"/>
                <w:sz w:val="20"/>
              </w:rPr>
              <w:t>Sadalījums, %</w:t>
            </w:r>
          </w:p>
        </w:tc>
        <w:tc>
          <w:tcPr>
            <w:tcW w:w="1787" w:type="pct"/>
            <w:gridSpan w:val="3"/>
            <w:tcBorders>
              <w:top w:val="single" w:sz="8" w:space="0" w:color="8064A2" w:themeColor="accent4"/>
              <w:left w:val="single" w:sz="4" w:space="0" w:color="8064A2" w:themeColor="accent4"/>
              <w:bottom w:val="nil"/>
            </w:tcBorders>
            <w:noWrap/>
            <w:vAlign w:val="center"/>
            <w:hideMark/>
          </w:tcPr>
          <w:p w:rsidR="005E4D37" w:rsidRDefault="005E4D37" w:rsidP="007500E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sz w:val="20"/>
              </w:rPr>
            </w:pPr>
            <w:r>
              <w:rPr>
                <w:iCs/>
                <w:color w:val="000000" w:themeColor="text1"/>
                <w:sz w:val="20"/>
              </w:rPr>
              <w:t>Uzņemto skaita par</w:t>
            </w:r>
            <w:r>
              <w:rPr>
                <w:b w:val="0"/>
                <w:bCs w:val="0"/>
                <w:iCs/>
                <w:color w:val="000000" w:themeColor="text1"/>
                <w:sz w:val="20"/>
              </w:rPr>
              <w:t xml:space="preserve"> </w:t>
            </w:r>
            <w:r>
              <w:rPr>
                <w:iCs/>
                <w:color w:val="000000" w:themeColor="text1"/>
                <w:sz w:val="20"/>
              </w:rPr>
              <w:t>budžeta līdzekļiem</w:t>
            </w:r>
            <w:r>
              <w:rPr>
                <w:b w:val="0"/>
                <w:bCs w:val="0"/>
                <w:iCs/>
                <w:color w:val="000000" w:themeColor="text1"/>
                <w:sz w:val="20"/>
              </w:rPr>
              <w:t xml:space="preserve"> </w:t>
            </w:r>
            <w:r>
              <w:rPr>
                <w:iCs/>
                <w:color w:val="000000" w:themeColor="text1"/>
                <w:sz w:val="20"/>
              </w:rPr>
              <w:t>īpatsvars kopējo</w:t>
            </w:r>
            <w:r>
              <w:rPr>
                <w:b w:val="0"/>
                <w:bCs w:val="0"/>
                <w:iCs/>
                <w:color w:val="000000" w:themeColor="text1"/>
                <w:sz w:val="20"/>
              </w:rPr>
              <w:t xml:space="preserve"> </w:t>
            </w:r>
            <w:r>
              <w:rPr>
                <w:iCs/>
                <w:color w:val="000000" w:themeColor="text1"/>
                <w:sz w:val="20"/>
              </w:rPr>
              <w:t>uzņemto skaitā, %</w:t>
            </w:r>
          </w:p>
        </w:tc>
      </w:tr>
      <w:tr w:rsidR="005E4D37" w:rsidTr="0075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nil"/>
              <w:bottom w:val="single" w:sz="8" w:space="0" w:color="8064A2" w:themeColor="accent4"/>
              <w:right w:val="single" w:sz="4" w:space="0" w:color="8064A2" w:themeColor="accent4"/>
            </w:tcBorders>
            <w:shd w:val="clear" w:color="auto" w:fill="E5DFEC" w:themeFill="accent4" w:themeFillTint="33"/>
            <w:noWrap/>
          </w:tcPr>
          <w:p w:rsidR="005E4D37" w:rsidRDefault="005E4D37" w:rsidP="007500E5">
            <w:pPr>
              <w:spacing w:before="40" w:after="40" w:line="240" w:lineRule="auto"/>
              <w:rPr>
                <w:rFonts w:eastAsia="Times New Roman"/>
                <w:color w:val="000000"/>
                <w:sz w:val="20"/>
              </w:rPr>
            </w:pPr>
          </w:p>
        </w:tc>
        <w:tc>
          <w:tcPr>
            <w:tcW w:w="595" w:type="pct"/>
            <w:tcBorders>
              <w:top w:val="nil"/>
              <w:left w:val="single" w:sz="4" w:space="0" w:color="8064A2" w:themeColor="accent4"/>
              <w:bottom w:val="single" w:sz="8"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2010</w:t>
            </w:r>
          </w:p>
        </w:tc>
        <w:tc>
          <w:tcPr>
            <w:tcW w:w="595" w:type="pct"/>
            <w:tcBorders>
              <w:top w:val="nil"/>
              <w:bottom w:val="single" w:sz="8"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2011</w:t>
            </w:r>
          </w:p>
        </w:tc>
        <w:tc>
          <w:tcPr>
            <w:tcW w:w="595" w:type="pct"/>
            <w:tcBorders>
              <w:top w:val="nil"/>
              <w:bottom w:val="single" w:sz="8" w:space="0" w:color="8064A2" w:themeColor="accent4"/>
              <w:right w:val="single" w:sz="4"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2012</w:t>
            </w:r>
          </w:p>
        </w:tc>
        <w:tc>
          <w:tcPr>
            <w:tcW w:w="595" w:type="pct"/>
            <w:tcBorders>
              <w:top w:val="nil"/>
              <w:left w:val="single" w:sz="4" w:space="0" w:color="8064A2" w:themeColor="accent4"/>
              <w:bottom w:val="single" w:sz="8"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2010</w:t>
            </w:r>
          </w:p>
        </w:tc>
        <w:tc>
          <w:tcPr>
            <w:tcW w:w="595" w:type="pct"/>
            <w:tcBorders>
              <w:top w:val="nil"/>
              <w:bottom w:val="single" w:sz="8"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2011</w:t>
            </w:r>
          </w:p>
        </w:tc>
        <w:tc>
          <w:tcPr>
            <w:tcW w:w="596" w:type="pct"/>
            <w:tcBorders>
              <w:top w:val="nil"/>
              <w:bottom w:val="single" w:sz="8" w:space="0" w:color="8064A2" w:themeColor="accent4"/>
            </w:tcBorders>
            <w:shd w:val="clear" w:color="auto" w:fill="E5DFEC" w:themeFill="accent4" w:themeFillTint="33"/>
            <w:noWrap/>
            <w:hideMark/>
          </w:tcPr>
          <w:p w:rsidR="005E4D37" w:rsidRDefault="005E4D37" w:rsidP="007500E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Pr>
                <w:rFonts w:eastAsia="Times New Roman"/>
                <w:b/>
                <w:bCs/>
                <w:color w:val="000000"/>
                <w:sz w:val="20"/>
              </w:rPr>
              <w:t>2012</w:t>
            </w:r>
          </w:p>
        </w:tc>
      </w:tr>
      <w:tr w:rsidR="005E4D37" w:rsidTr="007500E5">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8064A2" w:themeColor="accent4"/>
              <w:left w:val="nil"/>
              <w:bottom w:val="nil"/>
              <w:right w:val="single" w:sz="4" w:space="0" w:color="8064A2" w:themeColor="accent4"/>
            </w:tcBorders>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Izglītība</w:t>
            </w:r>
          </w:p>
        </w:tc>
        <w:tc>
          <w:tcPr>
            <w:tcW w:w="595" w:type="pct"/>
            <w:tcBorders>
              <w:top w:val="single" w:sz="8" w:space="0" w:color="8064A2" w:themeColor="accent4"/>
              <w:left w:val="single" w:sz="4" w:space="0" w:color="8064A2" w:themeColor="accent4"/>
              <w:bottom w:val="nil"/>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5,5</w:t>
            </w:r>
          </w:p>
        </w:tc>
        <w:tc>
          <w:tcPr>
            <w:tcW w:w="595" w:type="pct"/>
            <w:tcBorders>
              <w:top w:val="single" w:sz="8" w:space="0" w:color="8064A2" w:themeColor="accent4"/>
              <w:left w:val="nil"/>
              <w:bottom w:val="nil"/>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6,2</w:t>
            </w:r>
          </w:p>
        </w:tc>
        <w:tc>
          <w:tcPr>
            <w:tcW w:w="595" w:type="pct"/>
            <w:tcBorders>
              <w:top w:val="single" w:sz="8" w:space="0" w:color="8064A2" w:themeColor="accent4"/>
              <w:left w:val="nil"/>
              <w:bottom w:val="nil"/>
              <w:right w:val="single" w:sz="4" w:space="0" w:color="8064A2" w:themeColor="accent4"/>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6,4</w:t>
            </w:r>
          </w:p>
        </w:tc>
        <w:tc>
          <w:tcPr>
            <w:tcW w:w="595" w:type="pct"/>
            <w:tcBorders>
              <w:top w:val="single" w:sz="8" w:space="0" w:color="8064A2" w:themeColor="accent4"/>
              <w:left w:val="single" w:sz="4" w:space="0" w:color="8064A2" w:themeColor="accent4"/>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39,6</w:t>
            </w:r>
          </w:p>
        </w:tc>
        <w:tc>
          <w:tcPr>
            <w:tcW w:w="595" w:type="pct"/>
            <w:tcBorders>
              <w:top w:val="single" w:sz="8" w:space="0" w:color="8064A2" w:themeColor="accent4"/>
              <w:left w:val="nil"/>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36,9</w:t>
            </w:r>
          </w:p>
        </w:tc>
        <w:tc>
          <w:tcPr>
            <w:tcW w:w="596" w:type="pct"/>
            <w:tcBorders>
              <w:top w:val="single" w:sz="8" w:space="0" w:color="8064A2" w:themeColor="accent4"/>
              <w:left w:val="nil"/>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37,8</w:t>
            </w:r>
          </w:p>
        </w:tc>
      </w:tr>
      <w:tr w:rsidR="005E4D37" w:rsidTr="0075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nil"/>
              <w:bottom w:val="nil"/>
              <w:right w:val="single" w:sz="4" w:space="0" w:color="8064A2" w:themeColor="accent4"/>
            </w:tcBorders>
            <w:shd w:val="clear" w:color="auto" w:fill="E5DFEC" w:themeFill="accent4" w:themeFillTint="33"/>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Humanitārās zinātnes un māksla</w:t>
            </w:r>
          </w:p>
        </w:tc>
        <w:tc>
          <w:tcPr>
            <w:tcW w:w="595" w:type="pct"/>
            <w:tcBorders>
              <w:top w:val="nil"/>
              <w:left w:val="single" w:sz="4" w:space="0" w:color="8064A2" w:themeColor="accent4"/>
              <w:bottom w:val="nil"/>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12,9</w:t>
            </w:r>
          </w:p>
        </w:tc>
        <w:tc>
          <w:tcPr>
            <w:tcW w:w="595" w:type="pct"/>
            <w:tcBorders>
              <w:top w:val="nil"/>
              <w:bottom w:val="nil"/>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12,1</w:t>
            </w:r>
          </w:p>
        </w:tc>
        <w:tc>
          <w:tcPr>
            <w:tcW w:w="595" w:type="pct"/>
            <w:tcBorders>
              <w:top w:val="nil"/>
              <w:bottom w:val="nil"/>
              <w:right w:val="single" w:sz="4" w:space="0" w:color="8064A2" w:themeColor="accent4"/>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12,2</w:t>
            </w:r>
          </w:p>
        </w:tc>
        <w:tc>
          <w:tcPr>
            <w:tcW w:w="595" w:type="pct"/>
            <w:tcBorders>
              <w:top w:val="nil"/>
              <w:left w:val="single" w:sz="4" w:space="0" w:color="8064A2" w:themeColor="accent4"/>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52,9</w:t>
            </w:r>
          </w:p>
        </w:tc>
        <w:tc>
          <w:tcPr>
            <w:tcW w:w="595" w:type="pct"/>
            <w:tcBorders>
              <w:top w:val="nil"/>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50,3</w:t>
            </w:r>
          </w:p>
        </w:tc>
        <w:tc>
          <w:tcPr>
            <w:tcW w:w="596" w:type="pct"/>
            <w:tcBorders>
              <w:top w:val="nil"/>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52,8</w:t>
            </w:r>
          </w:p>
        </w:tc>
      </w:tr>
      <w:tr w:rsidR="005E4D37" w:rsidTr="007500E5">
        <w:tc>
          <w:tcPr>
            <w:cnfStyle w:val="001000000000" w:firstRow="0" w:lastRow="0" w:firstColumn="1" w:lastColumn="0" w:oddVBand="0" w:evenVBand="0" w:oddHBand="0" w:evenHBand="0" w:firstRowFirstColumn="0" w:firstRowLastColumn="0" w:lastRowFirstColumn="0" w:lastRowLastColumn="0"/>
            <w:tcW w:w="1427" w:type="pct"/>
            <w:tcBorders>
              <w:top w:val="nil"/>
              <w:left w:val="nil"/>
              <w:bottom w:val="nil"/>
              <w:right w:val="single" w:sz="4" w:space="0" w:color="8064A2" w:themeColor="accent4"/>
            </w:tcBorders>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 xml:space="preserve">Sociālās zinātnes, </w:t>
            </w:r>
            <w:proofErr w:type="spellStart"/>
            <w:r>
              <w:rPr>
                <w:rFonts w:eastAsia="Times New Roman"/>
                <w:b w:val="0"/>
                <w:color w:val="000000"/>
                <w:sz w:val="20"/>
              </w:rPr>
              <w:t>komerczinības</w:t>
            </w:r>
            <w:proofErr w:type="spellEnd"/>
            <w:r>
              <w:rPr>
                <w:rFonts w:eastAsia="Times New Roman"/>
                <w:b w:val="0"/>
                <w:color w:val="000000"/>
                <w:sz w:val="20"/>
              </w:rPr>
              <w:t xml:space="preserve"> un tiesības</w:t>
            </w:r>
          </w:p>
        </w:tc>
        <w:tc>
          <w:tcPr>
            <w:tcW w:w="595" w:type="pct"/>
            <w:tcBorders>
              <w:top w:val="nil"/>
              <w:left w:val="single" w:sz="4" w:space="0" w:color="8064A2" w:themeColor="accent4"/>
              <w:bottom w:val="nil"/>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13,7</w:t>
            </w:r>
          </w:p>
        </w:tc>
        <w:tc>
          <w:tcPr>
            <w:tcW w:w="595" w:type="pct"/>
            <w:tcBorders>
              <w:top w:val="nil"/>
              <w:left w:val="nil"/>
              <w:bottom w:val="nil"/>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13,5</w:t>
            </w:r>
          </w:p>
        </w:tc>
        <w:tc>
          <w:tcPr>
            <w:tcW w:w="595" w:type="pct"/>
            <w:tcBorders>
              <w:top w:val="nil"/>
              <w:left w:val="nil"/>
              <w:bottom w:val="nil"/>
              <w:right w:val="single" w:sz="4" w:space="0" w:color="8064A2" w:themeColor="accent4"/>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12,9</w:t>
            </w:r>
          </w:p>
        </w:tc>
        <w:tc>
          <w:tcPr>
            <w:tcW w:w="595" w:type="pct"/>
            <w:tcBorders>
              <w:top w:val="nil"/>
              <w:left w:val="single" w:sz="4" w:space="0" w:color="8064A2" w:themeColor="accent4"/>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13,1</w:t>
            </w:r>
          </w:p>
        </w:tc>
        <w:tc>
          <w:tcPr>
            <w:tcW w:w="595" w:type="pct"/>
            <w:tcBorders>
              <w:top w:val="nil"/>
              <w:left w:val="nil"/>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12,6</w:t>
            </w:r>
          </w:p>
        </w:tc>
        <w:tc>
          <w:tcPr>
            <w:tcW w:w="596" w:type="pct"/>
            <w:tcBorders>
              <w:top w:val="nil"/>
              <w:left w:val="nil"/>
              <w:bottom w:val="nil"/>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12,2</w:t>
            </w:r>
          </w:p>
        </w:tc>
      </w:tr>
      <w:tr w:rsidR="005E4D37" w:rsidTr="0075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nil"/>
              <w:bottom w:val="nil"/>
              <w:right w:val="single" w:sz="4" w:space="0" w:color="8064A2" w:themeColor="accent4"/>
            </w:tcBorders>
            <w:shd w:val="clear" w:color="auto" w:fill="E5DFEC" w:themeFill="accent4" w:themeFillTint="33"/>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Dabas zinātnes, matemātika un informātika</w:t>
            </w:r>
          </w:p>
        </w:tc>
        <w:tc>
          <w:tcPr>
            <w:tcW w:w="595" w:type="pct"/>
            <w:tcBorders>
              <w:top w:val="nil"/>
              <w:left w:val="single" w:sz="4" w:space="0" w:color="8064A2" w:themeColor="accent4"/>
              <w:bottom w:val="nil"/>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16,7</w:t>
            </w:r>
          </w:p>
        </w:tc>
        <w:tc>
          <w:tcPr>
            <w:tcW w:w="595" w:type="pct"/>
            <w:tcBorders>
              <w:top w:val="nil"/>
              <w:bottom w:val="nil"/>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15,8</w:t>
            </w:r>
          </w:p>
        </w:tc>
        <w:tc>
          <w:tcPr>
            <w:tcW w:w="595" w:type="pct"/>
            <w:tcBorders>
              <w:top w:val="nil"/>
              <w:bottom w:val="nil"/>
              <w:right w:val="single" w:sz="4" w:space="0" w:color="8064A2" w:themeColor="accent4"/>
            </w:tcBorders>
            <w:shd w:val="clear" w:color="auto" w:fill="E5DFEC" w:themeFill="accent4" w:themeFillTint="33"/>
            <w:noWrap/>
            <w:vAlign w:val="center"/>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15,5</w:t>
            </w:r>
          </w:p>
        </w:tc>
        <w:tc>
          <w:tcPr>
            <w:tcW w:w="595" w:type="pct"/>
            <w:tcBorders>
              <w:top w:val="nil"/>
              <w:left w:val="single" w:sz="4" w:space="0" w:color="8064A2" w:themeColor="accent4"/>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81,3</w:t>
            </w:r>
          </w:p>
        </w:tc>
        <w:tc>
          <w:tcPr>
            <w:tcW w:w="595" w:type="pct"/>
            <w:tcBorders>
              <w:top w:val="nil"/>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74,1</w:t>
            </w:r>
          </w:p>
        </w:tc>
        <w:tc>
          <w:tcPr>
            <w:tcW w:w="596" w:type="pct"/>
            <w:tcBorders>
              <w:top w:val="nil"/>
              <w:bottom w:val="nil"/>
            </w:tcBorders>
            <w:shd w:val="clear" w:color="auto" w:fill="E5DFEC" w:themeFill="accent4" w:themeFillTint="33"/>
            <w:noWrap/>
            <w:vAlign w:val="center"/>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71,6</w:t>
            </w:r>
          </w:p>
        </w:tc>
      </w:tr>
      <w:tr w:rsidR="005E4D37" w:rsidTr="007500E5">
        <w:tc>
          <w:tcPr>
            <w:cnfStyle w:val="001000000000" w:firstRow="0" w:lastRow="0" w:firstColumn="1" w:lastColumn="0" w:oddVBand="0" w:evenVBand="0" w:oddHBand="0" w:evenHBand="0" w:firstRowFirstColumn="0" w:firstRowLastColumn="0" w:lastRowFirstColumn="0" w:lastRowLastColumn="0"/>
            <w:tcW w:w="1427" w:type="pct"/>
            <w:tcBorders>
              <w:top w:val="nil"/>
              <w:left w:val="nil"/>
              <w:bottom w:val="nil"/>
              <w:right w:val="single" w:sz="4" w:space="0" w:color="8064A2" w:themeColor="accent4"/>
            </w:tcBorders>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Inženierzinātnes, ražošana un būvniecība</w:t>
            </w:r>
          </w:p>
        </w:tc>
        <w:tc>
          <w:tcPr>
            <w:tcW w:w="595" w:type="pct"/>
            <w:tcBorders>
              <w:top w:val="nil"/>
              <w:left w:val="single" w:sz="4" w:space="0" w:color="8064A2" w:themeColor="accent4"/>
              <w:bottom w:val="nil"/>
              <w:right w:val="nil"/>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26,1</w:t>
            </w:r>
          </w:p>
        </w:tc>
        <w:tc>
          <w:tcPr>
            <w:tcW w:w="595" w:type="pct"/>
            <w:tcBorders>
              <w:top w:val="nil"/>
              <w:left w:val="nil"/>
              <w:bottom w:val="nil"/>
              <w:right w:val="nil"/>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26,6</w:t>
            </w:r>
          </w:p>
        </w:tc>
        <w:tc>
          <w:tcPr>
            <w:tcW w:w="595" w:type="pct"/>
            <w:tcBorders>
              <w:top w:val="nil"/>
              <w:left w:val="nil"/>
              <w:bottom w:val="nil"/>
              <w:right w:val="single" w:sz="4" w:space="0" w:color="8064A2" w:themeColor="accent4"/>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28,6</w:t>
            </w:r>
          </w:p>
        </w:tc>
        <w:tc>
          <w:tcPr>
            <w:tcW w:w="595" w:type="pct"/>
            <w:tcBorders>
              <w:top w:val="nil"/>
              <w:left w:val="single" w:sz="4" w:space="0" w:color="8064A2" w:themeColor="accent4"/>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67,8</w:t>
            </w:r>
          </w:p>
        </w:tc>
        <w:tc>
          <w:tcPr>
            <w:tcW w:w="595" w:type="pct"/>
            <w:tcBorders>
              <w:top w:val="nil"/>
              <w:left w:val="nil"/>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64,4</w:t>
            </w:r>
          </w:p>
        </w:tc>
        <w:tc>
          <w:tcPr>
            <w:tcW w:w="596" w:type="pct"/>
            <w:tcBorders>
              <w:top w:val="nil"/>
              <w:left w:val="nil"/>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67,5</w:t>
            </w:r>
          </w:p>
        </w:tc>
      </w:tr>
      <w:tr w:rsidR="005E4D37" w:rsidTr="0075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nil"/>
              <w:bottom w:val="nil"/>
              <w:right w:val="single" w:sz="4" w:space="0" w:color="8064A2" w:themeColor="accent4"/>
            </w:tcBorders>
            <w:shd w:val="clear" w:color="auto" w:fill="E5DFEC" w:themeFill="accent4" w:themeFillTint="33"/>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Lauksaimniecība</w:t>
            </w:r>
          </w:p>
        </w:tc>
        <w:tc>
          <w:tcPr>
            <w:tcW w:w="595" w:type="pct"/>
            <w:tcBorders>
              <w:top w:val="nil"/>
              <w:left w:val="single" w:sz="4" w:space="0" w:color="8064A2" w:themeColor="accent4"/>
              <w:bottom w:val="nil"/>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1,9</w:t>
            </w:r>
          </w:p>
        </w:tc>
        <w:tc>
          <w:tcPr>
            <w:tcW w:w="595" w:type="pct"/>
            <w:tcBorders>
              <w:top w:val="nil"/>
              <w:bottom w:val="nil"/>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2,0</w:t>
            </w:r>
          </w:p>
        </w:tc>
        <w:tc>
          <w:tcPr>
            <w:tcW w:w="595" w:type="pct"/>
            <w:tcBorders>
              <w:top w:val="nil"/>
              <w:bottom w:val="nil"/>
              <w:right w:val="single" w:sz="4" w:space="0" w:color="8064A2" w:themeColor="accent4"/>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2,1</w:t>
            </w:r>
          </w:p>
        </w:tc>
        <w:tc>
          <w:tcPr>
            <w:tcW w:w="595" w:type="pct"/>
            <w:tcBorders>
              <w:top w:val="nil"/>
              <w:left w:val="single" w:sz="4" w:space="0" w:color="8064A2" w:themeColor="accent4"/>
              <w:bottom w:val="nil"/>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62,4</w:t>
            </w:r>
          </w:p>
        </w:tc>
        <w:tc>
          <w:tcPr>
            <w:tcW w:w="595" w:type="pct"/>
            <w:tcBorders>
              <w:top w:val="nil"/>
              <w:bottom w:val="nil"/>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58,8</w:t>
            </w:r>
          </w:p>
        </w:tc>
        <w:tc>
          <w:tcPr>
            <w:tcW w:w="596" w:type="pct"/>
            <w:tcBorders>
              <w:top w:val="nil"/>
              <w:bottom w:val="nil"/>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51,5</w:t>
            </w:r>
          </w:p>
        </w:tc>
      </w:tr>
      <w:tr w:rsidR="005E4D37" w:rsidTr="007500E5">
        <w:tc>
          <w:tcPr>
            <w:cnfStyle w:val="001000000000" w:firstRow="0" w:lastRow="0" w:firstColumn="1" w:lastColumn="0" w:oddVBand="0" w:evenVBand="0" w:oddHBand="0" w:evenHBand="0" w:firstRowFirstColumn="0" w:firstRowLastColumn="0" w:lastRowFirstColumn="0" w:lastRowLastColumn="0"/>
            <w:tcW w:w="1427" w:type="pct"/>
            <w:tcBorders>
              <w:top w:val="nil"/>
              <w:left w:val="nil"/>
              <w:bottom w:val="nil"/>
              <w:right w:val="single" w:sz="4" w:space="0" w:color="8064A2" w:themeColor="accent4"/>
            </w:tcBorders>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Veselības aprūpe un sociālā labklājība</w:t>
            </w:r>
          </w:p>
        </w:tc>
        <w:tc>
          <w:tcPr>
            <w:tcW w:w="595" w:type="pct"/>
            <w:tcBorders>
              <w:top w:val="nil"/>
              <w:left w:val="single" w:sz="4" w:space="0" w:color="8064A2" w:themeColor="accent4"/>
              <w:bottom w:val="nil"/>
              <w:right w:val="nil"/>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16,8</w:t>
            </w:r>
          </w:p>
        </w:tc>
        <w:tc>
          <w:tcPr>
            <w:tcW w:w="595" w:type="pct"/>
            <w:tcBorders>
              <w:top w:val="nil"/>
              <w:left w:val="nil"/>
              <w:bottom w:val="nil"/>
              <w:right w:val="nil"/>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16,3</w:t>
            </w:r>
          </w:p>
        </w:tc>
        <w:tc>
          <w:tcPr>
            <w:tcW w:w="595" w:type="pct"/>
            <w:tcBorders>
              <w:top w:val="nil"/>
              <w:left w:val="nil"/>
              <w:bottom w:val="nil"/>
              <w:right w:val="single" w:sz="4" w:space="0" w:color="8064A2" w:themeColor="accent4"/>
            </w:tcBorders>
            <w:noWrap/>
            <w:vAlign w:val="center"/>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15,5</w:t>
            </w:r>
          </w:p>
        </w:tc>
        <w:tc>
          <w:tcPr>
            <w:tcW w:w="595" w:type="pct"/>
            <w:tcBorders>
              <w:top w:val="nil"/>
              <w:left w:val="single" w:sz="4" w:space="0" w:color="8064A2" w:themeColor="accent4"/>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67,1</w:t>
            </w:r>
          </w:p>
        </w:tc>
        <w:tc>
          <w:tcPr>
            <w:tcW w:w="595" w:type="pct"/>
            <w:tcBorders>
              <w:top w:val="nil"/>
              <w:left w:val="nil"/>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60,3</w:t>
            </w:r>
          </w:p>
        </w:tc>
        <w:tc>
          <w:tcPr>
            <w:tcW w:w="596" w:type="pct"/>
            <w:tcBorders>
              <w:top w:val="nil"/>
              <w:left w:val="nil"/>
              <w:bottom w:val="nil"/>
              <w:right w:val="nil"/>
            </w:tcBorders>
            <w:noWrap/>
            <w:vAlign w:val="center"/>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rFonts w:eastAsia="Times New Roman"/>
                <w:color w:val="000000"/>
                <w:sz w:val="20"/>
              </w:rPr>
              <w:t>49,5</w:t>
            </w:r>
          </w:p>
        </w:tc>
      </w:tr>
      <w:tr w:rsidR="005E4D37" w:rsidTr="0075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pct"/>
            <w:tcBorders>
              <w:top w:val="nil"/>
              <w:bottom w:val="single" w:sz="4" w:space="0" w:color="8064A2" w:themeColor="accent4"/>
              <w:right w:val="single" w:sz="4" w:space="0" w:color="8064A2" w:themeColor="accent4"/>
            </w:tcBorders>
            <w:shd w:val="clear" w:color="auto" w:fill="E5DFEC" w:themeFill="accent4" w:themeFillTint="33"/>
            <w:noWrap/>
            <w:hideMark/>
          </w:tcPr>
          <w:p w:rsidR="005E4D37" w:rsidRDefault="005E4D37" w:rsidP="007500E5">
            <w:pPr>
              <w:spacing w:before="40" w:after="40" w:line="240" w:lineRule="auto"/>
              <w:rPr>
                <w:rFonts w:eastAsia="Times New Roman"/>
                <w:b w:val="0"/>
                <w:color w:val="000000"/>
                <w:sz w:val="20"/>
              </w:rPr>
            </w:pPr>
            <w:r>
              <w:rPr>
                <w:rFonts w:eastAsia="Times New Roman"/>
                <w:b w:val="0"/>
                <w:color w:val="000000"/>
                <w:sz w:val="20"/>
              </w:rPr>
              <w:t>Pakalpojumi</w:t>
            </w:r>
          </w:p>
        </w:tc>
        <w:tc>
          <w:tcPr>
            <w:tcW w:w="595" w:type="pct"/>
            <w:tcBorders>
              <w:top w:val="nil"/>
              <w:left w:val="single" w:sz="4" w:space="0" w:color="8064A2" w:themeColor="accent4"/>
              <w:bottom w:val="single" w:sz="4" w:space="0" w:color="8064A2" w:themeColor="accent4"/>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6,4</w:t>
            </w:r>
          </w:p>
        </w:tc>
        <w:tc>
          <w:tcPr>
            <w:tcW w:w="595" w:type="pct"/>
            <w:tcBorders>
              <w:top w:val="nil"/>
              <w:bottom w:val="single" w:sz="4" w:space="0" w:color="8064A2" w:themeColor="accent4"/>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7,5</w:t>
            </w:r>
          </w:p>
        </w:tc>
        <w:tc>
          <w:tcPr>
            <w:tcW w:w="595" w:type="pct"/>
            <w:tcBorders>
              <w:top w:val="nil"/>
              <w:bottom w:val="single" w:sz="4" w:space="0" w:color="8064A2" w:themeColor="accent4"/>
              <w:right w:val="single" w:sz="4" w:space="0" w:color="8064A2" w:themeColor="accent4"/>
            </w:tcBorders>
            <w:shd w:val="clear" w:color="auto" w:fill="E5DFEC" w:themeFill="accent4" w:themeFillTint="33"/>
            <w:noWrap/>
            <w:hideMark/>
          </w:tcPr>
          <w:p w:rsidR="005E4D37" w:rsidRDefault="005E4D37" w:rsidP="007500E5">
            <w:pPr>
              <w:tabs>
                <w:tab w:val="decimal" w:pos="435"/>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6,8</w:t>
            </w:r>
          </w:p>
        </w:tc>
        <w:tc>
          <w:tcPr>
            <w:tcW w:w="595" w:type="pct"/>
            <w:tcBorders>
              <w:top w:val="nil"/>
              <w:left w:val="single" w:sz="4" w:space="0" w:color="8064A2" w:themeColor="accent4"/>
              <w:bottom w:val="single" w:sz="4" w:space="0" w:color="8064A2" w:themeColor="accent4"/>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34,5</w:t>
            </w:r>
          </w:p>
        </w:tc>
        <w:tc>
          <w:tcPr>
            <w:tcW w:w="595" w:type="pct"/>
            <w:tcBorders>
              <w:top w:val="nil"/>
              <w:bottom w:val="single" w:sz="4" w:space="0" w:color="8064A2" w:themeColor="accent4"/>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37,6</w:t>
            </w:r>
          </w:p>
        </w:tc>
        <w:tc>
          <w:tcPr>
            <w:tcW w:w="596" w:type="pct"/>
            <w:tcBorders>
              <w:top w:val="nil"/>
              <w:bottom w:val="single" w:sz="4" w:space="0" w:color="8064A2" w:themeColor="accent4"/>
            </w:tcBorders>
            <w:shd w:val="clear" w:color="auto" w:fill="E5DFEC" w:themeFill="accent4" w:themeFillTint="33"/>
            <w:noWrap/>
            <w:hideMark/>
          </w:tcPr>
          <w:p w:rsidR="005E4D37" w:rsidRDefault="005E4D37" w:rsidP="007500E5">
            <w:pPr>
              <w:tabs>
                <w:tab w:val="decimal" w:pos="466"/>
              </w:tabs>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rFonts w:eastAsia="Times New Roman"/>
                <w:color w:val="000000"/>
                <w:sz w:val="20"/>
              </w:rPr>
              <w:t>34,1</w:t>
            </w:r>
          </w:p>
        </w:tc>
      </w:tr>
      <w:tr w:rsidR="005E4D37" w:rsidTr="007500E5">
        <w:tc>
          <w:tcPr>
            <w:cnfStyle w:val="001000000000" w:firstRow="0" w:lastRow="0" w:firstColumn="1" w:lastColumn="0" w:oddVBand="0" w:evenVBand="0" w:oddHBand="0" w:evenHBand="0" w:firstRowFirstColumn="0" w:firstRowLastColumn="0" w:lastRowFirstColumn="0" w:lastRowLastColumn="0"/>
            <w:tcW w:w="1427" w:type="pct"/>
            <w:tcBorders>
              <w:top w:val="single" w:sz="4" w:space="0" w:color="8064A2" w:themeColor="accent4"/>
              <w:left w:val="nil"/>
              <w:bottom w:val="single" w:sz="8" w:space="0" w:color="8064A2" w:themeColor="accent4"/>
              <w:right w:val="single" w:sz="4" w:space="0" w:color="8064A2" w:themeColor="accent4"/>
            </w:tcBorders>
            <w:noWrap/>
            <w:hideMark/>
          </w:tcPr>
          <w:p w:rsidR="005E4D37" w:rsidRDefault="005E4D37" w:rsidP="007500E5">
            <w:pPr>
              <w:spacing w:before="40" w:after="40" w:line="240" w:lineRule="auto"/>
              <w:rPr>
                <w:rFonts w:eastAsia="Times New Roman"/>
                <w:color w:val="000000"/>
                <w:sz w:val="20"/>
              </w:rPr>
            </w:pPr>
            <w:r>
              <w:rPr>
                <w:rFonts w:eastAsia="Times New Roman"/>
                <w:color w:val="000000"/>
                <w:sz w:val="20"/>
              </w:rPr>
              <w:t>Kopā</w:t>
            </w:r>
          </w:p>
        </w:tc>
        <w:tc>
          <w:tcPr>
            <w:tcW w:w="595" w:type="pct"/>
            <w:tcBorders>
              <w:top w:val="single" w:sz="4" w:space="0" w:color="8064A2" w:themeColor="accent4"/>
              <w:left w:val="single" w:sz="4" w:space="0" w:color="8064A2" w:themeColor="accent4"/>
              <w:bottom w:val="single" w:sz="8" w:space="0" w:color="8064A2" w:themeColor="accent4"/>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100,0</w:t>
            </w:r>
          </w:p>
        </w:tc>
        <w:tc>
          <w:tcPr>
            <w:tcW w:w="595" w:type="pct"/>
            <w:tcBorders>
              <w:top w:val="single" w:sz="4" w:space="0" w:color="8064A2" w:themeColor="accent4"/>
              <w:left w:val="nil"/>
              <w:bottom w:val="single" w:sz="8" w:space="0" w:color="8064A2" w:themeColor="accent4"/>
              <w:right w:val="nil"/>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100,0</w:t>
            </w:r>
          </w:p>
        </w:tc>
        <w:tc>
          <w:tcPr>
            <w:tcW w:w="595" w:type="pct"/>
            <w:tcBorders>
              <w:top w:val="single" w:sz="4" w:space="0" w:color="8064A2" w:themeColor="accent4"/>
              <w:left w:val="nil"/>
              <w:bottom w:val="single" w:sz="8" w:space="0" w:color="8064A2" w:themeColor="accent4"/>
              <w:right w:val="single" w:sz="4" w:space="0" w:color="8064A2" w:themeColor="accent4"/>
            </w:tcBorders>
            <w:noWrap/>
            <w:hideMark/>
          </w:tcPr>
          <w:p w:rsidR="005E4D37" w:rsidRDefault="005E4D37" w:rsidP="007500E5">
            <w:pPr>
              <w:tabs>
                <w:tab w:val="decimal" w:pos="435"/>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100,0</w:t>
            </w:r>
          </w:p>
        </w:tc>
        <w:tc>
          <w:tcPr>
            <w:tcW w:w="595" w:type="pct"/>
            <w:tcBorders>
              <w:top w:val="single" w:sz="4" w:space="0" w:color="8064A2" w:themeColor="accent4"/>
              <w:left w:val="single" w:sz="4" w:space="0" w:color="8064A2" w:themeColor="accent4"/>
              <w:bottom w:val="single" w:sz="8" w:space="0" w:color="8064A2" w:themeColor="accent4"/>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40,3</w:t>
            </w:r>
          </w:p>
        </w:tc>
        <w:tc>
          <w:tcPr>
            <w:tcW w:w="595" w:type="pct"/>
            <w:tcBorders>
              <w:top w:val="single" w:sz="4" w:space="0" w:color="8064A2" w:themeColor="accent4"/>
              <w:left w:val="nil"/>
              <w:bottom w:val="single" w:sz="8" w:space="0" w:color="8064A2" w:themeColor="accent4"/>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38,2</w:t>
            </w:r>
          </w:p>
        </w:tc>
        <w:tc>
          <w:tcPr>
            <w:tcW w:w="596" w:type="pct"/>
            <w:tcBorders>
              <w:top w:val="single" w:sz="4" w:space="0" w:color="8064A2" w:themeColor="accent4"/>
              <w:left w:val="nil"/>
              <w:bottom w:val="single" w:sz="8" w:space="0" w:color="8064A2" w:themeColor="accent4"/>
              <w:right w:val="nil"/>
            </w:tcBorders>
            <w:noWrap/>
            <w:hideMark/>
          </w:tcPr>
          <w:p w:rsidR="005E4D37" w:rsidRDefault="005E4D37" w:rsidP="007500E5">
            <w:pPr>
              <w:tabs>
                <w:tab w:val="decimal" w:pos="466"/>
              </w:tab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Pr>
                <w:rFonts w:eastAsia="Times New Roman"/>
                <w:b/>
                <w:bCs/>
                <w:color w:val="000000"/>
                <w:sz w:val="20"/>
              </w:rPr>
              <w:t>37,7</w:t>
            </w:r>
          </w:p>
        </w:tc>
      </w:tr>
    </w:tbl>
    <w:p w:rsidR="00C94B6A" w:rsidRPr="00C94B6A" w:rsidRDefault="00C94B6A" w:rsidP="00C94B6A">
      <w:pPr>
        <w:spacing w:after="0" w:line="240" w:lineRule="auto"/>
        <w:jc w:val="both"/>
        <w:rPr>
          <w:sz w:val="16"/>
          <w:szCs w:val="26"/>
        </w:rPr>
      </w:pPr>
    </w:p>
    <w:p w:rsidR="00C94B6A" w:rsidRPr="00C94B6A" w:rsidRDefault="00C94B6A" w:rsidP="00C94B6A">
      <w:pPr>
        <w:spacing w:after="0" w:line="240" w:lineRule="auto"/>
        <w:jc w:val="both"/>
        <w:rPr>
          <w:sz w:val="16"/>
          <w:szCs w:val="26"/>
        </w:rPr>
      </w:pPr>
    </w:p>
    <w:p w:rsidR="007500E5" w:rsidRDefault="007500E5" w:rsidP="007500E5">
      <w:pPr>
        <w:spacing w:after="0" w:line="240" w:lineRule="auto"/>
        <w:ind w:right="170"/>
        <w:rPr>
          <w:b/>
          <w:bCs/>
          <w:iCs/>
          <w:sz w:val="28"/>
          <w:szCs w:val="28"/>
        </w:rPr>
      </w:pPr>
      <w:r>
        <w:rPr>
          <w:b/>
          <w:bCs/>
          <w:iCs/>
          <w:sz w:val="28"/>
          <w:szCs w:val="28"/>
        </w:rPr>
        <w:t>Darba tirgus pasākumi ar apmācību ievirzi</w:t>
      </w:r>
    </w:p>
    <w:p w:rsidR="007500E5" w:rsidRPr="00521971" w:rsidRDefault="007500E5" w:rsidP="007500E5">
      <w:pPr>
        <w:spacing w:after="0" w:line="240" w:lineRule="auto"/>
        <w:ind w:right="170"/>
        <w:jc w:val="both"/>
        <w:rPr>
          <w:bCs/>
          <w:iCs/>
          <w:sz w:val="8"/>
          <w:szCs w:val="28"/>
        </w:rPr>
      </w:pPr>
    </w:p>
    <w:p w:rsidR="007500E5" w:rsidRPr="00521971" w:rsidRDefault="007500E5" w:rsidP="007500E5">
      <w:pPr>
        <w:spacing w:after="0" w:line="240" w:lineRule="auto"/>
        <w:ind w:right="170" w:firstLine="567"/>
        <w:jc w:val="both"/>
        <w:rPr>
          <w:bCs/>
          <w:iCs/>
          <w:sz w:val="26"/>
          <w:szCs w:val="28"/>
        </w:rPr>
      </w:pPr>
      <w:r w:rsidRPr="00521971">
        <w:rPr>
          <w:bCs/>
          <w:iCs/>
          <w:sz w:val="26"/>
          <w:szCs w:val="28"/>
        </w:rPr>
        <w:t xml:space="preserve">Labklājības ministrija regulāri atjauno </w:t>
      </w:r>
      <w:proofErr w:type="spellStart"/>
      <w:r w:rsidRPr="00521971">
        <w:rPr>
          <w:bCs/>
          <w:iCs/>
          <w:sz w:val="26"/>
          <w:szCs w:val="28"/>
        </w:rPr>
        <w:t>t.s</w:t>
      </w:r>
      <w:proofErr w:type="spellEnd"/>
      <w:r w:rsidRPr="00521971">
        <w:rPr>
          <w:bCs/>
          <w:iCs/>
          <w:sz w:val="26"/>
          <w:szCs w:val="28"/>
        </w:rPr>
        <w:t xml:space="preserve">. apmācību sarakstu ar apmācību jomām, izglītības programmām, profesijām un sociālajām un profesionālajām pamata prasmēm </w:t>
      </w:r>
      <w:proofErr w:type="spellStart"/>
      <w:r w:rsidRPr="00521971">
        <w:rPr>
          <w:bCs/>
          <w:iCs/>
          <w:sz w:val="26"/>
          <w:szCs w:val="28"/>
        </w:rPr>
        <w:t>u.tml</w:t>
      </w:r>
      <w:proofErr w:type="spellEnd"/>
      <w:r w:rsidRPr="00521971">
        <w:rPr>
          <w:bCs/>
          <w:iCs/>
          <w:sz w:val="26"/>
          <w:szCs w:val="28"/>
        </w:rPr>
        <w:t>., kur atbilstoši darba tirgus pieprasījumam un tautsaimniecības nozaru attīstības prognozēm nepieciešams veikt bezdarbnieku un darba meklētāju apmācību. Sarakstu apstiprina labklājības ministra apstiprināta Apmācību komisija.</w:t>
      </w:r>
    </w:p>
    <w:p w:rsidR="007500E5" w:rsidRPr="00521971" w:rsidRDefault="007500E5" w:rsidP="007500E5">
      <w:pPr>
        <w:spacing w:after="0" w:line="240" w:lineRule="auto"/>
        <w:ind w:right="170" w:firstLine="567"/>
        <w:jc w:val="both"/>
        <w:rPr>
          <w:bCs/>
          <w:iCs/>
          <w:sz w:val="26"/>
          <w:szCs w:val="28"/>
        </w:rPr>
      </w:pPr>
      <w:r w:rsidRPr="00521971">
        <w:rPr>
          <w:bCs/>
          <w:iCs/>
          <w:sz w:val="26"/>
          <w:szCs w:val="28"/>
        </w:rPr>
        <w:t>Apmācību sarakstu sagatavošana tiek veikta:</w:t>
      </w:r>
    </w:p>
    <w:p w:rsidR="007500E5" w:rsidRPr="00521971" w:rsidRDefault="007500E5" w:rsidP="007500E5">
      <w:pPr>
        <w:pStyle w:val="ListParagraph"/>
        <w:numPr>
          <w:ilvl w:val="0"/>
          <w:numId w:val="12"/>
        </w:numPr>
        <w:spacing w:after="0" w:line="240" w:lineRule="auto"/>
        <w:ind w:left="993" w:right="170" w:hanging="426"/>
        <w:jc w:val="both"/>
        <w:rPr>
          <w:bCs/>
          <w:iCs/>
          <w:sz w:val="26"/>
          <w:szCs w:val="28"/>
        </w:rPr>
      </w:pPr>
      <w:r w:rsidRPr="00521971">
        <w:rPr>
          <w:bCs/>
          <w:iCs/>
          <w:sz w:val="26"/>
          <w:szCs w:val="28"/>
        </w:rPr>
        <w:t xml:space="preserve">analizējot NVA datus, bezdarbnieku skaitu un profilu katrā no profesijām, pieteiktās brīvās darba vietas, darbiekārtošanās rādītājus, izglītības iestāžu piedāvājumu </w:t>
      </w:r>
      <w:proofErr w:type="spellStart"/>
      <w:r w:rsidRPr="00521971">
        <w:rPr>
          <w:bCs/>
          <w:iCs/>
          <w:sz w:val="26"/>
          <w:szCs w:val="28"/>
        </w:rPr>
        <w:t>u.c</w:t>
      </w:r>
      <w:proofErr w:type="spellEnd"/>
      <w:r w:rsidRPr="00521971">
        <w:rPr>
          <w:bCs/>
          <w:iCs/>
          <w:sz w:val="26"/>
          <w:szCs w:val="28"/>
        </w:rPr>
        <w:t>. informāciju;</w:t>
      </w:r>
    </w:p>
    <w:p w:rsidR="007500E5" w:rsidRPr="00521971" w:rsidRDefault="007500E5" w:rsidP="007500E5">
      <w:pPr>
        <w:pStyle w:val="ListParagraph"/>
        <w:numPr>
          <w:ilvl w:val="0"/>
          <w:numId w:val="12"/>
        </w:numPr>
        <w:spacing w:after="0" w:line="240" w:lineRule="auto"/>
        <w:ind w:left="993" w:right="170" w:hanging="426"/>
        <w:jc w:val="both"/>
        <w:rPr>
          <w:bCs/>
          <w:iCs/>
          <w:sz w:val="26"/>
          <w:szCs w:val="28"/>
        </w:rPr>
      </w:pPr>
      <w:r w:rsidRPr="00521971">
        <w:rPr>
          <w:bCs/>
          <w:iCs/>
          <w:sz w:val="26"/>
          <w:szCs w:val="28"/>
        </w:rPr>
        <w:t>analizējot nozaru attīstības tendences un ņemot vērā Ekonomikas ministrijas vidējā termiņa darba tirgus pieprasījuma prognozes;</w:t>
      </w:r>
    </w:p>
    <w:p w:rsidR="007500E5" w:rsidRPr="00521971" w:rsidRDefault="007500E5" w:rsidP="007500E5">
      <w:pPr>
        <w:pStyle w:val="ListParagraph"/>
        <w:numPr>
          <w:ilvl w:val="0"/>
          <w:numId w:val="12"/>
        </w:numPr>
        <w:spacing w:after="0" w:line="240" w:lineRule="auto"/>
        <w:ind w:left="993" w:right="170" w:hanging="426"/>
        <w:jc w:val="both"/>
        <w:rPr>
          <w:bCs/>
          <w:iCs/>
          <w:sz w:val="26"/>
          <w:szCs w:val="28"/>
        </w:rPr>
      </w:pPr>
      <w:r w:rsidRPr="00521971">
        <w:rPr>
          <w:sz w:val="26"/>
          <w:szCs w:val="28"/>
        </w:rPr>
        <w:t>ņemot vērā sagatavotās īstermiņa darba tirgus prognozes 2013.gadam.</w:t>
      </w:r>
    </w:p>
    <w:p w:rsidR="007500E5" w:rsidRPr="00153D73" w:rsidRDefault="007500E5" w:rsidP="007500E5">
      <w:pPr>
        <w:spacing w:before="60" w:after="0" w:line="240" w:lineRule="auto"/>
        <w:ind w:right="170" w:firstLine="567"/>
        <w:jc w:val="both"/>
        <w:rPr>
          <w:bCs/>
          <w:iCs/>
          <w:sz w:val="8"/>
          <w:szCs w:val="28"/>
        </w:rPr>
      </w:pPr>
    </w:p>
    <w:p w:rsidR="007500E5" w:rsidRPr="00521971" w:rsidRDefault="007500E5" w:rsidP="007500E5">
      <w:pPr>
        <w:spacing w:after="0" w:line="240" w:lineRule="auto"/>
        <w:ind w:firstLine="567"/>
        <w:jc w:val="both"/>
        <w:rPr>
          <w:sz w:val="26"/>
          <w:szCs w:val="28"/>
        </w:rPr>
      </w:pPr>
      <w:r w:rsidRPr="00521971">
        <w:rPr>
          <w:rFonts w:eastAsia="Times New Roman"/>
          <w:sz w:val="26"/>
          <w:szCs w:val="28"/>
        </w:rPr>
        <w:t xml:space="preserve">Ievērojot darba tirgus situāciju pēdējos gados tiek mainīts uzsvars no pasākumiem ar sociālu ievirzi uz pasākumiem ar apmācību ievirzi. Kopumā vairāk </w:t>
      </w:r>
      <w:r w:rsidR="00B30E66">
        <w:rPr>
          <w:rFonts w:eastAsia="Times New Roman"/>
          <w:sz w:val="26"/>
          <w:szCs w:val="28"/>
        </w:rPr>
        <w:t>ne</w:t>
      </w:r>
      <w:r w:rsidRPr="00521971">
        <w:rPr>
          <w:rFonts w:eastAsia="Times New Roman"/>
          <w:sz w:val="26"/>
          <w:szCs w:val="28"/>
        </w:rPr>
        <w:t>kā 2</w:t>
      </w:r>
      <w:r w:rsidR="00B30E66">
        <w:rPr>
          <w:rFonts w:eastAsia="Times New Roman"/>
          <w:sz w:val="26"/>
          <w:szCs w:val="28"/>
        </w:rPr>
        <w:t>/5 no finansējuma tiek izlietots</w:t>
      </w:r>
      <w:r w:rsidRPr="00521971">
        <w:rPr>
          <w:rFonts w:eastAsia="Times New Roman"/>
          <w:sz w:val="26"/>
          <w:szCs w:val="28"/>
        </w:rPr>
        <w:t xml:space="preserve"> pasākumiem ar apmācību ievirzi:</w:t>
      </w:r>
    </w:p>
    <w:p w:rsidR="007500E5" w:rsidRPr="00521971" w:rsidRDefault="007500E5" w:rsidP="007500E5">
      <w:pPr>
        <w:pStyle w:val="ListParagraph"/>
        <w:numPr>
          <w:ilvl w:val="0"/>
          <w:numId w:val="11"/>
        </w:numPr>
        <w:spacing w:after="0" w:line="240" w:lineRule="auto"/>
        <w:ind w:left="993" w:hanging="426"/>
        <w:jc w:val="both"/>
        <w:rPr>
          <w:rFonts w:eastAsia="Times New Roman"/>
          <w:sz w:val="26"/>
          <w:szCs w:val="28"/>
          <w:lang w:eastAsia="lv-LV"/>
        </w:rPr>
      </w:pPr>
      <w:r w:rsidRPr="00521971">
        <w:rPr>
          <w:rFonts w:eastAsia="Times New Roman"/>
          <w:sz w:val="26"/>
          <w:szCs w:val="28"/>
          <w:lang w:eastAsia="lv-LV"/>
        </w:rPr>
        <w:t>profesionālā apmācība, pārkvalifikācija un</w:t>
      </w:r>
      <w:r w:rsidR="00521971">
        <w:rPr>
          <w:rFonts w:eastAsia="Times New Roman"/>
          <w:sz w:val="26"/>
          <w:szCs w:val="28"/>
          <w:lang w:eastAsia="lv-LV"/>
        </w:rPr>
        <w:t xml:space="preserve"> kvalifikācijas paaugsti</w:t>
      </w:r>
      <w:r w:rsidR="00B30E66">
        <w:rPr>
          <w:rFonts w:eastAsia="Times New Roman"/>
          <w:sz w:val="26"/>
          <w:szCs w:val="28"/>
          <w:lang w:eastAsia="lv-LV"/>
        </w:rPr>
        <w:t>nāšana;</w:t>
      </w:r>
    </w:p>
    <w:p w:rsidR="007500E5" w:rsidRPr="00521971" w:rsidRDefault="007500E5" w:rsidP="007500E5">
      <w:pPr>
        <w:pStyle w:val="ListParagraph"/>
        <w:numPr>
          <w:ilvl w:val="0"/>
          <w:numId w:val="11"/>
        </w:numPr>
        <w:spacing w:after="0" w:line="240" w:lineRule="auto"/>
        <w:ind w:left="993" w:hanging="426"/>
        <w:jc w:val="both"/>
        <w:rPr>
          <w:rFonts w:eastAsia="Times New Roman"/>
          <w:sz w:val="26"/>
          <w:szCs w:val="28"/>
          <w:lang w:eastAsia="lv-LV"/>
        </w:rPr>
      </w:pPr>
      <w:r w:rsidRPr="00521971">
        <w:rPr>
          <w:rFonts w:eastAsia="Times New Roman"/>
          <w:sz w:val="26"/>
          <w:szCs w:val="28"/>
          <w:lang w:eastAsia="lv-LV"/>
        </w:rPr>
        <w:t>neformā</w:t>
      </w:r>
      <w:r w:rsidR="00B30E66">
        <w:rPr>
          <w:rFonts w:eastAsia="Times New Roman"/>
          <w:sz w:val="26"/>
          <w:szCs w:val="28"/>
          <w:lang w:eastAsia="lv-LV"/>
        </w:rPr>
        <w:t>lās izglītības programmu apguve;</w:t>
      </w:r>
    </w:p>
    <w:p w:rsidR="007500E5" w:rsidRPr="00521971" w:rsidRDefault="007500E5" w:rsidP="007500E5">
      <w:pPr>
        <w:pStyle w:val="ListParagraph"/>
        <w:numPr>
          <w:ilvl w:val="0"/>
          <w:numId w:val="11"/>
        </w:numPr>
        <w:spacing w:after="0" w:line="240" w:lineRule="auto"/>
        <w:ind w:left="993" w:hanging="426"/>
        <w:jc w:val="both"/>
        <w:rPr>
          <w:rFonts w:eastAsia="Times New Roman"/>
          <w:sz w:val="26"/>
          <w:szCs w:val="28"/>
          <w:lang w:eastAsia="lv-LV"/>
        </w:rPr>
      </w:pPr>
      <w:r w:rsidRPr="00521971">
        <w:rPr>
          <w:rFonts w:eastAsia="Times New Roman"/>
          <w:sz w:val="26"/>
          <w:szCs w:val="28"/>
          <w:lang w:eastAsia="lv-LV"/>
        </w:rPr>
        <w:t>apmācība pie darba devēja tam vaja</w:t>
      </w:r>
      <w:r w:rsidR="00B30E66">
        <w:rPr>
          <w:rFonts w:eastAsia="Times New Roman"/>
          <w:sz w:val="26"/>
          <w:szCs w:val="28"/>
          <w:lang w:eastAsia="lv-LV"/>
        </w:rPr>
        <w:t>dzīgā speciālista sagatavošanai;</w:t>
      </w:r>
    </w:p>
    <w:p w:rsidR="007500E5" w:rsidRPr="00521971" w:rsidRDefault="007500E5" w:rsidP="007500E5">
      <w:pPr>
        <w:pStyle w:val="ListParagraph"/>
        <w:numPr>
          <w:ilvl w:val="0"/>
          <w:numId w:val="11"/>
        </w:numPr>
        <w:spacing w:after="0" w:line="240" w:lineRule="auto"/>
        <w:ind w:left="993" w:hanging="426"/>
        <w:jc w:val="both"/>
        <w:rPr>
          <w:sz w:val="26"/>
          <w:szCs w:val="28"/>
        </w:rPr>
      </w:pPr>
      <w:r w:rsidRPr="00521971">
        <w:rPr>
          <w:rFonts w:eastAsia="Times New Roman"/>
          <w:sz w:val="26"/>
          <w:szCs w:val="28"/>
          <w:lang w:eastAsia="lv-LV"/>
        </w:rPr>
        <w:t>mūžizglītības pasākumi nodarbinātām personām.</w:t>
      </w:r>
    </w:p>
    <w:p w:rsidR="007500E5" w:rsidRPr="00153D73" w:rsidRDefault="007500E5" w:rsidP="007500E5">
      <w:pPr>
        <w:spacing w:after="0" w:line="240" w:lineRule="auto"/>
        <w:ind w:right="170" w:firstLine="567"/>
        <w:jc w:val="both"/>
        <w:rPr>
          <w:bCs/>
          <w:iCs/>
          <w:sz w:val="8"/>
          <w:szCs w:val="28"/>
        </w:rPr>
      </w:pPr>
    </w:p>
    <w:p w:rsidR="007500E5" w:rsidRPr="00521971" w:rsidRDefault="007500E5" w:rsidP="007500E5">
      <w:pPr>
        <w:spacing w:after="0" w:line="240" w:lineRule="auto"/>
        <w:ind w:firstLine="567"/>
        <w:jc w:val="both"/>
        <w:rPr>
          <w:sz w:val="26"/>
          <w:szCs w:val="28"/>
        </w:rPr>
      </w:pPr>
      <w:r w:rsidRPr="00521971">
        <w:rPr>
          <w:sz w:val="26"/>
          <w:szCs w:val="28"/>
        </w:rPr>
        <w:t>Apmācību pasākumu ietvaros bezdarbniekiem piedāvātās apmācību programmas tiek izvēlētas atbilstoši Apmācības komisijas priekšlikumiem vai pēc darba devēja rakstiska pieprasījuma.</w:t>
      </w:r>
    </w:p>
    <w:p w:rsidR="007500E5" w:rsidRPr="00521971" w:rsidRDefault="007500E5" w:rsidP="007500E5">
      <w:pPr>
        <w:spacing w:after="0" w:line="240" w:lineRule="auto"/>
        <w:ind w:firstLine="567"/>
        <w:jc w:val="both"/>
        <w:rPr>
          <w:sz w:val="26"/>
          <w:szCs w:val="28"/>
        </w:rPr>
      </w:pPr>
      <w:r w:rsidRPr="00521971">
        <w:rPr>
          <w:sz w:val="26"/>
          <w:szCs w:val="28"/>
        </w:rPr>
        <w:lastRenderedPageBreak/>
        <w:t>Darba tirgus disproporciju mazināšanas profesiju griezumā darba tirgus pasākumi ir izmantojami ierobežotā apmērā. No īstenotajiem apmācību pasākumiem disproporciju mazināšanai darba tirgū tiešā veidā izmantojams pasākums „</w:t>
      </w:r>
      <w:r w:rsidRPr="00521971">
        <w:rPr>
          <w:rFonts w:eastAsia="Times New Roman"/>
          <w:sz w:val="26"/>
          <w:szCs w:val="28"/>
          <w:lang w:eastAsia="lv-LV"/>
        </w:rPr>
        <w:t>Profesionālā apmācība, pārkvalifikācija un kvalifikācijas paaugstināšana”. Tā ietvaros bezdarb</w:t>
      </w:r>
      <w:r w:rsidR="009E060F">
        <w:rPr>
          <w:rFonts w:eastAsia="Times New Roman"/>
          <w:sz w:val="26"/>
          <w:szCs w:val="28"/>
          <w:lang w:eastAsia="lv-LV"/>
        </w:rPr>
        <w:softHyphen/>
      </w:r>
      <w:r w:rsidRPr="00521971">
        <w:rPr>
          <w:rFonts w:eastAsia="Times New Roman"/>
          <w:sz w:val="26"/>
          <w:szCs w:val="28"/>
          <w:lang w:eastAsia="lv-LV"/>
        </w:rPr>
        <w:t>niekam tiek dota iespēja apgūt jaunas profesionālās zināšanas, iegūstot vai pilnveidojot profesionālo kvalifikāciju.</w:t>
      </w:r>
      <w:r w:rsidRPr="00521971">
        <w:rPr>
          <w:sz w:val="26"/>
          <w:szCs w:val="28"/>
        </w:rPr>
        <w:t xml:space="preserve"> Šobrīd tiek piedāvāts apgūt tikai vidējās kvalifikācijas profesijām atbilstošas zināšanas.</w:t>
      </w:r>
    </w:p>
    <w:p w:rsidR="007500E5" w:rsidRPr="00521971" w:rsidRDefault="007500E5" w:rsidP="007500E5">
      <w:pPr>
        <w:spacing w:after="0" w:line="240" w:lineRule="auto"/>
        <w:ind w:firstLine="567"/>
        <w:jc w:val="both"/>
        <w:rPr>
          <w:sz w:val="26"/>
          <w:szCs w:val="28"/>
        </w:rPr>
      </w:pPr>
      <w:r w:rsidRPr="00521971">
        <w:rPr>
          <w:sz w:val="26"/>
          <w:szCs w:val="28"/>
        </w:rPr>
        <w:t xml:space="preserve">Pārējie apmācību pasākumi uztverami kā atbalsts papildus zināšanu iegūšanai konkurētspējas paaugstināšanai darba tirgū. </w:t>
      </w:r>
      <w:r w:rsidRPr="00521971">
        <w:rPr>
          <w:iCs/>
          <w:sz w:val="26"/>
          <w:szCs w:val="28"/>
        </w:rPr>
        <w:t>N</w:t>
      </w:r>
      <w:r w:rsidRPr="00521971">
        <w:rPr>
          <w:rFonts w:eastAsia="Times New Roman"/>
          <w:sz w:val="26"/>
          <w:szCs w:val="28"/>
          <w:lang w:eastAsia="lv-LV"/>
        </w:rPr>
        <w:t>eformālās izglītības programmu mērķauditorija ir</w:t>
      </w:r>
      <w:r w:rsidRPr="00521971">
        <w:rPr>
          <w:iCs/>
          <w:sz w:val="26"/>
          <w:szCs w:val="28"/>
        </w:rPr>
        <w:t xml:space="preserve"> gan bezdarbnieki, gan darba meklētāji. Savukārt, mūžizglītības pasākumu </w:t>
      </w:r>
      <w:r w:rsidRPr="00521971">
        <w:rPr>
          <w:rFonts w:eastAsia="Times New Roman"/>
          <w:sz w:val="26"/>
          <w:szCs w:val="28"/>
          <w:lang w:eastAsia="lv-LV"/>
        </w:rPr>
        <w:t>nodarbinātām personām</w:t>
      </w:r>
      <w:r w:rsidRPr="00521971">
        <w:rPr>
          <w:iCs/>
          <w:sz w:val="26"/>
          <w:szCs w:val="28"/>
        </w:rPr>
        <w:t xml:space="preserve"> m</w:t>
      </w:r>
      <w:r w:rsidRPr="00521971">
        <w:rPr>
          <w:sz w:val="26"/>
          <w:szCs w:val="28"/>
        </w:rPr>
        <w:t>ērķauditorija ir nodarbinātie iedzīvotāji vecumā virs 25 gadi, izņemot valsts civildienestā nodarbinātos. To ietvaros notiek esošās kvalifikācijas zināšanu papildināšana, piedāvājot iespēju papildināt profesionālās zināšanas ar nepieciešamām sociālām</w:t>
      </w:r>
      <w:r w:rsidRPr="00521971">
        <w:rPr>
          <w:iCs/>
          <w:sz w:val="26"/>
          <w:szCs w:val="28"/>
        </w:rPr>
        <w:t xml:space="preserve"> un profesionālām </w:t>
      </w:r>
      <w:proofErr w:type="spellStart"/>
      <w:r w:rsidRPr="00521971">
        <w:rPr>
          <w:iCs/>
          <w:sz w:val="26"/>
          <w:szCs w:val="28"/>
        </w:rPr>
        <w:t>pamatprasmēm</w:t>
      </w:r>
      <w:proofErr w:type="spellEnd"/>
      <w:r w:rsidRPr="00521971">
        <w:rPr>
          <w:iCs/>
          <w:sz w:val="26"/>
          <w:szCs w:val="28"/>
        </w:rPr>
        <w:t xml:space="preserve">, piemēram, apgūstot </w:t>
      </w:r>
      <w:proofErr w:type="spellStart"/>
      <w:r w:rsidRPr="00521971">
        <w:rPr>
          <w:iCs/>
          <w:sz w:val="26"/>
          <w:szCs w:val="28"/>
        </w:rPr>
        <w:t>datorlietošanu</w:t>
      </w:r>
      <w:proofErr w:type="spellEnd"/>
      <w:r w:rsidRPr="00521971">
        <w:rPr>
          <w:iCs/>
          <w:sz w:val="26"/>
          <w:szCs w:val="28"/>
        </w:rPr>
        <w:t>, svešvalodas vai iegūstot noteiktas kategorijas autovadītāja tiesības. Tā kā apmācību pie darba devēja īstenošanā atklājās riski ar negatīvu ietekmi uz darbu, pasākums ir uz laiku apturēts tā nosacījumu pilnveidei.</w:t>
      </w:r>
    </w:p>
    <w:p w:rsidR="00743675" w:rsidRDefault="00743675">
      <w:pPr>
        <w:spacing w:after="0" w:line="240" w:lineRule="auto"/>
        <w:rPr>
          <w:rFonts w:ascii="Times New Roman Bold" w:hAnsi="Times New Roman Bold"/>
          <w:b/>
          <w:smallCaps/>
          <w:sz w:val="36"/>
          <w:szCs w:val="36"/>
        </w:rPr>
      </w:pPr>
      <w:bookmarkStart w:id="33" w:name="_Toc328419616"/>
      <w:bookmarkStart w:id="34" w:name="_Toc227642592"/>
      <w:r>
        <w:rPr>
          <w:sz w:val="36"/>
          <w:szCs w:val="36"/>
        </w:rPr>
        <w:br w:type="page"/>
      </w:r>
    </w:p>
    <w:p w:rsidR="00414DFF" w:rsidRPr="00414DFF" w:rsidRDefault="00414DFF" w:rsidP="00414DFF">
      <w:pPr>
        <w:pStyle w:val="Heading1"/>
        <w:pBdr>
          <w:bottom w:val="thinThickThinSmallGap" w:sz="24" w:space="1" w:color="8064A2" w:themeColor="accent4"/>
        </w:pBdr>
        <w:rPr>
          <w:sz w:val="36"/>
          <w:szCs w:val="36"/>
        </w:rPr>
      </w:pPr>
      <w:bookmarkStart w:id="35" w:name="_Toc357503118"/>
      <w:r w:rsidRPr="00414DFF">
        <w:rPr>
          <w:sz w:val="36"/>
          <w:szCs w:val="36"/>
        </w:rPr>
        <w:lastRenderedPageBreak/>
        <w:t>3. Darba tirgus vidēja un ilgtermiņa prognozes</w:t>
      </w:r>
      <w:bookmarkEnd w:id="33"/>
      <w:bookmarkEnd w:id="35"/>
    </w:p>
    <w:bookmarkEnd w:id="34"/>
    <w:p w:rsidR="00414DFF" w:rsidRPr="00CD7B6E" w:rsidRDefault="00414DFF" w:rsidP="00414DFF">
      <w:pPr>
        <w:spacing w:after="0" w:line="240" w:lineRule="auto"/>
        <w:jc w:val="both"/>
        <w:rPr>
          <w:sz w:val="26"/>
          <w:szCs w:val="28"/>
        </w:rPr>
      </w:pPr>
    </w:p>
    <w:p w:rsidR="00414DFF" w:rsidRPr="00CD7B6E" w:rsidRDefault="00414DFF" w:rsidP="00414DFF">
      <w:pPr>
        <w:pStyle w:val="Heading2"/>
        <w:pBdr>
          <w:bottom w:val="thinThickSmallGap" w:sz="18" w:space="1" w:color="8064A2" w:themeColor="accent4"/>
        </w:pBdr>
        <w:spacing w:before="0" w:after="0" w:line="240" w:lineRule="auto"/>
        <w:rPr>
          <w:szCs w:val="28"/>
        </w:rPr>
      </w:pPr>
      <w:bookmarkStart w:id="36" w:name="_Toc328419617"/>
      <w:bookmarkStart w:id="37" w:name="_Toc357503119"/>
      <w:r w:rsidRPr="00CD7B6E">
        <w:rPr>
          <w:szCs w:val="28"/>
        </w:rPr>
        <w:t>3.1. Ekonomikas ministrijas darba tirgus prognožu izstrādes metodoloģija</w:t>
      </w:r>
      <w:bookmarkEnd w:id="36"/>
      <w:bookmarkEnd w:id="37"/>
    </w:p>
    <w:p w:rsidR="00414DFF" w:rsidRPr="00CD7B6E" w:rsidRDefault="00414DFF" w:rsidP="00414DFF">
      <w:pPr>
        <w:spacing w:after="0" w:line="240" w:lineRule="auto"/>
        <w:jc w:val="both"/>
        <w:rPr>
          <w:sz w:val="26"/>
          <w:szCs w:val="26"/>
          <w:u w:val="single"/>
        </w:rPr>
      </w:pPr>
    </w:p>
    <w:p w:rsidR="00414DFF" w:rsidRPr="00CD7B6E" w:rsidRDefault="00414DFF" w:rsidP="00414DFF">
      <w:pPr>
        <w:spacing w:after="0" w:line="240" w:lineRule="auto"/>
        <w:jc w:val="both"/>
        <w:rPr>
          <w:b/>
          <w:sz w:val="26"/>
          <w:szCs w:val="26"/>
        </w:rPr>
      </w:pPr>
      <w:r w:rsidRPr="00CD7B6E">
        <w:rPr>
          <w:b/>
          <w:sz w:val="26"/>
          <w:szCs w:val="26"/>
        </w:rPr>
        <w:t>Darba tirgus prognozēšanas modelis</w:t>
      </w:r>
    </w:p>
    <w:p w:rsidR="00414DFF" w:rsidRPr="00414DFF" w:rsidRDefault="00414DFF" w:rsidP="00414DFF">
      <w:pPr>
        <w:spacing w:after="0" w:line="240" w:lineRule="auto"/>
        <w:ind w:firstLine="567"/>
        <w:jc w:val="both"/>
        <w:rPr>
          <w:sz w:val="8"/>
          <w:szCs w:val="26"/>
        </w:rPr>
      </w:pPr>
    </w:p>
    <w:p w:rsidR="00414DFF" w:rsidRPr="00CD7B6E" w:rsidRDefault="00414DFF" w:rsidP="00414DFF">
      <w:pPr>
        <w:spacing w:after="0" w:line="240" w:lineRule="auto"/>
        <w:ind w:firstLine="567"/>
        <w:jc w:val="both"/>
        <w:rPr>
          <w:sz w:val="26"/>
          <w:szCs w:val="26"/>
        </w:rPr>
      </w:pPr>
      <w:r w:rsidRPr="00CD7B6E">
        <w:rPr>
          <w:sz w:val="26"/>
          <w:szCs w:val="26"/>
        </w:rPr>
        <w:t xml:space="preserve">Darba tirgus prognozēšanas instrumentārija pamatā ir 2007.gada ESF projekta </w:t>
      </w:r>
      <w:r w:rsidRPr="00CD7B6E">
        <w:rPr>
          <w:i/>
          <w:sz w:val="26"/>
          <w:szCs w:val="26"/>
        </w:rPr>
        <w:t>„Darba tirgus pieprasījuma ilgtermiņa prognozēšanas sistēmas izpēte un pilnveidošanas iespēju analīze”</w:t>
      </w:r>
      <w:r w:rsidRPr="00CD7B6E">
        <w:rPr>
          <w:sz w:val="26"/>
          <w:szCs w:val="26"/>
        </w:rPr>
        <w:t xml:space="preserve"> ietvaros izveidotā darba tirgus prognozēšanas dinamiskā optimizācijas </w:t>
      </w:r>
      <w:r>
        <w:rPr>
          <w:sz w:val="26"/>
          <w:szCs w:val="26"/>
        </w:rPr>
        <w:t>modeļa (DOM) loģiskā struktūra.</w:t>
      </w:r>
    </w:p>
    <w:p w:rsidR="00414DFF" w:rsidRPr="00CD7B6E" w:rsidRDefault="00414DFF" w:rsidP="00414DFF">
      <w:pPr>
        <w:spacing w:after="0" w:line="240" w:lineRule="auto"/>
        <w:ind w:firstLine="567"/>
        <w:jc w:val="both"/>
        <w:rPr>
          <w:sz w:val="26"/>
          <w:szCs w:val="26"/>
        </w:rPr>
      </w:pPr>
      <w:r w:rsidRPr="00CD7B6E">
        <w:rPr>
          <w:sz w:val="26"/>
          <w:szCs w:val="26"/>
        </w:rPr>
        <w:t>Lai arī darba tirgus prognozēšanas metodoloģijā saglabājušies atsevišķi sākotnējie DOM elementi, laika gaitā EM ir būtiski pilnveidojusi modeli.</w:t>
      </w:r>
    </w:p>
    <w:p w:rsidR="00414DFF" w:rsidRPr="00CD7B6E" w:rsidRDefault="00414DFF" w:rsidP="00414DFF">
      <w:pPr>
        <w:spacing w:after="0" w:line="240" w:lineRule="auto"/>
        <w:ind w:firstLine="567"/>
        <w:jc w:val="both"/>
        <w:rPr>
          <w:sz w:val="26"/>
          <w:szCs w:val="26"/>
        </w:rPr>
      </w:pPr>
      <w:r w:rsidRPr="00CD7B6E">
        <w:rPr>
          <w:sz w:val="26"/>
          <w:szCs w:val="26"/>
        </w:rPr>
        <w:t xml:space="preserve">Darba tirgus modelēšanā tiek izmantota </w:t>
      </w:r>
      <w:proofErr w:type="spellStart"/>
      <w:r w:rsidRPr="00CD7B6E">
        <w:rPr>
          <w:sz w:val="26"/>
          <w:szCs w:val="26"/>
        </w:rPr>
        <w:t>sistēmdinamikas</w:t>
      </w:r>
      <w:proofErr w:type="spellEnd"/>
      <w:r w:rsidRPr="00CD7B6E">
        <w:rPr>
          <w:sz w:val="26"/>
          <w:szCs w:val="26"/>
        </w:rPr>
        <w:t xml:space="preserve"> pieeja. Atšķirībā no DOM sākotnējās versijas, pašreizējā darba tirgus prognozēšanas metodoloģija ņem vērā tādus būtiskus faktorus kā darbaspēka novecošanās un profesionālā mobilitāte, ko nosaka prasmju un kompetenču l</w:t>
      </w:r>
      <w:r w:rsidR="00C976C0">
        <w:rPr>
          <w:sz w:val="26"/>
          <w:szCs w:val="26"/>
        </w:rPr>
        <w:t>īdzība profesiju šķērsgriezumā.</w:t>
      </w:r>
    </w:p>
    <w:p w:rsidR="00414DFF" w:rsidRPr="00CD7B6E" w:rsidRDefault="00414DFF" w:rsidP="00414DFF">
      <w:pPr>
        <w:spacing w:after="0" w:line="240" w:lineRule="auto"/>
        <w:ind w:firstLine="567"/>
        <w:jc w:val="both"/>
        <w:rPr>
          <w:sz w:val="26"/>
          <w:szCs w:val="26"/>
        </w:rPr>
      </w:pPr>
      <w:r w:rsidRPr="00CD7B6E">
        <w:rPr>
          <w:sz w:val="26"/>
          <w:szCs w:val="26"/>
        </w:rPr>
        <w:t xml:space="preserve">Darba tirgus prognozēšanas modelis sastāv no trīs </w:t>
      </w:r>
      <w:proofErr w:type="spellStart"/>
      <w:r w:rsidRPr="00CD7B6E">
        <w:rPr>
          <w:sz w:val="26"/>
          <w:szCs w:val="26"/>
        </w:rPr>
        <w:t>pamatblokiem</w:t>
      </w:r>
      <w:proofErr w:type="spellEnd"/>
      <w:r w:rsidRPr="00CD7B6E">
        <w:rPr>
          <w:sz w:val="26"/>
          <w:szCs w:val="26"/>
        </w:rPr>
        <w:t>: pieprasījuma bloka, piedāvājuma bloka un darba tirgus bloka. Visi bloki ir savstarpēji saistīti un viens otru papildinoši (sk</w:t>
      </w:r>
      <w:r w:rsidR="00895051">
        <w:rPr>
          <w:sz w:val="26"/>
          <w:szCs w:val="26"/>
        </w:rPr>
        <w:t>at</w:t>
      </w:r>
      <w:r w:rsidR="002C6B26">
        <w:rPr>
          <w:sz w:val="26"/>
          <w:szCs w:val="26"/>
        </w:rPr>
        <w:t>īt</w:t>
      </w:r>
      <w:r w:rsidR="00895051">
        <w:rPr>
          <w:sz w:val="26"/>
          <w:szCs w:val="26"/>
        </w:rPr>
        <w:t xml:space="preserve"> 3.1. </w:t>
      </w:r>
      <w:r w:rsidRPr="00CD7B6E">
        <w:rPr>
          <w:sz w:val="26"/>
          <w:szCs w:val="26"/>
        </w:rPr>
        <w:t>attēlu).</w:t>
      </w:r>
      <w:r>
        <w:rPr>
          <w:sz w:val="26"/>
          <w:szCs w:val="26"/>
        </w:rPr>
        <w:t xml:space="preserve"> </w:t>
      </w:r>
      <w:r w:rsidRPr="00CD7B6E">
        <w:rPr>
          <w:sz w:val="26"/>
          <w:szCs w:val="26"/>
        </w:rPr>
        <w:t xml:space="preserve">Modeļa darbības pamatprincipi un loģika ir balstīta uz darba tirgus līdzsvara konceptu, </w:t>
      </w:r>
      <w:proofErr w:type="spellStart"/>
      <w:r w:rsidRPr="00CD7B6E">
        <w:rPr>
          <w:sz w:val="26"/>
          <w:szCs w:val="26"/>
        </w:rPr>
        <w:t>t.i</w:t>
      </w:r>
      <w:proofErr w:type="spellEnd"/>
      <w:r w:rsidRPr="00CD7B6E">
        <w:rPr>
          <w:sz w:val="26"/>
          <w:szCs w:val="26"/>
        </w:rPr>
        <w:t>., ilgākā laika periodā dažādos darba tirgus segmentos darbaspēka pieprasījums un piedāvājums līdzsvarojas.</w:t>
      </w:r>
    </w:p>
    <w:p w:rsidR="00414DFF" w:rsidRPr="00CD7B6E" w:rsidRDefault="00414DFF" w:rsidP="00414DFF">
      <w:pPr>
        <w:spacing w:before="120" w:after="120" w:line="240" w:lineRule="auto"/>
        <w:jc w:val="right"/>
        <w:rPr>
          <w:color w:val="000000"/>
          <w:spacing w:val="-2"/>
          <w:sz w:val="26"/>
          <w:szCs w:val="26"/>
        </w:rPr>
      </w:pPr>
      <w:r w:rsidRPr="00CD7B6E">
        <w:rPr>
          <w:color w:val="000000"/>
          <w:spacing w:val="-2"/>
          <w:sz w:val="26"/>
          <w:szCs w:val="26"/>
        </w:rPr>
        <w:t>3.1.</w:t>
      </w:r>
      <w:r w:rsidR="00895051">
        <w:rPr>
          <w:color w:val="000000"/>
          <w:spacing w:val="-2"/>
          <w:sz w:val="26"/>
          <w:szCs w:val="26"/>
        </w:rPr>
        <w:t xml:space="preserve"> </w:t>
      </w:r>
      <w:r w:rsidRPr="00CD7B6E">
        <w:rPr>
          <w:color w:val="000000"/>
          <w:spacing w:val="-2"/>
          <w:sz w:val="26"/>
          <w:szCs w:val="26"/>
        </w:rPr>
        <w:t>attēls</w:t>
      </w:r>
    </w:p>
    <w:p w:rsidR="00414DFF" w:rsidRPr="00CD7B6E" w:rsidRDefault="00414DFF" w:rsidP="00414DFF">
      <w:pPr>
        <w:spacing w:after="60" w:line="240" w:lineRule="auto"/>
        <w:jc w:val="center"/>
        <w:rPr>
          <w:b/>
          <w:sz w:val="26"/>
          <w:szCs w:val="26"/>
        </w:rPr>
      </w:pPr>
      <w:r w:rsidRPr="00CD7B6E">
        <w:rPr>
          <w:b/>
          <w:sz w:val="26"/>
          <w:szCs w:val="26"/>
        </w:rPr>
        <w:t>Darba tirgus prognozēšanas modeļa loģiskā struktūra</w:t>
      </w:r>
    </w:p>
    <w:p w:rsidR="00414DFF" w:rsidRPr="00CD7B6E" w:rsidRDefault="00414DFF" w:rsidP="00414DFF">
      <w:pPr>
        <w:spacing w:after="0" w:line="240" w:lineRule="auto"/>
        <w:jc w:val="center"/>
        <w:rPr>
          <w:sz w:val="28"/>
          <w:szCs w:val="28"/>
        </w:rPr>
      </w:pPr>
      <w:r>
        <w:rPr>
          <w:noProof/>
          <w:sz w:val="26"/>
          <w:szCs w:val="26"/>
          <w:lang w:eastAsia="lv-LV"/>
        </w:rPr>
        <mc:AlternateContent>
          <mc:Choice Requires="wps">
            <w:drawing>
              <wp:anchor distT="0" distB="0" distL="114300" distR="114300" simplePos="0" relativeHeight="251669504" behindDoc="0" locked="0" layoutInCell="1" allowOverlap="1">
                <wp:simplePos x="0" y="0"/>
                <wp:positionH relativeFrom="column">
                  <wp:posOffset>402590</wp:posOffset>
                </wp:positionH>
                <wp:positionV relativeFrom="paragraph">
                  <wp:posOffset>1170940</wp:posOffset>
                </wp:positionV>
                <wp:extent cx="1268730" cy="619760"/>
                <wp:effectExtent l="0" t="0" r="64770" b="660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619760"/>
                        </a:xfrm>
                        <a:prstGeom prst="rect">
                          <a:avLst/>
                        </a:prstGeom>
                        <a:solidFill>
                          <a:srgbClr val="FFFFFF"/>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230498" w:rsidRDefault="00AE09C4" w:rsidP="00414DFF">
                            <w:pPr>
                              <w:spacing w:after="0" w:line="240" w:lineRule="auto"/>
                              <w:jc w:val="center"/>
                              <w:rPr>
                                <w:i/>
                              </w:rPr>
                            </w:pPr>
                            <w:r>
                              <w:t>Iedzīvotāju līdzdalība darba tirgū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26" type="#_x0000_t202" style="position:absolute;left:0;text-align:left;margin-left:31.7pt;margin-top:92.2pt;width:99.9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" strokecolor="#4e6128" strokeweight="1pt">
                <v:shadow on="t" opacity=".5" offset=".74836mm,.74836mm"/>
                <v:textbox>
                  <w:txbxContent>
                    <w:p w:rsidR="00AE09C4" w:rsidRPr="00230498" w:rsidRDefault="00AE09C4" w:rsidP="00414DFF">
                      <w:pPr>
                        <w:spacing w:after="0" w:line="240" w:lineRule="auto"/>
                        <w:jc w:val="center"/>
                        <w:rPr>
                          <w:i/>
                        </w:rPr>
                      </w:pPr>
                      <w:r>
                        <w:t>Iedzīvotāju līdzdalība darba tirgū</w:t>
                      </w:r>
                    </w:p>
                  </w:txbxContent>
                </v:textbox>
              </v:shape>
            </w:pict>
          </mc:Fallback>
        </mc:AlternateContent>
      </w:r>
      <w:r>
        <w:rPr>
          <w:noProof/>
          <w:sz w:val="26"/>
          <w:szCs w:val="26"/>
          <w:lang w:eastAsia="lv-LV"/>
        </w:rPr>
        <mc:AlternateContent>
          <mc:Choice Requires="wps">
            <w:drawing>
              <wp:anchor distT="0" distB="0" distL="114300" distR="114300" simplePos="0" relativeHeight="251671552" behindDoc="0" locked="0" layoutInCell="1" allowOverlap="1">
                <wp:simplePos x="0" y="0"/>
                <wp:positionH relativeFrom="column">
                  <wp:posOffset>248920</wp:posOffset>
                </wp:positionH>
                <wp:positionV relativeFrom="paragraph">
                  <wp:posOffset>2794635</wp:posOffset>
                </wp:positionV>
                <wp:extent cx="5163820" cy="448945"/>
                <wp:effectExtent l="0" t="0" r="17780" b="27305"/>
                <wp:wrapNone/>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820" cy="448945"/>
                        </a:xfrm>
                        <a:prstGeom prst="roundRect">
                          <a:avLst>
                            <a:gd name="adj" fmla="val 16667"/>
                          </a:avLst>
                        </a:prstGeom>
                        <a:solidFill>
                          <a:schemeClr val="accent4">
                            <a:lumMod val="20000"/>
                            <a:lumOff val="80000"/>
                          </a:schemeClr>
                        </a:solidFill>
                        <a:ln w="9525">
                          <a:solidFill>
                            <a:schemeClr val="accent4"/>
                          </a:solidFill>
                          <a:round/>
                          <a:headEnd/>
                          <a:tailEnd/>
                        </a:ln>
                      </wps:spPr>
                      <wps:txbx>
                        <w:txbxContent>
                          <w:p w:rsidR="00AE09C4" w:rsidRPr="00F241F0" w:rsidRDefault="00AE09C4" w:rsidP="00414DFF">
                            <w:pPr>
                              <w:spacing w:after="0"/>
                              <w:jc w:val="center"/>
                              <w:rPr>
                                <w:b/>
                                <w:sz w:val="6"/>
                                <w:szCs w:val="6"/>
                              </w:rPr>
                            </w:pPr>
                          </w:p>
                          <w:p w:rsidR="00AE09C4" w:rsidRPr="00F241F0" w:rsidRDefault="00AE09C4" w:rsidP="00414DFF">
                            <w:pPr>
                              <w:spacing w:after="0"/>
                              <w:jc w:val="center"/>
                              <w:rPr>
                                <w:b/>
                                <w:sz w:val="26"/>
                                <w:szCs w:val="26"/>
                              </w:rPr>
                            </w:pPr>
                            <w:r w:rsidRPr="00F241F0">
                              <w:rPr>
                                <w:b/>
                                <w:sz w:val="26"/>
                                <w:szCs w:val="26"/>
                              </w:rPr>
                              <w:t>Ārējā 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4" o:spid="_x0000_s1027" style="position:absolute;left:0;text-align:left;margin-left:19.6pt;margin-top:220.05pt;width:406.6pt;height:3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" fillcolor="#e5dfec [663]" strokecolor="#8064a2 [3207]">
                <v:textbox>
                  <w:txbxContent>
                    <w:p w:rsidR="00AE09C4" w:rsidRPr="00F241F0" w:rsidRDefault="00AE09C4" w:rsidP="00414DFF">
                      <w:pPr>
                        <w:spacing w:after="0"/>
                        <w:jc w:val="center"/>
                        <w:rPr>
                          <w:b/>
                          <w:sz w:val="6"/>
                          <w:szCs w:val="6"/>
                        </w:rPr>
                      </w:pPr>
                    </w:p>
                    <w:p w:rsidR="00AE09C4" w:rsidRPr="00F241F0" w:rsidRDefault="00AE09C4" w:rsidP="00414DFF">
                      <w:pPr>
                        <w:spacing w:after="0"/>
                        <w:jc w:val="center"/>
                        <w:rPr>
                          <w:b/>
                          <w:sz w:val="26"/>
                          <w:szCs w:val="26"/>
                        </w:rPr>
                      </w:pPr>
                      <w:r w:rsidRPr="00F241F0">
                        <w:rPr>
                          <w:b/>
                          <w:sz w:val="26"/>
                          <w:szCs w:val="26"/>
                        </w:rPr>
                        <w:t>Ārējā vide</w:t>
                      </w:r>
                    </w:p>
                  </w:txbxContent>
                </v:textbox>
              </v:roundrect>
            </w:pict>
          </mc:Fallback>
        </mc:AlternateContent>
      </w:r>
      <w:r>
        <w:rPr>
          <w:noProof/>
          <w:sz w:val="26"/>
          <w:szCs w:val="26"/>
          <w:lang w:eastAsia="lv-LV"/>
        </w:rPr>
        <mc:AlternateContent>
          <mc:Choice Requires="wps">
            <w:drawing>
              <wp:anchor distT="0" distB="0" distL="114299" distR="114299" simplePos="0" relativeHeight="251675648" behindDoc="0" locked="0" layoutInCell="1" allowOverlap="1">
                <wp:simplePos x="0" y="0"/>
                <wp:positionH relativeFrom="column">
                  <wp:posOffset>1024889</wp:posOffset>
                </wp:positionH>
                <wp:positionV relativeFrom="paragraph">
                  <wp:posOffset>2569845</wp:posOffset>
                </wp:positionV>
                <wp:extent cx="0" cy="224790"/>
                <wp:effectExtent l="76200" t="38100" r="57150" b="2286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3" o:spid="_x0000_s1026" type="#_x0000_t32" style="position:absolute;margin-left:80.7pt;margin-top:202.35pt;width:0;height:17.7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">
                <v:stroke endarrow="block"/>
              </v:shape>
            </w:pict>
          </mc:Fallback>
        </mc:AlternateContent>
      </w:r>
      <w:r>
        <w:rPr>
          <w:noProof/>
          <w:sz w:val="26"/>
          <w:szCs w:val="26"/>
          <w:lang w:eastAsia="lv-LV"/>
        </w:rPr>
        <mc:AlternateContent>
          <mc:Choice Requires="wps">
            <w:drawing>
              <wp:anchor distT="0" distB="0" distL="114299" distR="114299" simplePos="0" relativeHeight="251676672" behindDoc="0" locked="0" layoutInCell="1" allowOverlap="1">
                <wp:simplePos x="0" y="0"/>
                <wp:positionH relativeFrom="column">
                  <wp:posOffset>4613274</wp:posOffset>
                </wp:positionH>
                <wp:positionV relativeFrom="paragraph">
                  <wp:posOffset>2569845</wp:posOffset>
                </wp:positionV>
                <wp:extent cx="0" cy="224790"/>
                <wp:effectExtent l="76200" t="38100" r="57150" b="2286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363.25pt;margin-top:202.35pt;width:0;height:17.7pt;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">
                <v:stroke endarrow="block"/>
              </v:shape>
            </w:pict>
          </mc:Fallback>
        </mc:AlternateContent>
      </w:r>
      <w:r>
        <w:rPr>
          <w:noProof/>
          <w:sz w:val="26"/>
          <w:szCs w:val="26"/>
          <w:lang w:eastAsia="lv-LV"/>
        </w:rPr>
        <mc:AlternateContent>
          <mc:Choice Requires="wps">
            <w:drawing>
              <wp:anchor distT="0" distB="0" distL="114300" distR="114300" simplePos="0" relativeHeight="251674624" behindDoc="0" locked="0" layoutInCell="1" allowOverlap="1">
                <wp:simplePos x="0" y="0"/>
                <wp:positionH relativeFrom="column">
                  <wp:posOffset>4233545</wp:posOffset>
                </wp:positionH>
                <wp:positionV relativeFrom="paragraph">
                  <wp:posOffset>2569845</wp:posOffset>
                </wp:positionV>
                <wp:extent cx="0" cy="86995"/>
                <wp:effectExtent l="55880" t="22860" r="58420" b="139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33.35pt;margin-top:202.35pt;width:0;height: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">
                <v:stroke startarrow="block"/>
              </v:shape>
            </w:pict>
          </mc:Fallback>
        </mc:AlternateContent>
      </w:r>
      <w:r>
        <w:rPr>
          <w:noProof/>
          <w:sz w:val="26"/>
          <w:szCs w:val="26"/>
          <w:lang w:eastAsia="lv-LV"/>
        </w:rPr>
        <mc:AlternateContent>
          <mc:Choice Requires="wps">
            <w:drawing>
              <wp:anchor distT="0" distB="0" distL="114300" distR="114300" simplePos="0" relativeHeight="251673600" behindDoc="0" locked="0" layoutInCell="1" allowOverlap="1">
                <wp:simplePos x="0" y="0"/>
                <wp:positionH relativeFrom="column">
                  <wp:posOffset>1395730</wp:posOffset>
                </wp:positionH>
                <wp:positionV relativeFrom="paragraph">
                  <wp:posOffset>2569845</wp:posOffset>
                </wp:positionV>
                <wp:extent cx="0" cy="86995"/>
                <wp:effectExtent l="56515" t="22860" r="57785" b="139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09.9pt;margin-top:202.35pt;width:0;height: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">
                <v:stroke startarrow="block"/>
              </v:shape>
            </w:pict>
          </mc:Fallback>
        </mc:AlternateContent>
      </w:r>
      <w:r>
        <w:rPr>
          <w:noProof/>
          <w:sz w:val="26"/>
          <w:szCs w:val="26"/>
          <w:lang w:eastAsia="lv-LV"/>
        </w:rPr>
        <mc:AlternateContent>
          <mc:Choice Requires="wps">
            <w:drawing>
              <wp:anchor distT="4294967295" distB="4294967295" distL="114300" distR="114300" simplePos="0" relativeHeight="251672576" behindDoc="0" locked="0" layoutInCell="1" allowOverlap="1">
                <wp:simplePos x="0" y="0"/>
                <wp:positionH relativeFrom="column">
                  <wp:posOffset>1395730</wp:posOffset>
                </wp:positionH>
                <wp:positionV relativeFrom="paragraph">
                  <wp:posOffset>2656839</wp:posOffset>
                </wp:positionV>
                <wp:extent cx="2837815" cy="0"/>
                <wp:effectExtent l="0" t="0" r="19685" b="190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109.9pt;margin-top:209.2pt;width:223.4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NeKAIAAE4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"/>
            </w:pict>
          </mc:Fallback>
        </mc:AlternateContent>
      </w:r>
      <w:r>
        <w:rPr>
          <w:noProof/>
          <w:sz w:val="26"/>
          <w:szCs w:val="26"/>
          <w:lang w:eastAsia="lv-LV"/>
        </w:rPr>
        <mc:AlternateContent>
          <mc:Choice Requires="wps">
            <w:drawing>
              <wp:anchor distT="0" distB="0" distL="114300" distR="114300" simplePos="0" relativeHeight="251670528" behindDoc="0" locked="0" layoutInCell="1" allowOverlap="1">
                <wp:simplePos x="0" y="0"/>
                <wp:positionH relativeFrom="column">
                  <wp:posOffset>402590</wp:posOffset>
                </wp:positionH>
                <wp:positionV relativeFrom="paragraph">
                  <wp:posOffset>1943735</wp:posOffset>
                </wp:positionV>
                <wp:extent cx="1268730" cy="431800"/>
                <wp:effectExtent l="0" t="0" r="64770" b="6350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31800"/>
                        </a:xfrm>
                        <a:prstGeom prst="rect">
                          <a:avLst/>
                        </a:prstGeom>
                        <a:solidFill>
                          <a:srgbClr val="FFFFFF"/>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230498" w:rsidRDefault="00AE09C4" w:rsidP="00414DFF">
                            <w:pPr>
                              <w:spacing w:after="0" w:line="240" w:lineRule="auto"/>
                              <w:jc w:val="center"/>
                              <w:rPr>
                                <w:i/>
                              </w:rPr>
                            </w:pPr>
                            <w:r>
                              <w:t>Izglītība un prasmes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8" type="#_x0000_t202" style="position:absolute;left:0;text-align:left;margin-left:31.7pt;margin-top:153.05pt;width:99.9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" strokecolor="#4e6128" strokeweight="1pt">
                <v:shadow on="t" opacity=".5" offset=".74836mm,.74836mm"/>
                <v:textbox>
                  <w:txbxContent>
                    <w:p w:rsidR="00AE09C4" w:rsidRPr="00230498" w:rsidRDefault="00AE09C4" w:rsidP="00414DFF">
                      <w:pPr>
                        <w:spacing w:after="0" w:line="240" w:lineRule="auto"/>
                        <w:jc w:val="center"/>
                        <w:rPr>
                          <w:i/>
                        </w:rPr>
                      </w:pPr>
                      <w:r>
                        <w:t>Izglītība un prasmes</w:t>
                      </w:r>
                    </w:p>
                  </w:txbxContent>
                </v:textbox>
              </v:shape>
            </w:pict>
          </mc:Fallback>
        </mc:AlternateContent>
      </w:r>
      <w:r>
        <w:rPr>
          <w:noProof/>
          <w:sz w:val="26"/>
          <w:szCs w:val="26"/>
          <w:lang w:eastAsia="lv-LV"/>
        </w:rPr>
        <mc:AlternateContent>
          <mc:Choice Requires="wps">
            <w:drawing>
              <wp:anchor distT="0" distB="0" distL="114300" distR="114300" simplePos="0" relativeHeight="251668480" behindDoc="0" locked="0" layoutInCell="1" allowOverlap="1">
                <wp:simplePos x="0" y="0"/>
                <wp:positionH relativeFrom="column">
                  <wp:posOffset>402590</wp:posOffset>
                </wp:positionH>
                <wp:positionV relativeFrom="paragraph">
                  <wp:posOffset>628650</wp:posOffset>
                </wp:positionV>
                <wp:extent cx="1268730" cy="431800"/>
                <wp:effectExtent l="0" t="0" r="64770" b="6350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31800"/>
                        </a:xfrm>
                        <a:prstGeom prst="rect">
                          <a:avLst/>
                        </a:prstGeom>
                        <a:solidFill>
                          <a:srgbClr val="FFFFFF"/>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230498" w:rsidRDefault="00AE09C4" w:rsidP="00414DFF">
                            <w:pPr>
                              <w:spacing w:before="120" w:after="0" w:line="240" w:lineRule="auto"/>
                              <w:jc w:val="center"/>
                              <w:rPr>
                                <w:i/>
                              </w:rPr>
                            </w:pPr>
                            <w:r>
                              <w:t>Demogrāfija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31.7pt;margin-top:49.5pt;width:99.9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" strokecolor="#4e6128" strokeweight="1pt">
                <v:shadow on="t" opacity=".5" offset=".74836mm,.74836mm"/>
                <v:textbox>
                  <w:txbxContent>
                    <w:p w:rsidR="00AE09C4" w:rsidRPr="00230498" w:rsidRDefault="00AE09C4" w:rsidP="00414DFF">
                      <w:pPr>
                        <w:spacing w:before="120" w:after="0" w:line="240" w:lineRule="auto"/>
                        <w:jc w:val="center"/>
                        <w:rPr>
                          <w:i/>
                        </w:rPr>
                      </w:pPr>
                      <w:r>
                        <w:t>Demogrāfija</w:t>
                      </w:r>
                    </w:p>
                  </w:txbxContent>
                </v:textbox>
              </v:shape>
            </w:pict>
          </mc:Fallback>
        </mc:AlternateContent>
      </w:r>
      <w:r>
        <w:rPr>
          <w:noProof/>
          <w:sz w:val="26"/>
          <w:szCs w:val="26"/>
          <w:lang w:eastAsia="lv-LV"/>
        </w:rPr>
        <mc:AlternateContent>
          <mc:Choice Requires="wps">
            <w:drawing>
              <wp:anchor distT="0" distB="0" distL="114300" distR="114300" simplePos="0" relativeHeight="251661312" behindDoc="0" locked="0" layoutInCell="1" allowOverlap="1">
                <wp:simplePos x="0" y="0"/>
                <wp:positionH relativeFrom="column">
                  <wp:posOffset>248920</wp:posOffset>
                </wp:positionH>
                <wp:positionV relativeFrom="paragraph">
                  <wp:posOffset>158115</wp:posOffset>
                </wp:positionV>
                <wp:extent cx="1593850" cy="2411730"/>
                <wp:effectExtent l="0" t="0" r="6350" b="7620"/>
                <wp:wrapNone/>
                <wp:docPr id="106" name="Rounded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0" cy="2411730"/>
                        </a:xfrm>
                        <a:prstGeom prst="roundRect">
                          <a:avLst>
                            <a:gd name="adj" fmla="val 2819"/>
                          </a:avLst>
                        </a:prstGeom>
                        <a:solidFill>
                          <a:schemeClr val="accent4">
                            <a:lumMod val="40000"/>
                            <a:lumOff val="60000"/>
                          </a:schemeClr>
                        </a:solidFill>
                        <a:ln>
                          <a:noFill/>
                        </a:ln>
                        <a:extLst/>
                      </wps:spPr>
                      <wps:txbx>
                        <w:txbxContent>
                          <w:p w:rsidR="00AE09C4" w:rsidRDefault="00AE09C4" w:rsidP="00414DFF">
                            <w:pPr>
                              <w:jc w:val="center"/>
                              <w:rPr>
                                <w:b/>
                              </w:rPr>
                            </w:pPr>
                            <w:r w:rsidRPr="00230498">
                              <w:rPr>
                                <w:b/>
                              </w:rPr>
                              <w:t>Pie</w:t>
                            </w:r>
                            <w:r>
                              <w:rPr>
                                <w:b/>
                              </w:rPr>
                              <w:t>dāvājuma</w:t>
                            </w:r>
                            <w:r w:rsidRPr="00230498">
                              <w:rPr>
                                <w:b/>
                              </w:rPr>
                              <w:t xml:space="preserve"> faktori</w:t>
                            </w: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Pr="00230498" w:rsidRDefault="00AE09C4" w:rsidP="00414DFF">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30" style="position:absolute;left:0;text-align:left;margin-left:19.6pt;margin-top:12.45pt;width:125.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" fillcolor="#ccc0d9 [1303]" stroked="f">
                <v:path arrowok="t"/>
                <v:textbox>
                  <w:txbxContent>
                    <w:p w:rsidR="00AE09C4" w:rsidRDefault="00AE09C4" w:rsidP="00414DFF">
                      <w:pPr>
                        <w:jc w:val="center"/>
                        <w:rPr>
                          <w:b/>
                        </w:rPr>
                      </w:pPr>
                      <w:r w:rsidRPr="00230498">
                        <w:rPr>
                          <w:b/>
                        </w:rPr>
                        <w:t>Pie</w:t>
                      </w:r>
                      <w:r>
                        <w:rPr>
                          <w:b/>
                        </w:rPr>
                        <w:t>dāvājuma</w:t>
                      </w:r>
                      <w:r w:rsidRPr="00230498">
                        <w:rPr>
                          <w:b/>
                        </w:rPr>
                        <w:t xml:space="preserve"> faktori</w:t>
                      </w: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Pr="00230498" w:rsidRDefault="00AE09C4" w:rsidP="00414DFF">
                      <w:pPr>
                        <w:jc w:val="center"/>
                        <w:rPr>
                          <w:b/>
                        </w:rPr>
                      </w:pPr>
                    </w:p>
                  </w:txbxContent>
                </v:textbox>
              </v:roundrect>
            </w:pict>
          </mc:Fallback>
        </mc:AlternateContent>
      </w:r>
      <w:r>
        <w:rPr>
          <w:noProof/>
          <w:sz w:val="26"/>
          <w:szCs w:val="26"/>
          <w:lang w:eastAsia="lv-LV"/>
        </w:rPr>
        <mc:AlternateContent>
          <mc:Choice Requires="wps">
            <w:drawing>
              <wp:anchor distT="0" distB="0" distL="114300" distR="114300" simplePos="0" relativeHeight="251667456" behindDoc="0" locked="0" layoutInCell="1" allowOverlap="1">
                <wp:simplePos x="0" y="0"/>
                <wp:positionH relativeFrom="column">
                  <wp:posOffset>3972560</wp:posOffset>
                </wp:positionH>
                <wp:positionV relativeFrom="paragraph">
                  <wp:posOffset>1640205</wp:posOffset>
                </wp:positionV>
                <wp:extent cx="1268730" cy="720090"/>
                <wp:effectExtent l="0" t="0" r="64770" b="6096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20090"/>
                        </a:xfrm>
                        <a:prstGeom prst="rect">
                          <a:avLst/>
                        </a:prstGeom>
                        <a:solidFill>
                          <a:srgbClr val="FFFFFF"/>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230498" w:rsidRDefault="00AE09C4" w:rsidP="00414DFF">
                            <w:pPr>
                              <w:spacing w:after="0" w:line="240" w:lineRule="auto"/>
                              <w:jc w:val="center"/>
                              <w:rPr>
                                <w:sz w:val="30"/>
                              </w:rPr>
                            </w:pPr>
                          </w:p>
                          <w:p w:rsidR="00AE09C4" w:rsidRPr="00230498" w:rsidRDefault="00AE09C4" w:rsidP="00414DFF">
                            <w:pPr>
                              <w:spacing w:after="0" w:line="240" w:lineRule="auto"/>
                              <w:jc w:val="center"/>
                              <w:rPr>
                                <w:i/>
                              </w:rPr>
                            </w:pPr>
                            <w:r>
                              <w:t>Produktivitāte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312.8pt;margin-top:129.15pt;width:99.9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" strokecolor="#4e6128" strokeweight="1pt">
                <v:shadow on="t" opacity=".5" offset=".74836mm,.74836mm"/>
                <v:textbox>
                  <w:txbxContent>
                    <w:p w:rsidR="00AE09C4" w:rsidRPr="00230498" w:rsidRDefault="00AE09C4" w:rsidP="00414DFF">
                      <w:pPr>
                        <w:spacing w:after="0" w:line="240" w:lineRule="auto"/>
                        <w:jc w:val="center"/>
                        <w:rPr>
                          <w:sz w:val="30"/>
                        </w:rPr>
                      </w:pPr>
                    </w:p>
                    <w:p w:rsidR="00AE09C4" w:rsidRPr="00230498" w:rsidRDefault="00AE09C4" w:rsidP="00414DFF">
                      <w:pPr>
                        <w:spacing w:after="0" w:line="240" w:lineRule="auto"/>
                        <w:jc w:val="center"/>
                        <w:rPr>
                          <w:i/>
                        </w:rPr>
                      </w:pPr>
                      <w:r>
                        <w:t>Produktivitāte</w:t>
                      </w:r>
                    </w:p>
                  </w:txbxContent>
                </v:textbox>
              </v:shape>
            </w:pict>
          </mc:Fallback>
        </mc:AlternateContent>
      </w:r>
      <w:r>
        <w:rPr>
          <w:noProof/>
          <w:sz w:val="26"/>
          <w:szCs w:val="26"/>
          <w:lang w:eastAsia="lv-LV"/>
        </w:rPr>
        <mc:AlternateContent>
          <mc:Choice Requires="wps">
            <w:drawing>
              <wp:anchor distT="0" distB="0" distL="114300" distR="114300" simplePos="0" relativeHeight="251666432" behindDoc="0" locked="0" layoutInCell="1" allowOverlap="1">
                <wp:simplePos x="0" y="0"/>
                <wp:positionH relativeFrom="column">
                  <wp:posOffset>3972560</wp:posOffset>
                </wp:positionH>
                <wp:positionV relativeFrom="paragraph">
                  <wp:posOffset>628650</wp:posOffset>
                </wp:positionV>
                <wp:extent cx="1268730" cy="720090"/>
                <wp:effectExtent l="0" t="0" r="64770" b="6096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20090"/>
                        </a:xfrm>
                        <a:prstGeom prst="rect">
                          <a:avLst/>
                        </a:prstGeom>
                        <a:solidFill>
                          <a:srgbClr val="FFFFFF"/>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230498" w:rsidRDefault="00AE09C4" w:rsidP="00414DFF">
                            <w:pPr>
                              <w:spacing w:after="0" w:line="240" w:lineRule="auto"/>
                              <w:jc w:val="center"/>
                              <w:rPr>
                                <w:sz w:val="30"/>
                              </w:rPr>
                            </w:pPr>
                          </w:p>
                          <w:p w:rsidR="00AE09C4" w:rsidRPr="00230498" w:rsidRDefault="00AE09C4" w:rsidP="00414DFF">
                            <w:pPr>
                              <w:spacing w:after="0" w:line="240" w:lineRule="auto"/>
                              <w:jc w:val="center"/>
                              <w:rPr>
                                <w:i/>
                              </w:rPr>
                            </w:pPr>
                            <w:r w:rsidRPr="00230498">
                              <w:t>Izaugsme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left:0;text-align:left;margin-left:312.8pt;margin-top:49.5pt;width:99.9pt;height: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" strokecolor="#4e6128" strokeweight="1pt">
                <v:shadow on="t" opacity=".5" offset=".74836mm,.74836mm"/>
                <v:textbox>
                  <w:txbxContent>
                    <w:p w:rsidR="00AE09C4" w:rsidRPr="00230498" w:rsidRDefault="00AE09C4" w:rsidP="00414DFF">
                      <w:pPr>
                        <w:spacing w:after="0" w:line="240" w:lineRule="auto"/>
                        <w:jc w:val="center"/>
                        <w:rPr>
                          <w:sz w:val="30"/>
                        </w:rPr>
                      </w:pPr>
                    </w:p>
                    <w:p w:rsidR="00AE09C4" w:rsidRPr="00230498" w:rsidRDefault="00AE09C4" w:rsidP="00414DFF">
                      <w:pPr>
                        <w:spacing w:after="0" w:line="240" w:lineRule="auto"/>
                        <w:jc w:val="center"/>
                        <w:rPr>
                          <w:i/>
                        </w:rPr>
                      </w:pPr>
                      <w:r w:rsidRPr="00230498">
                        <w:t>Izaugsme</w:t>
                      </w:r>
                    </w:p>
                  </w:txbxContent>
                </v:textbox>
              </v:shape>
            </w:pict>
          </mc:Fallback>
        </mc:AlternateContent>
      </w:r>
      <w:r>
        <w:rPr>
          <w:noProof/>
          <w:sz w:val="26"/>
          <w:szCs w:val="26"/>
          <w:lang w:eastAsia="lv-LV"/>
        </w:rPr>
        <mc:AlternateContent>
          <mc:Choice Requires="wps">
            <w:drawing>
              <wp:anchor distT="0" distB="0" distL="114300" distR="114300" simplePos="0" relativeHeight="251665408" behindDoc="0" locked="0" layoutInCell="1" allowOverlap="1">
                <wp:simplePos x="0" y="0"/>
                <wp:positionH relativeFrom="column">
                  <wp:posOffset>2207260</wp:posOffset>
                </wp:positionH>
                <wp:positionV relativeFrom="paragraph">
                  <wp:posOffset>2058035</wp:posOffset>
                </wp:positionV>
                <wp:extent cx="1268730" cy="317500"/>
                <wp:effectExtent l="0" t="0" r="26670" b="25400"/>
                <wp:wrapNone/>
                <wp:docPr id="103"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17500"/>
                        </a:xfrm>
                        <a:prstGeom prst="roundRect">
                          <a:avLst>
                            <a:gd name="adj" fmla="val 31602"/>
                          </a:avLst>
                        </a:prstGeom>
                        <a:solidFill>
                          <a:srgbClr val="FFFFFF"/>
                        </a:solidFill>
                        <a:ln w="9525">
                          <a:solidFill>
                            <a:srgbClr val="000000"/>
                          </a:solidFill>
                          <a:round/>
                          <a:headEnd/>
                          <a:tailEnd/>
                        </a:ln>
                      </wps:spPr>
                      <wps:txbx>
                        <w:txbxContent>
                          <w:p w:rsidR="00AE09C4" w:rsidRDefault="00AE09C4" w:rsidP="00414DFF">
                            <w:pPr>
                              <w:jc w:val="center"/>
                            </w:pPr>
                            <w:r>
                              <w:t>Piedāvājums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3" o:spid="_x0000_s1033" style="position:absolute;left:0;text-align:left;margin-left:173.8pt;margin-top:162.05pt;width:99.9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">
                <v:textbox>
                  <w:txbxContent>
                    <w:p w:rsidR="00AE09C4" w:rsidRDefault="00AE09C4" w:rsidP="00414DFF">
                      <w:pPr>
                        <w:jc w:val="center"/>
                      </w:pPr>
                      <w:r>
                        <w:t>Piedāvājums</w:t>
                      </w:r>
                    </w:p>
                  </w:txbxContent>
                </v:textbox>
              </v:roundrect>
            </w:pict>
          </mc:Fallback>
        </mc:AlternateContent>
      </w:r>
      <w:r>
        <w:rPr>
          <w:noProof/>
          <w:sz w:val="26"/>
          <w:szCs w:val="26"/>
          <w:lang w:eastAsia="lv-LV"/>
        </w:rPr>
        <mc:AlternateContent>
          <mc:Choice Requires="wps">
            <w:drawing>
              <wp:anchor distT="0" distB="0" distL="114300" distR="114300" simplePos="0" relativeHeight="251664384" behindDoc="0" locked="0" layoutInCell="1" allowOverlap="1">
                <wp:simplePos x="0" y="0"/>
                <wp:positionH relativeFrom="column">
                  <wp:posOffset>2207260</wp:posOffset>
                </wp:positionH>
                <wp:positionV relativeFrom="paragraph">
                  <wp:posOffset>628650</wp:posOffset>
                </wp:positionV>
                <wp:extent cx="1268730" cy="317500"/>
                <wp:effectExtent l="0" t="0" r="26670" b="25400"/>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17500"/>
                        </a:xfrm>
                        <a:prstGeom prst="roundRect">
                          <a:avLst>
                            <a:gd name="adj" fmla="val 31602"/>
                          </a:avLst>
                        </a:prstGeom>
                        <a:solidFill>
                          <a:srgbClr val="FFFFFF"/>
                        </a:solidFill>
                        <a:ln w="9525">
                          <a:solidFill>
                            <a:srgbClr val="000000"/>
                          </a:solidFill>
                          <a:round/>
                          <a:headEnd/>
                          <a:tailEnd/>
                        </a:ln>
                      </wps:spPr>
                      <wps:txbx>
                        <w:txbxContent>
                          <w:p w:rsidR="00AE09C4" w:rsidRDefault="00AE09C4" w:rsidP="00414DFF">
                            <w:pPr>
                              <w:jc w:val="center"/>
                            </w:pPr>
                            <w:r>
                              <w:t>Pieprasījums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2" o:spid="_x0000_s1034" style="position:absolute;left:0;text-align:left;margin-left:173.8pt;margin-top:49.5pt;width:99.9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">
                <v:textbox>
                  <w:txbxContent>
                    <w:p w:rsidR="00AE09C4" w:rsidRDefault="00AE09C4" w:rsidP="00414DFF">
                      <w:pPr>
                        <w:jc w:val="center"/>
                      </w:pPr>
                      <w:r>
                        <w:t>Pieprasījums</w:t>
                      </w:r>
                    </w:p>
                  </w:txbxContent>
                </v:textbox>
              </v:roundrect>
            </w:pict>
          </mc:Fallback>
        </mc:AlternateContent>
      </w:r>
      <w:r>
        <w:rPr>
          <w:noProof/>
          <w:sz w:val="26"/>
          <w:szCs w:val="26"/>
          <w:lang w:eastAsia="lv-LV"/>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1170940</wp:posOffset>
                </wp:positionV>
                <wp:extent cx="1268730" cy="619760"/>
                <wp:effectExtent l="0" t="0" r="64770" b="660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619760"/>
                        </a:xfrm>
                        <a:prstGeom prst="rect">
                          <a:avLst/>
                        </a:prstGeom>
                        <a:solidFill>
                          <a:schemeClr val="accent4">
                            <a:lumMod val="40000"/>
                            <a:lumOff val="60000"/>
                          </a:schemeClr>
                        </a:solidFill>
                        <a:ln w="12700">
                          <a:solidFill>
                            <a:srgbClr val="4E6128"/>
                          </a:solidFill>
                          <a:miter lim="800000"/>
                          <a:headEnd/>
                          <a:tailEnd/>
                        </a:ln>
                        <a:effectLst>
                          <a:outerShdw dist="38100" dir="2700000" algn="ctr" rotWithShape="0">
                            <a:srgbClr val="808080">
                              <a:alpha val="50000"/>
                            </a:srgbClr>
                          </a:outerShdw>
                        </a:effectLst>
                      </wps:spPr>
                      <wps:txbx>
                        <w:txbxContent>
                          <w:p w:rsidR="00AE09C4" w:rsidRPr="009004A4" w:rsidRDefault="00AE09C4" w:rsidP="00414DFF">
                            <w:pPr>
                              <w:spacing w:after="0" w:line="240" w:lineRule="auto"/>
                              <w:jc w:val="center"/>
                              <w:rPr>
                                <w:i/>
                              </w:rPr>
                            </w:pPr>
                            <w:r>
                              <w:rPr>
                                <w:b/>
                              </w:rPr>
                              <w:t>Pieprasījuma un piedāvājuma līdzsvarošanās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173.8pt;margin-top:92.2pt;width:99.9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" fillcolor="#ccc0d9 [1303]" strokecolor="#4e6128" strokeweight="1pt">
                <v:shadow on="t" opacity=".5" offset=".74836mm,.74836mm"/>
                <v:textbox>
                  <w:txbxContent>
                    <w:p w:rsidR="00AE09C4" w:rsidRPr="009004A4" w:rsidRDefault="00AE09C4" w:rsidP="00414DFF">
                      <w:pPr>
                        <w:spacing w:after="0" w:line="240" w:lineRule="auto"/>
                        <w:jc w:val="center"/>
                        <w:rPr>
                          <w:i/>
                        </w:rPr>
                      </w:pPr>
                      <w:r>
                        <w:rPr>
                          <w:b/>
                        </w:rPr>
                        <w:t>Pieprasījuma un piedāvājuma līdzsvarošanās</w:t>
                      </w:r>
                    </w:p>
                  </w:txbxContent>
                </v:textbox>
              </v:shape>
            </w:pict>
          </mc:Fallback>
        </mc:AlternateContent>
      </w:r>
      <w:r>
        <w:rPr>
          <w:noProof/>
          <w:sz w:val="26"/>
          <w:szCs w:val="26"/>
          <w:lang w:eastAsia="lv-LV"/>
        </w:rPr>
        <mc:AlternateContent>
          <mc:Choice Requires="wps">
            <w:drawing>
              <wp:anchor distT="0" distB="0" distL="114300" distR="114300" simplePos="0" relativeHeight="251660288" behindDoc="0" locked="0" layoutInCell="1" allowOverlap="1">
                <wp:simplePos x="0" y="0"/>
                <wp:positionH relativeFrom="column">
                  <wp:posOffset>2120900</wp:posOffset>
                </wp:positionH>
                <wp:positionV relativeFrom="paragraph">
                  <wp:posOffset>158115</wp:posOffset>
                </wp:positionV>
                <wp:extent cx="1440180" cy="2411730"/>
                <wp:effectExtent l="0" t="0" r="7620" b="7620"/>
                <wp:wrapNone/>
                <wp:docPr id="100"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411730"/>
                        </a:xfrm>
                        <a:prstGeom prst="roundRect">
                          <a:avLst>
                            <a:gd name="adj" fmla="val 2819"/>
                          </a:avLst>
                        </a:prstGeom>
                        <a:solidFill>
                          <a:schemeClr val="accent4">
                            <a:lumMod val="60000"/>
                            <a:lumOff val="40000"/>
                          </a:schemeClr>
                        </a:solidFill>
                        <a:ln>
                          <a:noFill/>
                        </a:ln>
                        <a:extLst/>
                      </wps:spPr>
                      <wps:txbx>
                        <w:txbxContent>
                          <w:p w:rsidR="00AE09C4" w:rsidRDefault="00AE09C4" w:rsidP="00414DFF">
                            <w:pPr>
                              <w:jc w:val="center"/>
                              <w:rPr>
                                <w:b/>
                              </w:rPr>
                            </w:pPr>
                            <w:r w:rsidRPr="00356C63">
                              <w:rPr>
                                <w:b/>
                              </w:rPr>
                              <w:t>Darbaspēka tirgus</w:t>
                            </w: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36" style="position:absolute;left:0;text-align:left;margin-left:167pt;margin-top:12.45pt;width:113.4pt;height:1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" fillcolor="#b2a1c7 [1943]" stroked="f">
                <v:path arrowok="t"/>
                <v:textbox>
                  <w:txbxContent>
                    <w:p w:rsidR="00AE09C4" w:rsidRDefault="00AE09C4" w:rsidP="00414DFF">
                      <w:pPr>
                        <w:jc w:val="center"/>
                        <w:rPr>
                          <w:b/>
                        </w:rPr>
                      </w:pPr>
                      <w:r w:rsidRPr="00356C63">
                        <w:rPr>
                          <w:b/>
                        </w:rPr>
                        <w:t>Darbaspēka tirgus</w:t>
                      </w: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p w:rsidR="00AE09C4" w:rsidRDefault="00AE09C4" w:rsidP="00414DFF">
                      <w:pPr>
                        <w:rPr>
                          <w:b/>
                        </w:rPr>
                      </w:pPr>
                    </w:p>
                  </w:txbxContent>
                </v:textbox>
              </v:roundrect>
            </w:pict>
          </mc:Fallback>
        </mc:AlternateContent>
      </w:r>
      <w:r>
        <w:rPr>
          <w:noProof/>
          <w:sz w:val="26"/>
          <w:szCs w:val="26"/>
          <w:lang w:eastAsia="lv-LV"/>
        </w:rPr>
        <mc:AlternateContent>
          <mc:Choice Requires="wps">
            <w:drawing>
              <wp:anchor distT="0" distB="0" distL="114300" distR="114300" simplePos="0" relativeHeight="251659264" behindDoc="0" locked="0" layoutInCell="1" allowOverlap="1">
                <wp:simplePos x="0" y="0"/>
                <wp:positionH relativeFrom="column">
                  <wp:posOffset>3818890</wp:posOffset>
                </wp:positionH>
                <wp:positionV relativeFrom="paragraph">
                  <wp:posOffset>158115</wp:posOffset>
                </wp:positionV>
                <wp:extent cx="1593850" cy="2411730"/>
                <wp:effectExtent l="0" t="0" r="6350" b="7620"/>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0" cy="2411730"/>
                        </a:xfrm>
                        <a:prstGeom prst="roundRect">
                          <a:avLst>
                            <a:gd name="adj" fmla="val 2819"/>
                          </a:avLst>
                        </a:prstGeom>
                        <a:solidFill>
                          <a:schemeClr val="accent4">
                            <a:lumMod val="40000"/>
                            <a:lumOff val="60000"/>
                          </a:schemeClr>
                        </a:solidFill>
                        <a:ln>
                          <a:noFill/>
                        </a:ln>
                        <a:extLst/>
                      </wps:spPr>
                      <wps:txbx>
                        <w:txbxContent>
                          <w:p w:rsidR="00AE09C4" w:rsidRDefault="00AE09C4" w:rsidP="00414DFF">
                            <w:pPr>
                              <w:jc w:val="center"/>
                              <w:rPr>
                                <w:b/>
                              </w:rPr>
                            </w:pPr>
                            <w:r w:rsidRPr="00230498">
                              <w:rPr>
                                <w:b/>
                              </w:rPr>
                              <w:t>Pieprasījuma faktori</w:t>
                            </w: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Pr="00230498" w:rsidRDefault="00AE09C4" w:rsidP="00414DFF">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37" style="position:absolute;left:0;text-align:left;margin-left:300.7pt;margin-top:12.45pt;width:125.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" fillcolor="#ccc0d9 [1303]" stroked="f">
                <v:path arrowok="t"/>
                <v:textbox>
                  <w:txbxContent>
                    <w:p w:rsidR="00AE09C4" w:rsidRDefault="00AE09C4" w:rsidP="00414DFF">
                      <w:pPr>
                        <w:jc w:val="center"/>
                        <w:rPr>
                          <w:b/>
                        </w:rPr>
                      </w:pPr>
                      <w:r w:rsidRPr="00230498">
                        <w:rPr>
                          <w:b/>
                        </w:rPr>
                        <w:t>Pieprasījuma faktori</w:t>
                      </w: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Default="00AE09C4" w:rsidP="00414DFF">
                      <w:pPr>
                        <w:jc w:val="center"/>
                        <w:rPr>
                          <w:b/>
                        </w:rPr>
                      </w:pPr>
                    </w:p>
                    <w:p w:rsidR="00AE09C4" w:rsidRPr="00230498" w:rsidRDefault="00AE09C4" w:rsidP="00414DFF">
                      <w:pPr>
                        <w:jc w:val="center"/>
                        <w:rPr>
                          <w:b/>
                        </w:rPr>
                      </w:pPr>
                    </w:p>
                  </w:txbxContent>
                </v:textbox>
              </v:roundrect>
            </w:pict>
          </mc:Fallback>
        </mc:AlternateContent>
      </w:r>
      <w:r>
        <w:rPr>
          <w:noProof/>
          <w:sz w:val="26"/>
          <w:szCs w:val="26"/>
          <w:lang w:eastAsia="lv-LV"/>
        </w:rPr>
        <mc:AlternateContent>
          <mc:Choice Requires="wpg">
            <w:drawing>
              <wp:anchor distT="0" distB="0" distL="114300" distR="114300" simplePos="0" relativeHeight="251662336" behindDoc="0" locked="0" layoutInCell="1" allowOverlap="1">
                <wp:simplePos x="0" y="0"/>
                <wp:positionH relativeFrom="column">
                  <wp:posOffset>1671320</wp:posOffset>
                </wp:positionH>
                <wp:positionV relativeFrom="paragraph">
                  <wp:posOffset>781050</wp:posOffset>
                </wp:positionV>
                <wp:extent cx="2298065" cy="1442085"/>
                <wp:effectExtent l="38100" t="76200" r="0" b="1009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442085"/>
                          <a:chOff x="4333" y="11870"/>
                          <a:chExt cx="3619" cy="2271"/>
                        </a:xfrm>
                      </wpg:grpSpPr>
                      <wps:wsp>
                        <wps:cNvPr id="24" name="AutoShape 120"/>
                        <wps:cNvCnPr>
                          <a:cxnSpLocks noChangeShapeType="1"/>
                        </wps:cNvCnPr>
                        <wps:spPr bwMode="auto">
                          <a:xfrm flipH="1">
                            <a:off x="4333" y="13793"/>
                            <a:ext cx="482" cy="0"/>
                          </a:xfrm>
                          <a:prstGeom prst="straightConnector1">
                            <a:avLst/>
                          </a:prstGeom>
                          <a:noFill/>
                          <a:ln w="9525">
                            <a:solidFill>
                              <a:srgbClr val="4E6128"/>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 name="Group 121"/>
                        <wpg:cNvGrpSpPr>
                          <a:grpSpLocks/>
                        </wpg:cNvGrpSpPr>
                        <wpg:grpSpPr bwMode="auto">
                          <a:xfrm>
                            <a:off x="4333" y="11870"/>
                            <a:ext cx="3619" cy="2271"/>
                            <a:chOff x="4333" y="11870"/>
                            <a:chExt cx="3619" cy="2271"/>
                          </a:xfrm>
                        </wpg:grpSpPr>
                        <wps:wsp>
                          <wps:cNvPr id="26" name="AutoShape 122"/>
                          <wps:cNvCnPr>
                            <a:cxnSpLocks noChangeShapeType="1"/>
                          </wps:cNvCnPr>
                          <wps:spPr bwMode="auto">
                            <a:xfrm>
                              <a:off x="4333" y="14140"/>
                              <a:ext cx="84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123"/>
                          <wpg:cNvGrpSpPr>
                            <a:grpSpLocks/>
                          </wpg:cNvGrpSpPr>
                          <wpg:grpSpPr bwMode="auto">
                            <a:xfrm>
                              <a:off x="4333" y="11870"/>
                              <a:ext cx="3619" cy="2270"/>
                              <a:chOff x="4113" y="11870"/>
                              <a:chExt cx="3619" cy="2270"/>
                            </a:xfrm>
                          </wpg:grpSpPr>
                          <wps:wsp>
                            <wps:cNvPr id="31" name="AutoShape 124"/>
                            <wps:cNvCnPr>
                              <a:cxnSpLocks noChangeShapeType="1"/>
                            </wps:cNvCnPr>
                            <wps:spPr bwMode="auto">
                              <a:xfrm>
                                <a:off x="5923" y="1213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25"/>
                            <wps:cNvCnPr>
                              <a:cxnSpLocks noChangeShapeType="1"/>
                            </wps:cNvCnPr>
                            <wps:spPr bwMode="auto">
                              <a:xfrm flipV="1">
                                <a:off x="5923" y="13460"/>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26"/>
                            <wps:cNvCnPr>
                              <a:cxnSpLocks noChangeShapeType="1"/>
                            </wps:cNvCnPr>
                            <wps:spPr bwMode="auto">
                              <a:xfrm flipH="1">
                                <a:off x="6965" y="11873"/>
                                <a:ext cx="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27"/>
                            <wps:cNvCnPr>
                              <a:cxnSpLocks noChangeShapeType="1"/>
                            </wps:cNvCnPr>
                            <wps:spPr bwMode="auto">
                              <a:xfrm flipH="1">
                                <a:off x="7278" y="13793"/>
                                <a:ext cx="4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28"/>
                            <wps:cNvCnPr>
                              <a:cxnSpLocks noChangeShapeType="1"/>
                            </wps:cNvCnPr>
                            <wps:spPr bwMode="auto">
                              <a:xfrm flipV="1">
                                <a:off x="7279" y="11873"/>
                                <a:ext cx="0" cy="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29"/>
                            <wps:cNvCnPr>
                              <a:cxnSpLocks noChangeShapeType="1"/>
                            </wps:cNvCnPr>
                            <wps:spPr bwMode="auto">
                              <a:xfrm flipH="1">
                                <a:off x="4113" y="11976"/>
                                <a:ext cx="3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30"/>
                            <wps:cNvCnPr>
                              <a:cxnSpLocks noChangeShapeType="1"/>
                            </wps:cNvCnPr>
                            <wps:spPr bwMode="auto">
                              <a:xfrm flipH="1">
                                <a:off x="4113" y="13017"/>
                                <a:ext cx="3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31"/>
                            <wps:cNvCnPr>
                              <a:cxnSpLocks noChangeShapeType="1"/>
                            </wps:cNvCnPr>
                            <wps:spPr bwMode="auto">
                              <a:xfrm flipV="1">
                                <a:off x="4471" y="11980"/>
                                <a:ext cx="1"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32"/>
                            <wps:cNvCnPr>
                              <a:cxnSpLocks noChangeShapeType="1"/>
                            </wps:cNvCnPr>
                            <wps:spPr bwMode="auto">
                              <a:xfrm flipH="1">
                                <a:off x="4611" y="11870"/>
                                <a:ext cx="346" cy="0"/>
                              </a:xfrm>
                              <a:prstGeom prst="straightConnector1">
                                <a:avLst/>
                              </a:prstGeom>
                              <a:noFill/>
                              <a:ln w="9525">
                                <a:solidFill>
                                  <a:srgbClr val="4E6128"/>
                                </a:solidFill>
                                <a:prstDash val="sysDot"/>
                                <a:round/>
                                <a:headEnd/>
                                <a:tailEnd/>
                              </a:ln>
                              <a:extLst>
                                <a:ext uri="{909E8E84-426E-40DD-AFC4-6F175D3DCCD1}">
                                  <a14:hiddenFill xmlns:a14="http://schemas.microsoft.com/office/drawing/2010/main">
                                    <a:noFill/>
                                  </a14:hiddenFill>
                                </a:ext>
                              </a:extLst>
                            </wps:spPr>
                            <wps:bodyPr/>
                          </wps:wsp>
                          <wps:wsp>
                            <wps:cNvPr id="90" name="AutoShape 133"/>
                            <wps:cNvCnPr>
                              <a:cxnSpLocks noChangeShapeType="1"/>
                            </wps:cNvCnPr>
                            <wps:spPr bwMode="auto">
                              <a:xfrm>
                                <a:off x="4611" y="11870"/>
                                <a:ext cx="0" cy="1923"/>
                              </a:xfrm>
                              <a:prstGeom prst="straightConnector1">
                                <a:avLst/>
                              </a:prstGeom>
                              <a:noFill/>
                              <a:ln w="9525">
                                <a:solidFill>
                                  <a:srgbClr val="4E6128"/>
                                </a:solidFill>
                                <a:prstDash val="sysDot"/>
                                <a:round/>
                                <a:headEnd/>
                                <a:tailEnd/>
                              </a:ln>
                              <a:extLst>
                                <a:ext uri="{909E8E84-426E-40DD-AFC4-6F175D3DCCD1}">
                                  <a14:hiddenFill xmlns:a14="http://schemas.microsoft.com/office/drawing/2010/main">
                                    <a:noFill/>
                                  </a14:hiddenFill>
                                </a:ext>
                              </a:extLst>
                            </wps:spPr>
                            <wps:bodyPr/>
                          </wps:wsp>
                          <wps:wsp>
                            <wps:cNvPr id="91" name="AutoShape 134"/>
                            <wps:cNvCnPr>
                              <a:cxnSpLocks noChangeShapeType="1"/>
                            </wps:cNvCnPr>
                            <wps:spPr bwMode="auto">
                              <a:xfrm>
                                <a:off x="4745" y="13223"/>
                                <a:ext cx="1" cy="742"/>
                              </a:xfrm>
                              <a:prstGeom prst="straightConnector1">
                                <a:avLst/>
                              </a:prstGeom>
                              <a:noFill/>
                              <a:ln w="9525">
                                <a:solidFill>
                                  <a:srgbClr val="4E6128"/>
                                </a:solidFill>
                                <a:prstDash val="sysDot"/>
                                <a:round/>
                                <a:headEnd/>
                                <a:tailEnd/>
                              </a:ln>
                              <a:extLst>
                                <a:ext uri="{909E8E84-426E-40DD-AFC4-6F175D3DCCD1}">
                                  <a14:hiddenFill xmlns:a14="http://schemas.microsoft.com/office/drawing/2010/main">
                                    <a:noFill/>
                                  </a14:hiddenFill>
                                </a:ext>
                              </a:extLst>
                            </wps:spPr>
                            <wps:bodyPr/>
                          </wps:wsp>
                          <wps:wsp>
                            <wps:cNvPr id="92" name="AutoShape 135"/>
                            <wps:cNvCnPr>
                              <a:cxnSpLocks noChangeShapeType="1"/>
                            </wps:cNvCnPr>
                            <wps:spPr bwMode="auto">
                              <a:xfrm flipH="1">
                                <a:off x="4113" y="13965"/>
                                <a:ext cx="632" cy="1"/>
                              </a:xfrm>
                              <a:prstGeom prst="straightConnector1">
                                <a:avLst/>
                              </a:prstGeom>
                              <a:noFill/>
                              <a:ln w="9525">
                                <a:solidFill>
                                  <a:srgbClr val="4E6128"/>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3" name="AutoShape 136"/>
                            <wps:cNvCnPr>
                              <a:cxnSpLocks noChangeShapeType="1"/>
                            </wps:cNvCnPr>
                            <wps:spPr bwMode="auto">
                              <a:xfrm flipH="1">
                                <a:off x="4113" y="12808"/>
                                <a:ext cx="482" cy="0"/>
                              </a:xfrm>
                              <a:prstGeom prst="straightConnector1">
                                <a:avLst/>
                              </a:prstGeom>
                              <a:noFill/>
                              <a:ln w="9525">
                                <a:solidFill>
                                  <a:srgbClr val="4E6128"/>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4" name="AutoShape 137"/>
                            <wps:cNvCnPr>
                              <a:cxnSpLocks noChangeShapeType="1"/>
                            </wps:cNvCnPr>
                            <wps:spPr bwMode="auto">
                              <a:xfrm flipH="1">
                                <a:off x="4113" y="13224"/>
                                <a:ext cx="844" cy="0"/>
                              </a:xfrm>
                              <a:prstGeom prst="straightConnector1">
                                <a:avLst/>
                              </a:prstGeom>
                              <a:noFill/>
                              <a:ln w="9525">
                                <a:solidFill>
                                  <a:srgbClr val="4E6128"/>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31.6pt;margin-top:61.5pt;width:180.95pt;height:113.55pt;z-index:251662336" coordorigin="4333,11870" coordsize="3619,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">
                <v:shape id="AutoShape 120" o:spid="_x0000_s1027" type="#_x0000_t32" style="position:absolute;left:4333;top:13793;width:4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z/MEAAADbAAAADwAAAGRycy9kb3ducmV2LnhtbESPQYvCMBSE7wv+h/CEva2pxV20GkUW&#10;BdnbqgePj+bZFJuXkmTb7r83guBxmJlvmNVmsI3oyIfasYLpJANBXDpdc6XgfNp/zEGEiKyxcUwK&#10;/inAZj16W2GhXc+/1B1jJRKEQ4EKTIxtIWUoDVkME9cSJ+/qvMWYpK+k9tgnuG1knmVf0mLNacFg&#10;S9+GytvxzypYuJ4uYYaf/pT/9IfOZIt43in1Ph62SxCRhvgKP9sHrSCfweNL+g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TP8wQAAANsAAAAPAAAAAAAAAAAAAAAA&#10;AKECAABkcnMvZG93bnJldi54bWxQSwUGAAAAAAQABAD5AAAAjwMAAAAA&#10;" strokecolor="#4e6128">
                  <v:stroke dashstyle="1 1" endarrow="block"/>
                </v:shape>
                <v:group id="Group 121" o:spid="_x0000_s1028" style="position:absolute;left:4333;top:11870;width:3619;height:2271" coordorigin="4333,11870" coordsize="3619,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122" o:spid="_x0000_s1029" type="#_x0000_t32" style="position:absolute;left:4333;top:14140;width:8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id="Group 123" o:spid="_x0000_s1030" style="position:absolute;left:4333;top:11870;width:3619;height:2270" coordorigin="4113,11870" coordsize="3619,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124" o:spid="_x0000_s1031" type="#_x0000_t32" style="position:absolute;left:5923;top:12134;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25" o:spid="_x0000_s1032" type="#_x0000_t32" style="position:absolute;left:5923;top:13460;width:0;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126" o:spid="_x0000_s1033" type="#_x0000_t32" style="position:absolute;left:6965;top:11873;width:7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27" o:spid="_x0000_s1034" type="#_x0000_t32" style="position:absolute;left:7278;top:13793;width: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128" o:spid="_x0000_s1035" type="#_x0000_t32" style="position:absolute;left:7279;top:11873;width: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29" o:spid="_x0000_s1036" type="#_x0000_t32" style="position:absolute;left:4113;top:11976;width:3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130" o:spid="_x0000_s1037" type="#_x0000_t32" style="position:absolute;left:4113;top:13017;width:3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31" o:spid="_x0000_s1038" type="#_x0000_t32" style="position:absolute;left:4471;top:11980;width:1;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132" o:spid="_x0000_s1039" type="#_x0000_t32" style="position:absolute;left:4611;top:11870;width: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rMMAAADbAAAADwAAAGRycy9kb3ducmV2LnhtbESPQWsCMRSE70L/Q3gFb5qtaC2rUUqL&#10;4MGL63ro7bl5Joubl2UTdfvvG0HocZiZb5jluneNuFEXas8K3sYZCOLK65qNgvKwGX2ACBFZY+OZ&#10;FPxSgPXqZbDEXPs77+lWRCMShEOOCmyMbS5lqCw5DGPfEifv7DuHMcnOSN3hPcFdIydZ9i4d1pwW&#10;LLb0Zam6FFenAGXZfu+K/dbEzc98epqZY2WNUsPX/nMBIlIf/8PP9lYrmE7g8S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5KzDAAAA2wAAAA8AAAAAAAAAAAAA&#10;AAAAoQIAAGRycy9kb3ducmV2LnhtbFBLBQYAAAAABAAEAPkAAACRAwAAAAA=&#10;" strokecolor="#4e6128">
                      <v:stroke dashstyle="1 1"/>
                    </v:shape>
                    <v:shape id="AutoShape 133" o:spid="_x0000_s1040" type="#_x0000_t32" style="position:absolute;left:4611;top:11870;width:0;height:1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pb4AAADbAAAADwAAAGRycy9kb3ducmV2LnhtbERPzYrCMBC+C75DGGEvoqk9iHYbRQTZ&#10;PSyI1QcYmtm22MyUJtru228OgseP7z/fj65VT+p9I2xgtUxAEZdiG64M3K6nxQaUD8gWW2Ey8Ece&#10;9rvpJMfMysAXehahUjGEfYYG6hC6TGtf1uTQL6Ujjtyv9A5DhH2lbY9DDHetTpNkrR02HBtq7OhY&#10;U3kvHs7Aml03nIu5T38k/TodLsIyiDEfs/HwCSrQGN7il/vbGtjG9fFL/AF69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bT+lvgAAANsAAAAPAAAAAAAAAAAAAAAAAKEC&#10;AABkcnMvZG93bnJldi54bWxQSwUGAAAAAAQABAD5AAAAjAMAAAAA&#10;" strokecolor="#4e6128">
                      <v:stroke dashstyle="1 1"/>
                    </v:shape>
                    <v:shape id="AutoShape 134" o:spid="_x0000_s1041" type="#_x0000_t32" style="position:absolute;left:4745;top:13223;width:1;height: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aPsEAAADbAAAADwAAAGRycy9kb3ducmV2LnhtbESPwYrCQBBE7wv+w9CCl0Un5iAaHUUE&#10;WQ/CYnY/oMm0STDTHTKzJv69Iyx4LKrqFbXZDa5Rd+p8LWxgPktAERdiay4N/P4cp0tQPiBbbITJ&#10;wIM87Lajjw1mVnq+0D0PpYoQ9hkaqEJoM619UZFDP5OWOHpX6RyGKLtS2w77CHeNTpNkoR3WHBcq&#10;bOlQUXHL/5yBBbu2/84/fXqW9Ou4vwhLL8ZMxsN+DSrQEN7h//bJGljN4fUl/gC9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IZo+wQAAANsAAAAPAAAAAAAAAAAAAAAA&#10;AKECAABkcnMvZG93bnJldi54bWxQSwUGAAAAAAQABAD5AAAAjwMAAAAA&#10;" strokecolor="#4e6128">
                      <v:stroke dashstyle="1 1"/>
                    </v:shape>
                    <v:shape id="AutoShape 135" o:spid="_x0000_s1042" type="#_x0000_t32" style="position:absolute;left:4113;top:13965;width:63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9MEAAADbAAAADwAAAGRycy9kb3ducmV2LnhtbESPQWvCQBSE74L/YXlCb7ppsKKpq4hU&#10;kN40Hjw+sq/Z0OzbsLtN0n/fLQgeh5lvhtnuR9uKnnxoHCt4XWQgiCunG64V3MrTfA0iRGSNrWNS&#10;8EsB9rvpZIuFdgNfqL/GWqQSDgUqMDF2hZShMmQxLFxHnLwv5y3GJH0ttcchldtW5lm2khYbTgsG&#10;Ozoaqr6vP1bBxg10D0t882X+OZx7k23i7UOpl9l4eAcRaYzP8IM+68Tl8P8l/QC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f0wQAAANsAAAAPAAAAAAAAAAAAAAAA&#10;AKECAABkcnMvZG93bnJldi54bWxQSwUGAAAAAAQABAD5AAAAjwMAAAAA&#10;" strokecolor="#4e6128">
                      <v:stroke dashstyle="1 1" endarrow="block"/>
                    </v:shape>
                    <v:shape id="AutoShape 136" o:spid="_x0000_s1043" type="#_x0000_t32" style="position:absolute;left:4113;top:12808;width:4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ib8IAAADbAAAADwAAAGRycy9kb3ducmV2LnhtbESPzWrDMBCE74W+g9hCb42cNAmJazmE&#10;kELoLT+HHBdra5lYKyMptvv2UaHQ4zDzzTDFZrSt6MmHxrGC6SQDQVw53XCt4HL+fFuBCBFZY+uY&#10;FPxQgE35/FRgrt3AR+pPsRaphEOOCkyMXS5lqAxZDBPXESfv23mLMUlfS+1xSOW2lbMsW0qLDacF&#10;gx3tDFW3090qWLuBrmGOC3+efQ2H3mTreNkr9foybj9ARBrjf/iPPujEvcPvl/QDZP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dib8IAAADbAAAADwAAAAAAAAAAAAAA&#10;AAChAgAAZHJzL2Rvd25yZXYueG1sUEsFBgAAAAAEAAQA+QAAAJADAAAAAA==&#10;" strokecolor="#4e6128">
                      <v:stroke dashstyle="1 1" endarrow="block"/>
                    </v:shape>
                    <v:shape id="AutoShape 137" o:spid="_x0000_s1044" type="#_x0000_t32" style="position:absolute;left:4113;top:13224;width:8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6G8EAAADbAAAADwAAAGRycy9kb3ducmV2LnhtbESPT4vCMBTE78J+h/AEb5oqKlqNssgu&#10;iDf/HPb4aN42xealJLGt336zIHgcZn4zzHbf21q05EPlWMF0koEgLpyuuFRwu36PVyBCRNZYOyYF&#10;Twqw330Mtphr1/GZ2kssRSrhkKMCE2OTSxkKQxbDxDXEyft13mJM0pdSe+xSua3lLMuW0mLFacFg&#10;QwdDxf3ysArWrqOfMMeFv85O3bE12TrevpQaDfvPDYhIfXyHX/RRJ24O/1/SD5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vobwQAAANsAAAAPAAAAAAAAAAAAAAAA&#10;AKECAABkcnMvZG93bnJldi54bWxQSwUGAAAAAAQABAD5AAAAjwMAAAAA&#10;" strokecolor="#4e6128">
                      <v:stroke dashstyle="1 1" endarrow="block"/>
                    </v:shape>
                  </v:group>
                </v:group>
              </v:group>
            </w:pict>
          </mc:Fallback>
        </mc:AlternateContent>
      </w:r>
      <w:r>
        <w:rPr>
          <w:b/>
          <w:bCs/>
          <w:noProof/>
          <w:sz w:val="26"/>
          <w:szCs w:val="26"/>
          <w:lang w:eastAsia="lv-LV"/>
        </w:rPr>
        <mc:AlternateContent>
          <mc:Choice Requires="wps">
            <w:drawing>
              <wp:inline distT="0" distB="0" distL="0" distR="0">
                <wp:extent cx="5760085" cy="2960370"/>
                <wp:effectExtent l="0" t="0" r="0" b="0"/>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296037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o:spid="_x0000_s1026" style="width:453.55pt;height:23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" filled="f" stroked="f" strokeweight=".5pt">
                <v:path arrowok="t"/>
                <w10:anchorlock/>
              </v:rect>
            </w:pict>
          </mc:Fallback>
        </mc:AlternateContent>
      </w:r>
    </w:p>
    <w:p w:rsidR="00414DFF" w:rsidRPr="00CD7B6E" w:rsidRDefault="00414DFF" w:rsidP="00414DFF">
      <w:pPr>
        <w:spacing w:after="0" w:line="240" w:lineRule="auto"/>
        <w:jc w:val="both"/>
        <w:rPr>
          <w:sz w:val="26"/>
          <w:szCs w:val="26"/>
        </w:rPr>
      </w:pPr>
    </w:p>
    <w:p w:rsidR="00414DFF" w:rsidRPr="00CD7B6E" w:rsidRDefault="00414DFF" w:rsidP="00414DFF">
      <w:pPr>
        <w:spacing w:after="0" w:line="240" w:lineRule="auto"/>
        <w:jc w:val="both"/>
        <w:rPr>
          <w:sz w:val="26"/>
          <w:szCs w:val="26"/>
        </w:rPr>
      </w:pPr>
    </w:p>
    <w:p w:rsidR="00414DFF" w:rsidRPr="00CD7B6E" w:rsidRDefault="00414DFF" w:rsidP="00414DFF">
      <w:pPr>
        <w:spacing w:after="0" w:line="240" w:lineRule="auto"/>
        <w:jc w:val="both"/>
        <w:rPr>
          <w:sz w:val="26"/>
          <w:szCs w:val="26"/>
        </w:rPr>
      </w:pPr>
    </w:p>
    <w:p w:rsidR="00414DFF" w:rsidRPr="00CD7B6E" w:rsidRDefault="00414DFF" w:rsidP="00414DFF">
      <w:pPr>
        <w:spacing w:after="0" w:line="240" w:lineRule="auto"/>
        <w:ind w:firstLine="567"/>
        <w:jc w:val="both"/>
        <w:rPr>
          <w:sz w:val="26"/>
          <w:szCs w:val="26"/>
        </w:rPr>
      </w:pPr>
      <w:r w:rsidRPr="00CD7B6E">
        <w:rPr>
          <w:sz w:val="26"/>
          <w:szCs w:val="26"/>
        </w:rPr>
        <w:t xml:space="preserve">Darbaspēka pieprasījumu nozaru griezumā nosaka tautsaimniecības attīstības scenāriji – tautsaimniecības nozaru izaugsme un sagaidāmās produktivitātes izmaiņas. Profesiju pieprasījums izriet no nozares darbaspēka pieprasījuma un sagaidāmām </w:t>
      </w:r>
      <w:r w:rsidRPr="00CD7B6E">
        <w:rPr>
          <w:sz w:val="26"/>
          <w:szCs w:val="26"/>
        </w:rPr>
        <w:lastRenderedPageBreak/>
        <w:t xml:space="preserve">nozares profesiju struktūras izmaiņām. Savukārt izglītības pieprasījumu nosaka pieprasīto profesiju pienākumu veikšanai nepieciešamās prasmes/izglītība. </w:t>
      </w:r>
    </w:p>
    <w:p w:rsidR="00414DFF" w:rsidRPr="00CD7B6E" w:rsidRDefault="00414DFF" w:rsidP="00414DFF">
      <w:pPr>
        <w:spacing w:after="0" w:line="240" w:lineRule="auto"/>
        <w:ind w:firstLine="567"/>
        <w:jc w:val="both"/>
        <w:rPr>
          <w:sz w:val="26"/>
          <w:szCs w:val="26"/>
        </w:rPr>
      </w:pPr>
      <w:r w:rsidRPr="00CD7B6E">
        <w:rPr>
          <w:sz w:val="26"/>
          <w:szCs w:val="26"/>
        </w:rPr>
        <w:t>Darba tirgus piedāvājuma prognozes izriet no:</w:t>
      </w:r>
    </w:p>
    <w:p w:rsidR="00414DFF" w:rsidRPr="00CD7B6E" w:rsidRDefault="00414DFF" w:rsidP="00414DFF">
      <w:pPr>
        <w:numPr>
          <w:ilvl w:val="0"/>
          <w:numId w:val="10"/>
        </w:numPr>
        <w:spacing w:after="0" w:line="240" w:lineRule="auto"/>
        <w:ind w:left="993" w:hanging="426"/>
        <w:jc w:val="both"/>
        <w:rPr>
          <w:sz w:val="26"/>
          <w:szCs w:val="26"/>
        </w:rPr>
      </w:pPr>
      <w:r w:rsidRPr="00CD7B6E">
        <w:rPr>
          <w:sz w:val="26"/>
          <w:szCs w:val="26"/>
        </w:rPr>
        <w:t>detalizētām demogrāfijas prognozēm;</w:t>
      </w:r>
    </w:p>
    <w:p w:rsidR="00414DFF" w:rsidRPr="00CD7B6E" w:rsidRDefault="00414DFF" w:rsidP="00414DFF">
      <w:pPr>
        <w:numPr>
          <w:ilvl w:val="0"/>
          <w:numId w:val="10"/>
        </w:numPr>
        <w:spacing w:after="0" w:line="240" w:lineRule="auto"/>
        <w:ind w:left="993" w:hanging="426"/>
        <w:jc w:val="both"/>
        <w:rPr>
          <w:sz w:val="26"/>
          <w:szCs w:val="26"/>
        </w:rPr>
      </w:pPr>
      <w:r w:rsidRPr="00CD7B6E">
        <w:rPr>
          <w:sz w:val="26"/>
          <w:szCs w:val="26"/>
        </w:rPr>
        <w:t>līdzdalības līmeņu prognozēm dažādās iedzīvotāju vecuma grupās;</w:t>
      </w:r>
    </w:p>
    <w:p w:rsidR="00414DFF" w:rsidRPr="00CD7B6E" w:rsidRDefault="00414DFF" w:rsidP="00414DFF">
      <w:pPr>
        <w:numPr>
          <w:ilvl w:val="0"/>
          <w:numId w:val="10"/>
        </w:numPr>
        <w:spacing w:after="0" w:line="240" w:lineRule="auto"/>
        <w:ind w:left="993" w:hanging="426"/>
        <w:jc w:val="both"/>
        <w:rPr>
          <w:sz w:val="26"/>
          <w:szCs w:val="26"/>
        </w:rPr>
      </w:pPr>
      <w:r w:rsidRPr="00CD7B6E">
        <w:rPr>
          <w:sz w:val="26"/>
          <w:szCs w:val="26"/>
        </w:rPr>
        <w:t xml:space="preserve">esošā darbaspēka sadalījuma pēc vecuma, profesionālās pieredzes (esošās vai iepriekšējās profesijas), iegūtās izglītības; </w:t>
      </w:r>
    </w:p>
    <w:p w:rsidR="00414DFF" w:rsidRPr="00CD7B6E" w:rsidRDefault="00414DFF" w:rsidP="00414DFF">
      <w:pPr>
        <w:numPr>
          <w:ilvl w:val="0"/>
          <w:numId w:val="10"/>
        </w:numPr>
        <w:spacing w:after="0" w:line="240" w:lineRule="auto"/>
        <w:ind w:left="993" w:hanging="426"/>
        <w:jc w:val="both"/>
        <w:rPr>
          <w:sz w:val="26"/>
          <w:szCs w:val="26"/>
        </w:rPr>
      </w:pPr>
      <w:r w:rsidRPr="00CD7B6E">
        <w:rPr>
          <w:sz w:val="26"/>
          <w:szCs w:val="26"/>
        </w:rPr>
        <w:t>esošās izglītības sistēmas un izglītības piedāvājuma (studējošo skaita, kopējo un budžeta vietu sadalījuma pa izglītības līmeņiem un jomām).</w:t>
      </w:r>
    </w:p>
    <w:p w:rsidR="00414DFF" w:rsidRPr="00414DFF" w:rsidRDefault="00414DFF" w:rsidP="00414DFF">
      <w:pPr>
        <w:spacing w:after="0" w:line="240" w:lineRule="auto"/>
        <w:ind w:firstLine="567"/>
        <w:jc w:val="both"/>
        <w:rPr>
          <w:sz w:val="8"/>
          <w:szCs w:val="26"/>
        </w:rPr>
      </w:pPr>
    </w:p>
    <w:p w:rsidR="00414DFF" w:rsidRPr="00CD7B6E" w:rsidRDefault="00414DFF" w:rsidP="00414DFF">
      <w:pPr>
        <w:spacing w:after="0" w:line="240" w:lineRule="auto"/>
        <w:ind w:firstLine="567"/>
        <w:jc w:val="both"/>
        <w:rPr>
          <w:sz w:val="26"/>
          <w:szCs w:val="26"/>
        </w:rPr>
      </w:pPr>
      <w:r w:rsidRPr="00CD7B6E">
        <w:rPr>
          <w:sz w:val="26"/>
          <w:szCs w:val="26"/>
        </w:rPr>
        <w:t xml:space="preserve">Vienlaikus darbaspēka piedāvājuma prognozes nosaka darba tirgus vispārēja tiekšanās uz līdzsvaru un piedāvājuma pakāpeniska pielāgošanās pieprasījumam. Izglītības </w:t>
      </w:r>
      <w:proofErr w:type="spellStart"/>
      <w:r w:rsidRPr="00CD7B6E">
        <w:rPr>
          <w:sz w:val="26"/>
          <w:szCs w:val="26"/>
        </w:rPr>
        <w:t>preferences</w:t>
      </w:r>
      <w:proofErr w:type="spellEnd"/>
      <w:r w:rsidRPr="00CD7B6E">
        <w:rPr>
          <w:sz w:val="26"/>
          <w:szCs w:val="26"/>
        </w:rPr>
        <w:t xml:space="preserve"> galvenokārt izriet no darba tirgus pieprasījuma un piedāvājuma attiecības, </w:t>
      </w:r>
      <w:proofErr w:type="spellStart"/>
      <w:r w:rsidRPr="00CD7B6E">
        <w:rPr>
          <w:sz w:val="26"/>
          <w:szCs w:val="26"/>
        </w:rPr>
        <w:t>t.i</w:t>
      </w:r>
      <w:proofErr w:type="spellEnd"/>
      <w:r w:rsidRPr="00CD7B6E">
        <w:rPr>
          <w:sz w:val="26"/>
          <w:szCs w:val="26"/>
        </w:rPr>
        <w:t>., mācīties gribētāju nākotnes izglītības izvēle būs vērsta uz tām jomām, kuras lēmuma pieņemšanas brīdī būs visperspektīvākās – relatīvi lielākas darba iespējas un augstāka sagaidāmā atdeve no individuāliem ieguldījumiem izglītībā. Tāpat prognozēs tiek pieņemts, ka izglītības sistēma un izglītības piedāvājums (budžetu un studiju vietu sadalījums) prognožu pārskata periodā būtiski nemainās. Tas nozīmē, ka darbaspēka piedāvājuma prognozes atspoguļo izglītības politikas izmaiņu neitrālu situāciju darba tirgū līdz 2030. gadam.</w:t>
      </w:r>
    </w:p>
    <w:p w:rsidR="00414DFF" w:rsidRPr="00CD7B6E" w:rsidRDefault="00414DFF" w:rsidP="00414DFF">
      <w:pPr>
        <w:spacing w:after="0" w:line="240" w:lineRule="auto"/>
        <w:ind w:firstLine="567"/>
        <w:jc w:val="both"/>
        <w:rPr>
          <w:sz w:val="26"/>
          <w:szCs w:val="26"/>
        </w:rPr>
      </w:pPr>
      <w:r w:rsidRPr="00CD7B6E">
        <w:rPr>
          <w:sz w:val="26"/>
          <w:szCs w:val="26"/>
        </w:rPr>
        <w:t xml:space="preserve">Jāatzīmē, ka prognozes balstītas uz ideāla darba tirgus modeļa piemēru, </w:t>
      </w:r>
      <w:proofErr w:type="spellStart"/>
      <w:r w:rsidRPr="00CD7B6E">
        <w:rPr>
          <w:sz w:val="26"/>
          <w:szCs w:val="26"/>
        </w:rPr>
        <w:t>t.i</w:t>
      </w:r>
      <w:proofErr w:type="spellEnd"/>
      <w:r w:rsidRPr="00CD7B6E">
        <w:rPr>
          <w:sz w:val="26"/>
          <w:szCs w:val="26"/>
        </w:rPr>
        <w:t>.,</w:t>
      </w:r>
      <w:r>
        <w:rPr>
          <w:sz w:val="26"/>
          <w:szCs w:val="26"/>
        </w:rPr>
        <w:t xml:space="preserve"> </w:t>
      </w:r>
      <w:r w:rsidRPr="00CD7B6E">
        <w:rPr>
          <w:sz w:val="26"/>
          <w:szCs w:val="26"/>
        </w:rPr>
        <w:t>noteiktu līmeņu un jomu profesiju pieprasījums darba tirgū, nosaka atbilstoša līmeņa un jomas izglītības pieprasījumu.</w:t>
      </w:r>
      <w:r w:rsidRPr="00CD7B6E">
        <w:rPr>
          <w:color w:val="FF0000"/>
          <w:sz w:val="26"/>
          <w:szCs w:val="26"/>
        </w:rPr>
        <w:t xml:space="preserve"> </w:t>
      </w:r>
      <w:r w:rsidRPr="00CD7B6E">
        <w:rPr>
          <w:sz w:val="26"/>
          <w:szCs w:val="26"/>
        </w:rPr>
        <w:t>Tas nozīmē, ka paplašinošais un aizvietojošais darbaspēka pieprasījums nākotnē noteiktās profesijās var tikt apmierināts tikai ar profesijai atbilstošas kvalifikācijas (izgl</w:t>
      </w:r>
      <w:r>
        <w:rPr>
          <w:sz w:val="26"/>
          <w:szCs w:val="26"/>
        </w:rPr>
        <w:t>ītības) darbaspēka piedāvājumu.</w:t>
      </w:r>
    </w:p>
    <w:p w:rsidR="00414DFF" w:rsidRPr="00414DFF" w:rsidRDefault="00414DFF" w:rsidP="00414DFF">
      <w:pPr>
        <w:spacing w:after="0" w:line="240" w:lineRule="auto"/>
        <w:jc w:val="both"/>
        <w:rPr>
          <w:sz w:val="26"/>
          <w:szCs w:val="26"/>
        </w:rPr>
      </w:pPr>
    </w:p>
    <w:p w:rsidR="00414DFF" w:rsidRPr="00CD7B6E" w:rsidRDefault="00414DFF" w:rsidP="00414DFF">
      <w:pPr>
        <w:spacing w:after="0" w:line="240" w:lineRule="auto"/>
        <w:jc w:val="both"/>
        <w:rPr>
          <w:b/>
          <w:sz w:val="26"/>
          <w:szCs w:val="26"/>
        </w:rPr>
      </w:pPr>
      <w:r>
        <w:rPr>
          <w:b/>
          <w:sz w:val="26"/>
          <w:szCs w:val="26"/>
        </w:rPr>
        <w:t>Prognožu agregācija</w:t>
      </w:r>
    </w:p>
    <w:p w:rsidR="00414DFF" w:rsidRPr="00414DFF" w:rsidRDefault="00414DFF" w:rsidP="00414DFF">
      <w:pPr>
        <w:spacing w:after="0" w:line="240" w:lineRule="auto"/>
        <w:ind w:firstLine="567"/>
        <w:jc w:val="both"/>
        <w:rPr>
          <w:sz w:val="8"/>
          <w:szCs w:val="26"/>
        </w:rPr>
      </w:pPr>
    </w:p>
    <w:p w:rsidR="00414DFF" w:rsidRPr="00CD7B6E" w:rsidRDefault="00414DFF" w:rsidP="00414DFF">
      <w:pPr>
        <w:spacing w:after="0" w:line="240" w:lineRule="auto"/>
        <w:ind w:firstLine="567"/>
        <w:jc w:val="both"/>
        <w:rPr>
          <w:sz w:val="26"/>
          <w:szCs w:val="26"/>
        </w:rPr>
      </w:pPr>
      <w:r>
        <w:rPr>
          <w:sz w:val="26"/>
          <w:szCs w:val="26"/>
        </w:rPr>
        <w:t>Sākot ar 2012.</w:t>
      </w:r>
      <w:r w:rsidRPr="00CD7B6E">
        <w:rPr>
          <w:sz w:val="26"/>
          <w:szCs w:val="26"/>
        </w:rPr>
        <w:t>gadu, Latvijas statistikas sistēma ir pilnībā pārgājusi uz jauno saimniecisko darbību un profesiju klasifikāciju ietvaru (NACE 2.red., ISCO08). Saistībā ar to</w:t>
      </w:r>
      <w:r w:rsidR="002C6B26">
        <w:rPr>
          <w:sz w:val="26"/>
          <w:szCs w:val="26"/>
        </w:rPr>
        <w:t>,</w:t>
      </w:r>
      <w:r w:rsidRPr="00CD7B6E">
        <w:rPr>
          <w:sz w:val="26"/>
          <w:szCs w:val="26"/>
        </w:rPr>
        <w:t xml:space="preserve"> EM ir pārskatījusi līdzšinējo darba tirgus prognožu agregāciju un uzsākusi tautsaimniecības nozaru un profesiju prognožu izstrādi atbilstoši jaunajām </w:t>
      </w:r>
      <w:proofErr w:type="spellStart"/>
      <w:r w:rsidRPr="00CD7B6E">
        <w:rPr>
          <w:sz w:val="26"/>
          <w:szCs w:val="26"/>
        </w:rPr>
        <w:t>klasifikācijām</w:t>
      </w:r>
      <w:proofErr w:type="spellEnd"/>
      <w:r w:rsidRPr="00CD7B6E">
        <w:rPr>
          <w:sz w:val="26"/>
          <w:szCs w:val="26"/>
        </w:rPr>
        <w:t>.</w:t>
      </w:r>
    </w:p>
    <w:p w:rsidR="00414DFF" w:rsidRPr="00CD7B6E" w:rsidRDefault="00414DFF" w:rsidP="00414DFF">
      <w:pPr>
        <w:spacing w:after="0" w:line="240" w:lineRule="auto"/>
        <w:ind w:firstLine="567"/>
        <w:jc w:val="both"/>
        <w:rPr>
          <w:sz w:val="26"/>
          <w:szCs w:val="26"/>
        </w:rPr>
      </w:pPr>
      <w:r w:rsidRPr="00CD7B6E">
        <w:rPr>
          <w:sz w:val="26"/>
          <w:szCs w:val="26"/>
        </w:rPr>
        <w:t>Darba tirgus prognožu agregācijas sistēma parāda darba tirgus tendences tautsaimniecības nozaru, profesiju grupu un izglītības griezumā. Darba tirgus prognozes balstītas uz Latvijā adaptētām starptautiskām klasifikāciju sistēmām un ir starptautiski salīdzināmas.</w:t>
      </w:r>
    </w:p>
    <w:p w:rsidR="00414DFF" w:rsidRDefault="00414DFF" w:rsidP="00414DFF">
      <w:pPr>
        <w:spacing w:after="0" w:line="240" w:lineRule="auto"/>
        <w:rPr>
          <w:sz w:val="26"/>
          <w:szCs w:val="26"/>
        </w:rPr>
      </w:pPr>
    </w:p>
    <w:p w:rsidR="00C976C0" w:rsidRPr="00CD7B6E" w:rsidRDefault="00C976C0" w:rsidP="00414DFF">
      <w:pPr>
        <w:spacing w:after="0" w:line="240" w:lineRule="auto"/>
        <w:rPr>
          <w:sz w:val="26"/>
          <w:szCs w:val="26"/>
        </w:rPr>
      </w:pPr>
    </w:p>
    <w:p w:rsidR="0077399B" w:rsidRPr="00CD7B6E" w:rsidRDefault="0077399B" w:rsidP="0077399B">
      <w:pPr>
        <w:pStyle w:val="Heading2"/>
        <w:pBdr>
          <w:bottom w:val="thinThickSmallGap" w:sz="18" w:space="1" w:color="8064A2" w:themeColor="accent4"/>
        </w:pBdr>
        <w:spacing w:before="0" w:after="0" w:line="240" w:lineRule="auto"/>
        <w:rPr>
          <w:szCs w:val="28"/>
        </w:rPr>
      </w:pPr>
      <w:bookmarkStart w:id="38" w:name="_Toc357503120"/>
      <w:r w:rsidRPr="00CD7B6E">
        <w:rPr>
          <w:szCs w:val="28"/>
        </w:rPr>
        <w:t>3.2. Vidēja un ilgtermiņa attīstības scenārij</w:t>
      </w:r>
      <w:r w:rsidR="00895051">
        <w:rPr>
          <w:szCs w:val="28"/>
        </w:rPr>
        <w:t>s</w:t>
      </w:r>
      <w:bookmarkEnd w:id="38"/>
    </w:p>
    <w:p w:rsidR="0077399B" w:rsidRPr="00CD7B6E" w:rsidRDefault="0077399B" w:rsidP="0077399B">
      <w:pPr>
        <w:spacing w:after="0" w:line="240" w:lineRule="auto"/>
        <w:jc w:val="both"/>
        <w:rPr>
          <w:sz w:val="26"/>
          <w:szCs w:val="26"/>
        </w:rPr>
      </w:pPr>
    </w:p>
    <w:p w:rsidR="00C976C0" w:rsidRDefault="00C976C0" w:rsidP="00C976C0">
      <w:pPr>
        <w:spacing w:after="0" w:line="240" w:lineRule="auto"/>
        <w:jc w:val="both"/>
        <w:rPr>
          <w:b/>
          <w:sz w:val="26"/>
          <w:szCs w:val="26"/>
        </w:rPr>
      </w:pPr>
      <w:r>
        <w:rPr>
          <w:b/>
          <w:sz w:val="26"/>
          <w:szCs w:val="26"/>
        </w:rPr>
        <w:t>Tautsaimniecības attīstības scenārijs</w:t>
      </w:r>
    </w:p>
    <w:p w:rsidR="00C976C0" w:rsidRDefault="00C976C0" w:rsidP="00C976C0">
      <w:pPr>
        <w:spacing w:after="0" w:line="240" w:lineRule="auto"/>
        <w:jc w:val="both"/>
        <w:rPr>
          <w:sz w:val="8"/>
          <w:szCs w:val="26"/>
        </w:rPr>
      </w:pPr>
    </w:p>
    <w:p w:rsidR="00C976C0" w:rsidRDefault="00C976C0" w:rsidP="00C976C0">
      <w:pPr>
        <w:spacing w:after="0" w:line="240" w:lineRule="auto"/>
        <w:ind w:firstLine="567"/>
        <w:jc w:val="both"/>
        <w:rPr>
          <w:sz w:val="26"/>
          <w:szCs w:val="26"/>
        </w:rPr>
      </w:pPr>
      <w:r>
        <w:rPr>
          <w:sz w:val="26"/>
          <w:szCs w:val="26"/>
        </w:rPr>
        <w:t xml:space="preserve">Vidēja termiņa attīstības scenārijs veidots uz </w:t>
      </w:r>
      <w:proofErr w:type="spellStart"/>
      <w:r>
        <w:rPr>
          <w:sz w:val="26"/>
          <w:szCs w:val="26"/>
        </w:rPr>
        <w:t>pamatpieņēmumiem</w:t>
      </w:r>
      <w:proofErr w:type="spellEnd"/>
      <w:r>
        <w:rPr>
          <w:sz w:val="26"/>
          <w:szCs w:val="26"/>
        </w:rPr>
        <w:t xml:space="preserve"> par tautsaimniecības attīstību noteicošiem procesiem Latvijā un pasaulē, īpaši ES.</w:t>
      </w:r>
    </w:p>
    <w:p w:rsidR="00C976C0" w:rsidRPr="00C976C0" w:rsidRDefault="00C976C0" w:rsidP="00C976C0">
      <w:pPr>
        <w:spacing w:after="0" w:line="240" w:lineRule="auto"/>
        <w:ind w:firstLine="567"/>
        <w:jc w:val="both"/>
        <w:rPr>
          <w:spacing w:val="-4"/>
          <w:sz w:val="26"/>
          <w:szCs w:val="26"/>
        </w:rPr>
      </w:pPr>
      <w:r w:rsidRPr="00C976C0">
        <w:rPr>
          <w:spacing w:val="-4"/>
          <w:sz w:val="26"/>
          <w:szCs w:val="26"/>
        </w:rPr>
        <w:t xml:space="preserve">Latvijas tautsaimniecības struktūrpolitikas galvenie mērķi un virzieni līdz 2020.gadam jau ir principiāli noteikti politikas dokumentos </w:t>
      </w:r>
      <w:r w:rsidRPr="00C976C0">
        <w:rPr>
          <w:i/>
          <w:spacing w:val="-4"/>
          <w:sz w:val="26"/>
          <w:szCs w:val="26"/>
        </w:rPr>
        <w:t>Latvijas ilgtspējīgas attīstības stratēģijā „Latvija 2030”, Latvijas Nacionālajā attīstības plānā 2014.-2020.gadam, Latvijas nacionālā reformu programmā „ES 2020” stratēģijas īstenošanai</w:t>
      </w:r>
      <w:r w:rsidRPr="00C976C0">
        <w:rPr>
          <w:spacing w:val="-4"/>
          <w:sz w:val="26"/>
          <w:szCs w:val="26"/>
        </w:rPr>
        <w:t>.</w:t>
      </w:r>
    </w:p>
    <w:p w:rsidR="00C976C0" w:rsidRDefault="00C976C0" w:rsidP="00C976C0">
      <w:pPr>
        <w:autoSpaceDE w:val="0"/>
        <w:autoSpaceDN w:val="0"/>
        <w:adjustRightInd w:val="0"/>
        <w:spacing w:after="20" w:line="240" w:lineRule="auto"/>
        <w:ind w:firstLine="426"/>
        <w:jc w:val="both"/>
        <w:rPr>
          <w:sz w:val="26"/>
          <w:szCs w:val="26"/>
        </w:rPr>
      </w:pPr>
      <w:r>
        <w:rPr>
          <w:sz w:val="26"/>
          <w:szCs w:val="26"/>
        </w:rPr>
        <w:lastRenderedPageBreak/>
        <w:t>Latvijas ekonomiskās priekšrocības galvenokārt balstās uz zemām darbaspēka izmaksām un zemo tehnoloģiju nozarēm. Tajā pašā laikā darbaspēka izmaksu pieaugums ir neizbēgams izaugsmes un atvērtā darba tirgus dēļ. Tas nozīmē, ka Latvija var zaudēt konkurētspēju zemu izmaksu segmentos ātrāk nekā iegūt priekšrocības augstākas pievienotās vērtības produktu ražošanā. Lai izvairītos no zemu ienākumu „slazda” turpmākas reformas ir nepieciešamas, lai sekmētu pāreju no zemas uz vidēju un augstu tehnoloģiju nozarēm. Līdz ar to pieaug nepieciešamība veidot efektīvu Nacionālo industriālo politiku, kuras uzmanības centrā būtu uz eksportu vērsto nozaru attīstība un tautsaimniecības struktūras maiņa par labu šīm noz</w:t>
      </w:r>
      <w:r w:rsidR="002C6B26">
        <w:rPr>
          <w:sz w:val="26"/>
          <w:szCs w:val="26"/>
        </w:rPr>
        <w:t>arēm. Šai politikai jānodrošina</w:t>
      </w:r>
      <w:r>
        <w:rPr>
          <w:sz w:val="26"/>
          <w:szCs w:val="26"/>
        </w:rPr>
        <w:t xml:space="preserve"> uz ārējo pieprasījumu orientētu nozaru konkurētspējas un eksporta ienesīguma palielināšana, tād</w:t>
      </w:r>
      <w:r w:rsidR="00C903BE">
        <w:rPr>
          <w:sz w:val="26"/>
          <w:szCs w:val="26"/>
        </w:rPr>
        <w:t>ē</w:t>
      </w:r>
      <w:r>
        <w:rPr>
          <w:sz w:val="26"/>
          <w:szCs w:val="26"/>
        </w:rPr>
        <w:t>jādi veicinot valsts kopējo ienākumu pieaugumu.</w:t>
      </w:r>
    </w:p>
    <w:p w:rsidR="00C976C0" w:rsidRDefault="00C976C0" w:rsidP="00C976C0">
      <w:pPr>
        <w:spacing w:after="0" w:line="240" w:lineRule="auto"/>
        <w:ind w:firstLine="567"/>
        <w:jc w:val="both"/>
        <w:rPr>
          <w:sz w:val="26"/>
          <w:szCs w:val="26"/>
        </w:rPr>
      </w:pPr>
      <w:r>
        <w:rPr>
          <w:sz w:val="26"/>
          <w:szCs w:val="26"/>
        </w:rPr>
        <w:t>Iepriekš minētajos politikas plānošanas dokumentos izvirzīto mērķu sekmīga sasniegšana saistīta ar noteiktām strukturālām izmaiņām tautsaimniecības resursu izvietojumā par labu:</w:t>
      </w:r>
    </w:p>
    <w:p w:rsidR="00C976C0" w:rsidRDefault="00C976C0" w:rsidP="00C976C0">
      <w:pPr>
        <w:numPr>
          <w:ilvl w:val="0"/>
          <w:numId w:val="15"/>
        </w:numPr>
        <w:spacing w:after="0" w:line="240" w:lineRule="auto"/>
        <w:ind w:left="993" w:hanging="426"/>
        <w:contextualSpacing/>
        <w:jc w:val="both"/>
        <w:rPr>
          <w:sz w:val="26"/>
          <w:szCs w:val="26"/>
        </w:rPr>
      </w:pPr>
      <w:r>
        <w:rPr>
          <w:sz w:val="26"/>
          <w:szCs w:val="26"/>
        </w:rPr>
        <w:t>preču un pakalpojumu ar augstāku pievienoto vērtību ražošanai;</w:t>
      </w:r>
    </w:p>
    <w:p w:rsidR="00C976C0" w:rsidRDefault="00C976C0" w:rsidP="00C976C0">
      <w:pPr>
        <w:numPr>
          <w:ilvl w:val="0"/>
          <w:numId w:val="15"/>
        </w:numPr>
        <w:spacing w:after="0" w:line="240" w:lineRule="auto"/>
        <w:ind w:left="993" w:hanging="426"/>
        <w:contextualSpacing/>
        <w:jc w:val="both"/>
        <w:rPr>
          <w:sz w:val="26"/>
          <w:szCs w:val="26"/>
        </w:rPr>
      </w:pPr>
      <w:r>
        <w:rPr>
          <w:sz w:val="26"/>
          <w:szCs w:val="26"/>
        </w:rPr>
        <w:t>uz eksportu vērstām nozarēm;</w:t>
      </w:r>
    </w:p>
    <w:p w:rsidR="00C976C0" w:rsidRDefault="00C976C0" w:rsidP="00C976C0">
      <w:pPr>
        <w:numPr>
          <w:ilvl w:val="0"/>
          <w:numId w:val="15"/>
        </w:numPr>
        <w:spacing w:after="0" w:line="240" w:lineRule="auto"/>
        <w:ind w:left="993" w:hanging="426"/>
        <w:contextualSpacing/>
        <w:jc w:val="both"/>
        <w:rPr>
          <w:sz w:val="26"/>
          <w:szCs w:val="26"/>
        </w:rPr>
      </w:pPr>
      <w:r>
        <w:rPr>
          <w:sz w:val="26"/>
          <w:szCs w:val="26"/>
        </w:rPr>
        <w:t>lielākiem ieguldījumiem jaunās tehnoloģijās, inovācijā un IKT;</w:t>
      </w:r>
    </w:p>
    <w:p w:rsidR="00C976C0" w:rsidRDefault="00C976C0" w:rsidP="00C976C0">
      <w:pPr>
        <w:numPr>
          <w:ilvl w:val="0"/>
          <w:numId w:val="15"/>
        </w:numPr>
        <w:spacing w:after="0" w:line="240" w:lineRule="auto"/>
        <w:ind w:left="993" w:hanging="426"/>
        <w:contextualSpacing/>
        <w:jc w:val="both"/>
        <w:rPr>
          <w:sz w:val="26"/>
          <w:szCs w:val="26"/>
        </w:rPr>
      </w:pPr>
      <w:r>
        <w:rPr>
          <w:sz w:val="26"/>
          <w:szCs w:val="26"/>
        </w:rPr>
        <w:t>uzlabojumiem izglītības sistēmā un zinātnes atbalstam.</w:t>
      </w:r>
    </w:p>
    <w:p w:rsidR="00C976C0" w:rsidRDefault="00C976C0" w:rsidP="00C976C0">
      <w:pPr>
        <w:spacing w:after="0" w:line="240" w:lineRule="auto"/>
        <w:ind w:firstLine="567"/>
        <w:jc w:val="both"/>
        <w:rPr>
          <w:sz w:val="8"/>
          <w:szCs w:val="8"/>
        </w:rPr>
      </w:pPr>
    </w:p>
    <w:p w:rsidR="00C976C0" w:rsidRDefault="00C976C0" w:rsidP="00C976C0">
      <w:pPr>
        <w:spacing w:after="0" w:line="240" w:lineRule="auto"/>
        <w:ind w:firstLine="567"/>
        <w:jc w:val="both"/>
        <w:rPr>
          <w:sz w:val="26"/>
          <w:szCs w:val="26"/>
        </w:rPr>
      </w:pPr>
      <w:r>
        <w:rPr>
          <w:sz w:val="26"/>
          <w:szCs w:val="26"/>
        </w:rPr>
        <w:t>Minētās politikas īstenošana stiprinās ekonomiskās izaugsmes potenciālu, paātrinot rūpniecības izaugsmi, paaugstinot tautsaimniecības produktivitāti un līdz ar to</w:t>
      </w:r>
      <w:r w:rsidR="002C6B26">
        <w:rPr>
          <w:sz w:val="26"/>
          <w:szCs w:val="26"/>
        </w:rPr>
        <w:t>,</w:t>
      </w:r>
      <w:r>
        <w:rPr>
          <w:sz w:val="26"/>
          <w:szCs w:val="26"/>
        </w:rPr>
        <w:t xml:space="preserve"> nodrošinot stabilu izaugsmi kā vidējā termiņā, tā ilgtermiņā.</w:t>
      </w:r>
    </w:p>
    <w:p w:rsidR="00C17198" w:rsidRDefault="00C17198" w:rsidP="00C17198">
      <w:pPr>
        <w:spacing w:after="0" w:line="240" w:lineRule="auto"/>
        <w:ind w:firstLine="567"/>
        <w:jc w:val="both"/>
        <w:rPr>
          <w:sz w:val="26"/>
          <w:szCs w:val="26"/>
          <w:lang w:eastAsia="lv-LV"/>
        </w:rPr>
      </w:pPr>
      <w:r>
        <w:rPr>
          <w:spacing w:val="-4"/>
          <w:sz w:val="26"/>
          <w:szCs w:val="26"/>
          <w:lang w:eastAsia="lv-LV"/>
        </w:rPr>
        <w:t>Ņemot vērā, ka Latvijas tautsaimniecības turpmākā attīstība būs cieši saistīta ar eksporta iespējām, lielākais Latvijas izaugsmes risks saistīts ar globālās ekonomikas attīstību. Tautsaimniecības attīstības s</w:t>
      </w:r>
      <w:r>
        <w:rPr>
          <w:sz w:val="26"/>
          <w:szCs w:val="26"/>
          <w:lang w:eastAsia="lv-LV"/>
        </w:rPr>
        <w:t xml:space="preserve">cenārijs paredz harmonisku globālās ekonomikas attīstību, </w:t>
      </w:r>
      <w:proofErr w:type="spellStart"/>
      <w:r>
        <w:rPr>
          <w:sz w:val="26"/>
          <w:szCs w:val="26"/>
          <w:lang w:eastAsia="lv-LV"/>
        </w:rPr>
        <w:t>t.sk</w:t>
      </w:r>
      <w:proofErr w:type="spellEnd"/>
      <w:r>
        <w:rPr>
          <w:sz w:val="26"/>
          <w:szCs w:val="26"/>
          <w:lang w:eastAsia="lv-LV"/>
        </w:rPr>
        <w:t>., stabilu ES attīstību un ekonomisko izaugsmi vidējā un ilgtermiņā.</w:t>
      </w:r>
    </w:p>
    <w:p w:rsidR="00C17198" w:rsidRDefault="00C17198" w:rsidP="00C17198">
      <w:pPr>
        <w:spacing w:after="0" w:line="240" w:lineRule="auto"/>
        <w:ind w:firstLine="567"/>
        <w:jc w:val="both"/>
        <w:rPr>
          <w:spacing w:val="-4"/>
          <w:sz w:val="26"/>
          <w:szCs w:val="26"/>
          <w:lang w:eastAsia="lv-LV"/>
        </w:rPr>
      </w:pPr>
      <w:r>
        <w:rPr>
          <w:spacing w:val="-4"/>
          <w:sz w:val="26"/>
          <w:szCs w:val="26"/>
          <w:lang w:eastAsia="lv-LV"/>
        </w:rPr>
        <w:t xml:space="preserve">Vidēja un ilgtermiņa scenāriju makroekonomiskie </w:t>
      </w:r>
      <w:proofErr w:type="spellStart"/>
      <w:r>
        <w:rPr>
          <w:spacing w:val="-4"/>
          <w:sz w:val="26"/>
          <w:szCs w:val="26"/>
          <w:lang w:eastAsia="lv-LV"/>
        </w:rPr>
        <w:t>pamatpieņēmumi</w:t>
      </w:r>
      <w:proofErr w:type="spellEnd"/>
      <w:r>
        <w:rPr>
          <w:spacing w:val="-4"/>
          <w:sz w:val="26"/>
          <w:szCs w:val="26"/>
          <w:lang w:eastAsia="lv-LV"/>
        </w:rPr>
        <w:t xml:space="preserve"> prognožu sagatavošanai </w:t>
      </w:r>
      <w:r w:rsidR="002C6B26">
        <w:rPr>
          <w:spacing w:val="-4"/>
          <w:sz w:val="26"/>
          <w:szCs w:val="26"/>
          <w:lang w:eastAsia="lv-LV"/>
        </w:rPr>
        <w:t>ir aplūkojami</w:t>
      </w:r>
      <w:r>
        <w:rPr>
          <w:spacing w:val="-4"/>
          <w:sz w:val="26"/>
          <w:szCs w:val="26"/>
          <w:lang w:eastAsia="lv-LV"/>
        </w:rPr>
        <w:t xml:space="preserve"> 3.1. tabulā. Tajos ņemtas vērā Eiropas Komisijas vidēja termiņa prognozes (līdz 2016.gadam) un ilgtermiņa ekonomiskās un budžeta prognozes, kas iekļautas Eiropas Komisijas 2012.gada </w:t>
      </w:r>
      <w:r>
        <w:rPr>
          <w:i/>
          <w:spacing w:val="-4"/>
          <w:sz w:val="26"/>
          <w:szCs w:val="26"/>
          <w:lang w:eastAsia="lv-LV"/>
        </w:rPr>
        <w:t xml:space="preserve">Iedzīvotāju novecošanās procesa Ziņojumā </w:t>
      </w:r>
      <w:r>
        <w:rPr>
          <w:i/>
          <w:spacing w:val="-4"/>
          <w:sz w:val="26"/>
          <w:szCs w:val="26"/>
          <w:lang w:eastAsia="lv-LV"/>
        </w:rPr>
        <w:br/>
        <w:t>2010.-2060.gadam</w:t>
      </w:r>
      <w:r>
        <w:rPr>
          <w:spacing w:val="-4"/>
          <w:sz w:val="26"/>
          <w:szCs w:val="26"/>
          <w:lang w:eastAsia="lv-LV"/>
        </w:rPr>
        <w:t>, kā arī Starptautiskā valūtas fonda prognozes</w:t>
      </w:r>
      <w:r>
        <w:rPr>
          <w:spacing w:val="-4"/>
          <w:sz w:val="26"/>
          <w:szCs w:val="26"/>
          <w:vertAlign w:val="superscript"/>
          <w:lang w:eastAsia="lv-LV"/>
        </w:rPr>
        <w:footnoteReference w:id="7"/>
      </w:r>
      <w:r>
        <w:rPr>
          <w:spacing w:val="-4"/>
          <w:sz w:val="26"/>
          <w:szCs w:val="26"/>
          <w:lang w:eastAsia="lv-LV"/>
        </w:rPr>
        <w:t xml:space="preserve"> līdz 2017.gadam.</w:t>
      </w:r>
    </w:p>
    <w:p w:rsidR="00C976C0" w:rsidRDefault="00C976C0" w:rsidP="00C17198">
      <w:pPr>
        <w:pStyle w:val="ListParagraph"/>
        <w:spacing w:before="120" w:after="0" w:line="240" w:lineRule="auto"/>
        <w:ind w:left="0" w:firstLine="567"/>
        <w:jc w:val="right"/>
        <w:rPr>
          <w:sz w:val="26"/>
          <w:szCs w:val="26"/>
        </w:rPr>
      </w:pPr>
      <w:bookmarkStart w:id="39" w:name="_Toc326853875"/>
      <w:r>
        <w:rPr>
          <w:sz w:val="26"/>
          <w:szCs w:val="26"/>
        </w:rPr>
        <w:t>3.1. tabula</w:t>
      </w:r>
      <w:bookmarkEnd w:id="39"/>
    </w:p>
    <w:p w:rsidR="00C976C0" w:rsidRDefault="00C976C0" w:rsidP="00C976C0">
      <w:pPr>
        <w:spacing w:after="0" w:line="240" w:lineRule="auto"/>
        <w:jc w:val="center"/>
        <w:rPr>
          <w:b/>
          <w:sz w:val="26"/>
          <w:szCs w:val="26"/>
        </w:rPr>
      </w:pPr>
      <w:r>
        <w:rPr>
          <w:b/>
          <w:sz w:val="26"/>
          <w:szCs w:val="26"/>
        </w:rPr>
        <w:t xml:space="preserve">Makroekonomiskie </w:t>
      </w:r>
      <w:proofErr w:type="spellStart"/>
      <w:r>
        <w:rPr>
          <w:b/>
          <w:sz w:val="26"/>
          <w:szCs w:val="26"/>
        </w:rPr>
        <w:t>pamatpieņēmumi</w:t>
      </w:r>
      <w:proofErr w:type="spellEnd"/>
    </w:p>
    <w:p w:rsidR="00C976C0" w:rsidRDefault="00C976C0" w:rsidP="00C976C0">
      <w:pPr>
        <w:spacing w:after="0" w:line="240" w:lineRule="auto"/>
        <w:jc w:val="center"/>
        <w:rPr>
          <w:sz w:val="8"/>
          <w:szCs w:val="26"/>
        </w:rPr>
      </w:pPr>
    </w:p>
    <w:tbl>
      <w:tblPr>
        <w:tblStyle w:val="MediumList1-Accent4"/>
        <w:tblW w:w="5000" w:type="pct"/>
        <w:tblLook w:val="0400" w:firstRow="0" w:lastRow="0" w:firstColumn="0" w:lastColumn="0" w:noHBand="0" w:noVBand="1"/>
      </w:tblPr>
      <w:tblGrid>
        <w:gridCol w:w="4511"/>
        <w:gridCol w:w="1592"/>
        <w:gridCol w:w="1592"/>
        <w:gridCol w:w="1592"/>
      </w:tblGrid>
      <w:tr w:rsidR="00C976C0" w:rsidTr="00C976C0">
        <w:trPr>
          <w:cnfStyle w:val="000000100000" w:firstRow="0" w:lastRow="0" w:firstColumn="0" w:lastColumn="0" w:oddVBand="0" w:evenVBand="0" w:oddHBand="1" w:evenHBand="0" w:firstRowFirstColumn="0" w:firstRowLastColumn="0" w:lastRowFirstColumn="0" w:lastRowLastColumn="0"/>
        </w:trPr>
        <w:tc>
          <w:tcPr>
            <w:tcW w:w="2429" w:type="pct"/>
            <w:tcBorders>
              <w:top w:val="single" w:sz="8" w:space="0" w:color="8064A2" w:themeColor="accent4"/>
              <w:left w:val="nil"/>
              <w:bottom w:val="single" w:sz="8" w:space="0" w:color="8064A2" w:themeColor="accent4"/>
              <w:right w:val="single" w:sz="4" w:space="0" w:color="8064A2" w:themeColor="accent4"/>
            </w:tcBorders>
          </w:tcPr>
          <w:p w:rsidR="00C976C0" w:rsidRDefault="00C976C0">
            <w:pPr>
              <w:spacing w:before="40" w:after="40" w:line="240" w:lineRule="auto"/>
              <w:jc w:val="center"/>
              <w:rPr>
                <w:rFonts w:eastAsia="Times New Roman"/>
                <w:sz w:val="20"/>
              </w:rPr>
            </w:pPr>
          </w:p>
        </w:tc>
        <w:tc>
          <w:tcPr>
            <w:tcW w:w="857"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hideMark/>
          </w:tcPr>
          <w:p w:rsidR="00C976C0" w:rsidRDefault="00C976C0">
            <w:pPr>
              <w:spacing w:before="40" w:after="40" w:line="240" w:lineRule="auto"/>
              <w:ind w:left="238" w:hanging="238"/>
              <w:jc w:val="center"/>
              <w:rPr>
                <w:rFonts w:eastAsia="Times New Roman"/>
                <w:b/>
                <w:sz w:val="20"/>
              </w:rPr>
            </w:pPr>
            <w:r>
              <w:rPr>
                <w:rFonts w:eastAsia="Times New Roman"/>
                <w:b/>
                <w:sz w:val="20"/>
              </w:rPr>
              <w:t>2012-2014</w:t>
            </w:r>
          </w:p>
        </w:tc>
        <w:tc>
          <w:tcPr>
            <w:tcW w:w="857"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hideMark/>
          </w:tcPr>
          <w:p w:rsidR="00C976C0" w:rsidRDefault="00C976C0">
            <w:pPr>
              <w:spacing w:before="40" w:after="40" w:line="240" w:lineRule="auto"/>
              <w:jc w:val="center"/>
              <w:rPr>
                <w:rFonts w:eastAsia="Times New Roman"/>
                <w:b/>
                <w:sz w:val="20"/>
              </w:rPr>
            </w:pPr>
            <w:r>
              <w:rPr>
                <w:rFonts w:eastAsia="Times New Roman"/>
                <w:b/>
                <w:sz w:val="20"/>
              </w:rPr>
              <w:t>2015-2020</w:t>
            </w:r>
          </w:p>
        </w:tc>
        <w:tc>
          <w:tcPr>
            <w:tcW w:w="857" w:type="pct"/>
            <w:tcBorders>
              <w:top w:val="single" w:sz="8" w:space="0" w:color="8064A2" w:themeColor="accent4"/>
              <w:left w:val="single" w:sz="4" w:space="0" w:color="8064A2" w:themeColor="accent4"/>
              <w:bottom w:val="single" w:sz="8" w:space="0" w:color="8064A2" w:themeColor="accent4"/>
              <w:right w:val="nil"/>
            </w:tcBorders>
            <w:hideMark/>
          </w:tcPr>
          <w:p w:rsidR="00C976C0" w:rsidRDefault="00C976C0">
            <w:pPr>
              <w:spacing w:before="40" w:after="40" w:line="240" w:lineRule="auto"/>
              <w:jc w:val="center"/>
              <w:rPr>
                <w:rFonts w:eastAsia="Times New Roman"/>
                <w:b/>
                <w:sz w:val="20"/>
              </w:rPr>
            </w:pPr>
            <w:r>
              <w:rPr>
                <w:rFonts w:eastAsia="Times New Roman"/>
                <w:b/>
                <w:sz w:val="20"/>
              </w:rPr>
              <w:t>2021-2030</w:t>
            </w:r>
          </w:p>
        </w:tc>
      </w:tr>
      <w:tr w:rsidR="00C976C0" w:rsidTr="00C976C0">
        <w:tc>
          <w:tcPr>
            <w:tcW w:w="2429" w:type="pct"/>
            <w:tcBorders>
              <w:top w:val="single" w:sz="8" w:space="0" w:color="8064A2" w:themeColor="accent4"/>
              <w:left w:val="nil"/>
              <w:bottom w:val="nil"/>
              <w:right w:val="single" w:sz="4" w:space="0" w:color="8064A2" w:themeColor="accent4"/>
            </w:tcBorders>
            <w:hideMark/>
          </w:tcPr>
          <w:p w:rsidR="00C976C0" w:rsidRDefault="00C976C0">
            <w:pPr>
              <w:spacing w:before="40" w:after="40" w:line="240" w:lineRule="auto"/>
              <w:rPr>
                <w:sz w:val="20"/>
              </w:rPr>
            </w:pPr>
            <w:r>
              <w:rPr>
                <w:sz w:val="20"/>
              </w:rPr>
              <w:t>Latvijas ekonomiskā izaugsme</w:t>
            </w:r>
          </w:p>
          <w:p w:rsidR="00C976C0" w:rsidRDefault="00C976C0">
            <w:pPr>
              <w:spacing w:before="40" w:after="40" w:line="240" w:lineRule="auto"/>
              <w:ind w:firstLine="284"/>
              <w:rPr>
                <w:sz w:val="20"/>
              </w:rPr>
            </w:pPr>
            <w:r>
              <w:rPr>
                <w:sz w:val="20"/>
              </w:rPr>
              <w:t>(%, perioda gada vidējā)</w:t>
            </w:r>
          </w:p>
        </w:tc>
        <w:tc>
          <w:tcPr>
            <w:tcW w:w="857" w:type="pct"/>
            <w:tcBorders>
              <w:top w:val="single" w:sz="8" w:space="0" w:color="8064A2" w:themeColor="accent4"/>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5</w:t>
            </w:r>
          </w:p>
        </w:tc>
        <w:tc>
          <w:tcPr>
            <w:tcW w:w="857" w:type="pct"/>
            <w:tcBorders>
              <w:top w:val="single" w:sz="8" w:space="0" w:color="8064A2" w:themeColor="accent4"/>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bCs/>
                <w:sz w:val="20"/>
              </w:rPr>
            </w:pPr>
            <w:r>
              <w:rPr>
                <w:bCs/>
                <w:sz w:val="20"/>
              </w:rPr>
              <w:t>4…5</w:t>
            </w:r>
          </w:p>
        </w:tc>
        <w:tc>
          <w:tcPr>
            <w:tcW w:w="857" w:type="pct"/>
            <w:tcBorders>
              <w:top w:val="single" w:sz="8" w:space="0" w:color="8064A2" w:themeColor="accent4"/>
              <w:left w:val="single" w:sz="4" w:space="0" w:color="8064A2" w:themeColor="accent4"/>
              <w:bottom w:val="nil"/>
              <w:right w:val="nil"/>
            </w:tcBorders>
            <w:vAlign w:val="center"/>
            <w:hideMark/>
          </w:tcPr>
          <w:p w:rsidR="00C976C0" w:rsidRDefault="00C976C0">
            <w:pPr>
              <w:spacing w:before="40" w:after="40" w:line="240" w:lineRule="auto"/>
              <w:jc w:val="center"/>
              <w:rPr>
                <w:bCs/>
                <w:sz w:val="20"/>
              </w:rPr>
            </w:pPr>
            <w:r>
              <w:rPr>
                <w:bCs/>
                <w:sz w:val="20"/>
              </w:rPr>
              <w:t>3…4</w:t>
            </w:r>
          </w:p>
        </w:tc>
      </w:tr>
      <w:tr w:rsidR="00C976C0" w:rsidTr="00C976C0">
        <w:trPr>
          <w:cnfStyle w:val="000000100000" w:firstRow="0" w:lastRow="0" w:firstColumn="0" w:lastColumn="0" w:oddVBand="0" w:evenVBand="0" w:oddHBand="1" w:evenHBand="0" w:firstRowFirstColumn="0" w:firstRowLastColumn="0" w:lastRowFirstColumn="0" w:lastRowLastColumn="0"/>
        </w:trPr>
        <w:tc>
          <w:tcPr>
            <w:tcW w:w="2429" w:type="pct"/>
            <w:tcBorders>
              <w:top w:val="nil"/>
              <w:left w:val="nil"/>
              <w:bottom w:val="nil"/>
              <w:right w:val="single" w:sz="4" w:space="0" w:color="8064A2" w:themeColor="accent4"/>
            </w:tcBorders>
            <w:hideMark/>
          </w:tcPr>
          <w:p w:rsidR="00C976C0" w:rsidRDefault="00C976C0">
            <w:pPr>
              <w:spacing w:before="40" w:after="40" w:line="240" w:lineRule="auto"/>
              <w:rPr>
                <w:sz w:val="20"/>
              </w:rPr>
            </w:pPr>
            <w:r>
              <w:rPr>
                <w:sz w:val="20"/>
              </w:rPr>
              <w:t>ES-15 ekonomiskā izaugsme</w:t>
            </w:r>
          </w:p>
          <w:p w:rsidR="00C976C0" w:rsidRDefault="00C976C0">
            <w:pPr>
              <w:spacing w:before="40" w:after="40" w:line="240" w:lineRule="auto"/>
              <w:ind w:firstLine="284"/>
              <w:rPr>
                <w:sz w:val="20"/>
              </w:rPr>
            </w:pPr>
            <w:r>
              <w:rPr>
                <w:sz w:val="20"/>
              </w:rPr>
              <w:t>(%, perioda gada vidējā)</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0.5…1</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1…2</w:t>
            </w:r>
          </w:p>
        </w:tc>
        <w:tc>
          <w:tcPr>
            <w:tcW w:w="857" w:type="pct"/>
            <w:tcBorders>
              <w:top w:val="nil"/>
              <w:left w:val="single" w:sz="4" w:space="0" w:color="8064A2" w:themeColor="accent4"/>
              <w:bottom w:val="nil"/>
              <w:right w:val="nil"/>
            </w:tcBorders>
            <w:vAlign w:val="center"/>
            <w:hideMark/>
          </w:tcPr>
          <w:p w:rsidR="00C976C0" w:rsidRDefault="00C976C0">
            <w:pPr>
              <w:spacing w:before="40" w:after="40" w:line="240" w:lineRule="auto"/>
              <w:jc w:val="center"/>
              <w:rPr>
                <w:sz w:val="20"/>
              </w:rPr>
            </w:pPr>
            <w:r>
              <w:rPr>
                <w:sz w:val="20"/>
              </w:rPr>
              <w:t>2…3</w:t>
            </w:r>
          </w:p>
        </w:tc>
      </w:tr>
      <w:tr w:rsidR="00C976C0" w:rsidTr="00C976C0">
        <w:tc>
          <w:tcPr>
            <w:tcW w:w="2429" w:type="pct"/>
            <w:tcBorders>
              <w:top w:val="nil"/>
              <w:left w:val="nil"/>
              <w:bottom w:val="nil"/>
              <w:right w:val="single" w:sz="4" w:space="0" w:color="8064A2" w:themeColor="accent4"/>
            </w:tcBorders>
            <w:hideMark/>
          </w:tcPr>
          <w:p w:rsidR="00C976C0" w:rsidRDefault="00C976C0">
            <w:pPr>
              <w:spacing w:before="40" w:after="40" w:line="240" w:lineRule="auto"/>
              <w:rPr>
                <w:sz w:val="20"/>
              </w:rPr>
            </w:pPr>
            <w:r>
              <w:rPr>
                <w:sz w:val="20"/>
              </w:rPr>
              <w:t>ES-15 iedzīvotāju skaits (</w:t>
            </w:r>
            <w:proofErr w:type="spellStart"/>
            <w:r>
              <w:rPr>
                <w:sz w:val="20"/>
              </w:rPr>
              <w:t>milj</w:t>
            </w:r>
            <w:proofErr w:type="spellEnd"/>
            <w:r>
              <w:rPr>
                <w:sz w:val="20"/>
              </w:rPr>
              <w:t>.)</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399</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405</w:t>
            </w:r>
          </w:p>
        </w:tc>
        <w:tc>
          <w:tcPr>
            <w:tcW w:w="857" w:type="pct"/>
            <w:tcBorders>
              <w:top w:val="nil"/>
              <w:left w:val="single" w:sz="4" w:space="0" w:color="8064A2" w:themeColor="accent4"/>
              <w:bottom w:val="nil"/>
              <w:right w:val="nil"/>
            </w:tcBorders>
            <w:vAlign w:val="center"/>
            <w:hideMark/>
          </w:tcPr>
          <w:p w:rsidR="00C976C0" w:rsidRDefault="00C976C0">
            <w:pPr>
              <w:spacing w:before="40" w:after="40" w:line="240" w:lineRule="auto"/>
              <w:jc w:val="center"/>
              <w:rPr>
                <w:sz w:val="20"/>
              </w:rPr>
            </w:pPr>
            <w:r>
              <w:rPr>
                <w:sz w:val="20"/>
              </w:rPr>
              <w:t>414</w:t>
            </w:r>
          </w:p>
        </w:tc>
      </w:tr>
      <w:tr w:rsidR="00C976C0" w:rsidTr="00C976C0">
        <w:trPr>
          <w:cnfStyle w:val="000000100000" w:firstRow="0" w:lastRow="0" w:firstColumn="0" w:lastColumn="0" w:oddVBand="0" w:evenVBand="0" w:oddHBand="1" w:evenHBand="0" w:firstRowFirstColumn="0" w:firstRowLastColumn="0" w:lastRowFirstColumn="0" w:lastRowLastColumn="0"/>
        </w:trPr>
        <w:tc>
          <w:tcPr>
            <w:tcW w:w="2429" w:type="pct"/>
            <w:tcBorders>
              <w:top w:val="nil"/>
              <w:left w:val="nil"/>
              <w:bottom w:val="nil"/>
              <w:right w:val="single" w:sz="4" w:space="0" w:color="8064A2" w:themeColor="accent4"/>
            </w:tcBorders>
            <w:hideMark/>
          </w:tcPr>
          <w:p w:rsidR="00C976C0" w:rsidRDefault="00C976C0">
            <w:pPr>
              <w:spacing w:before="40" w:after="40" w:line="240" w:lineRule="auto"/>
              <w:rPr>
                <w:sz w:val="20"/>
              </w:rPr>
            </w:pPr>
            <w:r>
              <w:rPr>
                <w:sz w:val="20"/>
              </w:rPr>
              <w:t>ES-15 IKP pieaugums uz vienu iedzīvotāju</w:t>
            </w:r>
          </w:p>
          <w:p w:rsidR="00C976C0" w:rsidRDefault="00C976C0">
            <w:pPr>
              <w:spacing w:before="40" w:after="40" w:line="240" w:lineRule="auto"/>
              <w:ind w:firstLine="284"/>
              <w:rPr>
                <w:sz w:val="20"/>
              </w:rPr>
            </w:pPr>
            <w:r>
              <w:rPr>
                <w:sz w:val="20"/>
              </w:rPr>
              <w:t>(%, perioda gada vidējā)</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0,5</w:t>
            </w:r>
          </w:p>
        </w:tc>
        <w:tc>
          <w:tcPr>
            <w:tcW w:w="857" w:type="pct"/>
            <w:tcBorders>
              <w:top w:val="nil"/>
              <w:left w:val="single" w:sz="4" w:space="0" w:color="8064A2" w:themeColor="accent4"/>
              <w:bottom w:val="nil"/>
              <w:right w:val="single" w:sz="4" w:space="0" w:color="8064A2" w:themeColor="accent4"/>
            </w:tcBorders>
            <w:vAlign w:val="center"/>
            <w:hideMark/>
          </w:tcPr>
          <w:p w:rsidR="00C976C0" w:rsidRDefault="00C976C0">
            <w:pPr>
              <w:spacing w:before="40" w:after="40" w:line="240" w:lineRule="auto"/>
              <w:jc w:val="center"/>
              <w:rPr>
                <w:sz w:val="20"/>
              </w:rPr>
            </w:pPr>
            <w:r>
              <w:rPr>
                <w:sz w:val="20"/>
              </w:rPr>
              <w:t>1…2,5</w:t>
            </w:r>
          </w:p>
        </w:tc>
        <w:tc>
          <w:tcPr>
            <w:tcW w:w="857" w:type="pct"/>
            <w:tcBorders>
              <w:top w:val="nil"/>
              <w:left w:val="single" w:sz="4" w:space="0" w:color="8064A2" w:themeColor="accent4"/>
              <w:bottom w:val="nil"/>
              <w:right w:val="nil"/>
            </w:tcBorders>
            <w:vAlign w:val="center"/>
            <w:hideMark/>
          </w:tcPr>
          <w:p w:rsidR="00C976C0" w:rsidRDefault="00C976C0">
            <w:pPr>
              <w:spacing w:before="40" w:after="40" w:line="240" w:lineRule="auto"/>
              <w:jc w:val="center"/>
              <w:rPr>
                <w:sz w:val="20"/>
              </w:rPr>
            </w:pPr>
            <w:r>
              <w:rPr>
                <w:sz w:val="20"/>
              </w:rPr>
              <w:t>1,5…3</w:t>
            </w:r>
          </w:p>
        </w:tc>
      </w:tr>
      <w:tr w:rsidR="00C976C0" w:rsidTr="00C976C0">
        <w:tc>
          <w:tcPr>
            <w:tcW w:w="2429" w:type="pct"/>
            <w:tcBorders>
              <w:top w:val="nil"/>
              <w:left w:val="nil"/>
              <w:bottom w:val="single" w:sz="8" w:space="0" w:color="8064A2" w:themeColor="accent4"/>
              <w:right w:val="single" w:sz="4" w:space="0" w:color="8064A2" w:themeColor="accent4"/>
            </w:tcBorders>
            <w:hideMark/>
          </w:tcPr>
          <w:p w:rsidR="00C976C0" w:rsidRDefault="00C976C0">
            <w:pPr>
              <w:spacing w:before="40" w:after="40" w:line="240" w:lineRule="auto"/>
              <w:rPr>
                <w:sz w:val="20"/>
              </w:rPr>
            </w:pPr>
            <w:r>
              <w:rPr>
                <w:sz w:val="20"/>
              </w:rPr>
              <w:t xml:space="preserve">IKP pēc PPS uz iedzīvotāju Latvijā pret </w:t>
            </w:r>
            <w:r>
              <w:rPr>
                <w:sz w:val="20"/>
              </w:rPr>
              <w:br/>
              <w:t>ES-15 vidējo līmeni perioda beigās (%)</w:t>
            </w:r>
          </w:p>
        </w:tc>
        <w:tc>
          <w:tcPr>
            <w:tcW w:w="857" w:type="pct"/>
            <w:tcBorders>
              <w:top w:val="nil"/>
              <w:left w:val="single" w:sz="4" w:space="0" w:color="8064A2" w:themeColor="accent4"/>
              <w:bottom w:val="single" w:sz="8" w:space="0" w:color="8064A2" w:themeColor="accent4"/>
              <w:right w:val="single" w:sz="4" w:space="0" w:color="8064A2" w:themeColor="accent4"/>
            </w:tcBorders>
            <w:vAlign w:val="center"/>
            <w:hideMark/>
          </w:tcPr>
          <w:p w:rsidR="00C976C0" w:rsidRDefault="00C976C0">
            <w:pPr>
              <w:spacing w:before="40" w:after="40" w:line="240" w:lineRule="auto"/>
              <w:jc w:val="center"/>
              <w:rPr>
                <w:sz w:val="20"/>
              </w:rPr>
            </w:pPr>
            <w:r>
              <w:rPr>
                <w:sz w:val="20"/>
              </w:rPr>
              <w:t>55</w:t>
            </w:r>
          </w:p>
        </w:tc>
        <w:tc>
          <w:tcPr>
            <w:tcW w:w="857" w:type="pct"/>
            <w:tcBorders>
              <w:top w:val="nil"/>
              <w:left w:val="single" w:sz="4" w:space="0" w:color="8064A2" w:themeColor="accent4"/>
              <w:bottom w:val="single" w:sz="8" w:space="0" w:color="8064A2" w:themeColor="accent4"/>
              <w:right w:val="single" w:sz="4" w:space="0" w:color="8064A2" w:themeColor="accent4"/>
            </w:tcBorders>
            <w:vAlign w:val="center"/>
            <w:hideMark/>
          </w:tcPr>
          <w:p w:rsidR="00C976C0" w:rsidRDefault="00C976C0">
            <w:pPr>
              <w:spacing w:before="40" w:after="40" w:line="240" w:lineRule="auto"/>
              <w:jc w:val="center"/>
              <w:rPr>
                <w:sz w:val="20"/>
              </w:rPr>
            </w:pPr>
            <w:r>
              <w:rPr>
                <w:sz w:val="20"/>
              </w:rPr>
              <w:t>67</w:t>
            </w:r>
          </w:p>
        </w:tc>
        <w:tc>
          <w:tcPr>
            <w:tcW w:w="857" w:type="pct"/>
            <w:tcBorders>
              <w:top w:val="nil"/>
              <w:left w:val="single" w:sz="4" w:space="0" w:color="8064A2" w:themeColor="accent4"/>
              <w:bottom w:val="single" w:sz="8" w:space="0" w:color="8064A2" w:themeColor="accent4"/>
              <w:right w:val="nil"/>
            </w:tcBorders>
            <w:vAlign w:val="center"/>
            <w:hideMark/>
          </w:tcPr>
          <w:p w:rsidR="00C976C0" w:rsidRDefault="00C976C0">
            <w:pPr>
              <w:spacing w:before="40" w:after="40" w:line="240" w:lineRule="auto"/>
              <w:jc w:val="center"/>
              <w:rPr>
                <w:sz w:val="20"/>
              </w:rPr>
            </w:pPr>
            <w:r>
              <w:rPr>
                <w:sz w:val="20"/>
              </w:rPr>
              <w:t>72</w:t>
            </w:r>
          </w:p>
        </w:tc>
      </w:tr>
    </w:tbl>
    <w:p w:rsidR="00C976C0" w:rsidRDefault="00C976C0" w:rsidP="00C976C0">
      <w:pPr>
        <w:spacing w:after="0" w:line="240" w:lineRule="auto"/>
        <w:jc w:val="both"/>
        <w:rPr>
          <w:spacing w:val="-4"/>
          <w:sz w:val="26"/>
          <w:szCs w:val="26"/>
          <w:lang w:eastAsia="lv-LV"/>
        </w:rPr>
      </w:pPr>
    </w:p>
    <w:p w:rsidR="00C976C0" w:rsidRDefault="00C976C0" w:rsidP="00C976C0">
      <w:pPr>
        <w:pStyle w:val="ListParagraph"/>
        <w:spacing w:before="120" w:after="120" w:line="240" w:lineRule="auto"/>
        <w:ind w:left="0" w:firstLine="567"/>
        <w:jc w:val="right"/>
        <w:rPr>
          <w:sz w:val="26"/>
          <w:szCs w:val="26"/>
        </w:rPr>
      </w:pPr>
      <w:bookmarkStart w:id="40" w:name="_Toc326853876"/>
      <w:r>
        <w:rPr>
          <w:sz w:val="26"/>
          <w:szCs w:val="26"/>
        </w:rPr>
        <w:lastRenderedPageBreak/>
        <w:t xml:space="preserve">3.2. </w:t>
      </w:r>
      <w:bookmarkEnd w:id="40"/>
      <w:r>
        <w:rPr>
          <w:sz w:val="26"/>
          <w:szCs w:val="26"/>
        </w:rPr>
        <w:t>attēls</w:t>
      </w:r>
    </w:p>
    <w:p w:rsidR="00C976C0" w:rsidRDefault="00C976C0" w:rsidP="00C976C0">
      <w:pPr>
        <w:spacing w:after="60" w:line="240" w:lineRule="auto"/>
        <w:jc w:val="center"/>
        <w:rPr>
          <w:b/>
          <w:sz w:val="26"/>
          <w:szCs w:val="26"/>
        </w:rPr>
      </w:pPr>
      <w:r>
        <w:rPr>
          <w:b/>
          <w:sz w:val="26"/>
          <w:szCs w:val="26"/>
        </w:rPr>
        <w:t>IKP dinamika</w:t>
      </w:r>
    </w:p>
    <w:p w:rsidR="00C976C0" w:rsidRDefault="00C976C0" w:rsidP="00C976C0">
      <w:pPr>
        <w:spacing w:after="0" w:line="240" w:lineRule="auto"/>
        <w:jc w:val="center"/>
        <w:rPr>
          <w:spacing w:val="-4"/>
          <w:sz w:val="26"/>
          <w:szCs w:val="26"/>
          <w:lang w:eastAsia="lv-LV"/>
        </w:rPr>
      </w:pPr>
      <w:r>
        <w:rPr>
          <w:noProof/>
          <w:spacing w:val="-4"/>
          <w:sz w:val="26"/>
          <w:szCs w:val="26"/>
          <w:lang w:eastAsia="lv-LV"/>
        </w:rPr>
        <w:drawing>
          <wp:inline distT="0" distB="0" distL="0" distR="0">
            <wp:extent cx="4324350" cy="2165350"/>
            <wp:effectExtent l="0" t="0" r="0" b="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976C0" w:rsidRDefault="00C976C0" w:rsidP="00C976C0">
      <w:pPr>
        <w:spacing w:after="0" w:line="240" w:lineRule="auto"/>
        <w:jc w:val="both"/>
        <w:rPr>
          <w:spacing w:val="-4"/>
          <w:sz w:val="26"/>
          <w:szCs w:val="26"/>
          <w:lang w:eastAsia="lv-LV"/>
        </w:rPr>
      </w:pPr>
    </w:p>
    <w:p w:rsidR="00C976C0" w:rsidRDefault="00C976C0" w:rsidP="00C976C0">
      <w:pPr>
        <w:spacing w:after="0" w:line="240" w:lineRule="auto"/>
        <w:ind w:firstLine="567"/>
        <w:jc w:val="both"/>
        <w:rPr>
          <w:spacing w:val="-4"/>
          <w:sz w:val="26"/>
          <w:szCs w:val="26"/>
          <w:lang w:eastAsia="lv-LV"/>
        </w:rPr>
      </w:pPr>
      <w:r>
        <w:rPr>
          <w:spacing w:val="-4"/>
          <w:sz w:val="26"/>
          <w:szCs w:val="26"/>
          <w:lang w:eastAsia="lv-LV"/>
        </w:rPr>
        <w:t>Latvijas tautsaimniecības attīstības scenārijā pieņemts, ka Latvija līdz 2020.gadam sekmīgi realizē izaugsmes potenciāla stiprināšanas struktūrpolitiku, vienlaikus pieņemot, ka globālās ekonomikas un ES attīstība ir stabila, kas ļauj Latvijai vidēji ik gadu līdz 2020.gadam palielināt IKP apjomu vismaz par 4-5%. Tuvojoties ES vidējam līmenim, nākošā desmitgadē izaugsmes tempi var nedaudz samazināties.</w:t>
      </w:r>
    </w:p>
    <w:p w:rsidR="0077399B" w:rsidRDefault="0077399B" w:rsidP="0077399B">
      <w:pPr>
        <w:spacing w:after="0" w:line="240" w:lineRule="auto"/>
        <w:jc w:val="both"/>
        <w:rPr>
          <w:spacing w:val="-4"/>
          <w:sz w:val="26"/>
          <w:szCs w:val="26"/>
          <w:lang w:eastAsia="lv-LV"/>
        </w:rPr>
      </w:pPr>
    </w:p>
    <w:p w:rsidR="00CB0535" w:rsidRDefault="00CB0535" w:rsidP="00CB0535">
      <w:pPr>
        <w:spacing w:after="0" w:line="240" w:lineRule="auto"/>
        <w:jc w:val="both"/>
        <w:rPr>
          <w:b/>
          <w:sz w:val="26"/>
          <w:szCs w:val="26"/>
        </w:rPr>
      </w:pPr>
      <w:r>
        <w:rPr>
          <w:b/>
          <w:sz w:val="26"/>
          <w:szCs w:val="26"/>
        </w:rPr>
        <w:t xml:space="preserve">Demogrāfijas un </w:t>
      </w:r>
      <w:r w:rsidR="00895051">
        <w:rPr>
          <w:b/>
          <w:sz w:val="26"/>
          <w:szCs w:val="26"/>
        </w:rPr>
        <w:t>darbaspēka piedāvājuma scenārijs</w:t>
      </w:r>
    </w:p>
    <w:p w:rsidR="00CB0535" w:rsidRPr="00F06D55" w:rsidRDefault="00CB0535" w:rsidP="00CB0535">
      <w:pPr>
        <w:spacing w:after="0" w:line="240" w:lineRule="auto"/>
        <w:jc w:val="both"/>
        <w:rPr>
          <w:sz w:val="8"/>
          <w:szCs w:val="8"/>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Saskaņā ar EM demogrāfijas prognozēm iedzīvotāju skaits Latvijā vidējā un ilgtermiņā turpinās samazināties, pie tam darbaspējas vecumā iedzīvotāju skaits samazināsies straujāk nekā kopējais iedzīvotāju skaits. </w:t>
      </w:r>
      <w:r w:rsidR="00895051">
        <w:rPr>
          <w:color w:val="000000" w:themeColor="text1"/>
          <w:sz w:val="26"/>
          <w:szCs w:val="26"/>
        </w:rPr>
        <w:t>G</w:t>
      </w:r>
      <w:r w:rsidRPr="00F06D55">
        <w:rPr>
          <w:color w:val="000000" w:themeColor="text1"/>
          <w:sz w:val="26"/>
          <w:szCs w:val="26"/>
        </w:rPr>
        <w:t>alvenais iedzīvotāju skaita samazināšanās iemesls gan vidējā, gan ilgtermiņā būs iedzīvotāju novecošanās, kā rezultātā turpinās palielināties starpība starp dzimstības un mirstības rādītājiem.</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Lai arī iedzīvotāju skaits darbaspējas vecumā arī turpmāk samazināsies, ekonomiski aktīvo iedzīvotāju skaits vidēja termiņā samazināsies lēnāk. Savukārt ilgtermiņa perspektīvā, līdz ar situācijas uzlabošanos darba tirgū, ekonomiski aktīvo iedzīvotāju skaits varētu pat atsākt palielināties, ko pamatā noteiks iedzīvotāju ekonomiskās aktivitātes pakāpeniska palielināšanās, īpaši jauniešu un pirmspensijas vecuma kohortās.</w:t>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jc w:val="both"/>
        <w:rPr>
          <w:b/>
          <w:color w:val="000000" w:themeColor="text1"/>
          <w:sz w:val="26"/>
          <w:szCs w:val="26"/>
        </w:rPr>
      </w:pPr>
      <w:r w:rsidRPr="00F06D55">
        <w:rPr>
          <w:b/>
          <w:color w:val="000000" w:themeColor="text1"/>
          <w:sz w:val="26"/>
          <w:szCs w:val="26"/>
        </w:rPr>
        <w:t>Mirstība un dzimstība</w:t>
      </w:r>
    </w:p>
    <w:p w:rsidR="00CB0535" w:rsidRPr="00414DFF" w:rsidRDefault="00CB0535" w:rsidP="00CB0535">
      <w:pPr>
        <w:spacing w:after="0" w:line="240" w:lineRule="auto"/>
        <w:jc w:val="both"/>
        <w:rPr>
          <w:color w:val="000000" w:themeColor="text1"/>
          <w:sz w:val="8"/>
          <w:szCs w:val="8"/>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Dzimstības rādītāju bāzes tendences līdz 2030.gadam kopumā uzlabosies, tomēr līdz ar reproduktīvā vecuma sieviešu novecošanos, jaundzimušo ska</w:t>
      </w:r>
      <w:r w:rsidR="005777D9">
        <w:rPr>
          <w:color w:val="000000" w:themeColor="text1"/>
          <w:sz w:val="26"/>
          <w:szCs w:val="26"/>
        </w:rPr>
        <w:t>i</w:t>
      </w:r>
      <w:r w:rsidRPr="00F06D55">
        <w:rPr>
          <w:color w:val="000000" w:themeColor="text1"/>
          <w:sz w:val="26"/>
          <w:szCs w:val="26"/>
        </w:rPr>
        <w:t>ts turpmāk saruks.</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Summārais dzimstības koeficents līdz 2030.gadam palielināsies par aptuveni 5,5%, salīdzinot ar 2012.gadu. Attiecīgi 2030.gadā summārais dzimstības koeficents varētu nedaudz pārsniegt 1,5. Jāatzīmē, ka, lai notiktu normāla paaudžu nomaiņa, summārajam dzimstības rādītājam vajadzētu būt ne mazākam kā 2. Rādītāja vērtība augstāka par 2 pēdējo reizi Latvijā bija vērojama pirms vairāk nekā 20 gadiem – pagājušā gadsimta 80.gadu beigās.</w:t>
      </w:r>
    </w:p>
    <w:p w:rsidR="00521971" w:rsidRDefault="00521971">
      <w:pPr>
        <w:spacing w:after="0" w:line="240" w:lineRule="auto"/>
        <w:rPr>
          <w:color w:val="000000" w:themeColor="text1"/>
          <w:sz w:val="26"/>
          <w:szCs w:val="26"/>
        </w:rPr>
      </w:pPr>
      <w:r>
        <w:rPr>
          <w:color w:val="000000" w:themeColor="text1"/>
          <w:sz w:val="26"/>
          <w:szCs w:val="26"/>
        </w:rPr>
        <w:br w:type="page"/>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lastRenderedPageBreak/>
        <w:t>3.2. tabula</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Iedzīvotāju dabiskās kustības galvenie rādītāji</w:t>
      </w:r>
    </w:p>
    <w:p w:rsidR="00CB0535" w:rsidRPr="00F06D55" w:rsidRDefault="00CB0535" w:rsidP="00CB0535">
      <w:pPr>
        <w:spacing w:after="0" w:line="240" w:lineRule="auto"/>
        <w:jc w:val="center"/>
        <w:rPr>
          <w:color w:val="000000" w:themeColor="text1"/>
          <w:sz w:val="16"/>
          <w:szCs w:val="16"/>
        </w:rPr>
      </w:pPr>
    </w:p>
    <w:tbl>
      <w:tblPr>
        <w:tblStyle w:val="LightShading-Accent4"/>
        <w:tblW w:w="4910" w:type="pct"/>
        <w:jc w:val="center"/>
        <w:tblLook w:val="0400" w:firstRow="0" w:lastRow="0" w:firstColumn="0" w:lastColumn="0" w:noHBand="0" w:noVBand="1"/>
      </w:tblPr>
      <w:tblGrid>
        <w:gridCol w:w="5035"/>
        <w:gridCol w:w="1363"/>
        <w:gridCol w:w="1361"/>
        <w:gridCol w:w="1361"/>
      </w:tblGrid>
      <w:tr w:rsidR="00F06D55" w:rsidRPr="00F06D55" w:rsidTr="00521971">
        <w:trPr>
          <w:cnfStyle w:val="000000100000" w:firstRow="0" w:lastRow="0" w:firstColumn="0" w:lastColumn="0" w:oddVBand="0" w:evenVBand="0" w:oddHBand="1" w:evenHBand="0" w:firstRowFirstColumn="0" w:firstRowLastColumn="0" w:lastRowFirstColumn="0" w:lastRowLastColumn="0"/>
          <w:trHeight w:val="269"/>
          <w:jc w:val="center"/>
        </w:trPr>
        <w:tc>
          <w:tcPr>
            <w:tcW w:w="2761" w:type="pct"/>
            <w:tcBorders>
              <w:bottom w:val="nil"/>
              <w:right w:val="single" w:sz="4" w:space="0" w:color="8064A2" w:themeColor="accent4"/>
            </w:tcBorders>
            <w:noWrap/>
          </w:tcPr>
          <w:p w:rsidR="00CB0535" w:rsidRPr="00F06D55" w:rsidRDefault="00CB0535">
            <w:pPr>
              <w:spacing w:before="40" w:after="40" w:line="240" w:lineRule="auto"/>
              <w:jc w:val="center"/>
              <w:rPr>
                <w:rFonts w:eastAsia="Arial Unicode MS"/>
                <w:color w:val="000000" w:themeColor="text1"/>
                <w:sz w:val="20"/>
              </w:rPr>
            </w:pPr>
          </w:p>
        </w:tc>
        <w:tc>
          <w:tcPr>
            <w:tcW w:w="747" w:type="pct"/>
            <w:tcBorders>
              <w:top w:val="single" w:sz="8" w:space="0" w:color="8064A2" w:themeColor="accent4"/>
              <w:left w:val="single" w:sz="4" w:space="0" w:color="8064A2" w:themeColor="accent4"/>
              <w:bottom w:val="nil"/>
              <w:right w:val="single" w:sz="4"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Fakts</w:t>
            </w:r>
          </w:p>
        </w:tc>
        <w:tc>
          <w:tcPr>
            <w:tcW w:w="1492" w:type="pct"/>
            <w:gridSpan w:val="2"/>
            <w:tcBorders>
              <w:top w:val="single" w:sz="8" w:space="0" w:color="8064A2" w:themeColor="accent4"/>
              <w:left w:val="single" w:sz="4" w:space="0" w:color="8064A2" w:themeColor="accent4"/>
              <w:bottom w:val="nil"/>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Prognoze</w:t>
            </w:r>
          </w:p>
        </w:tc>
      </w:tr>
      <w:tr w:rsidR="00F06D55" w:rsidRPr="00F06D55" w:rsidTr="00521971">
        <w:trPr>
          <w:trHeight w:val="129"/>
          <w:jc w:val="center"/>
        </w:trPr>
        <w:tc>
          <w:tcPr>
            <w:tcW w:w="2761" w:type="pct"/>
            <w:tcBorders>
              <w:top w:val="nil"/>
              <w:bottom w:val="single" w:sz="8" w:space="0" w:color="8064A2" w:themeColor="accent4"/>
              <w:right w:val="single" w:sz="4" w:space="0" w:color="8064A2" w:themeColor="accent4"/>
            </w:tcBorders>
            <w:noWrap/>
          </w:tcPr>
          <w:p w:rsidR="00CB0535" w:rsidRPr="00F06D55" w:rsidRDefault="00CB0535">
            <w:pPr>
              <w:spacing w:before="40" w:after="40" w:line="240" w:lineRule="auto"/>
              <w:jc w:val="both"/>
              <w:rPr>
                <w:rFonts w:eastAsia="Arial Unicode MS"/>
                <w:color w:val="000000" w:themeColor="text1"/>
                <w:sz w:val="20"/>
              </w:rPr>
            </w:pPr>
          </w:p>
        </w:tc>
        <w:tc>
          <w:tcPr>
            <w:tcW w:w="747" w:type="pct"/>
            <w:tcBorders>
              <w:top w:val="nil"/>
              <w:left w:val="single" w:sz="4" w:space="0" w:color="8064A2" w:themeColor="accent4"/>
              <w:bottom w:val="single" w:sz="8" w:space="0" w:color="8064A2" w:themeColor="accent4"/>
              <w:right w:val="single" w:sz="4"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2012</w:t>
            </w:r>
          </w:p>
        </w:tc>
        <w:tc>
          <w:tcPr>
            <w:tcW w:w="746" w:type="pct"/>
            <w:tcBorders>
              <w:top w:val="nil"/>
              <w:left w:val="single" w:sz="4"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2020</w:t>
            </w:r>
          </w:p>
        </w:tc>
        <w:tc>
          <w:tcPr>
            <w:tcW w:w="746" w:type="pct"/>
            <w:tcBorders>
              <w:top w:val="nil"/>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2030</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trHeight w:val="257"/>
          <w:jc w:val="center"/>
        </w:trPr>
        <w:tc>
          <w:tcPr>
            <w:tcW w:w="2761" w:type="pct"/>
            <w:tcBorders>
              <w:top w:val="single" w:sz="8" w:space="0" w:color="8064A2" w:themeColor="accent4"/>
              <w:right w:val="single" w:sz="4" w:space="0" w:color="8064A2" w:themeColor="accent4"/>
            </w:tcBorders>
            <w:hideMark/>
          </w:tcPr>
          <w:p w:rsidR="00CB0535" w:rsidRPr="00F06D55" w:rsidRDefault="00CB0535">
            <w:pPr>
              <w:spacing w:before="40" w:after="40" w:line="240" w:lineRule="auto"/>
              <w:rPr>
                <w:color w:val="000000" w:themeColor="text1"/>
                <w:sz w:val="20"/>
              </w:rPr>
            </w:pPr>
            <w:r w:rsidRPr="00F06D55">
              <w:rPr>
                <w:bCs/>
                <w:color w:val="000000" w:themeColor="text1"/>
                <w:sz w:val="20"/>
              </w:rPr>
              <w:t xml:space="preserve">Jaundzimušo skaits uz 1000 iedzīvotājiem </w:t>
            </w:r>
          </w:p>
        </w:tc>
        <w:tc>
          <w:tcPr>
            <w:tcW w:w="747" w:type="pct"/>
            <w:tcBorders>
              <w:top w:val="single" w:sz="8" w:space="0" w:color="8064A2" w:themeColor="accent4"/>
              <w:left w:val="single" w:sz="4" w:space="0" w:color="8064A2" w:themeColor="accent4"/>
              <w:bottom w:val="nil"/>
              <w:right w:val="single" w:sz="4"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9,8</w:t>
            </w:r>
          </w:p>
        </w:tc>
        <w:tc>
          <w:tcPr>
            <w:tcW w:w="746" w:type="pct"/>
            <w:tcBorders>
              <w:top w:val="single" w:sz="8" w:space="0" w:color="8064A2" w:themeColor="accent4"/>
              <w:left w:val="single" w:sz="4" w:space="0" w:color="8064A2" w:themeColor="accent4"/>
            </w:tcBorders>
            <w:hideMark/>
          </w:tcPr>
          <w:p w:rsidR="00CB0535" w:rsidRPr="00F06D55" w:rsidRDefault="00CB0535">
            <w:pPr>
              <w:tabs>
                <w:tab w:val="decimal" w:pos="607"/>
              </w:tabs>
              <w:spacing w:before="40" w:after="40" w:line="240" w:lineRule="auto"/>
              <w:rPr>
                <w:color w:val="000000" w:themeColor="text1"/>
                <w:sz w:val="20"/>
              </w:rPr>
            </w:pPr>
            <w:r w:rsidRPr="00F06D55">
              <w:rPr>
                <w:color w:val="000000" w:themeColor="text1"/>
                <w:sz w:val="20"/>
              </w:rPr>
              <w:t>9,1</w:t>
            </w:r>
          </w:p>
        </w:tc>
        <w:tc>
          <w:tcPr>
            <w:tcW w:w="746" w:type="pct"/>
            <w:tcBorders>
              <w:top w:val="single" w:sz="8"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8,3</w:t>
            </w:r>
          </w:p>
        </w:tc>
      </w:tr>
      <w:tr w:rsidR="00F06D55" w:rsidRPr="00F06D55" w:rsidTr="00521971">
        <w:trPr>
          <w:trHeight w:val="201"/>
          <w:jc w:val="center"/>
        </w:trPr>
        <w:tc>
          <w:tcPr>
            <w:tcW w:w="2761" w:type="pct"/>
            <w:tcBorders>
              <w:right w:val="single" w:sz="4" w:space="0" w:color="8064A2" w:themeColor="accent4"/>
            </w:tcBorders>
            <w:hideMark/>
          </w:tcPr>
          <w:p w:rsidR="00CB0535" w:rsidRPr="00F06D55" w:rsidRDefault="00CB0535">
            <w:pPr>
              <w:spacing w:before="40" w:after="40" w:line="240" w:lineRule="auto"/>
              <w:rPr>
                <w:color w:val="000000" w:themeColor="text1"/>
                <w:sz w:val="20"/>
              </w:rPr>
            </w:pPr>
            <w:r w:rsidRPr="00F06D55">
              <w:rPr>
                <w:bCs/>
                <w:color w:val="000000" w:themeColor="text1"/>
                <w:sz w:val="20"/>
              </w:rPr>
              <w:t xml:space="preserve">Mirstība uz 1000 iedzīvotājiem </w:t>
            </w:r>
          </w:p>
        </w:tc>
        <w:tc>
          <w:tcPr>
            <w:tcW w:w="747" w:type="pct"/>
            <w:tcBorders>
              <w:top w:val="nil"/>
              <w:left w:val="single" w:sz="4" w:space="0" w:color="8064A2" w:themeColor="accent4"/>
              <w:bottom w:val="nil"/>
              <w:right w:val="single" w:sz="4"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13,8</w:t>
            </w:r>
          </w:p>
        </w:tc>
        <w:tc>
          <w:tcPr>
            <w:tcW w:w="746" w:type="pct"/>
            <w:tcBorders>
              <w:left w:val="single" w:sz="4" w:space="0" w:color="8064A2" w:themeColor="accent4"/>
            </w:tcBorders>
            <w:hideMark/>
          </w:tcPr>
          <w:p w:rsidR="00CB0535" w:rsidRPr="00F06D55" w:rsidRDefault="00CB0535">
            <w:pPr>
              <w:tabs>
                <w:tab w:val="decimal" w:pos="607"/>
              </w:tabs>
              <w:spacing w:before="40" w:after="40" w:line="240" w:lineRule="auto"/>
              <w:rPr>
                <w:color w:val="000000" w:themeColor="text1"/>
                <w:sz w:val="20"/>
              </w:rPr>
            </w:pPr>
            <w:r w:rsidRPr="00F06D55">
              <w:rPr>
                <w:color w:val="000000" w:themeColor="text1"/>
                <w:sz w:val="20"/>
              </w:rPr>
              <w:t>15,8</w:t>
            </w:r>
          </w:p>
        </w:tc>
        <w:tc>
          <w:tcPr>
            <w:tcW w:w="746" w:type="pct"/>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16,4</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trHeight w:val="309"/>
          <w:jc w:val="center"/>
        </w:trPr>
        <w:tc>
          <w:tcPr>
            <w:tcW w:w="2761" w:type="pct"/>
            <w:tcBorders>
              <w:right w:val="single" w:sz="4" w:space="0" w:color="8064A2" w:themeColor="accent4"/>
            </w:tcBorders>
            <w:hideMark/>
          </w:tcPr>
          <w:p w:rsidR="00CB0535" w:rsidRPr="00F06D55" w:rsidRDefault="00CB0535">
            <w:pPr>
              <w:spacing w:before="40" w:after="40" w:line="240" w:lineRule="auto"/>
              <w:rPr>
                <w:color w:val="000000" w:themeColor="text1"/>
                <w:sz w:val="20"/>
              </w:rPr>
            </w:pPr>
            <w:r w:rsidRPr="00F06D55">
              <w:rPr>
                <w:bCs/>
                <w:color w:val="000000" w:themeColor="text1"/>
                <w:sz w:val="20"/>
              </w:rPr>
              <w:t>Dabiskais pieaugums uz 1000 iedzīvotājiem</w:t>
            </w:r>
          </w:p>
        </w:tc>
        <w:tc>
          <w:tcPr>
            <w:tcW w:w="747" w:type="pct"/>
            <w:tcBorders>
              <w:top w:val="nil"/>
              <w:left w:val="single" w:sz="4" w:space="0" w:color="8064A2" w:themeColor="accent4"/>
              <w:bottom w:val="nil"/>
              <w:right w:val="single" w:sz="4"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-4,5</w:t>
            </w:r>
          </w:p>
        </w:tc>
        <w:tc>
          <w:tcPr>
            <w:tcW w:w="746" w:type="pct"/>
            <w:tcBorders>
              <w:left w:val="single" w:sz="4" w:space="0" w:color="8064A2" w:themeColor="accent4"/>
            </w:tcBorders>
            <w:hideMark/>
          </w:tcPr>
          <w:p w:rsidR="00CB0535" w:rsidRPr="00F06D55" w:rsidRDefault="00CB0535">
            <w:pPr>
              <w:tabs>
                <w:tab w:val="decimal" w:pos="607"/>
              </w:tabs>
              <w:spacing w:before="40" w:after="40" w:line="240" w:lineRule="auto"/>
              <w:rPr>
                <w:color w:val="000000" w:themeColor="text1"/>
                <w:sz w:val="20"/>
              </w:rPr>
            </w:pPr>
            <w:r w:rsidRPr="00F06D55">
              <w:rPr>
                <w:color w:val="000000" w:themeColor="text1"/>
                <w:sz w:val="20"/>
              </w:rPr>
              <w:t>-6,7</w:t>
            </w:r>
          </w:p>
        </w:tc>
        <w:tc>
          <w:tcPr>
            <w:tcW w:w="746" w:type="pct"/>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-8,1</w:t>
            </w:r>
          </w:p>
        </w:tc>
      </w:tr>
      <w:tr w:rsidR="00F06D55" w:rsidRPr="00F06D55" w:rsidTr="00521971">
        <w:trPr>
          <w:trHeight w:val="315"/>
          <w:jc w:val="center"/>
        </w:trPr>
        <w:tc>
          <w:tcPr>
            <w:tcW w:w="2761" w:type="pct"/>
            <w:tcBorders>
              <w:right w:val="single" w:sz="4" w:space="0" w:color="8064A2" w:themeColor="accent4"/>
            </w:tcBorders>
            <w:hideMark/>
          </w:tcPr>
          <w:p w:rsidR="00CB0535" w:rsidRPr="00F06D55" w:rsidRDefault="00CB0535">
            <w:pPr>
              <w:spacing w:before="40" w:after="40" w:line="240" w:lineRule="auto"/>
              <w:rPr>
                <w:color w:val="000000" w:themeColor="text1"/>
                <w:sz w:val="20"/>
              </w:rPr>
            </w:pPr>
            <w:r w:rsidRPr="00F06D55">
              <w:rPr>
                <w:bCs/>
                <w:color w:val="000000" w:themeColor="text1"/>
                <w:sz w:val="20"/>
              </w:rPr>
              <w:t>Summārais dzimstības koeficents</w:t>
            </w:r>
          </w:p>
        </w:tc>
        <w:tc>
          <w:tcPr>
            <w:tcW w:w="747" w:type="pct"/>
            <w:tcBorders>
              <w:top w:val="nil"/>
              <w:left w:val="single" w:sz="4" w:space="0" w:color="8064A2" w:themeColor="accent4"/>
              <w:bottom w:val="nil"/>
              <w:right w:val="single" w:sz="4"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1,454</w:t>
            </w:r>
          </w:p>
        </w:tc>
        <w:tc>
          <w:tcPr>
            <w:tcW w:w="746" w:type="pct"/>
            <w:tcBorders>
              <w:left w:val="single" w:sz="4" w:space="0" w:color="8064A2" w:themeColor="accent4"/>
            </w:tcBorders>
            <w:hideMark/>
          </w:tcPr>
          <w:p w:rsidR="00CB0535" w:rsidRPr="00F06D55" w:rsidRDefault="00CB0535">
            <w:pPr>
              <w:tabs>
                <w:tab w:val="decimal" w:pos="607"/>
              </w:tabs>
              <w:spacing w:before="40" w:after="40" w:line="240" w:lineRule="auto"/>
              <w:rPr>
                <w:color w:val="000000" w:themeColor="text1"/>
                <w:sz w:val="20"/>
              </w:rPr>
            </w:pPr>
            <w:r w:rsidRPr="00F06D55">
              <w:rPr>
                <w:color w:val="000000" w:themeColor="text1"/>
                <w:sz w:val="20"/>
              </w:rPr>
              <w:t>1,515</w:t>
            </w:r>
          </w:p>
        </w:tc>
        <w:tc>
          <w:tcPr>
            <w:tcW w:w="746" w:type="pct"/>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1,534</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trHeight w:val="261"/>
          <w:jc w:val="center"/>
        </w:trPr>
        <w:tc>
          <w:tcPr>
            <w:tcW w:w="2761" w:type="pct"/>
            <w:tcBorders>
              <w:right w:val="single" w:sz="4" w:space="0" w:color="8064A2" w:themeColor="accent4"/>
            </w:tcBorders>
            <w:hideMark/>
          </w:tcPr>
          <w:p w:rsidR="00CB0535" w:rsidRPr="00F06D55" w:rsidRDefault="00CB0535">
            <w:pPr>
              <w:spacing w:before="40" w:after="40" w:line="240" w:lineRule="auto"/>
              <w:rPr>
                <w:color w:val="000000" w:themeColor="text1"/>
                <w:sz w:val="20"/>
              </w:rPr>
            </w:pPr>
            <w:r w:rsidRPr="00F06D55">
              <w:rPr>
                <w:bCs/>
                <w:color w:val="000000" w:themeColor="text1"/>
                <w:sz w:val="20"/>
              </w:rPr>
              <w:t>Jaundzimušo vidējais paredzamais mūža ilgums</w:t>
            </w:r>
            <w:r w:rsidR="00F06D55" w:rsidRPr="00F06D55">
              <w:rPr>
                <w:bCs/>
                <w:color w:val="000000" w:themeColor="text1"/>
                <w:sz w:val="20"/>
              </w:rPr>
              <w:t xml:space="preserve"> (gados)</w:t>
            </w:r>
          </w:p>
        </w:tc>
        <w:tc>
          <w:tcPr>
            <w:tcW w:w="747" w:type="pct"/>
            <w:tcBorders>
              <w:top w:val="nil"/>
              <w:left w:val="single" w:sz="4" w:space="0" w:color="8064A2" w:themeColor="accent4"/>
              <w:bottom w:val="single" w:sz="8" w:space="0" w:color="8064A2" w:themeColor="accent4"/>
              <w:right w:val="single" w:sz="4" w:space="0" w:color="8064A2" w:themeColor="accent4"/>
            </w:tcBorders>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73,7</w:t>
            </w:r>
          </w:p>
        </w:tc>
        <w:tc>
          <w:tcPr>
            <w:tcW w:w="746" w:type="pct"/>
            <w:tcBorders>
              <w:left w:val="single" w:sz="4" w:space="0" w:color="8064A2" w:themeColor="accent4"/>
              <w:bottom w:val="single" w:sz="8" w:space="0" w:color="8064A2" w:themeColor="accent4"/>
            </w:tcBorders>
            <w:hideMark/>
          </w:tcPr>
          <w:p w:rsidR="00CB0535" w:rsidRPr="00F06D55" w:rsidRDefault="00CB0535">
            <w:pPr>
              <w:tabs>
                <w:tab w:val="decimal" w:pos="607"/>
              </w:tabs>
              <w:spacing w:before="40" w:after="40" w:line="240" w:lineRule="auto"/>
              <w:rPr>
                <w:color w:val="000000" w:themeColor="text1"/>
                <w:sz w:val="20"/>
              </w:rPr>
            </w:pPr>
            <w:r w:rsidRPr="00F06D55">
              <w:rPr>
                <w:color w:val="000000" w:themeColor="text1"/>
                <w:sz w:val="20"/>
              </w:rPr>
              <w:t>74,4</w:t>
            </w:r>
          </w:p>
        </w:tc>
        <w:tc>
          <w:tcPr>
            <w:tcW w:w="746" w:type="pct"/>
            <w:hideMark/>
          </w:tcPr>
          <w:p w:rsidR="00CB0535" w:rsidRPr="00F06D55" w:rsidRDefault="00CB0535">
            <w:pPr>
              <w:tabs>
                <w:tab w:val="decimal" w:pos="552"/>
              </w:tabs>
              <w:spacing w:before="40" w:after="40" w:line="240" w:lineRule="auto"/>
              <w:rPr>
                <w:color w:val="000000" w:themeColor="text1"/>
                <w:sz w:val="20"/>
              </w:rPr>
            </w:pPr>
            <w:r w:rsidRPr="00F06D55">
              <w:rPr>
                <w:color w:val="000000" w:themeColor="text1"/>
                <w:sz w:val="20"/>
              </w:rPr>
              <w:t>74,9</w:t>
            </w:r>
          </w:p>
        </w:tc>
      </w:tr>
    </w:tbl>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Iedzīvotāju mirstībai līdz 2030.gadam visās vecuma grupās būs tendence samazināsies. Vienlaikus, dēļ iedzīvotāju novecošanās un būtiskām izmaiņām iedzīvotāju vecuma struktūrā, kopumā mirstība uz 1000 iedzīvotājiem turpinās palielināties. Ņemot vērā to, arī iedzīvotāju dabiskais pieaugums līdz 2030.gadam saglabāsies negatīvs, pie tam negatīvais saldo starp dzimstību un mirstību tupinās palielināties.</w:t>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rPr>
          <w:b/>
          <w:color w:val="000000" w:themeColor="text1"/>
          <w:sz w:val="26"/>
          <w:szCs w:val="26"/>
        </w:rPr>
      </w:pPr>
      <w:r w:rsidRPr="00F06D55">
        <w:rPr>
          <w:b/>
          <w:color w:val="000000" w:themeColor="text1"/>
          <w:sz w:val="26"/>
          <w:szCs w:val="26"/>
        </w:rPr>
        <w:t>Iedzīvotāju starptautiskā migrācija</w:t>
      </w:r>
    </w:p>
    <w:p w:rsidR="00CB0535" w:rsidRPr="00F06D55" w:rsidRDefault="00CB0535" w:rsidP="00CB0535">
      <w:pPr>
        <w:spacing w:after="0" w:line="240" w:lineRule="auto"/>
        <w:ind w:firstLine="567"/>
        <w:jc w:val="both"/>
        <w:rPr>
          <w:color w:val="000000" w:themeColor="text1"/>
          <w:sz w:val="8"/>
          <w:szCs w:val="8"/>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EM izaugsmes scenārijs līdz 2030.gadam paredz Latvijas ekonomikas un darba tirgus pakāpenisku konverģenci uz ES-15 vidējo līmeni. Sagaidāms, ka mērķa scenārija gadījumā Latvijas IKP uz 1 iedzīvotāju pēc pirktspējas paritātes standarta līdz 2020.gadam palielināsies līdz 67% no ES-15 vidējā līmeņa, savukārt līdz 2030.gadam konverģences līmenis varētu sasniegt pat 72%. Vidējā termiņā tas noteiks iedzīvotāju ekonomiskās emigrācijas pakāpenisku samazināšanos, bet il</w:t>
      </w:r>
      <w:r w:rsidR="00C976C0">
        <w:rPr>
          <w:color w:val="000000" w:themeColor="text1"/>
          <w:sz w:val="26"/>
          <w:szCs w:val="26"/>
        </w:rPr>
        <w:t>gtermiņā</w:t>
      </w:r>
      <w:r w:rsidR="002C6B26">
        <w:rPr>
          <w:color w:val="000000" w:themeColor="text1"/>
          <w:sz w:val="26"/>
          <w:szCs w:val="26"/>
        </w:rPr>
        <w:t xml:space="preserve"> –</w:t>
      </w:r>
      <w:r w:rsidR="00C976C0">
        <w:rPr>
          <w:color w:val="000000" w:themeColor="text1"/>
          <w:sz w:val="26"/>
          <w:szCs w:val="26"/>
        </w:rPr>
        <w:t xml:space="preserve"> imigrācijas pieaugumu.</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Sagaidāms, ka līdz 2020.gadam iedzīvotāju imigrāciju galvenokārt noteiks Latvijas valsts piederīgo atgriešanās dzimtenē, savukārt pēc 2020.gada repatriācijas plūsmas pakāpeniski samazināsies un ar vien lielāku lomu ieņems imigranti no citām E</w:t>
      </w:r>
      <w:r w:rsidR="005777D9">
        <w:rPr>
          <w:color w:val="000000" w:themeColor="text1"/>
          <w:sz w:val="26"/>
          <w:szCs w:val="26"/>
        </w:rPr>
        <w:t>S</w:t>
      </w:r>
      <w:r w:rsidRPr="00F06D55">
        <w:rPr>
          <w:color w:val="000000" w:themeColor="text1"/>
          <w:sz w:val="26"/>
          <w:szCs w:val="26"/>
        </w:rPr>
        <w:t xml:space="preserve"> valstīm un trešo valstu pilsoņi.</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3.3. tabula</w:t>
      </w:r>
    </w:p>
    <w:p w:rsidR="00CB0535" w:rsidRPr="00F06D55" w:rsidRDefault="00CB0535" w:rsidP="00CB0535">
      <w:pPr>
        <w:spacing w:after="120" w:line="240" w:lineRule="auto"/>
        <w:jc w:val="center"/>
        <w:rPr>
          <w:b/>
          <w:color w:val="000000" w:themeColor="text1"/>
          <w:sz w:val="26"/>
          <w:szCs w:val="26"/>
        </w:rPr>
      </w:pPr>
      <w:r w:rsidRPr="00F06D55">
        <w:rPr>
          <w:b/>
          <w:color w:val="000000" w:themeColor="text1"/>
          <w:sz w:val="26"/>
          <w:szCs w:val="26"/>
        </w:rPr>
        <w:t>Iedzīvotāju starptautiskās migrācijas galvenie rādītāji</w:t>
      </w:r>
    </w:p>
    <w:tbl>
      <w:tblPr>
        <w:tblStyle w:val="LightShading-Accent4"/>
        <w:tblW w:w="4572" w:type="pct"/>
        <w:jc w:val="center"/>
        <w:tblLook w:val="0400" w:firstRow="0" w:lastRow="0" w:firstColumn="0" w:lastColumn="0" w:noHBand="0" w:noVBand="1"/>
      </w:tblPr>
      <w:tblGrid>
        <w:gridCol w:w="5102"/>
        <w:gridCol w:w="1702"/>
        <w:gridCol w:w="1688"/>
      </w:tblGrid>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3004" w:type="pct"/>
            <w:tcBorders>
              <w:top w:val="single" w:sz="8" w:space="0" w:color="8064A2" w:themeColor="accent4"/>
              <w:bottom w:val="single" w:sz="8" w:space="0" w:color="8064A2" w:themeColor="accent4"/>
            </w:tcBorders>
            <w:noWrap/>
          </w:tcPr>
          <w:p w:rsidR="00CB0535" w:rsidRPr="00F06D55" w:rsidRDefault="00CB0535">
            <w:pPr>
              <w:spacing w:before="40" w:after="40" w:line="240" w:lineRule="auto"/>
              <w:jc w:val="both"/>
              <w:rPr>
                <w:rFonts w:eastAsia="Arial Unicode MS"/>
                <w:color w:val="000000" w:themeColor="text1"/>
                <w:sz w:val="20"/>
              </w:rPr>
            </w:pPr>
          </w:p>
        </w:tc>
        <w:tc>
          <w:tcPr>
            <w:tcW w:w="1002"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2012-2020</w:t>
            </w:r>
          </w:p>
        </w:tc>
        <w:tc>
          <w:tcPr>
            <w:tcW w:w="994"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2021-2030</w:t>
            </w:r>
          </w:p>
        </w:tc>
      </w:tr>
      <w:tr w:rsidR="00F06D55" w:rsidRPr="00F06D55" w:rsidTr="00F06D55">
        <w:trPr>
          <w:jc w:val="center"/>
        </w:trPr>
        <w:tc>
          <w:tcPr>
            <w:tcW w:w="3004" w:type="pct"/>
            <w:tcBorders>
              <w:top w:val="single" w:sz="8" w:space="0" w:color="8064A2" w:themeColor="accent4"/>
            </w:tcBorders>
            <w:hideMark/>
          </w:tcPr>
          <w:p w:rsidR="00CB0535" w:rsidRPr="00F06D55" w:rsidRDefault="00CB0535">
            <w:pPr>
              <w:spacing w:before="40" w:after="40" w:line="240" w:lineRule="auto"/>
              <w:rPr>
                <w:color w:val="000000" w:themeColor="text1"/>
                <w:sz w:val="20"/>
              </w:rPr>
            </w:pPr>
            <w:r w:rsidRPr="00F06D55">
              <w:rPr>
                <w:b/>
                <w:bCs/>
                <w:color w:val="000000" w:themeColor="text1"/>
                <w:sz w:val="20"/>
              </w:rPr>
              <w:t xml:space="preserve">Emigrācija, </w:t>
            </w:r>
            <w:proofErr w:type="spellStart"/>
            <w:r w:rsidRPr="00F06D55">
              <w:rPr>
                <w:bCs/>
                <w:color w:val="000000" w:themeColor="text1"/>
                <w:sz w:val="20"/>
              </w:rPr>
              <w:t>tūkst</w:t>
            </w:r>
            <w:proofErr w:type="spellEnd"/>
            <w:r w:rsidRPr="00F06D55">
              <w:rPr>
                <w:bCs/>
                <w:color w:val="000000" w:themeColor="text1"/>
                <w:sz w:val="20"/>
              </w:rPr>
              <w:t>. cilvēku</w:t>
            </w:r>
          </w:p>
        </w:tc>
        <w:tc>
          <w:tcPr>
            <w:tcW w:w="1002" w:type="pct"/>
            <w:tcBorders>
              <w:top w:val="single" w:sz="8" w:space="0" w:color="8064A2" w:themeColor="accent4"/>
            </w:tcBorders>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97,4</w:t>
            </w:r>
          </w:p>
        </w:tc>
        <w:tc>
          <w:tcPr>
            <w:tcW w:w="994" w:type="pct"/>
            <w:tcBorders>
              <w:top w:val="single" w:sz="8" w:space="0" w:color="8064A2" w:themeColor="accent4"/>
            </w:tcBorders>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29,8</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3004" w:type="pct"/>
            <w:hideMark/>
          </w:tcPr>
          <w:p w:rsidR="00CB0535" w:rsidRPr="00F06D55" w:rsidRDefault="00CB0535">
            <w:pPr>
              <w:spacing w:before="40" w:after="40" w:line="240" w:lineRule="auto"/>
              <w:rPr>
                <w:color w:val="000000" w:themeColor="text1"/>
                <w:sz w:val="20"/>
              </w:rPr>
            </w:pPr>
            <w:r w:rsidRPr="00F06D55">
              <w:rPr>
                <w:b/>
                <w:bCs/>
                <w:color w:val="000000" w:themeColor="text1"/>
                <w:sz w:val="20"/>
              </w:rPr>
              <w:t xml:space="preserve">Imigrācija, </w:t>
            </w:r>
            <w:proofErr w:type="spellStart"/>
            <w:r w:rsidRPr="00F06D55">
              <w:rPr>
                <w:bCs/>
                <w:color w:val="000000" w:themeColor="text1"/>
                <w:sz w:val="20"/>
              </w:rPr>
              <w:t>tūkst</w:t>
            </w:r>
            <w:proofErr w:type="spellEnd"/>
            <w:r w:rsidRPr="00F06D55">
              <w:rPr>
                <w:bCs/>
                <w:color w:val="000000" w:themeColor="text1"/>
                <w:sz w:val="20"/>
              </w:rPr>
              <w:t>. cilvēku</w:t>
            </w:r>
          </w:p>
        </w:tc>
        <w:tc>
          <w:tcPr>
            <w:tcW w:w="1002"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78,4</w:t>
            </w:r>
          </w:p>
        </w:tc>
        <w:tc>
          <w:tcPr>
            <w:tcW w:w="994"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127,9</w:t>
            </w:r>
          </w:p>
        </w:tc>
      </w:tr>
      <w:tr w:rsidR="00F06D55" w:rsidRPr="00F06D55" w:rsidTr="00F06D55">
        <w:trPr>
          <w:jc w:val="center"/>
        </w:trPr>
        <w:tc>
          <w:tcPr>
            <w:tcW w:w="3004" w:type="pct"/>
            <w:hideMark/>
          </w:tcPr>
          <w:p w:rsidR="00CB0535" w:rsidRPr="00F06D55" w:rsidRDefault="00CB0535">
            <w:pPr>
              <w:spacing w:before="40" w:after="40" w:line="240" w:lineRule="auto"/>
              <w:ind w:left="166"/>
              <w:rPr>
                <w:bCs/>
                <w:color w:val="000000" w:themeColor="text1"/>
                <w:sz w:val="20"/>
              </w:rPr>
            </w:pPr>
            <w:proofErr w:type="spellStart"/>
            <w:r w:rsidRPr="00F06D55">
              <w:rPr>
                <w:bCs/>
                <w:color w:val="000000" w:themeColor="text1"/>
                <w:sz w:val="20"/>
              </w:rPr>
              <w:t>t.sk</w:t>
            </w:r>
            <w:proofErr w:type="spellEnd"/>
            <w:r w:rsidRPr="00F06D55">
              <w:rPr>
                <w:bCs/>
                <w:color w:val="000000" w:themeColor="text1"/>
                <w:sz w:val="20"/>
              </w:rPr>
              <w:t xml:space="preserve">. Latvijas valsts piederīgo </w:t>
            </w:r>
            <w:proofErr w:type="spellStart"/>
            <w:r w:rsidRPr="00F06D55">
              <w:rPr>
                <w:bCs/>
                <w:color w:val="000000" w:themeColor="text1"/>
                <w:sz w:val="20"/>
              </w:rPr>
              <w:t>reemigrācija</w:t>
            </w:r>
            <w:proofErr w:type="spellEnd"/>
            <w:r w:rsidRPr="00F06D55">
              <w:rPr>
                <w:bCs/>
                <w:color w:val="000000" w:themeColor="text1"/>
                <w:sz w:val="20"/>
              </w:rPr>
              <w:t xml:space="preserve">, </w:t>
            </w:r>
            <w:proofErr w:type="spellStart"/>
            <w:r w:rsidRPr="00F06D55">
              <w:rPr>
                <w:bCs/>
                <w:color w:val="000000" w:themeColor="text1"/>
                <w:sz w:val="20"/>
              </w:rPr>
              <w:t>tūkst</w:t>
            </w:r>
            <w:proofErr w:type="spellEnd"/>
            <w:r w:rsidRPr="00F06D55">
              <w:rPr>
                <w:bCs/>
                <w:color w:val="000000" w:themeColor="text1"/>
                <w:sz w:val="20"/>
              </w:rPr>
              <w:t>. cilvēku</w:t>
            </w:r>
          </w:p>
        </w:tc>
        <w:tc>
          <w:tcPr>
            <w:tcW w:w="1002"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56,4</w:t>
            </w:r>
          </w:p>
        </w:tc>
        <w:tc>
          <w:tcPr>
            <w:tcW w:w="994"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61,4</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3004" w:type="pct"/>
            <w:hideMark/>
          </w:tcPr>
          <w:p w:rsidR="00CB0535" w:rsidRPr="00F06D55" w:rsidRDefault="00CB0535">
            <w:pPr>
              <w:spacing w:before="40" w:after="40" w:line="240" w:lineRule="auto"/>
              <w:rPr>
                <w:b/>
                <w:bCs/>
                <w:color w:val="000000" w:themeColor="text1"/>
                <w:sz w:val="20"/>
              </w:rPr>
            </w:pPr>
            <w:r w:rsidRPr="00F06D55">
              <w:rPr>
                <w:b/>
                <w:bCs/>
                <w:color w:val="000000" w:themeColor="text1"/>
                <w:sz w:val="20"/>
              </w:rPr>
              <w:t>Reemigrantu īpatsvars kopējā iedzīvotāju imigrācijā</w:t>
            </w:r>
            <w:r w:rsidRPr="00F06D55">
              <w:rPr>
                <w:bCs/>
                <w:color w:val="000000" w:themeColor="text1"/>
                <w:sz w:val="20"/>
              </w:rPr>
              <w:t>, %</w:t>
            </w:r>
          </w:p>
        </w:tc>
        <w:tc>
          <w:tcPr>
            <w:tcW w:w="1002"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72%</w:t>
            </w:r>
          </w:p>
        </w:tc>
        <w:tc>
          <w:tcPr>
            <w:tcW w:w="994"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48%</w:t>
            </w:r>
          </w:p>
        </w:tc>
      </w:tr>
      <w:tr w:rsidR="00F06D55" w:rsidRPr="00F06D55" w:rsidTr="00F06D55">
        <w:trPr>
          <w:jc w:val="center"/>
        </w:trPr>
        <w:tc>
          <w:tcPr>
            <w:tcW w:w="3004" w:type="pct"/>
            <w:hideMark/>
          </w:tcPr>
          <w:p w:rsidR="00CB0535" w:rsidRPr="00F06D55" w:rsidRDefault="00CB0535">
            <w:pPr>
              <w:spacing w:before="40" w:after="40" w:line="240" w:lineRule="auto"/>
              <w:rPr>
                <w:color w:val="000000" w:themeColor="text1"/>
                <w:sz w:val="20"/>
              </w:rPr>
            </w:pPr>
            <w:r w:rsidRPr="00F06D55">
              <w:rPr>
                <w:b/>
                <w:bCs/>
                <w:color w:val="000000" w:themeColor="text1"/>
                <w:sz w:val="20"/>
              </w:rPr>
              <w:t xml:space="preserve">Kopējais migrācijas saldo, </w:t>
            </w:r>
            <w:proofErr w:type="spellStart"/>
            <w:r w:rsidRPr="00F06D55">
              <w:rPr>
                <w:bCs/>
                <w:color w:val="000000" w:themeColor="text1"/>
                <w:sz w:val="20"/>
              </w:rPr>
              <w:t>tūkst</w:t>
            </w:r>
            <w:proofErr w:type="spellEnd"/>
            <w:r w:rsidRPr="00F06D55">
              <w:rPr>
                <w:bCs/>
                <w:color w:val="000000" w:themeColor="text1"/>
                <w:sz w:val="20"/>
              </w:rPr>
              <w:t>. cilvēku</w:t>
            </w:r>
          </w:p>
        </w:tc>
        <w:tc>
          <w:tcPr>
            <w:tcW w:w="1002"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-19,0</w:t>
            </w:r>
          </w:p>
        </w:tc>
        <w:tc>
          <w:tcPr>
            <w:tcW w:w="994" w:type="pct"/>
            <w:hideMark/>
          </w:tcPr>
          <w:p w:rsidR="00CB0535" w:rsidRPr="00F06D55" w:rsidRDefault="00CB0535">
            <w:pPr>
              <w:spacing w:before="40" w:after="40" w:line="240" w:lineRule="auto"/>
              <w:jc w:val="center"/>
              <w:rPr>
                <w:color w:val="000000" w:themeColor="text1"/>
                <w:sz w:val="20"/>
              </w:rPr>
            </w:pPr>
            <w:r w:rsidRPr="00F06D55">
              <w:rPr>
                <w:color w:val="000000" w:themeColor="text1"/>
                <w:sz w:val="20"/>
              </w:rPr>
              <w:t>98,1</w:t>
            </w:r>
          </w:p>
        </w:tc>
      </w:tr>
    </w:tbl>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Ekonomiskās migrācijas negatīvā ietekme uz iedzīvotāju skaita dinamiku varētu būtiski samazināties jau nākamo 2-3 gadu laikā. Sagaidāms, ka sākot jau ar 2017.gadu, iedzīvotāju imigrācija pārsniegs emigrāciju un turpmākos gados pozitīvais migrācijas saldo varētu palielināties.</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Vienlaikus, līdz ar globalizācijas tendenču pastiprināšanos (starpvalstu pārvietošanās šķēršļu mazināšanos, darba tirgu liberalizāciju, informācijas un </w:t>
      </w:r>
      <w:r w:rsidRPr="00F06D55">
        <w:rPr>
          <w:color w:val="000000" w:themeColor="text1"/>
          <w:sz w:val="26"/>
          <w:szCs w:val="26"/>
        </w:rPr>
        <w:lastRenderedPageBreak/>
        <w:t xml:space="preserve">komunikācijas saišu paplašināšanos </w:t>
      </w:r>
      <w:proofErr w:type="spellStart"/>
      <w:r w:rsidRPr="00F06D55">
        <w:rPr>
          <w:color w:val="000000" w:themeColor="text1"/>
          <w:sz w:val="26"/>
          <w:szCs w:val="26"/>
        </w:rPr>
        <w:t>u.c</w:t>
      </w:r>
      <w:proofErr w:type="spellEnd"/>
      <w:r w:rsidRPr="00F06D55">
        <w:rPr>
          <w:color w:val="000000" w:themeColor="text1"/>
          <w:sz w:val="26"/>
          <w:szCs w:val="26"/>
        </w:rPr>
        <w:t xml:space="preserve">.), citu faktoru motivēta iedzīvotāju starpvalstu </w:t>
      </w:r>
      <w:r w:rsidR="00BD369D">
        <w:rPr>
          <w:color w:val="000000" w:themeColor="text1"/>
          <w:sz w:val="26"/>
          <w:szCs w:val="26"/>
        </w:rPr>
        <w:t xml:space="preserve">migrācija vidējā un ilgtermiņā </w:t>
      </w:r>
      <w:r w:rsidRPr="00F06D55">
        <w:rPr>
          <w:color w:val="000000" w:themeColor="text1"/>
          <w:sz w:val="26"/>
          <w:szCs w:val="26"/>
        </w:rPr>
        <w:t>kopumā palielināsies.</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w:t>
      </w:r>
      <w:r w:rsidR="00F6144C">
        <w:rPr>
          <w:color w:val="000000" w:themeColor="text1"/>
          <w:sz w:val="26"/>
          <w:szCs w:val="26"/>
        </w:rPr>
        <w:t>3</w:t>
      </w:r>
      <w:r w:rsidRPr="00F06D55">
        <w:rPr>
          <w:color w:val="000000" w:themeColor="text1"/>
          <w:sz w:val="26"/>
          <w:szCs w:val="26"/>
        </w:rPr>
        <w:t>. attēls</w:t>
      </w:r>
    </w:p>
    <w:p w:rsidR="00CB0535" w:rsidRPr="00F06D55" w:rsidRDefault="00CB0535" w:rsidP="00CB0535">
      <w:pPr>
        <w:spacing w:after="60" w:line="240" w:lineRule="auto"/>
        <w:jc w:val="center"/>
        <w:rPr>
          <w:b/>
          <w:color w:val="000000" w:themeColor="text1"/>
          <w:sz w:val="26"/>
          <w:szCs w:val="26"/>
        </w:rPr>
      </w:pPr>
      <w:r w:rsidRPr="00F06D55">
        <w:rPr>
          <w:b/>
          <w:color w:val="000000" w:themeColor="text1"/>
          <w:sz w:val="26"/>
          <w:szCs w:val="26"/>
        </w:rPr>
        <w:t>Iedzīvotāju starptautiskās migrācijas saldo</w:t>
      </w:r>
    </w:p>
    <w:p w:rsidR="00CB0535" w:rsidRPr="00F06D55" w:rsidRDefault="00CB0535" w:rsidP="00CB0535">
      <w:pPr>
        <w:spacing w:after="60" w:line="240" w:lineRule="auto"/>
        <w:jc w:val="center"/>
        <w:rPr>
          <w:color w:val="000000" w:themeColor="text1"/>
          <w:szCs w:val="26"/>
        </w:rPr>
      </w:pPr>
      <w:r w:rsidRPr="00F06D55">
        <w:rPr>
          <w:color w:val="000000" w:themeColor="text1"/>
          <w:szCs w:val="26"/>
        </w:rPr>
        <w:t>(tūkst, cilvēku)</w:t>
      </w:r>
    </w:p>
    <w:p w:rsidR="00CB0535" w:rsidRPr="00F06D55" w:rsidRDefault="00CB0535" w:rsidP="00CB0535">
      <w:pPr>
        <w:spacing w:after="0" w:line="240" w:lineRule="auto"/>
        <w:jc w:val="center"/>
        <w:rPr>
          <w:color w:val="000000" w:themeColor="text1"/>
          <w:sz w:val="26"/>
          <w:szCs w:val="26"/>
        </w:rPr>
      </w:pPr>
      <w:bookmarkStart w:id="41" w:name="_MON_1400589830"/>
      <w:bookmarkStart w:id="42" w:name="_MON_1400589860"/>
      <w:bookmarkStart w:id="43" w:name="_MON_1400589870"/>
      <w:bookmarkStart w:id="44" w:name="_MON_1400593589"/>
      <w:bookmarkStart w:id="45" w:name="_MON_1400589608"/>
      <w:bookmarkEnd w:id="41"/>
      <w:bookmarkEnd w:id="42"/>
      <w:bookmarkEnd w:id="43"/>
      <w:bookmarkEnd w:id="44"/>
      <w:bookmarkEnd w:id="45"/>
      <w:r w:rsidRPr="00F06D55">
        <w:rPr>
          <w:b/>
          <w:noProof/>
          <w:color w:val="000000" w:themeColor="text1"/>
          <w:sz w:val="26"/>
          <w:szCs w:val="26"/>
          <w:lang w:eastAsia="lv-LV"/>
        </w:rPr>
        <w:drawing>
          <wp:inline distT="0" distB="0" distL="0" distR="0" wp14:anchorId="28A011FD" wp14:editId="1FDEEF8D">
            <wp:extent cx="4533900" cy="17621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B0535" w:rsidRPr="00F06D55" w:rsidRDefault="00CB0535" w:rsidP="00CB0535">
      <w:pPr>
        <w:spacing w:after="0" w:line="240" w:lineRule="auto"/>
        <w:ind w:firstLine="567"/>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Līdz 2030.gadam migrācijai būs izšķiroša loma lejupslīdošās demogrāfijas negatīvo seku mazināšanai. Pie tam, lai nodrošinātu ekonomikas izaugsmes mērķu sasniegšanu, liela nozīme būs valsts migrācijas politikai, kur galvenie uzsvari būs uz Latvijas valsts piederīgo repatriācijas veicināšanu un selektīvu imigrācijas mehānismu izveidi, kas ilgtermiņā nodrošinātu ātru un efektīvu darba tirgus nepilnību novēršanu.</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Bez izsvērtas migrācijas politikas darbaspēka trūkums nākotnē var kļūt par vienu no ga</w:t>
      </w:r>
      <w:r w:rsidR="00414DFF">
        <w:rPr>
          <w:color w:val="000000" w:themeColor="text1"/>
          <w:sz w:val="26"/>
          <w:szCs w:val="26"/>
        </w:rPr>
        <w:t>lvenajiem izaugsmes šķēršļiem.</w:t>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jc w:val="both"/>
        <w:rPr>
          <w:b/>
          <w:color w:val="000000" w:themeColor="text1"/>
          <w:sz w:val="26"/>
          <w:szCs w:val="26"/>
        </w:rPr>
      </w:pPr>
      <w:r w:rsidRPr="00F06D55">
        <w:rPr>
          <w:b/>
          <w:color w:val="000000" w:themeColor="text1"/>
          <w:sz w:val="26"/>
          <w:szCs w:val="26"/>
        </w:rPr>
        <w:t>Iedzīvotāju skaita un vecuma sastāva izmaiņas</w:t>
      </w:r>
    </w:p>
    <w:p w:rsidR="00F06D55" w:rsidRPr="00F06D55" w:rsidRDefault="00F06D55" w:rsidP="00CB0535">
      <w:pPr>
        <w:spacing w:after="0" w:line="240" w:lineRule="auto"/>
        <w:ind w:firstLine="567"/>
        <w:jc w:val="both"/>
        <w:rPr>
          <w:color w:val="000000" w:themeColor="text1"/>
          <w:sz w:val="8"/>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Ņemot vērā iedzīvotāju dabiskās kustības un starptautiskās migrācijas tendences, sagadāms, ka iedzīvotāju skaits līdz 2030.gadam samazināsies par aptuveni 7,3% (jeb 150 </w:t>
      </w:r>
      <w:proofErr w:type="spellStart"/>
      <w:r w:rsidRPr="00F06D55">
        <w:rPr>
          <w:color w:val="000000" w:themeColor="text1"/>
          <w:sz w:val="26"/>
          <w:szCs w:val="26"/>
        </w:rPr>
        <w:t>tūkst</w:t>
      </w:r>
      <w:proofErr w:type="spellEnd"/>
      <w:r w:rsidRPr="00F06D55">
        <w:rPr>
          <w:color w:val="000000" w:themeColor="text1"/>
          <w:sz w:val="26"/>
          <w:szCs w:val="26"/>
        </w:rPr>
        <w:t>. cilvēku), salīdzinot ar 2012.gadu. Iedzīvotāju skaita samazināšanos galvenokārt noteiks iedzīvotāju dabiskās kustības rādītāju pasliktināšanās – zemāka dzimstība un augstāka mirstība, ko ietekmēs iedzīvotāju vecuma sastāva izmaiņas sabiedrības novecošanās dēļ.</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3.4. tabula</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Iedzīvotāju dabiskās kustības galvenie rādītāji</w:t>
      </w:r>
    </w:p>
    <w:p w:rsidR="00CB0535" w:rsidRPr="00F06D55" w:rsidRDefault="00CB0535" w:rsidP="00CB0535">
      <w:pPr>
        <w:spacing w:after="60" w:line="240" w:lineRule="auto"/>
        <w:jc w:val="center"/>
        <w:rPr>
          <w:color w:val="000000" w:themeColor="text1"/>
        </w:rPr>
      </w:pPr>
      <w:r w:rsidRPr="00F06D55">
        <w:rPr>
          <w:color w:val="000000" w:themeColor="text1"/>
        </w:rPr>
        <w:t>(tūkst, cilvēku)</w:t>
      </w:r>
    </w:p>
    <w:tbl>
      <w:tblPr>
        <w:tblStyle w:val="LightShading-Accent4"/>
        <w:tblW w:w="4853" w:type="pct"/>
        <w:jc w:val="center"/>
        <w:tblLook w:val="0400" w:firstRow="0" w:lastRow="0" w:firstColumn="0" w:lastColumn="0" w:noHBand="0" w:noVBand="1"/>
      </w:tblPr>
      <w:tblGrid>
        <w:gridCol w:w="5105"/>
        <w:gridCol w:w="1303"/>
        <w:gridCol w:w="1303"/>
        <w:gridCol w:w="1303"/>
      </w:tblGrid>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2830" w:type="pct"/>
            <w:tcBorders>
              <w:top w:val="single" w:sz="8" w:space="0" w:color="8064A2" w:themeColor="accent4"/>
              <w:bottom w:val="single" w:sz="8" w:space="0" w:color="8064A2" w:themeColor="accent4"/>
            </w:tcBorders>
            <w:noWrap/>
          </w:tcPr>
          <w:p w:rsidR="00CB0535" w:rsidRPr="00F06D55" w:rsidRDefault="00CB0535">
            <w:pPr>
              <w:spacing w:before="40" w:after="40" w:line="240" w:lineRule="auto"/>
              <w:jc w:val="both"/>
              <w:rPr>
                <w:rFonts w:eastAsia="Arial Unicode MS"/>
                <w:color w:val="000000" w:themeColor="text1"/>
                <w:sz w:val="20"/>
              </w:rPr>
            </w:pPr>
          </w:p>
        </w:tc>
        <w:tc>
          <w:tcPr>
            <w:tcW w:w="723"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2012</w:t>
            </w:r>
          </w:p>
        </w:tc>
        <w:tc>
          <w:tcPr>
            <w:tcW w:w="723"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2020</w:t>
            </w:r>
          </w:p>
        </w:tc>
        <w:tc>
          <w:tcPr>
            <w:tcW w:w="723"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2030</w:t>
            </w:r>
          </w:p>
        </w:tc>
      </w:tr>
      <w:tr w:rsidR="00F06D55" w:rsidRPr="00F06D55" w:rsidTr="00F06D55">
        <w:trPr>
          <w:jc w:val="center"/>
        </w:trPr>
        <w:tc>
          <w:tcPr>
            <w:tcW w:w="2830" w:type="pct"/>
            <w:tcBorders>
              <w:top w:val="single" w:sz="8" w:space="0" w:color="8064A2" w:themeColor="accent4"/>
            </w:tcBorders>
            <w:hideMark/>
          </w:tcPr>
          <w:p w:rsidR="00CB0535" w:rsidRPr="00F06D55" w:rsidRDefault="00CB0535">
            <w:pPr>
              <w:spacing w:before="40" w:after="40" w:line="240" w:lineRule="auto"/>
              <w:rPr>
                <w:color w:val="000000" w:themeColor="text1"/>
                <w:sz w:val="20"/>
              </w:rPr>
            </w:pPr>
            <w:r w:rsidRPr="00F06D55">
              <w:rPr>
                <w:b/>
                <w:bCs/>
                <w:color w:val="000000" w:themeColor="text1"/>
                <w:sz w:val="20"/>
              </w:rPr>
              <w:t>Iedzīvotāju skaits gada sākumā</w:t>
            </w:r>
          </w:p>
        </w:tc>
        <w:tc>
          <w:tcPr>
            <w:tcW w:w="723" w:type="pct"/>
            <w:tcBorders>
              <w:top w:val="single" w:sz="8" w:space="0" w:color="8064A2" w:themeColor="accent4"/>
            </w:tcBorders>
            <w:hideMark/>
          </w:tcPr>
          <w:p w:rsidR="00CB0535" w:rsidRPr="00F06D55" w:rsidRDefault="00CB0535">
            <w:pPr>
              <w:tabs>
                <w:tab w:val="decimal" w:pos="654"/>
              </w:tabs>
              <w:spacing w:before="40" w:after="40" w:line="240" w:lineRule="auto"/>
              <w:rPr>
                <w:b/>
                <w:color w:val="000000" w:themeColor="text1"/>
                <w:sz w:val="20"/>
              </w:rPr>
            </w:pPr>
            <w:r w:rsidRPr="00F06D55">
              <w:rPr>
                <w:b/>
                <w:color w:val="000000" w:themeColor="text1"/>
                <w:sz w:val="20"/>
              </w:rPr>
              <w:t>2041,8</w:t>
            </w:r>
          </w:p>
        </w:tc>
        <w:tc>
          <w:tcPr>
            <w:tcW w:w="723" w:type="pct"/>
            <w:tcBorders>
              <w:top w:val="single" w:sz="8" w:space="0" w:color="8064A2" w:themeColor="accent4"/>
            </w:tcBorders>
            <w:hideMark/>
          </w:tcPr>
          <w:p w:rsidR="00CB0535" w:rsidRPr="00F06D55" w:rsidRDefault="00CB0535">
            <w:pPr>
              <w:tabs>
                <w:tab w:val="decimal" w:pos="654"/>
              </w:tabs>
              <w:spacing w:before="40" w:after="40" w:line="240" w:lineRule="auto"/>
              <w:rPr>
                <w:b/>
                <w:color w:val="000000" w:themeColor="text1"/>
                <w:sz w:val="20"/>
              </w:rPr>
            </w:pPr>
            <w:r w:rsidRPr="00F06D55">
              <w:rPr>
                <w:b/>
                <w:color w:val="000000" w:themeColor="text1"/>
                <w:sz w:val="20"/>
              </w:rPr>
              <w:t>1931,5</w:t>
            </w:r>
          </w:p>
        </w:tc>
        <w:tc>
          <w:tcPr>
            <w:tcW w:w="723" w:type="pct"/>
            <w:tcBorders>
              <w:top w:val="single" w:sz="8" w:space="0" w:color="8064A2" w:themeColor="accent4"/>
            </w:tcBorders>
            <w:hideMark/>
          </w:tcPr>
          <w:p w:rsidR="00CB0535" w:rsidRPr="00F06D55" w:rsidRDefault="00CB0535">
            <w:pPr>
              <w:tabs>
                <w:tab w:val="decimal" w:pos="654"/>
              </w:tabs>
              <w:spacing w:before="40" w:after="40" w:line="240" w:lineRule="auto"/>
              <w:rPr>
                <w:b/>
                <w:color w:val="000000" w:themeColor="text1"/>
                <w:sz w:val="20"/>
              </w:rPr>
            </w:pPr>
            <w:r w:rsidRPr="00F06D55">
              <w:rPr>
                <w:b/>
                <w:color w:val="000000" w:themeColor="text1"/>
                <w:sz w:val="20"/>
              </w:rPr>
              <w:t>1891,8</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2830" w:type="pct"/>
            <w:hideMark/>
          </w:tcPr>
          <w:p w:rsidR="00CB0535" w:rsidRPr="00F06D55" w:rsidRDefault="00CB0535">
            <w:pPr>
              <w:spacing w:before="40" w:after="40" w:line="240" w:lineRule="auto"/>
              <w:rPr>
                <w:b/>
                <w:bCs/>
                <w:color w:val="000000" w:themeColor="text1"/>
                <w:sz w:val="20"/>
              </w:rPr>
            </w:pPr>
            <w:r w:rsidRPr="00F06D55">
              <w:rPr>
                <w:b/>
                <w:bCs/>
                <w:color w:val="000000" w:themeColor="text1"/>
                <w:sz w:val="20"/>
              </w:rPr>
              <w:t xml:space="preserve">Iedzīvotāju skaita izmaiņas </w:t>
            </w:r>
            <w:r w:rsidRPr="00F06D55">
              <w:rPr>
                <w:bCs/>
                <w:color w:val="000000" w:themeColor="text1"/>
                <w:sz w:val="20"/>
              </w:rPr>
              <w:t>(salīdzinot ar 2012. gadu)</w:t>
            </w:r>
          </w:p>
        </w:tc>
        <w:tc>
          <w:tcPr>
            <w:tcW w:w="723" w:type="pct"/>
            <w:hideMark/>
          </w:tcPr>
          <w:p w:rsidR="00CB0535" w:rsidRPr="00F06D55" w:rsidRDefault="00BD369D">
            <w:pPr>
              <w:tabs>
                <w:tab w:val="decimal" w:pos="654"/>
              </w:tabs>
              <w:spacing w:before="40" w:after="40" w:line="240" w:lineRule="auto"/>
              <w:rPr>
                <w:color w:val="000000" w:themeColor="text1"/>
                <w:sz w:val="20"/>
              </w:rPr>
            </w:pPr>
            <w:r>
              <w:rPr>
                <w:color w:val="000000" w:themeColor="text1"/>
                <w:sz w:val="20"/>
              </w:rPr>
              <w:t>–</w:t>
            </w:r>
          </w:p>
        </w:tc>
        <w:tc>
          <w:tcPr>
            <w:tcW w:w="723" w:type="pct"/>
            <w:hideMark/>
          </w:tcPr>
          <w:p w:rsidR="00CB0535" w:rsidRPr="00F06D55" w:rsidRDefault="00CB0535">
            <w:pPr>
              <w:tabs>
                <w:tab w:val="decimal" w:pos="654"/>
              </w:tabs>
              <w:spacing w:before="40" w:after="40" w:line="240" w:lineRule="auto"/>
              <w:rPr>
                <w:color w:val="000000" w:themeColor="text1"/>
                <w:sz w:val="20"/>
              </w:rPr>
            </w:pPr>
            <w:r w:rsidRPr="00F06D55">
              <w:rPr>
                <w:color w:val="000000" w:themeColor="text1"/>
                <w:sz w:val="20"/>
              </w:rPr>
              <w:t>-110,3</w:t>
            </w:r>
          </w:p>
        </w:tc>
        <w:tc>
          <w:tcPr>
            <w:tcW w:w="723" w:type="pct"/>
            <w:hideMark/>
          </w:tcPr>
          <w:p w:rsidR="00CB0535" w:rsidRPr="00F06D55" w:rsidRDefault="00CB0535">
            <w:pPr>
              <w:tabs>
                <w:tab w:val="decimal" w:pos="654"/>
              </w:tabs>
              <w:spacing w:before="40" w:after="40" w:line="240" w:lineRule="auto"/>
              <w:rPr>
                <w:color w:val="000000" w:themeColor="text1"/>
                <w:sz w:val="20"/>
              </w:rPr>
            </w:pPr>
            <w:r w:rsidRPr="00F06D55">
              <w:rPr>
                <w:color w:val="000000" w:themeColor="text1"/>
                <w:sz w:val="20"/>
              </w:rPr>
              <w:t>-150,0</w:t>
            </w:r>
          </w:p>
        </w:tc>
      </w:tr>
      <w:tr w:rsidR="00F06D55" w:rsidRPr="00F06D55" w:rsidTr="00F06D55">
        <w:trPr>
          <w:jc w:val="center"/>
        </w:trPr>
        <w:tc>
          <w:tcPr>
            <w:tcW w:w="2830" w:type="pct"/>
            <w:hideMark/>
          </w:tcPr>
          <w:p w:rsidR="00CB0535" w:rsidRPr="00F06D55" w:rsidRDefault="00CB0535">
            <w:pPr>
              <w:spacing w:before="40" w:after="40" w:line="240" w:lineRule="auto"/>
              <w:ind w:left="284"/>
              <w:rPr>
                <w:color w:val="000000" w:themeColor="text1"/>
                <w:sz w:val="20"/>
              </w:rPr>
            </w:pPr>
            <w:proofErr w:type="spellStart"/>
            <w:r w:rsidRPr="00F06D55">
              <w:rPr>
                <w:bCs/>
                <w:color w:val="000000" w:themeColor="text1"/>
                <w:sz w:val="20"/>
              </w:rPr>
              <w:t>t.sk</w:t>
            </w:r>
            <w:proofErr w:type="spellEnd"/>
            <w:r w:rsidRPr="00F06D55">
              <w:rPr>
                <w:bCs/>
                <w:color w:val="000000" w:themeColor="text1"/>
                <w:sz w:val="20"/>
              </w:rPr>
              <w:t>. migrācijas ietekme</w:t>
            </w:r>
          </w:p>
        </w:tc>
        <w:tc>
          <w:tcPr>
            <w:tcW w:w="723" w:type="pct"/>
            <w:hideMark/>
          </w:tcPr>
          <w:p w:rsidR="00CB0535" w:rsidRPr="00F06D55" w:rsidRDefault="00BD369D">
            <w:pPr>
              <w:tabs>
                <w:tab w:val="decimal" w:pos="654"/>
              </w:tabs>
              <w:spacing w:before="40" w:after="40" w:line="240" w:lineRule="auto"/>
              <w:rPr>
                <w:color w:val="000000" w:themeColor="text1"/>
                <w:sz w:val="20"/>
              </w:rPr>
            </w:pPr>
            <w:r>
              <w:rPr>
                <w:color w:val="000000" w:themeColor="text1"/>
                <w:sz w:val="20"/>
              </w:rPr>
              <w:t>–</w:t>
            </w:r>
          </w:p>
        </w:tc>
        <w:tc>
          <w:tcPr>
            <w:tcW w:w="723" w:type="pct"/>
            <w:hideMark/>
          </w:tcPr>
          <w:p w:rsidR="00CB0535" w:rsidRPr="00F06D55" w:rsidRDefault="00CB0535">
            <w:pPr>
              <w:tabs>
                <w:tab w:val="decimal" w:pos="654"/>
              </w:tabs>
              <w:spacing w:before="40" w:after="40" w:line="240" w:lineRule="auto"/>
              <w:rPr>
                <w:color w:val="000000" w:themeColor="text1"/>
                <w:sz w:val="20"/>
              </w:rPr>
            </w:pPr>
            <w:r w:rsidRPr="00F06D55">
              <w:rPr>
                <w:color w:val="000000" w:themeColor="text1"/>
                <w:sz w:val="20"/>
              </w:rPr>
              <w:t>-24,1</w:t>
            </w:r>
          </w:p>
        </w:tc>
        <w:tc>
          <w:tcPr>
            <w:tcW w:w="723" w:type="pct"/>
            <w:hideMark/>
          </w:tcPr>
          <w:p w:rsidR="00CB0535" w:rsidRPr="00F06D55" w:rsidRDefault="005777D9" w:rsidP="005777D9">
            <w:pPr>
              <w:tabs>
                <w:tab w:val="decimal" w:pos="654"/>
              </w:tabs>
              <w:spacing w:before="40" w:after="40" w:line="240" w:lineRule="auto"/>
              <w:rPr>
                <w:color w:val="000000" w:themeColor="text1"/>
                <w:sz w:val="20"/>
              </w:rPr>
            </w:pPr>
            <w:r>
              <w:rPr>
                <w:color w:val="000000" w:themeColor="text1"/>
                <w:sz w:val="20"/>
              </w:rPr>
              <w:t>80,7</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2830" w:type="pct"/>
            <w:hideMark/>
          </w:tcPr>
          <w:p w:rsidR="00CB0535" w:rsidRPr="00F06D55" w:rsidRDefault="00CB0535">
            <w:pPr>
              <w:spacing w:before="40" w:after="40" w:line="240" w:lineRule="auto"/>
              <w:ind w:left="284"/>
              <w:rPr>
                <w:b/>
                <w:color w:val="000000" w:themeColor="text1"/>
                <w:sz w:val="20"/>
              </w:rPr>
            </w:pPr>
            <w:proofErr w:type="spellStart"/>
            <w:r w:rsidRPr="00F06D55">
              <w:rPr>
                <w:bCs/>
                <w:color w:val="000000" w:themeColor="text1"/>
                <w:sz w:val="20"/>
              </w:rPr>
              <w:t>t.sk</w:t>
            </w:r>
            <w:proofErr w:type="spellEnd"/>
            <w:r w:rsidRPr="00F06D55">
              <w:rPr>
                <w:bCs/>
                <w:color w:val="000000" w:themeColor="text1"/>
                <w:sz w:val="20"/>
              </w:rPr>
              <w:t>. dabiskā pieauguma ietekme</w:t>
            </w:r>
          </w:p>
        </w:tc>
        <w:tc>
          <w:tcPr>
            <w:tcW w:w="723" w:type="pct"/>
            <w:hideMark/>
          </w:tcPr>
          <w:p w:rsidR="00CB0535" w:rsidRPr="00F06D55" w:rsidRDefault="00BD369D">
            <w:pPr>
              <w:tabs>
                <w:tab w:val="decimal" w:pos="654"/>
              </w:tabs>
              <w:spacing w:before="40" w:after="40" w:line="240" w:lineRule="auto"/>
              <w:rPr>
                <w:color w:val="000000" w:themeColor="text1"/>
                <w:sz w:val="20"/>
              </w:rPr>
            </w:pPr>
            <w:r>
              <w:rPr>
                <w:color w:val="000000" w:themeColor="text1"/>
                <w:sz w:val="20"/>
              </w:rPr>
              <w:t>–</w:t>
            </w:r>
          </w:p>
        </w:tc>
        <w:tc>
          <w:tcPr>
            <w:tcW w:w="723" w:type="pct"/>
            <w:hideMark/>
          </w:tcPr>
          <w:p w:rsidR="00CB0535" w:rsidRPr="00F06D55" w:rsidRDefault="00CB0535">
            <w:pPr>
              <w:tabs>
                <w:tab w:val="decimal" w:pos="654"/>
              </w:tabs>
              <w:spacing w:before="40" w:after="40" w:line="240" w:lineRule="auto"/>
              <w:rPr>
                <w:color w:val="000000" w:themeColor="text1"/>
                <w:sz w:val="20"/>
              </w:rPr>
            </w:pPr>
            <w:r w:rsidRPr="00F06D55">
              <w:rPr>
                <w:color w:val="000000" w:themeColor="text1"/>
                <w:sz w:val="20"/>
              </w:rPr>
              <w:t>-86,2</w:t>
            </w:r>
          </w:p>
        </w:tc>
        <w:tc>
          <w:tcPr>
            <w:tcW w:w="723" w:type="pct"/>
            <w:hideMark/>
          </w:tcPr>
          <w:p w:rsidR="00CB0535" w:rsidRPr="00F06D55" w:rsidRDefault="005777D9">
            <w:pPr>
              <w:tabs>
                <w:tab w:val="decimal" w:pos="654"/>
              </w:tabs>
              <w:spacing w:before="40" w:after="40" w:line="240" w:lineRule="auto"/>
              <w:rPr>
                <w:color w:val="000000" w:themeColor="text1"/>
                <w:sz w:val="20"/>
              </w:rPr>
            </w:pPr>
            <w:r>
              <w:rPr>
                <w:color w:val="000000" w:themeColor="text1"/>
                <w:sz w:val="20"/>
              </w:rPr>
              <w:t>-230,7</w:t>
            </w:r>
          </w:p>
        </w:tc>
      </w:tr>
    </w:tbl>
    <w:p w:rsidR="00CB0535" w:rsidRPr="00F06D55" w:rsidRDefault="00CB0535" w:rsidP="00CB0535">
      <w:pPr>
        <w:spacing w:after="0" w:line="240" w:lineRule="auto"/>
        <w:ind w:firstLine="567"/>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Kopumā līdz 2030.gadam paredzamas būtiskas izmaiņas iedzīvotāju vecuma struktūrā par labu augstākām vecuma kohortām. Sagaidāms, ka iedzīvotāju skaits šajā laika periodā vecuma grupā no 15-64 gadiem samazināsies par 157 </w:t>
      </w:r>
      <w:proofErr w:type="spellStart"/>
      <w:r w:rsidRPr="00F06D55">
        <w:rPr>
          <w:color w:val="000000" w:themeColor="text1"/>
          <w:sz w:val="26"/>
          <w:szCs w:val="26"/>
        </w:rPr>
        <w:t>tūkst</w:t>
      </w:r>
      <w:proofErr w:type="spellEnd"/>
      <w:r w:rsidRPr="00F06D55">
        <w:rPr>
          <w:color w:val="000000" w:themeColor="text1"/>
          <w:sz w:val="26"/>
          <w:szCs w:val="26"/>
        </w:rPr>
        <w:t>. jeb vairāk nekā 11%, vienlaikus iedzīvotāju skaits virs 64 gadi</w:t>
      </w:r>
      <w:r w:rsidR="005777D9">
        <w:rPr>
          <w:color w:val="000000" w:themeColor="text1"/>
          <w:sz w:val="26"/>
          <w:szCs w:val="26"/>
        </w:rPr>
        <w:t>em palielināsies par gandrīz 40 </w:t>
      </w:r>
      <w:proofErr w:type="spellStart"/>
      <w:r w:rsidRPr="00F06D55">
        <w:rPr>
          <w:color w:val="000000" w:themeColor="text1"/>
          <w:sz w:val="26"/>
          <w:szCs w:val="26"/>
        </w:rPr>
        <w:t>tūkst</w:t>
      </w:r>
      <w:proofErr w:type="spellEnd"/>
      <w:r w:rsidRPr="00F06D55">
        <w:rPr>
          <w:color w:val="000000" w:themeColor="text1"/>
          <w:sz w:val="26"/>
          <w:szCs w:val="26"/>
        </w:rPr>
        <w:t xml:space="preserve">. jeb aptuveni 10%. Atbilstošās tendences kopumā noteiks darbaspējas vecuma </w:t>
      </w:r>
      <w:r w:rsidRPr="00F06D55">
        <w:rPr>
          <w:color w:val="000000" w:themeColor="text1"/>
          <w:sz w:val="26"/>
          <w:szCs w:val="26"/>
        </w:rPr>
        <w:lastRenderedPageBreak/>
        <w:t>iedzīvotāju īpatsvara samazināšanos no 67% 2012. gadā līdz 64% 2030.gadā, kas jūtami ietekmēs darba resursu pieejamību nākotnē.</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w:t>
      </w:r>
      <w:r w:rsidR="00F6144C">
        <w:rPr>
          <w:color w:val="000000" w:themeColor="text1"/>
          <w:sz w:val="26"/>
          <w:szCs w:val="26"/>
        </w:rPr>
        <w:t>4</w:t>
      </w:r>
      <w:r w:rsidRPr="00F06D55">
        <w:rPr>
          <w:color w:val="000000" w:themeColor="text1"/>
          <w:sz w:val="26"/>
          <w:szCs w:val="26"/>
        </w:rPr>
        <w:t>. attēls</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Iedzīvotāju skaita sadalījums pa vecuma grupām</w:t>
      </w:r>
    </w:p>
    <w:p w:rsidR="00CB0535" w:rsidRPr="00F06D55" w:rsidRDefault="00CB0535" w:rsidP="00CB0535">
      <w:pPr>
        <w:spacing w:after="0" w:line="240" w:lineRule="auto"/>
        <w:jc w:val="center"/>
        <w:rPr>
          <w:color w:val="000000" w:themeColor="text1"/>
          <w:sz w:val="26"/>
          <w:szCs w:val="26"/>
        </w:rPr>
      </w:pPr>
      <w:bookmarkStart w:id="46" w:name="_MON_1400593735"/>
      <w:bookmarkStart w:id="47" w:name="_MON_1400598402"/>
      <w:bookmarkStart w:id="48" w:name="_MON_1400590096"/>
      <w:bookmarkEnd w:id="46"/>
      <w:bookmarkEnd w:id="47"/>
      <w:bookmarkEnd w:id="48"/>
      <w:r w:rsidRPr="00F06D55">
        <w:rPr>
          <w:noProof/>
          <w:color w:val="000000" w:themeColor="text1"/>
          <w:sz w:val="26"/>
          <w:szCs w:val="26"/>
          <w:lang w:eastAsia="lv-LV"/>
        </w:rPr>
        <w:drawing>
          <wp:inline distT="0" distB="0" distL="0" distR="0" wp14:anchorId="56FBC725" wp14:editId="1413CBDB">
            <wp:extent cx="4324350" cy="2162175"/>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Līdz ar sabiedrības novecošanos arī turpmāk demogrāfiskās slodzes radītāji nenovēršami pieaugs. Sagaidāms, ka demogrāfiskās slodzes līmenis līdz 2030.gadam palielināsies par gandrīz 15%, salīdzinot ar 2012.gadu. No darba tirgus viedokļa, tas prasīs augstāku iedzīvotāju līdzdalību darba tirgū, kā arī ātrāku ienākšanu un vēlāku iziešanu no tā.</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w:t>
      </w:r>
      <w:r w:rsidR="00F6144C">
        <w:rPr>
          <w:color w:val="000000" w:themeColor="text1"/>
          <w:sz w:val="26"/>
          <w:szCs w:val="26"/>
        </w:rPr>
        <w:t>5</w:t>
      </w:r>
      <w:r w:rsidRPr="00F06D55">
        <w:rPr>
          <w:color w:val="000000" w:themeColor="text1"/>
          <w:sz w:val="26"/>
          <w:szCs w:val="26"/>
        </w:rPr>
        <w:t>. attēls</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Demogrāfiskā slodze</w:t>
      </w:r>
    </w:p>
    <w:p w:rsidR="00CB0535" w:rsidRPr="00F06D55" w:rsidRDefault="00CB0535" w:rsidP="00CB0535">
      <w:pPr>
        <w:spacing w:after="60" w:line="240" w:lineRule="auto"/>
        <w:jc w:val="center"/>
        <w:rPr>
          <w:bCs/>
          <w:color w:val="000000" w:themeColor="text1"/>
          <w:szCs w:val="24"/>
        </w:rPr>
      </w:pPr>
      <w:r w:rsidRPr="00F06D55">
        <w:rPr>
          <w:bCs/>
          <w:color w:val="000000" w:themeColor="text1"/>
          <w:szCs w:val="24"/>
        </w:rPr>
        <w:t xml:space="preserve">(Darbspējas vecumu nesasniegušo un pārsniegušo personu skaits </w:t>
      </w:r>
      <w:r w:rsidRPr="00F06D55">
        <w:rPr>
          <w:bCs/>
          <w:color w:val="000000" w:themeColor="text1"/>
          <w:szCs w:val="24"/>
        </w:rPr>
        <w:br/>
        <w:t>vidēji uz 1000 iedzīvotājiem darbspējas vecumā)</w:t>
      </w:r>
    </w:p>
    <w:p w:rsidR="00CB0535" w:rsidRPr="00F06D55" w:rsidRDefault="00CB0535" w:rsidP="00CB0535">
      <w:pPr>
        <w:spacing w:after="0" w:line="240" w:lineRule="auto"/>
        <w:jc w:val="center"/>
        <w:rPr>
          <w:b/>
          <w:color w:val="000000" w:themeColor="text1"/>
          <w:sz w:val="26"/>
          <w:szCs w:val="26"/>
        </w:rPr>
      </w:pPr>
      <w:bookmarkStart w:id="49" w:name="_MON_1400589958"/>
      <w:bookmarkStart w:id="50" w:name="_MON_1400589987"/>
      <w:bookmarkStart w:id="51" w:name="_MON_1400590048"/>
      <w:bookmarkStart w:id="52" w:name="_MON_1400590069"/>
      <w:bookmarkStart w:id="53" w:name="_MON_1400589930"/>
      <w:bookmarkEnd w:id="49"/>
      <w:bookmarkEnd w:id="50"/>
      <w:bookmarkEnd w:id="51"/>
      <w:bookmarkEnd w:id="52"/>
      <w:bookmarkEnd w:id="53"/>
      <w:r w:rsidRPr="00F06D55">
        <w:rPr>
          <w:b/>
          <w:noProof/>
          <w:color w:val="000000" w:themeColor="text1"/>
          <w:sz w:val="26"/>
          <w:szCs w:val="26"/>
          <w:lang w:eastAsia="lv-LV"/>
        </w:rPr>
        <w:drawing>
          <wp:inline distT="0" distB="0" distL="0" distR="0" wp14:anchorId="459AE2A1" wp14:editId="61F50A83">
            <wp:extent cx="4324350" cy="2162175"/>
            <wp:effectExtent l="0" t="0" r="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jc w:val="both"/>
        <w:rPr>
          <w:b/>
          <w:color w:val="000000" w:themeColor="text1"/>
          <w:sz w:val="26"/>
          <w:szCs w:val="26"/>
        </w:rPr>
      </w:pPr>
      <w:r w:rsidRPr="00F06D55">
        <w:rPr>
          <w:b/>
          <w:color w:val="000000" w:themeColor="text1"/>
          <w:sz w:val="26"/>
          <w:szCs w:val="26"/>
        </w:rPr>
        <w:t>Iedzīvotāju līdzdalība darba tirgū</w:t>
      </w:r>
    </w:p>
    <w:p w:rsidR="00F06D55" w:rsidRPr="00F06D55" w:rsidRDefault="00F06D55" w:rsidP="00CB0535">
      <w:pPr>
        <w:spacing w:after="0" w:line="240" w:lineRule="auto"/>
        <w:ind w:firstLine="567"/>
        <w:jc w:val="both"/>
        <w:rPr>
          <w:color w:val="000000" w:themeColor="text1"/>
          <w:sz w:val="8"/>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Balstoties uz tautsaimniecības izaugsmes un demogrāfijas scenārijiem, EM ir iestrādājusi darbaspēka piedāvājuma (ekonomiski aktīvo iedzīvotāju) projekciju līdz 2030.gadam. Saskaņā ar EM prognozēm, ekonomiski aktīvo iedzīvotāju skaitam vidējā termiņā būs tendence samazināties – līdz 2018.gadam ekonomiski aktīvo iedzīvotāju skaits varētu sam</w:t>
      </w:r>
      <w:r w:rsidR="00F06D55">
        <w:rPr>
          <w:color w:val="000000" w:themeColor="text1"/>
          <w:sz w:val="26"/>
          <w:szCs w:val="26"/>
        </w:rPr>
        <w:t xml:space="preserve">azināties par gandrīz 44 </w:t>
      </w:r>
      <w:proofErr w:type="spellStart"/>
      <w:r w:rsidR="00F06D55">
        <w:rPr>
          <w:color w:val="000000" w:themeColor="text1"/>
          <w:sz w:val="26"/>
          <w:szCs w:val="26"/>
        </w:rPr>
        <w:t>tūkst</w:t>
      </w:r>
      <w:proofErr w:type="spellEnd"/>
      <w:r w:rsidR="00F06D55">
        <w:rPr>
          <w:color w:val="000000" w:themeColor="text1"/>
          <w:sz w:val="26"/>
          <w:szCs w:val="26"/>
        </w:rPr>
        <w:t>.</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Samazinājumu galvenokārt noteiks negatīvās demogrāfijas tendences. Turklāt nav sagaidāms, ka tuvākos gados iedzīvotāju līdzdalības līmeņa pieaugums varētu </w:t>
      </w:r>
      <w:r w:rsidRPr="00F06D55">
        <w:rPr>
          <w:color w:val="000000" w:themeColor="text1"/>
          <w:sz w:val="26"/>
          <w:szCs w:val="26"/>
        </w:rPr>
        <w:lastRenderedPageBreak/>
        <w:t>kompensēt demogrāfijas bāzes tendenču negatīvo ietekmi uz darbaspēka piedāvājumu.  Vienlaikus, līdz ar daudz jūtamākiem uzlabojumiem darba tirgū pēc 2016. gada, un migrācijas negatīvās ietekmes mazināšanos, sākot jau ar 2019. gadu, darbaspēka piedāvājums varētu atsākt pieaugt.</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w:t>
      </w:r>
      <w:r w:rsidR="00F6144C">
        <w:rPr>
          <w:color w:val="000000" w:themeColor="text1"/>
          <w:sz w:val="26"/>
          <w:szCs w:val="26"/>
        </w:rPr>
        <w:t>6</w:t>
      </w:r>
      <w:r w:rsidRPr="00F06D55">
        <w:rPr>
          <w:color w:val="000000" w:themeColor="text1"/>
          <w:sz w:val="26"/>
          <w:szCs w:val="26"/>
        </w:rPr>
        <w:t>. attēls</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Darbaspēka piedāvājums</w:t>
      </w:r>
    </w:p>
    <w:p w:rsidR="00CB0535" w:rsidRPr="00F06D55" w:rsidRDefault="00CB0535" w:rsidP="00CB0535">
      <w:pPr>
        <w:spacing w:after="60" w:line="240" w:lineRule="auto"/>
        <w:jc w:val="center"/>
        <w:rPr>
          <w:b/>
          <w:color w:val="000000" w:themeColor="text1"/>
          <w:sz w:val="24"/>
          <w:szCs w:val="26"/>
        </w:rPr>
      </w:pPr>
      <w:r w:rsidRPr="00F06D55">
        <w:rPr>
          <w:color w:val="000000" w:themeColor="text1"/>
          <w:szCs w:val="26"/>
        </w:rPr>
        <w:t>(</w:t>
      </w:r>
      <w:proofErr w:type="spellStart"/>
      <w:r w:rsidRPr="00F06D55">
        <w:rPr>
          <w:color w:val="000000" w:themeColor="text1"/>
          <w:szCs w:val="26"/>
        </w:rPr>
        <w:t>tūkst</w:t>
      </w:r>
      <w:proofErr w:type="spellEnd"/>
      <w:r w:rsidRPr="00F06D55">
        <w:rPr>
          <w:color w:val="000000" w:themeColor="text1"/>
          <w:szCs w:val="26"/>
        </w:rPr>
        <w:t>. cilvēku)</w:t>
      </w:r>
    </w:p>
    <w:p w:rsidR="00CB0535" w:rsidRPr="00F06D55" w:rsidRDefault="00CB0535" w:rsidP="00CB0535">
      <w:pPr>
        <w:spacing w:after="0" w:line="240" w:lineRule="auto"/>
        <w:jc w:val="center"/>
        <w:rPr>
          <w:color w:val="000000" w:themeColor="text1"/>
          <w:sz w:val="26"/>
          <w:szCs w:val="26"/>
        </w:rPr>
      </w:pPr>
      <w:bookmarkStart w:id="54" w:name="_MON_1400590196"/>
      <w:bookmarkStart w:id="55" w:name="_MON_1400590130"/>
      <w:bookmarkEnd w:id="54"/>
      <w:bookmarkEnd w:id="55"/>
      <w:r w:rsidRPr="00F06D55">
        <w:rPr>
          <w:noProof/>
          <w:color w:val="000000" w:themeColor="text1"/>
          <w:sz w:val="26"/>
          <w:szCs w:val="26"/>
          <w:lang w:eastAsia="lv-LV"/>
        </w:rPr>
        <w:drawing>
          <wp:inline distT="0" distB="0" distL="0" distR="0" wp14:anchorId="4ED0BCB5" wp14:editId="38E44B5D">
            <wp:extent cx="4324350" cy="219075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Ekonomiskā izaugsme, situācijas uzlabošanās darba tirgū, kā arī pieaugošā darbaspēka nepietiekamība kopumā ilgtermiņā sekmēs iedzīvotāju līdzdalības palielināšanos darba tirgū. Da</w:t>
      </w:r>
      <w:r w:rsidR="002C6B26">
        <w:rPr>
          <w:color w:val="000000" w:themeColor="text1"/>
          <w:sz w:val="26"/>
          <w:szCs w:val="26"/>
        </w:rPr>
        <w:t>rbaspēka pieprasījuma pieaugums</w:t>
      </w:r>
      <w:r w:rsidRPr="00F06D55">
        <w:rPr>
          <w:color w:val="000000" w:themeColor="text1"/>
          <w:sz w:val="26"/>
          <w:szCs w:val="26"/>
        </w:rPr>
        <w:t xml:space="preserve"> ierobežotu darba resursu pieejamības apstākļos, pavērs plašākas darba iespējas virknei neaktīvo iedzīvotāju grupu (mājsaimniecēm, studentiem, pensijas vecuma iedzīvotājiem </w:t>
      </w:r>
      <w:proofErr w:type="spellStart"/>
      <w:r w:rsidRPr="00F06D55">
        <w:rPr>
          <w:color w:val="000000" w:themeColor="text1"/>
          <w:sz w:val="26"/>
          <w:szCs w:val="26"/>
        </w:rPr>
        <w:t>u.c</w:t>
      </w:r>
      <w:proofErr w:type="spellEnd"/>
      <w:r w:rsidRPr="00F06D55">
        <w:rPr>
          <w:color w:val="000000" w:themeColor="text1"/>
          <w:sz w:val="26"/>
          <w:szCs w:val="26"/>
        </w:rPr>
        <w:t>.), vienlaikus būtiska loma iedzīvotāju līdzdalības veicināšanā būs atalgojuma pieaugumam.</w:t>
      </w: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 xml:space="preserve">Sagaidāms, ka līdz 2030.gadam iedzīvotāju līdzdalības līmenis darba tirgū varētu palielināties par gandrīz 5 procentpunktiem, salīdzinot ar 2012.gadu, un sasniegt aptuveni 71% no iedzīvotāju kopskaita vecumā no 15-74 gadiem. Vienlaikus augstākā iedzīvotāju ekonomiskā aktivitāte saglabāsies vecuma grupā no 25-54 gadiem. Turpretī nozīmīgākais līdzdalības pieaugums sagaidāms vecuma grupās 15-24 un </w:t>
      </w:r>
      <w:r w:rsidRPr="00F06D55">
        <w:rPr>
          <w:color w:val="000000" w:themeColor="text1"/>
          <w:sz w:val="26"/>
          <w:szCs w:val="26"/>
        </w:rPr>
        <w:br/>
        <w:t>65-74, kas, pirmajā gadījumā, būs saistīts ar ātrāku iedzīvotāju ienākšanu darba tirgū, bet otrajā, ar lēnāku iziešanu no tā.</w:t>
      </w:r>
    </w:p>
    <w:p w:rsidR="00CB0535" w:rsidRPr="00F06D55" w:rsidRDefault="00CB0535" w:rsidP="00CB0535">
      <w:pPr>
        <w:spacing w:before="120" w:after="120" w:line="240" w:lineRule="auto"/>
        <w:ind w:firstLine="720"/>
        <w:jc w:val="right"/>
        <w:rPr>
          <w:color w:val="000000" w:themeColor="text1"/>
          <w:sz w:val="26"/>
          <w:szCs w:val="26"/>
        </w:rPr>
      </w:pPr>
      <w:r w:rsidRPr="00F06D55">
        <w:rPr>
          <w:color w:val="000000" w:themeColor="text1"/>
          <w:sz w:val="26"/>
          <w:szCs w:val="26"/>
        </w:rPr>
        <w:t>3.5. tabula</w:t>
      </w:r>
    </w:p>
    <w:p w:rsidR="00CB0535" w:rsidRPr="00F06D55" w:rsidRDefault="00CB0535" w:rsidP="00CB0535">
      <w:pPr>
        <w:spacing w:after="0" w:line="240" w:lineRule="auto"/>
        <w:jc w:val="center"/>
        <w:rPr>
          <w:b/>
          <w:color w:val="000000" w:themeColor="text1"/>
          <w:sz w:val="26"/>
          <w:szCs w:val="26"/>
        </w:rPr>
      </w:pPr>
      <w:r w:rsidRPr="00F06D55">
        <w:rPr>
          <w:b/>
          <w:color w:val="000000" w:themeColor="text1"/>
          <w:sz w:val="26"/>
          <w:szCs w:val="26"/>
        </w:rPr>
        <w:t>Iedzīvotāju līdzdalība darba tirgū</w:t>
      </w:r>
    </w:p>
    <w:p w:rsidR="00CB0535" w:rsidRPr="00F06D55" w:rsidRDefault="00CB0535" w:rsidP="00CB0535">
      <w:pPr>
        <w:spacing w:after="60" w:line="240" w:lineRule="auto"/>
        <w:jc w:val="center"/>
        <w:rPr>
          <w:b/>
          <w:color w:val="000000" w:themeColor="text1"/>
          <w:sz w:val="24"/>
          <w:szCs w:val="26"/>
        </w:rPr>
      </w:pPr>
      <w:r w:rsidRPr="00F06D55">
        <w:rPr>
          <w:color w:val="000000" w:themeColor="text1"/>
          <w:szCs w:val="26"/>
        </w:rPr>
        <w:t>(procenti no iedzīvotāju kopskaita atbilstošajā vecuma grupā)</w:t>
      </w:r>
    </w:p>
    <w:tbl>
      <w:tblPr>
        <w:tblStyle w:val="LightShading-Accent4"/>
        <w:tblW w:w="3033" w:type="pct"/>
        <w:jc w:val="center"/>
        <w:tblLook w:val="0400" w:firstRow="0" w:lastRow="0" w:firstColumn="0" w:lastColumn="0" w:noHBand="0" w:noVBand="1"/>
      </w:tblPr>
      <w:tblGrid>
        <w:gridCol w:w="1211"/>
        <w:gridCol w:w="1474"/>
        <w:gridCol w:w="1474"/>
        <w:gridCol w:w="1474"/>
      </w:tblGrid>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1076" w:type="pct"/>
            <w:tcBorders>
              <w:top w:val="single" w:sz="8" w:space="0" w:color="8064A2" w:themeColor="accent4"/>
              <w:bottom w:val="single" w:sz="8" w:space="0" w:color="8064A2" w:themeColor="accent4"/>
            </w:tcBorders>
            <w:noWrap/>
          </w:tcPr>
          <w:p w:rsidR="00CB0535" w:rsidRPr="00F06D55" w:rsidRDefault="00CB0535">
            <w:pPr>
              <w:spacing w:before="40" w:after="40" w:line="240" w:lineRule="auto"/>
              <w:jc w:val="both"/>
              <w:rPr>
                <w:rFonts w:eastAsia="Arial Unicode MS"/>
                <w:color w:val="000000" w:themeColor="text1"/>
                <w:sz w:val="20"/>
              </w:rPr>
            </w:pPr>
          </w:p>
        </w:tc>
        <w:tc>
          <w:tcPr>
            <w:tcW w:w="1308"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2012</w:t>
            </w:r>
          </w:p>
        </w:tc>
        <w:tc>
          <w:tcPr>
            <w:tcW w:w="1308"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2020</w:t>
            </w:r>
          </w:p>
        </w:tc>
        <w:tc>
          <w:tcPr>
            <w:tcW w:w="1308" w:type="pct"/>
            <w:tcBorders>
              <w:top w:val="single" w:sz="8" w:space="0" w:color="8064A2" w:themeColor="accent4"/>
              <w:bottom w:val="single" w:sz="8"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2030</w:t>
            </w:r>
          </w:p>
        </w:tc>
      </w:tr>
      <w:tr w:rsidR="00F06D55" w:rsidRPr="00F06D55" w:rsidTr="00F06D55">
        <w:trPr>
          <w:jc w:val="center"/>
        </w:trPr>
        <w:tc>
          <w:tcPr>
            <w:tcW w:w="1076" w:type="pct"/>
            <w:tcBorders>
              <w:top w:val="single" w:sz="8" w:space="0" w:color="8064A2" w:themeColor="accent4"/>
            </w:tcBorders>
            <w:hideMark/>
          </w:tcPr>
          <w:p w:rsidR="00CB0535" w:rsidRPr="00F06D55" w:rsidRDefault="00CB0535">
            <w:pPr>
              <w:spacing w:before="40" w:after="40" w:line="240" w:lineRule="auto"/>
              <w:jc w:val="center"/>
              <w:rPr>
                <w:color w:val="000000" w:themeColor="text1"/>
                <w:sz w:val="20"/>
              </w:rPr>
            </w:pPr>
            <w:r w:rsidRPr="00F06D55">
              <w:rPr>
                <w:b/>
                <w:bCs/>
                <w:color w:val="000000" w:themeColor="text1"/>
                <w:sz w:val="20"/>
              </w:rPr>
              <w:t>Pavisam</w:t>
            </w:r>
          </w:p>
        </w:tc>
        <w:tc>
          <w:tcPr>
            <w:tcW w:w="1308" w:type="pct"/>
            <w:tcBorders>
              <w:top w:val="single" w:sz="8" w:space="0" w:color="8064A2" w:themeColor="accent4"/>
            </w:tcBorders>
            <w:hideMark/>
          </w:tcPr>
          <w:p w:rsidR="00CB0535" w:rsidRPr="00F06D55" w:rsidRDefault="00CB0535">
            <w:pPr>
              <w:tabs>
                <w:tab w:val="decimal" w:pos="692"/>
              </w:tabs>
              <w:spacing w:before="40" w:after="40" w:line="240" w:lineRule="auto"/>
              <w:rPr>
                <w:b/>
                <w:bCs/>
                <w:color w:val="000000" w:themeColor="text1"/>
                <w:sz w:val="20"/>
              </w:rPr>
            </w:pPr>
            <w:r w:rsidRPr="00F06D55">
              <w:rPr>
                <w:b/>
                <w:bCs/>
                <w:color w:val="000000" w:themeColor="text1"/>
                <w:sz w:val="20"/>
              </w:rPr>
              <w:t>65,9</w:t>
            </w:r>
          </w:p>
        </w:tc>
        <w:tc>
          <w:tcPr>
            <w:tcW w:w="1308" w:type="pct"/>
            <w:tcBorders>
              <w:top w:val="single" w:sz="8" w:space="0" w:color="8064A2" w:themeColor="accent4"/>
            </w:tcBorders>
            <w:hideMark/>
          </w:tcPr>
          <w:p w:rsidR="00CB0535" w:rsidRPr="00F06D55" w:rsidRDefault="00CB0535">
            <w:pPr>
              <w:tabs>
                <w:tab w:val="decimal" w:pos="692"/>
              </w:tabs>
              <w:spacing w:before="40" w:after="40" w:line="240" w:lineRule="auto"/>
              <w:rPr>
                <w:b/>
                <w:bCs/>
                <w:color w:val="000000" w:themeColor="text1"/>
                <w:sz w:val="20"/>
              </w:rPr>
            </w:pPr>
            <w:r w:rsidRPr="00F06D55">
              <w:rPr>
                <w:b/>
                <w:bCs/>
                <w:color w:val="000000" w:themeColor="text1"/>
                <w:sz w:val="20"/>
              </w:rPr>
              <w:t>69,0</w:t>
            </w:r>
          </w:p>
        </w:tc>
        <w:tc>
          <w:tcPr>
            <w:tcW w:w="1308" w:type="pct"/>
            <w:tcBorders>
              <w:top w:val="single" w:sz="8" w:space="0" w:color="8064A2" w:themeColor="accent4"/>
            </w:tcBorders>
            <w:hideMark/>
          </w:tcPr>
          <w:p w:rsidR="00CB0535" w:rsidRPr="00F06D55" w:rsidRDefault="00CB0535">
            <w:pPr>
              <w:tabs>
                <w:tab w:val="decimal" w:pos="692"/>
              </w:tabs>
              <w:spacing w:before="40" w:after="40" w:line="240" w:lineRule="auto"/>
              <w:rPr>
                <w:b/>
                <w:bCs/>
                <w:color w:val="000000" w:themeColor="text1"/>
                <w:sz w:val="20"/>
              </w:rPr>
            </w:pPr>
            <w:r w:rsidRPr="00F06D55">
              <w:rPr>
                <w:b/>
                <w:bCs/>
                <w:color w:val="000000" w:themeColor="text1"/>
                <w:sz w:val="20"/>
              </w:rPr>
              <w:t>70,7</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15-24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39,8</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37,8</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44,9</w:t>
            </w:r>
          </w:p>
        </w:tc>
      </w:tr>
      <w:tr w:rsidR="00F06D55" w:rsidRPr="00F06D55" w:rsidTr="00F06D55">
        <w:trPr>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25-34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87,3</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90,3</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93,1</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35-44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90,0</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93,1</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95,9</w:t>
            </w:r>
          </w:p>
        </w:tc>
      </w:tr>
      <w:tr w:rsidR="00F06D55" w:rsidRPr="00F06D55" w:rsidTr="00F06D55">
        <w:trPr>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45-54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87,6</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90,8</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93,7</w:t>
            </w:r>
          </w:p>
        </w:tc>
      </w:tr>
      <w:tr w:rsidR="00F06D55" w:rsidRPr="00F06D55" w:rsidTr="00F06D55">
        <w:trPr>
          <w:cnfStyle w:val="000000100000" w:firstRow="0" w:lastRow="0" w:firstColumn="0" w:lastColumn="0" w:oddVBand="0" w:evenVBand="0" w:oddHBand="1" w:evenHBand="0" w:firstRowFirstColumn="0" w:firstRowLastColumn="0" w:lastRowFirstColumn="0" w:lastRowLastColumn="0"/>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55-64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61,5</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65,0</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72,8</w:t>
            </w:r>
          </w:p>
        </w:tc>
      </w:tr>
      <w:tr w:rsidR="00F06D55" w:rsidRPr="00F06D55" w:rsidTr="00F06D55">
        <w:trPr>
          <w:jc w:val="center"/>
        </w:trPr>
        <w:tc>
          <w:tcPr>
            <w:tcW w:w="1076" w:type="pct"/>
            <w:hideMark/>
          </w:tcPr>
          <w:p w:rsidR="00CB0535" w:rsidRPr="00F06D55" w:rsidRDefault="00CB0535">
            <w:pPr>
              <w:spacing w:before="40" w:after="40" w:line="240" w:lineRule="auto"/>
              <w:jc w:val="center"/>
              <w:rPr>
                <w:b/>
                <w:color w:val="000000" w:themeColor="text1"/>
                <w:sz w:val="20"/>
              </w:rPr>
            </w:pPr>
            <w:r w:rsidRPr="00F06D55">
              <w:rPr>
                <w:color w:val="000000" w:themeColor="text1"/>
                <w:sz w:val="20"/>
              </w:rPr>
              <w:t>65-74</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11,7</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13,5</w:t>
            </w:r>
          </w:p>
        </w:tc>
        <w:tc>
          <w:tcPr>
            <w:tcW w:w="1308" w:type="pct"/>
            <w:hideMark/>
          </w:tcPr>
          <w:p w:rsidR="00CB0535" w:rsidRPr="00F06D55" w:rsidRDefault="00CB0535">
            <w:pPr>
              <w:tabs>
                <w:tab w:val="decimal" w:pos="692"/>
              </w:tabs>
              <w:spacing w:before="40" w:after="40" w:line="240" w:lineRule="auto"/>
              <w:rPr>
                <w:bCs/>
                <w:color w:val="000000" w:themeColor="text1"/>
                <w:sz w:val="20"/>
              </w:rPr>
            </w:pPr>
            <w:r w:rsidRPr="00F06D55">
              <w:rPr>
                <w:bCs/>
                <w:color w:val="000000" w:themeColor="text1"/>
                <w:sz w:val="20"/>
              </w:rPr>
              <w:t>15,4</w:t>
            </w:r>
          </w:p>
        </w:tc>
      </w:tr>
    </w:tbl>
    <w:p w:rsidR="00CB0535" w:rsidRPr="00F06D55" w:rsidRDefault="00CB0535" w:rsidP="00CB0535">
      <w:pPr>
        <w:spacing w:after="0" w:line="240" w:lineRule="auto"/>
        <w:ind w:firstLine="567"/>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lastRenderedPageBreak/>
        <w:t>Līdz 2020.gadam nozīmīgākais darbaspēka samazinājums paredzams vecuma grupā no 15-24 gadie</w:t>
      </w:r>
      <w:r w:rsidR="0064633F">
        <w:rPr>
          <w:color w:val="000000" w:themeColor="text1"/>
          <w:sz w:val="26"/>
          <w:szCs w:val="26"/>
        </w:rPr>
        <w:t>m. Pamatā tas saistāms ar 90.</w:t>
      </w:r>
      <w:r w:rsidRPr="00F06D55">
        <w:rPr>
          <w:color w:val="000000" w:themeColor="text1"/>
          <w:sz w:val="26"/>
          <w:szCs w:val="26"/>
        </w:rPr>
        <w:t>gadu zemās dzimstības izraisītās demogrāfiskās bedres ienākšanu attiecīgajā kohortā. Turpretī nākamā desmitgadē minētās demogrāfijas tendences atstās jūtamu ietekmi uz darbaspēka piedāvājumu vecuma grupā no 35-44 gadiem.</w:t>
      </w:r>
    </w:p>
    <w:p w:rsidR="00CB0535" w:rsidRPr="00F06D55" w:rsidRDefault="00CB0535" w:rsidP="00CB0535">
      <w:pPr>
        <w:spacing w:before="120" w:after="120" w:line="240" w:lineRule="auto"/>
        <w:jc w:val="right"/>
        <w:rPr>
          <w:color w:val="000000" w:themeColor="text1"/>
          <w:sz w:val="26"/>
          <w:szCs w:val="26"/>
        </w:rPr>
      </w:pPr>
      <w:r w:rsidRPr="00F06D55">
        <w:rPr>
          <w:color w:val="000000" w:themeColor="text1"/>
          <w:sz w:val="26"/>
          <w:szCs w:val="26"/>
        </w:rPr>
        <w:t>3.6. tabula</w:t>
      </w:r>
    </w:p>
    <w:p w:rsidR="00F06D55" w:rsidRDefault="00CB0535" w:rsidP="00CB0535">
      <w:pPr>
        <w:spacing w:after="0" w:line="240" w:lineRule="auto"/>
        <w:jc w:val="center"/>
        <w:rPr>
          <w:b/>
          <w:color w:val="000000" w:themeColor="text1"/>
          <w:sz w:val="26"/>
          <w:szCs w:val="26"/>
        </w:rPr>
      </w:pPr>
      <w:r w:rsidRPr="00F06D55">
        <w:rPr>
          <w:b/>
          <w:color w:val="000000" w:themeColor="text1"/>
          <w:sz w:val="26"/>
          <w:szCs w:val="26"/>
        </w:rPr>
        <w:t>Ekonomiski aktīvo iedzīvotāju izmaiņas pa vecuma grupām</w:t>
      </w:r>
    </w:p>
    <w:p w:rsidR="00CB0535" w:rsidRDefault="00F06D55" w:rsidP="00CB0535">
      <w:pPr>
        <w:spacing w:after="0" w:line="240" w:lineRule="auto"/>
        <w:jc w:val="center"/>
        <w:rPr>
          <w:color w:val="000000" w:themeColor="text1"/>
          <w:szCs w:val="26"/>
        </w:rPr>
      </w:pPr>
      <w:r>
        <w:rPr>
          <w:color w:val="000000" w:themeColor="text1"/>
          <w:szCs w:val="26"/>
        </w:rPr>
        <w:t>(</w:t>
      </w:r>
      <w:proofErr w:type="spellStart"/>
      <w:r w:rsidR="00CB0535" w:rsidRPr="00F06D55">
        <w:rPr>
          <w:color w:val="000000" w:themeColor="text1"/>
          <w:szCs w:val="26"/>
        </w:rPr>
        <w:t>tūkst</w:t>
      </w:r>
      <w:proofErr w:type="spellEnd"/>
      <w:r w:rsidR="00CB0535" w:rsidRPr="00F06D55">
        <w:rPr>
          <w:color w:val="000000" w:themeColor="text1"/>
          <w:szCs w:val="26"/>
        </w:rPr>
        <w:t>.</w:t>
      </w:r>
      <w:r>
        <w:rPr>
          <w:color w:val="000000" w:themeColor="text1"/>
          <w:szCs w:val="26"/>
        </w:rPr>
        <w:t>)</w:t>
      </w:r>
    </w:p>
    <w:p w:rsidR="00F06D55" w:rsidRPr="00F06D55" w:rsidRDefault="00F06D55" w:rsidP="00CB0535">
      <w:pPr>
        <w:spacing w:after="0" w:line="240" w:lineRule="auto"/>
        <w:jc w:val="center"/>
        <w:rPr>
          <w:color w:val="000000" w:themeColor="text1"/>
          <w:sz w:val="8"/>
          <w:szCs w:val="26"/>
        </w:rPr>
      </w:pPr>
    </w:p>
    <w:tbl>
      <w:tblPr>
        <w:tblStyle w:val="LightShading-Accent4"/>
        <w:tblW w:w="4904" w:type="pct"/>
        <w:jc w:val="center"/>
        <w:tblInd w:w="178" w:type="dxa"/>
        <w:tblLook w:val="0400" w:firstRow="0" w:lastRow="0" w:firstColumn="0" w:lastColumn="0" w:noHBand="0" w:noVBand="1"/>
      </w:tblPr>
      <w:tblGrid>
        <w:gridCol w:w="739"/>
        <w:gridCol w:w="826"/>
        <w:gridCol w:w="942"/>
        <w:gridCol w:w="942"/>
        <w:gridCol w:w="942"/>
        <w:gridCol w:w="946"/>
        <w:gridCol w:w="942"/>
        <w:gridCol w:w="942"/>
        <w:gridCol w:w="942"/>
        <w:gridCol w:w="946"/>
      </w:tblGrid>
      <w:tr w:rsidR="00F06D55" w:rsidRPr="00F06D55" w:rsidTr="00521971">
        <w:trPr>
          <w:cnfStyle w:val="000000100000" w:firstRow="0" w:lastRow="0" w:firstColumn="0" w:lastColumn="0" w:oddVBand="0" w:evenVBand="0" w:oddHBand="1" w:evenHBand="0" w:firstRowFirstColumn="0" w:firstRowLastColumn="0" w:lastRowFirstColumn="0" w:lastRowLastColumn="0"/>
          <w:jc w:val="center"/>
        </w:trPr>
        <w:tc>
          <w:tcPr>
            <w:tcW w:w="406" w:type="pct"/>
            <w:tcBorders>
              <w:bottom w:val="nil"/>
            </w:tcBorders>
          </w:tcPr>
          <w:p w:rsidR="00CB0535" w:rsidRPr="00F06D55" w:rsidRDefault="00CB0535">
            <w:pPr>
              <w:spacing w:before="40" w:after="40" w:line="240" w:lineRule="auto"/>
              <w:ind w:left="-142"/>
              <w:jc w:val="center"/>
              <w:rPr>
                <w:b/>
                <w:bCs/>
                <w:color w:val="000000" w:themeColor="text1"/>
                <w:sz w:val="20"/>
              </w:rPr>
            </w:pPr>
          </w:p>
        </w:tc>
        <w:tc>
          <w:tcPr>
            <w:tcW w:w="454" w:type="pct"/>
            <w:tcBorders>
              <w:top w:val="single" w:sz="8" w:space="0" w:color="8064A2" w:themeColor="accent4"/>
              <w:bottom w:val="nil"/>
              <w:right w:val="single" w:sz="4" w:space="0" w:color="8064A2" w:themeColor="accent4"/>
            </w:tcBorders>
          </w:tcPr>
          <w:p w:rsidR="00CB0535" w:rsidRPr="00F06D55" w:rsidRDefault="00F06D55" w:rsidP="00F06D55">
            <w:pPr>
              <w:tabs>
                <w:tab w:val="decimal" w:pos="545"/>
              </w:tabs>
              <w:spacing w:before="40" w:after="40" w:line="240" w:lineRule="auto"/>
              <w:jc w:val="center"/>
              <w:rPr>
                <w:b/>
                <w:bCs/>
                <w:color w:val="000000" w:themeColor="text1"/>
                <w:sz w:val="20"/>
              </w:rPr>
            </w:pPr>
            <w:r>
              <w:rPr>
                <w:b/>
                <w:bCs/>
                <w:color w:val="000000" w:themeColor="text1"/>
                <w:sz w:val="20"/>
              </w:rPr>
              <w:t>Fakts</w:t>
            </w:r>
          </w:p>
        </w:tc>
        <w:tc>
          <w:tcPr>
            <w:tcW w:w="1034" w:type="pct"/>
            <w:gridSpan w:val="2"/>
            <w:tcBorders>
              <w:top w:val="single" w:sz="8" w:space="0" w:color="8064A2" w:themeColor="accent4"/>
              <w:left w:val="single" w:sz="4" w:space="0" w:color="8064A2" w:themeColor="accent4"/>
              <w:bottom w:val="nil"/>
              <w:right w:val="single" w:sz="4"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Ekonomiski aktīvo iedzīvotāju skaits</w:t>
            </w:r>
          </w:p>
        </w:tc>
        <w:tc>
          <w:tcPr>
            <w:tcW w:w="1036" w:type="pct"/>
            <w:gridSpan w:val="2"/>
            <w:tcBorders>
              <w:top w:val="single" w:sz="8" w:space="0" w:color="8064A2" w:themeColor="accent4"/>
              <w:left w:val="single" w:sz="4" w:space="0" w:color="8064A2" w:themeColor="accent4"/>
              <w:bottom w:val="nil"/>
              <w:right w:val="single" w:sz="4" w:space="0" w:color="8064A2" w:themeColor="accent4"/>
            </w:tcBorders>
            <w:hideMark/>
          </w:tcPr>
          <w:p w:rsidR="00CB0535" w:rsidRPr="00F06D55" w:rsidRDefault="00CB0535">
            <w:pPr>
              <w:spacing w:before="40" w:after="40" w:line="240" w:lineRule="auto"/>
              <w:jc w:val="center"/>
              <w:rPr>
                <w:b/>
                <w:color w:val="000000" w:themeColor="text1"/>
                <w:sz w:val="20"/>
              </w:rPr>
            </w:pPr>
            <w:r w:rsidRPr="00F06D55">
              <w:rPr>
                <w:b/>
                <w:color w:val="000000" w:themeColor="text1"/>
                <w:sz w:val="20"/>
              </w:rPr>
              <w:t>Izmaiņas pret 2012.g.</w:t>
            </w:r>
          </w:p>
        </w:tc>
        <w:tc>
          <w:tcPr>
            <w:tcW w:w="1034" w:type="pct"/>
            <w:gridSpan w:val="2"/>
            <w:tcBorders>
              <w:top w:val="single" w:sz="8" w:space="0" w:color="8064A2" w:themeColor="accent4"/>
              <w:left w:val="single" w:sz="4" w:space="0" w:color="8064A2" w:themeColor="accent4"/>
              <w:bottom w:val="nil"/>
              <w:right w:val="single" w:sz="4" w:space="0" w:color="8064A2" w:themeColor="accent4"/>
            </w:tcBorders>
            <w:hideMark/>
          </w:tcPr>
          <w:p w:rsidR="00CB0535" w:rsidRPr="00F06D55" w:rsidRDefault="00CB0535">
            <w:pPr>
              <w:tabs>
                <w:tab w:val="decimal" w:pos="424"/>
              </w:tabs>
              <w:spacing w:before="40" w:after="40" w:line="240" w:lineRule="auto"/>
              <w:jc w:val="center"/>
              <w:rPr>
                <w:b/>
                <w:color w:val="000000" w:themeColor="text1"/>
                <w:sz w:val="20"/>
              </w:rPr>
            </w:pPr>
            <w:r w:rsidRPr="00F06D55">
              <w:rPr>
                <w:b/>
                <w:color w:val="000000" w:themeColor="text1"/>
                <w:sz w:val="20"/>
              </w:rPr>
              <w:t>Līdzdalības līmeņa izmaiņu ietekme</w:t>
            </w:r>
          </w:p>
        </w:tc>
        <w:tc>
          <w:tcPr>
            <w:tcW w:w="1036" w:type="pct"/>
            <w:gridSpan w:val="2"/>
            <w:tcBorders>
              <w:top w:val="single" w:sz="8" w:space="0" w:color="8064A2" w:themeColor="accent4"/>
              <w:left w:val="single" w:sz="4" w:space="0" w:color="8064A2" w:themeColor="accent4"/>
              <w:bottom w:val="nil"/>
            </w:tcBorders>
            <w:hideMark/>
          </w:tcPr>
          <w:p w:rsidR="00CB0535" w:rsidRPr="00F06D55" w:rsidRDefault="00CB0535">
            <w:pPr>
              <w:tabs>
                <w:tab w:val="decimal" w:pos="472"/>
              </w:tabs>
              <w:spacing w:before="40" w:after="40" w:line="240" w:lineRule="auto"/>
              <w:jc w:val="center"/>
              <w:rPr>
                <w:b/>
                <w:color w:val="000000" w:themeColor="text1"/>
                <w:sz w:val="20"/>
              </w:rPr>
            </w:pPr>
            <w:r w:rsidRPr="00F06D55">
              <w:rPr>
                <w:b/>
                <w:color w:val="000000" w:themeColor="text1"/>
                <w:sz w:val="20"/>
              </w:rPr>
              <w:t>Demogrāfijas izmaiņu ietekme</w:t>
            </w:r>
          </w:p>
        </w:tc>
      </w:tr>
      <w:tr w:rsidR="00F06D55" w:rsidRPr="00F06D55" w:rsidTr="00521971">
        <w:trPr>
          <w:jc w:val="center"/>
        </w:trPr>
        <w:tc>
          <w:tcPr>
            <w:tcW w:w="406" w:type="pct"/>
            <w:tcBorders>
              <w:top w:val="nil"/>
              <w:bottom w:val="single" w:sz="8" w:space="0" w:color="8064A2" w:themeColor="accent4"/>
            </w:tcBorders>
          </w:tcPr>
          <w:p w:rsidR="00CB0535" w:rsidRPr="00F06D55" w:rsidRDefault="00CB0535">
            <w:pPr>
              <w:spacing w:before="40" w:after="40" w:line="240" w:lineRule="auto"/>
              <w:ind w:left="-142"/>
              <w:jc w:val="center"/>
              <w:rPr>
                <w:b/>
                <w:bCs/>
                <w:color w:val="000000" w:themeColor="text1"/>
                <w:sz w:val="20"/>
              </w:rPr>
            </w:pPr>
          </w:p>
        </w:tc>
        <w:tc>
          <w:tcPr>
            <w:tcW w:w="454" w:type="pct"/>
            <w:tcBorders>
              <w:top w:val="nil"/>
              <w:bottom w:val="single" w:sz="8" w:space="0" w:color="8064A2" w:themeColor="accent4"/>
              <w:right w:val="single" w:sz="4" w:space="0" w:color="8064A2" w:themeColor="accent4"/>
            </w:tcBorders>
            <w:hideMark/>
          </w:tcPr>
          <w:p w:rsidR="00CB0535" w:rsidRPr="00F06D55" w:rsidRDefault="00CB0535">
            <w:pPr>
              <w:tabs>
                <w:tab w:val="decimal" w:pos="545"/>
              </w:tabs>
              <w:spacing w:before="40" w:after="40" w:line="240" w:lineRule="auto"/>
              <w:rPr>
                <w:b/>
                <w:bCs/>
                <w:color w:val="000000" w:themeColor="text1"/>
                <w:sz w:val="20"/>
              </w:rPr>
            </w:pPr>
            <w:r w:rsidRPr="00F06D55">
              <w:rPr>
                <w:b/>
                <w:color w:val="000000" w:themeColor="text1"/>
                <w:sz w:val="20"/>
              </w:rPr>
              <w:t>2012</w:t>
            </w:r>
          </w:p>
        </w:tc>
        <w:tc>
          <w:tcPr>
            <w:tcW w:w="517" w:type="pct"/>
            <w:tcBorders>
              <w:top w:val="nil"/>
              <w:left w:val="single" w:sz="4" w:space="0" w:color="8064A2" w:themeColor="accent4"/>
              <w:bottom w:val="single" w:sz="8" w:space="0" w:color="8064A2" w:themeColor="accent4"/>
            </w:tcBorders>
            <w:hideMark/>
          </w:tcPr>
          <w:p w:rsidR="00CB0535" w:rsidRPr="00F06D55" w:rsidRDefault="00CB0535">
            <w:pPr>
              <w:tabs>
                <w:tab w:val="decimal" w:pos="545"/>
              </w:tabs>
              <w:spacing w:before="40" w:after="40" w:line="240" w:lineRule="auto"/>
              <w:jc w:val="center"/>
              <w:rPr>
                <w:b/>
                <w:bCs/>
                <w:color w:val="000000" w:themeColor="text1"/>
                <w:sz w:val="20"/>
              </w:rPr>
            </w:pPr>
            <w:r w:rsidRPr="00F06D55">
              <w:rPr>
                <w:b/>
                <w:bCs/>
                <w:color w:val="000000" w:themeColor="text1"/>
                <w:sz w:val="20"/>
              </w:rPr>
              <w:t>2020</w:t>
            </w:r>
          </w:p>
        </w:tc>
        <w:tc>
          <w:tcPr>
            <w:tcW w:w="517" w:type="pct"/>
            <w:tcBorders>
              <w:top w:val="nil"/>
              <w:bottom w:val="single" w:sz="8" w:space="0" w:color="8064A2" w:themeColor="accent4"/>
              <w:right w:val="single" w:sz="4" w:space="0" w:color="8064A2" w:themeColor="accent4"/>
            </w:tcBorders>
            <w:hideMark/>
          </w:tcPr>
          <w:p w:rsidR="00CB0535" w:rsidRPr="00F06D55" w:rsidRDefault="00CB0535">
            <w:pPr>
              <w:tabs>
                <w:tab w:val="decimal" w:pos="545"/>
              </w:tabs>
              <w:spacing w:before="40" w:after="40" w:line="240" w:lineRule="auto"/>
              <w:jc w:val="center"/>
              <w:rPr>
                <w:b/>
                <w:color w:val="000000" w:themeColor="text1"/>
                <w:sz w:val="20"/>
              </w:rPr>
            </w:pPr>
            <w:r w:rsidRPr="00F06D55">
              <w:rPr>
                <w:b/>
                <w:color w:val="000000" w:themeColor="text1"/>
                <w:sz w:val="20"/>
              </w:rPr>
              <w:t>2030</w:t>
            </w:r>
          </w:p>
        </w:tc>
        <w:tc>
          <w:tcPr>
            <w:tcW w:w="517" w:type="pct"/>
            <w:tcBorders>
              <w:top w:val="nil"/>
              <w:left w:val="single" w:sz="4" w:space="0" w:color="8064A2" w:themeColor="accent4"/>
              <w:bottom w:val="single" w:sz="8" w:space="0" w:color="8064A2" w:themeColor="accent4"/>
            </w:tcBorders>
            <w:hideMark/>
          </w:tcPr>
          <w:p w:rsidR="00CB0535" w:rsidRPr="00F06D55" w:rsidRDefault="00CB0535">
            <w:pPr>
              <w:tabs>
                <w:tab w:val="decimal" w:pos="545"/>
              </w:tabs>
              <w:spacing w:before="40" w:after="40" w:line="240" w:lineRule="auto"/>
              <w:jc w:val="center"/>
              <w:rPr>
                <w:b/>
                <w:bCs/>
                <w:color w:val="000000" w:themeColor="text1"/>
                <w:sz w:val="20"/>
              </w:rPr>
            </w:pPr>
            <w:r w:rsidRPr="00F06D55">
              <w:rPr>
                <w:b/>
                <w:bCs/>
                <w:color w:val="000000" w:themeColor="text1"/>
                <w:sz w:val="20"/>
              </w:rPr>
              <w:t>2020</w:t>
            </w:r>
          </w:p>
        </w:tc>
        <w:tc>
          <w:tcPr>
            <w:tcW w:w="519" w:type="pct"/>
            <w:tcBorders>
              <w:top w:val="nil"/>
              <w:bottom w:val="single" w:sz="8" w:space="0" w:color="8064A2" w:themeColor="accent4"/>
              <w:right w:val="single" w:sz="4" w:space="0" w:color="8064A2" w:themeColor="accent4"/>
            </w:tcBorders>
            <w:hideMark/>
          </w:tcPr>
          <w:p w:rsidR="00CB0535" w:rsidRPr="00F06D55" w:rsidRDefault="00CB0535">
            <w:pPr>
              <w:tabs>
                <w:tab w:val="decimal" w:pos="545"/>
              </w:tabs>
              <w:spacing w:before="40" w:after="40" w:line="240" w:lineRule="auto"/>
              <w:jc w:val="center"/>
              <w:rPr>
                <w:b/>
                <w:color w:val="000000" w:themeColor="text1"/>
                <w:sz w:val="20"/>
              </w:rPr>
            </w:pPr>
            <w:r w:rsidRPr="00F06D55">
              <w:rPr>
                <w:b/>
                <w:color w:val="000000" w:themeColor="text1"/>
                <w:sz w:val="20"/>
              </w:rPr>
              <w:t>2030</w:t>
            </w:r>
          </w:p>
        </w:tc>
        <w:tc>
          <w:tcPr>
            <w:tcW w:w="517" w:type="pct"/>
            <w:tcBorders>
              <w:top w:val="nil"/>
              <w:left w:val="single" w:sz="4" w:space="0" w:color="8064A2" w:themeColor="accent4"/>
              <w:bottom w:val="single" w:sz="8" w:space="0" w:color="8064A2" w:themeColor="accent4"/>
            </w:tcBorders>
            <w:hideMark/>
          </w:tcPr>
          <w:p w:rsidR="00CB0535" w:rsidRPr="00F06D55" w:rsidRDefault="00CB0535">
            <w:pPr>
              <w:tabs>
                <w:tab w:val="decimal" w:pos="545"/>
              </w:tabs>
              <w:spacing w:before="40" w:after="40" w:line="240" w:lineRule="auto"/>
              <w:jc w:val="center"/>
              <w:rPr>
                <w:b/>
                <w:bCs/>
                <w:color w:val="000000" w:themeColor="text1"/>
                <w:sz w:val="20"/>
              </w:rPr>
            </w:pPr>
            <w:r w:rsidRPr="00F06D55">
              <w:rPr>
                <w:b/>
                <w:bCs/>
                <w:color w:val="000000" w:themeColor="text1"/>
                <w:sz w:val="20"/>
              </w:rPr>
              <w:t>2020</w:t>
            </w:r>
          </w:p>
        </w:tc>
        <w:tc>
          <w:tcPr>
            <w:tcW w:w="517" w:type="pct"/>
            <w:tcBorders>
              <w:top w:val="nil"/>
              <w:bottom w:val="single" w:sz="8" w:space="0" w:color="8064A2" w:themeColor="accent4"/>
              <w:right w:val="single" w:sz="4" w:space="0" w:color="8064A2" w:themeColor="accent4"/>
            </w:tcBorders>
            <w:hideMark/>
          </w:tcPr>
          <w:p w:rsidR="00CB0535" w:rsidRPr="00F06D55" w:rsidRDefault="00CB0535">
            <w:pPr>
              <w:tabs>
                <w:tab w:val="decimal" w:pos="545"/>
              </w:tabs>
              <w:spacing w:before="40" w:after="40" w:line="240" w:lineRule="auto"/>
              <w:jc w:val="center"/>
              <w:rPr>
                <w:b/>
                <w:color w:val="000000" w:themeColor="text1"/>
                <w:sz w:val="20"/>
              </w:rPr>
            </w:pPr>
            <w:r w:rsidRPr="00F06D55">
              <w:rPr>
                <w:b/>
                <w:color w:val="000000" w:themeColor="text1"/>
                <w:sz w:val="20"/>
              </w:rPr>
              <w:t>2030</w:t>
            </w:r>
          </w:p>
        </w:tc>
        <w:tc>
          <w:tcPr>
            <w:tcW w:w="517" w:type="pct"/>
            <w:tcBorders>
              <w:top w:val="nil"/>
              <w:left w:val="single" w:sz="4" w:space="0" w:color="8064A2" w:themeColor="accent4"/>
              <w:bottom w:val="single" w:sz="8" w:space="0" w:color="8064A2" w:themeColor="accent4"/>
            </w:tcBorders>
            <w:hideMark/>
          </w:tcPr>
          <w:p w:rsidR="00CB0535" w:rsidRPr="00F06D55" w:rsidRDefault="00CB0535">
            <w:pPr>
              <w:tabs>
                <w:tab w:val="decimal" w:pos="545"/>
              </w:tabs>
              <w:spacing w:before="40" w:after="40" w:line="240" w:lineRule="auto"/>
              <w:jc w:val="center"/>
              <w:rPr>
                <w:b/>
                <w:bCs/>
                <w:color w:val="000000" w:themeColor="text1"/>
                <w:sz w:val="20"/>
              </w:rPr>
            </w:pPr>
            <w:r w:rsidRPr="00F06D55">
              <w:rPr>
                <w:b/>
                <w:bCs/>
                <w:color w:val="000000" w:themeColor="text1"/>
                <w:sz w:val="20"/>
              </w:rPr>
              <w:t>2020</w:t>
            </w:r>
          </w:p>
        </w:tc>
        <w:tc>
          <w:tcPr>
            <w:tcW w:w="519" w:type="pct"/>
            <w:tcBorders>
              <w:top w:val="nil"/>
              <w:bottom w:val="single" w:sz="8" w:space="0" w:color="8064A2" w:themeColor="accent4"/>
            </w:tcBorders>
            <w:hideMark/>
          </w:tcPr>
          <w:p w:rsidR="00CB0535" w:rsidRPr="00F06D55" w:rsidRDefault="00CB0535">
            <w:pPr>
              <w:tabs>
                <w:tab w:val="decimal" w:pos="545"/>
              </w:tabs>
              <w:spacing w:before="40" w:after="40" w:line="240" w:lineRule="auto"/>
              <w:jc w:val="center"/>
              <w:rPr>
                <w:b/>
                <w:color w:val="000000" w:themeColor="text1"/>
                <w:sz w:val="20"/>
              </w:rPr>
            </w:pPr>
            <w:r w:rsidRPr="00F06D55">
              <w:rPr>
                <w:b/>
                <w:color w:val="000000" w:themeColor="text1"/>
                <w:sz w:val="20"/>
              </w:rPr>
              <w:t>2030</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jc w:val="center"/>
        </w:trPr>
        <w:tc>
          <w:tcPr>
            <w:tcW w:w="406" w:type="pct"/>
            <w:tcBorders>
              <w:top w:val="single" w:sz="8" w:space="0" w:color="8064A2" w:themeColor="accent4"/>
            </w:tcBorders>
            <w:hideMark/>
          </w:tcPr>
          <w:p w:rsidR="00CB0535" w:rsidRPr="00F06D55" w:rsidRDefault="00CB0535">
            <w:pPr>
              <w:spacing w:before="40" w:after="40" w:line="240" w:lineRule="auto"/>
              <w:ind w:left="-142"/>
              <w:jc w:val="center"/>
              <w:rPr>
                <w:b/>
                <w:color w:val="000000" w:themeColor="text1"/>
                <w:sz w:val="20"/>
              </w:rPr>
            </w:pPr>
            <w:r w:rsidRPr="00F06D55">
              <w:rPr>
                <w:b/>
                <w:bCs/>
                <w:color w:val="000000" w:themeColor="text1"/>
                <w:sz w:val="20"/>
              </w:rPr>
              <w:t>Kopā</w:t>
            </w:r>
          </w:p>
        </w:tc>
        <w:tc>
          <w:tcPr>
            <w:tcW w:w="454" w:type="pct"/>
            <w:tcBorders>
              <w:top w:val="single" w:sz="8" w:space="0" w:color="8064A2" w:themeColor="accent4"/>
              <w:bottom w:val="nil"/>
              <w:right w:val="single" w:sz="4" w:space="0" w:color="8064A2" w:themeColor="accent4"/>
            </w:tcBorders>
            <w:hideMark/>
          </w:tcPr>
          <w:p w:rsidR="00CB0535" w:rsidRPr="00F06D55" w:rsidRDefault="00CB0535">
            <w:pPr>
              <w:tabs>
                <w:tab w:val="decimal" w:pos="359"/>
              </w:tabs>
              <w:spacing w:before="40" w:after="40" w:line="240" w:lineRule="auto"/>
              <w:rPr>
                <w:b/>
                <w:color w:val="000000" w:themeColor="text1"/>
                <w:sz w:val="20"/>
              </w:rPr>
            </w:pPr>
            <w:r w:rsidRPr="00F06D55">
              <w:rPr>
                <w:b/>
                <w:color w:val="000000" w:themeColor="text1"/>
                <w:sz w:val="20"/>
              </w:rPr>
              <w:t>1041,1</w:t>
            </w:r>
          </w:p>
        </w:tc>
        <w:tc>
          <w:tcPr>
            <w:tcW w:w="517" w:type="pct"/>
            <w:tcBorders>
              <w:top w:val="single" w:sz="8" w:space="0" w:color="8064A2" w:themeColor="accent4"/>
              <w:left w:val="single" w:sz="4" w:space="0" w:color="8064A2" w:themeColor="accent4"/>
            </w:tcBorders>
            <w:hideMark/>
          </w:tcPr>
          <w:p w:rsidR="00CB0535" w:rsidRPr="00F06D55" w:rsidRDefault="00CB0535">
            <w:pPr>
              <w:tabs>
                <w:tab w:val="decimal" w:pos="545"/>
              </w:tabs>
              <w:spacing w:before="40" w:after="40" w:line="240" w:lineRule="auto"/>
              <w:rPr>
                <w:b/>
                <w:color w:val="000000" w:themeColor="text1"/>
                <w:sz w:val="20"/>
              </w:rPr>
            </w:pPr>
            <w:r w:rsidRPr="00F06D55">
              <w:rPr>
                <w:b/>
                <w:color w:val="000000" w:themeColor="text1"/>
                <w:sz w:val="20"/>
              </w:rPr>
              <w:t>999,5</w:t>
            </w:r>
          </w:p>
        </w:tc>
        <w:tc>
          <w:tcPr>
            <w:tcW w:w="517" w:type="pct"/>
            <w:tcBorders>
              <w:top w:val="single" w:sz="8" w:space="0" w:color="8064A2" w:themeColor="accent4"/>
              <w:right w:val="single" w:sz="4" w:space="0" w:color="8064A2" w:themeColor="accent4"/>
            </w:tcBorders>
            <w:hideMark/>
          </w:tcPr>
          <w:p w:rsidR="00CB0535" w:rsidRPr="00F06D55" w:rsidRDefault="00CB0535">
            <w:pPr>
              <w:tabs>
                <w:tab w:val="decimal" w:pos="545"/>
              </w:tabs>
              <w:spacing w:before="40" w:after="40" w:line="240" w:lineRule="auto"/>
              <w:rPr>
                <w:b/>
                <w:color w:val="000000" w:themeColor="text1"/>
                <w:sz w:val="20"/>
              </w:rPr>
            </w:pPr>
            <w:r w:rsidRPr="00F06D55">
              <w:rPr>
                <w:b/>
                <w:color w:val="000000" w:themeColor="text1"/>
                <w:sz w:val="20"/>
              </w:rPr>
              <w:t>1021,4</w:t>
            </w:r>
          </w:p>
        </w:tc>
        <w:tc>
          <w:tcPr>
            <w:tcW w:w="517" w:type="pct"/>
            <w:tcBorders>
              <w:top w:val="single" w:sz="8" w:space="0" w:color="8064A2" w:themeColor="accent4"/>
              <w:left w:val="single" w:sz="4" w:space="0" w:color="8064A2" w:themeColor="accent4"/>
              <w:bottom w:val="nil"/>
            </w:tcBorders>
            <w:hideMark/>
          </w:tcPr>
          <w:p w:rsidR="00CB0535" w:rsidRPr="00F06D55" w:rsidRDefault="00CB0535" w:rsidP="001E4BA5">
            <w:pPr>
              <w:tabs>
                <w:tab w:val="decimal" w:pos="438"/>
              </w:tabs>
              <w:spacing w:before="40" w:after="40" w:line="240" w:lineRule="auto"/>
              <w:rPr>
                <w:b/>
                <w:color w:val="000000" w:themeColor="text1"/>
                <w:sz w:val="20"/>
              </w:rPr>
            </w:pPr>
            <w:r w:rsidRPr="00F06D55">
              <w:rPr>
                <w:b/>
                <w:color w:val="000000" w:themeColor="text1"/>
                <w:sz w:val="20"/>
              </w:rPr>
              <w:t>-41,6</w:t>
            </w:r>
          </w:p>
        </w:tc>
        <w:tc>
          <w:tcPr>
            <w:tcW w:w="519" w:type="pct"/>
            <w:tcBorders>
              <w:top w:val="single" w:sz="8" w:space="0" w:color="8064A2" w:themeColor="accent4"/>
              <w:bottom w:val="nil"/>
              <w:right w:val="single" w:sz="4" w:space="0" w:color="8064A2" w:themeColor="accent4"/>
            </w:tcBorders>
            <w:hideMark/>
          </w:tcPr>
          <w:p w:rsidR="00CB0535" w:rsidRPr="00F06D55" w:rsidRDefault="00CB0535" w:rsidP="001E4BA5">
            <w:pPr>
              <w:tabs>
                <w:tab w:val="decimal" w:pos="434"/>
              </w:tabs>
              <w:spacing w:before="40" w:after="40" w:line="240" w:lineRule="auto"/>
              <w:rPr>
                <w:b/>
                <w:color w:val="000000" w:themeColor="text1"/>
                <w:sz w:val="20"/>
              </w:rPr>
            </w:pPr>
            <w:r w:rsidRPr="00F06D55">
              <w:rPr>
                <w:b/>
                <w:color w:val="000000" w:themeColor="text1"/>
                <w:sz w:val="20"/>
              </w:rPr>
              <w:t>-19,7</w:t>
            </w:r>
          </w:p>
        </w:tc>
        <w:tc>
          <w:tcPr>
            <w:tcW w:w="517" w:type="pct"/>
            <w:tcBorders>
              <w:top w:val="single" w:sz="8" w:space="0" w:color="8064A2" w:themeColor="accent4"/>
              <w:left w:val="single" w:sz="4" w:space="0" w:color="8064A2" w:themeColor="accent4"/>
            </w:tcBorders>
            <w:hideMark/>
          </w:tcPr>
          <w:p w:rsidR="00CB0535" w:rsidRPr="00F06D55" w:rsidRDefault="00CB0535" w:rsidP="001E4BA5">
            <w:pPr>
              <w:tabs>
                <w:tab w:val="decimal" w:pos="467"/>
              </w:tabs>
              <w:spacing w:before="40" w:after="40" w:line="240" w:lineRule="auto"/>
              <w:rPr>
                <w:b/>
                <w:bCs/>
                <w:color w:val="000000" w:themeColor="text1"/>
                <w:sz w:val="20"/>
              </w:rPr>
            </w:pPr>
            <w:r w:rsidRPr="00F06D55">
              <w:rPr>
                <w:b/>
                <w:bCs/>
                <w:color w:val="000000" w:themeColor="text1"/>
                <w:sz w:val="20"/>
              </w:rPr>
              <w:t>39,6</w:t>
            </w:r>
          </w:p>
        </w:tc>
        <w:tc>
          <w:tcPr>
            <w:tcW w:w="517" w:type="pct"/>
            <w:tcBorders>
              <w:top w:val="single" w:sz="8" w:space="0" w:color="8064A2" w:themeColor="accent4"/>
              <w:right w:val="single" w:sz="4" w:space="0" w:color="8064A2" w:themeColor="accent4"/>
            </w:tcBorders>
            <w:hideMark/>
          </w:tcPr>
          <w:p w:rsidR="00CB0535" w:rsidRPr="00F06D55" w:rsidRDefault="00CB0535" w:rsidP="001E4BA5">
            <w:pPr>
              <w:tabs>
                <w:tab w:val="decimal" w:pos="477"/>
              </w:tabs>
              <w:spacing w:before="40" w:after="40" w:line="240" w:lineRule="auto"/>
              <w:rPr>
                <w:b/>
                <w:color w:val="000000" w:themeColor="text1"/>
                <w:sz w:val="20"/>
              </w:rPr>
            </w:pPr>
            <w:r w:rsidRPr="00F06D55">
              <w:rPr>
                <w:b/>
                <w:color w:val="000000" w:themeColor="text1"/>
                <w:sz w:val="20"/>
              </w:rPr>
              <w:t>93,8</w:t>
            </w:r>
          </w:p>
        </w:tc>
        <w:tc>
          <w:tcPr>
            <w:tcW w:w="517" w:type="pct"/>
            <w:tcBorders>
              <w:top w:val="single" w:sz="8" w:space="0" w:color="8064A2" w:themeColor="accent4"/>
              <w:left w:val="single" w:sz="4" w:space="0" w:color="8064A2" w:themeColor="accent4"/>
              <w:bottom w:val="nil"/>
            </w:tcBorders>
            <w:hideMark/>
          </w:tcPr>
          <w:p w:rsidR="00CB0535" w:rsidRPr="00F06D55" w:rsidRDefault="00CB0535" w:rsidP="001E4BA5">
            <w:pPr>
              <w:tabs>
                <w:tab w:val="decimal" w:pos="445"/>
              </w:tabs>
              <w:spacing w:before="40" w:after="40" w:line="240" w:lineRule="auto"/>
              <w:rPr>
                <w:b/>
                <w:color w:val="000000" w:themeColor="text1"/>
                <w:sz w:val="20"/>
              </w:rPr>
            </w:pPr>
            <w:r w:rsidRPr="00F06D55">
              <w:rPr>
                <w:b/>
                <w:color w:val="000000" w:themeColor="text1"/>
                <w:sz w:val="20"/>
              </w:rPr>
              <w:t>-81,2</w:t>
            </w:r>
          </w:p>
        </w:tc>
        <w:tc>
          <w:tcPr>
            <w:tcW w:w="519" w:type="pct"/>
            <w:tcBorders>
              <w:top w:val="single" w:sz="8" w:space="0" w:color="8064A2" w:themeColor="accent4"/>
              <w:bottom w:val="nil"/>
            </w:tcBorders>
            <w:hideMark/>
          </w:tcPr>
          <w:p w:rsidR="00CB0535" w:rsidRPr="00F06D55" w:rsidRDefault="00CB0535">
            <w:pPr>
              <w:tabs>
                <w:tab w:val="decimal" w:pos="472"/>
              </w:tabs>
              <w:spacing w:before="40" w:after="40" w:line="240" w:lineRule="auto"/>
              <w:rPr>
                <w:b/>
                <w:color w:val="000000" w:themeColor="text1"/>
                <w:sz w:val="20"/>
              </w:rPr>
            </w:pPr>
            <w:r w:rsidRPr="00F06D55">
              <w:rPr>
                <w:b/>
                <w:color w:val="000000" w:themeColor="text1"/>
                <w:sz w:val="20"/>
              </w:rPr>
              <w:t>-113,5</w:t>
            </w:r>
          </w:p>
        </w:tc>
      </w:tr>
      <w:tr w:rsidR="00F06D55" w:rsidRPr="00F06D55" w:rsidTr="00521971">
        <w:trPr>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15-24</w:t>
            </w:r>
          </w:p>
        </w:tc>
        <w:tc>
          <w:tcPr>
            <w:tcW w:w="454" w:type="pct"/>
            <w:tcBorders>
              <w:top w:val="nil"/>
              <w:bottom w:val="nil"/>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102,4</w:t>
            </w:r>
          </w:p>
        </w:tc>
        <w:tc>
          <w:tcPr>
            <w:tcW w:w="517" w:type="pct"/>
            <w:tcBorders>
              <w:lef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67,3</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94,6</w:t>
            </w:r>
          </w:p>
        </w:tc>
        <w:tc>
          <w:tcPr>
            <w:tcW w:w="517" w:type="pct"/>
            <w:tcBorders>
              <w:top w:val="nil"/>
              <w:left w:val="single" w:sz="4" w:space="0" w:color="8064A2" w:themeColor="accent4"/>
              <w:bottom w:val="nil"/>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-35,0</w:t>
            </w:r>
          </w:p>
        </w:tc>
        <w:tc>
          <w:tcPr>
            <w:tcW w:w="519" w:type="pct"/>
            <w:tcBorders>
              <w:top w:val="nil"/>
              <w:bottom w:val="nil"/>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-7,8</w:t>
            </w:r>
          </w:p>
        </w:tc>
        <w:tc>
          <w:tcPr>
            <w:tcW w:w="517" w:type="pct"/>
            <w:tcBorders>
              <w:left w:val="single" w:sz="4"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2,8</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14,2</w:t>
            </w:r>
          </w:p>
        </w:tc>
        <w:tc>
          <w:tcPr>
            <w:tcW w:w="517" w:type="pct"/>
            <w:tcBorders>
              <w:top w:val="nil"/>
              <w:left w:val="single" w:sz="4" w:space="0" w:color="8064A2" w:themeColor="accent4"/>
              <w:bottom w:val="nil"/>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-37,8</w:t>
            </w:r>
          </w:p>
        </w:tc>
        <w:tc>
          <w:tcPr>
            <w:tcW w:w="519" w:type="pct"/>
            <w:tcBorders>
              <w:top w:val="nil"/>
              <w:bottom w:val="nil"/>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-21,9</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25-34</w:t>
            </w:r>
          </w:p>
        </w:tc>
        <w:tc>
          <w:tcPr>
            <w:tcW w:w="454" w:type="pct"/>
            <w:tcBorders>
              <w:top w:val="nil"/>
              <w:bottom w:val="nil"/>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244,5</w:t>
            </w:r>
          </w:p>
        </w:tc>
        <w:tc>
          <w:tcPr>
            <w:tcW w:w="517" w:type="pct"/>
            <w:tcBorders>
              <w:lef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236,8</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175,5</w:t>
            </w:r>
          </w:p>
        </w:tc>
        <w:tc>
          <w:tcPr>
            <w:tcW w:w="517" w:type="pct"/>
            <w:tcBorders>
              <w:top w:val="nil"/>
              <w:left w:val="single" w:sz="4" w:space="0" w:color="8064A2" w:themeColor="accent4"/>
              <w:bottom w:val="nil"/>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-7,7</w:t>
            </w:r>
          </w:p>
        </w:tc>
        <w:tc>
          <w:tcPr>
            <w:tcW w:w="519" w:type="pct"/>
            <w:tcBorders>
              <w:top w:val="nil"/>
              <w:bottom w:val="nil"/>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-69,0</w:t>
            </w:r>
          </w:p>
        </w:tc>
        <w:tc>
          <w:tcPr>
            <w:tcW w:w="517" w:type="pct"/>
            <w:tcBorders>
              <w:left w:val="single" w:sz="4"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7,4</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10,0</w:t>
            </w:r>
          </w:p>
        </w:tc>
        <w:tc>
          <w:tcPr>
            <w:tcW w:w="517" w:type="pct"/>
            <w:tcBorders>
              <w:top w:val="nil"/>
              <w:left w:val="single" w:sz="4" w:space="0" w:color="8064A2" w:themeColor="accent4"/>
              <w:bottom w:val="nil"/>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-15,1</w:t>
            </w:r>
          </w:p>
        </w:tc>
        <w:tc>
          <w:tcPr>
            <w:tcW w:w="519" w:type="pct"/>
            <w:tcBorders>
              <w:top w:val="nil"/>
              <w:bottom w:val="nil"/>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-79,0</w:t>
            </w:r>
          </w:p>
        </w:tc>
      </w:tr>
      <w:tr w:rsidR="00F06D55" w:rsidRPr="00F06D55" w:rsidTr="00521971">
        <w:trPr>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35-44</w:t>
            </w:r>
          </w:p>
        </w:tc>
        <w:tc>
          <w:tcPr>
            <w:tcW w:w="454" w:type="pct"/>
            <w:tcBorders>
              <w:top w:val="nil"/>
              <w:bottom w:val="nil"/>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251,7</w:t>
            </w:r>
          </w:p>
        </w:tc>
        <w:tc>
          <w:tcPr>
            <w:tcW w:w="517" w:type="pct"/>
            <w:tcBorders>
              <w:lef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248,3</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269,8</w:t>
            </w:r>
          </w:p>
        </w:tc>
        <w:tc>
          <w:tcPr>
            <w:tcW w:w="517" w:type="pct"/>
            <w:tcBorders>
              <w:top w:val="nil"/>
              <w:left w:val="single" w:sz="4" w:space="0" w:color="8064A2" w:themeColor="accent4"/>
              <w:bottom w:val="nil"/>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-3,3</w:t>
            </w:r>
          </w:p>
        </w:tc>
        <w:tc>
          <w:tcPr>
            <w:tcW w:w="519" w:type="pct"/>
            <w:tcBorders>
              <w:top w:val="nil"/>
              <w:bottom w:val="nil"/>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18,1</w:t>
            </w:r>
          </w:p>
        </w:tc>
        <w:tc>
          <w:tcPr>
            <w:tcW w:w="517" w:type="pct"/>
            <w:tcBorders>
              <w:left w:val="single" w:sz="4"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8,2</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16,9</w:t>
            </w:r>
          </w:p>
        </w:tc>
        <w:tc>
          <w:tcPr>
            <w:tcW w:w="517" w:type="pct"/>
            <w:tcBorders>
              <w:top w:val="nil"/>
              <w:left w:val="single" w:sz="4" w:space="0" w:color="8064A2" w:themeColor="accent4"/>
              <w:bottom w:val="nil"/>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-11,5</w:t>
            </w:r>
          </w:p>
        </w:tc>
        <w:tc>
          <w:tcPr>
            <w:tcW w:w="519" w:type="pct"/>
            <w:tcBorders>
              <w:top w:val="nil"/>
              <w:bottom w:val="nil"/>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1,3</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45-54</w:t>
            </w:r>
          </w:p>
        </w:tc>
        <w:tc>
          <w:tcPr>
            <w:tcW w:w="454" w:type="pct"/>
            <w:tcBorders>
              <w:top w:val="nil"/>
              <w:bottom w:val="nil"/>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260,6</w:t>
            </w:r>
          </w:p>
        </w:tc>
        <w:tc>
          <w:tcPr>
            <w:tcW w:w="517" w:type="pct"/>
            <w:tcBorders>
              <w:lef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242,6</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260,7</w:t>
            </w:r>
          </w:p>
        </w:tc>
        <w:tc>
          <w:tcPr>
            <w:tcW w:w="517" w:type="pct"/>
            <w:tcBorders>
              <w:top w:val="nil"/>
              <w:left w:val="single" w:sz="4" w:space="0" w:color="8064A2" w:themeColor="accent4"/>
              <w:bottom w:val="nil"/>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-18,0</w:t>
            </w:r>
          </w:p>
        </w:tc>
        <w:tc>
          <w:tcPr>
            <w:tcW w:w="519" w:type="pct"/>
            <w:tcBorders>
              <w:top w:val="nil"/>
              <w:bottom w:val="nil"/>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0,1</w:t>
            </w:r>
          </w:p>
        </w:tc>
        <w:tc>
          <w:tcPr>
            <w:tcW w:w="517" w:type="pct"/>
            <w:tcBorders>
              <w:left w:val="single" w:sz="4"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8,0</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16,3</w:t>
            </w:r>
          </w:p>
        </w:tc>
        <w:tc>
          <w:tcPr>
            <w:tcW w:w="517" w:type="pct"/>
            <w:tcBorders>
              <w:top w:val="nil"/>
              <w:left w:val="single" w:sz="4" w:space="0" w:color="8064A2" w:themeColor="accent4"/>
              <w:bottom w:val="nil"/>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-26,0</w:t>
            </w:r>
          </w:p>
        </w:tc>
        <w:tc>
          <w:tcPr>
            <w:tcW w:w="519" w:type="pct"/>
            <w:tcBorders>
              <w:top w:val="nil"/>
              <w:bottom w:val="nil"/>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-16,2</w:t>
            </w:r>
          </w:p>
        </w:tc>
      </w:tr>
      <w:tr w:rsidR="00F06D55" w:rsidRPr="00F06D55" w:rsidTr="00521971">
        <w:trPr>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55-64</w:t>
            </w:r>
          </w:p>
        </w:tc>
        <w:tc>
          <w:tcPr>
            <w:tcW w:w="454" w:type="pct"/>
            <w:tcBorders>
              <w:top w:val="nil"/>
              <w:bottom w:val="nil"/>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157,3</w:t>
            </w:r>
          </w:p>
        </w:tc>
        <w:tc>
          <w:tcPr>
            <w:tcW w:w="517" w:type="pct"/>
            <w:tcBorders>
              <w:lef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177,2</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185,2</w:t>
            </w:r>
          </w:p>
        </w:tc>
        <w:tc>
          <w:tcPr>
            <w:tcW w:w="517" w:type="pct"/>
            <w:tcBorders>
              <w:top w:val="nil"/>
              <w:left w:val="single" w:sz="4" w:space="0" w:color="8064A2" w:themeColor="accent4"/>
              <w:bottom w:val="nil"/>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19,8</w:t>
            </w:r>
          </w:p>
        </w:tc>
        <w:tc>
          <w:tcPr>
            <w:tcW w:w="519" w:type="pct"/>
            <w:tcBorders>
              <w:top w:val="nil"/>
              <w:bottom w:val="nil"/>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27,9</w:t>
            </w:r>
          </w:p>
        </w:tc>
        <w:tc>
          <w:tcPr>
            <w:tcW w:w="517" w:type="pct"/>
            <w:tcBorders>
              <w:left w:val="single" w:sz="4"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10,7</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28,4</w:t>
            </w:r>
          </w:p>
        </w:tc>
        <w:tc>
          <w:tcPr>
            <w:tcW w:w="517" w:type="pct"/>
            <w:tcBorders>
              <w:top w:val="nil"/>
              <w:left w:val="single" w:sz="4" w:space="0" w:color="8064A2" w:themeColor="accent4"/>
              <w:bottom w:val="nil"/>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9,1</w:t>
            </w:r>
          </w:p>
        </w:tc>
        <w:tc>
          <w:tcPr>
            <w:tcW w:w="519" w:type="pct"/>
            <w:tcBorders>
              <w:top w:val="nil"/>
              <w:bottom w:val="nil"/>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-0,6</w:t>
            </w:r>
          </w:p>
        </w:tc>
      </w:tr>
      <w:tr w:rsidR="00F06D55" w:rsidRPr="00F06D55" w:rsidTr="00521971">
        <w:trPr>
          <w:cnfStyle w:val="000000100000" w:firstRow="0" w:lastRow="0" w:firstColumn="0" w:lastColumn="0" w:oddVBand="0" w:evenVBand="0" w:oddHBand="1" w:evenHBand="0" w:firstRowFirstColumn="0" w:firstRowLastColumn="0" w:lastRowFirstColumn="0" w:lastRowLastColumn="0"/>
          <w:jc w:val="center"/>
        </w:trPr>
        <w:tc>
          <w:tcPr>
            <w:tcW w:w="406" w:type="pct"/>
            <w:hideMark/>
          </w:tcPr>
          <w:p w:rsidR="00CB0535" w:rsidRPr="00F06D55" w:rsidRDefault="00CB0535">
            <w:pPr>
              <w:spacing w:before="40" w:after="40" w:line="240" w:lineRule="auto"/>
              <w:ind w:left="-142"/>
              <w:jc w:val="center"/>
              <w:rPr>
                <w:b/>
                <w:color w:val="000000" w:themeColor="text1"/>
                <w:sz w:val="20"/>
              </w:rPr>
            </w:pPr>
            <w:r w:rsidRPr="00F06D55">
              <w:rPr>
                <w:color w:val="000000" w:themeColor="text1"/>
                <w:sz w:val="20"/>
              </w:rPr>
              <w:t>65-74</w:t>
            </w:r>
          </w:p>
        </w:tc>
        <w:tc>
          <w:tcPr>
            <w:tcW w:w="454" w:type="pct"/>
            <w:tcBorders>
              <w:top w:val="nil"/>
              <w:bottom w:val="single" w:sz="8" w:space="0" w:color="8064A2" w:themeColor="accent4"/>
              <w:right w:val="single" w:sz="4" w:space="0" w:color="8064A2" w:themeColor="accent4"/>
            </w:tcBorders>
            <w:hideMark/>
          </w:tcPr>
          <w:p w:rsidR="00CB0535" w:rsidRPr="00F06D55" w:rsidRDefault="00CB0535">
            <w:pPr>
              <w:tabs>
                <w:tab w:val="decimal" w:pos="359"/>
              </w:tabs>
              <w:spacing w:before="40" w:after="40" w:line="240" w:lineRule="auto"/>
              <w:rPr>
                <w:color w:val="000000" w:themeColor="text1"/>
                <w:sz w:val="20"/>
              </w:rPr>
            </w:pPr>
            <w:r w:rsidRPr="00F06D55">
              <w:rPr>
                <w:color w:val="000000" w:themeColor="text1"/>
                <w:sz w:val="20"/>
              </w:rPr>
              <w:t>24,6</w:t>
            </w:r>
          </w:p>
        </w:tc>
        <w:tc>
          <w:tcPr>
            <w:tcW w:w="517" w:type="pct"/>
            <w:tcBorders>
              <w:left w:val="single" w:sz="4" w:space="0" w:color="8064A2" w:themeColor="accent4"/>
              <w:bottom w:val="single" w:sz="8"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27,3</w:t>
            </w:r>
          </w:p>
        </w:tc>
        <w:tc>
          <w:tcPr>
            <w:tcW w:w="517" w:type="pct"/>
            <w:tcBorders>
              <w:right w:val="single" w:sz="4" w:space="0" w:color="8064A2" w:themeColor="accent4"/>
            </w:tcBorders>
            <w:hideMark/>
          </w:tcPr>
          <w:p w:rsidR="00CB0535" w:rsidRPr="00F06D55" w:rsidRDefault="00CB0535">
            <w:pPr>
              <w:tabs>
                <w:tab w:val="decimal" w:pos="545"/>
              </w:tabs>
              <w:spacing w:before="40" w:after="40" w:line="240" w:lineRule="auto"/>
              <w:rPr>
                <w:color w:val="000000" w:themeColor="text1"/>
                <w:sz w:val="20"/>
              </w:rPr>
            </w:pPr>
            <w:r w:rsidRPr="00F06D55">
              <w:rPr>
                <w:color w:val="000000" w:themeColor="text1"/>
                <w:sz w:val="20"/>
              </w:rPr>
              <w:t>35,7</w:t>
            </w:r>
          </w:p>
        </w:tc>
        <w:tc>
          <w:tcPr>
            <w:tcW w:w="517" w:type="pct"/>
            <w:tcBorders>
              <w:top w:val="nil"/>
              <w:left w:val="single" w:sz="4" w:space="0" w:color="8064A2" w:themeColor="accent4"/>
              <w:bottom w:val="single" w:sz="8" w:space="0" w:color="8064A2" w:themeColor="accent4"/>
            </w:tcBorders>
            <w:hideMark/>
          </w:tcPr>
          <w:p w:rsidR="00CB0535" w:rsidRPr="00F06D55" w:rsidRDefault="00CB0535" w:rsidP="001E4BA5">
            <w:pPr>
              <w:tabs>
                <w:tab w:val="decimal" w:pos="438"/>
              </w:tabs>
              <w:spacing w:before="40" w:after="40" w:line="240" w:lineRule="auto"/>
              <w:rPr>
                <w:color w:val="000000" w:themeColor="text1"/>
                <w:sz w:val="20"/>
              </w:rPr>
            </w:pPr>
            <w:r w:rsidRPr="00F06D55">
              <w:rPr>
                <w:color w:val="000000" w:themeColor="text1"/>
                <w:sz w:val="20"/>
              </w:rPr>
              <w:t>2,7</w:t>
            </w:r>
          </w:p>
        </w:tc>
        <w:tc>
          <w:tcPr>
            <w:tcW w:w="519" w:type="pct"/>
            <w:tcBorders>
              <w:top w:val="nil"/>
              <w:bottom w:val="single" w:sz="8" w:space="0" w:color="8064A2" w:themeColor="accent4"/>
              <w:right w:val="single" w:sz="4" w:space="0" w:color="8064A2" w:themeColor="accent4"/>
            </w:tcBorders>
            <w:hideMark/>
          </w:tcPr>
          <w:p w:rsidR="00CB0535" w:rsidRPr="00F06D55" w:rsidRDefault="00CB0535" w:rsidP="001E4BA5">
            <w:pPr>
              <w:tabs>
                <w:tab w:val="decimal" w:pos="434"/>
              </w:tabs>
              <w:spacing w:before="40" w:after="40" w:line="240" w:lineRule="auto"/>
              <w:rPr>
                <w:color w:val="000000" w:themeColor="text1"/>
                <w:sz w:val="20"/>
              </w:rPr>
            </w:pPr>
            <w:r w:rsidRPr="00F06D55">
              <w:rPr>
                <w:color w:val="000000" w:themeColor="text1"/>
                <w:sz w:val="20"/>
              </w:rPr>
              <w:t>11,0</w:t>
            </w:r>
          </w:p>
        </w:tc>
        <w:tc>
          <w:tcPr>
            <w:tcW w:w="517" w:type="pct"/>
            <w:tcBorders>
              <w:left w:val="single" w:sz="4" w:space="0" w:color="8064A2" w:themeColor="accent4"/>
              <w:bottom w:val="single" w:sz="8" w:space="0" w:color="8064A2" w:themeColor="accent4"/>
            </w:tcBorders>
            <w:hideMark/>
          </w:tcPr>
          <w:p w:rsidR="00CB0535" w:rsidRPr="00F06D55" w:rsidRDefault="00CB0535" w:rsidP="001E4BA5">
            <w:pPr>
              <w:tabs>
                <w:tab w:val="decimal" w:pos="467"/>
              </w:tabs>
              <w:spacing w:before="40" w:after="40" w:line="240" w:lineRule="auto"/>
              <w:rPr>
                <w:color w:val="000000" w:themeColor="text1"/>
                <w:sz w:val="20"/>
              </w:rPr>
            </w:pPr>
            <w:r w:rsidRPr="00F06D55">
              <w:rPr>
                <w:color w:val="000000" w:themeColor="text1"/>
                <w:sz w:val="20"/>
              </w:rPr>
              <w:t>2,5</w:t>
            </w:r>
          </w:p>
        </w:tc>
        <w:tc>
          <w:tcPr>
            <w:tcW w:w="517" w:type="pct"/>
            <w:tcBorders>
              <w:right w:val="single" w:sz="4" w:space="0" w:color="8064A2" w:themeColor="accent4"/>
            </w:tcBorders>
            <w:hideMark/>
          </w:tcPr>
          <w:p w:rsidR="00CB0535" w:rsidRPr="00F06D55" w:rsidRDefault="00CB0535" w:rsidP="001E4BA5">
            <w:pPr>
              <w:tabs>
                <w:tab w:val="decimal" w:pos="477"/>
              </w:tabs>
              <w:spacing w:before="40" w:after="40" w:line="240" w:lineRule="auto"/>
              <w:rPr>
                <w:color w:val="000000" w:themeColor="text1"/>
                <w:sz w:val="20"/>
              </w:rPr>
            </w:pPr>
            <w:r w:rsidRPr="00F06D55">
              <w:rPr>
                <w:color w:val="000000" w:themeColor="text1"/>
                <w:sz w:val="20"/>
              </w:rPr>
              <w:t>8,0</w:t>
            </w:r>
          </w:p>
        </w:tc>
        <w:tc>
          <w:tcPr>
            <w:tcW w:w="517" w:type="pct"/>
            <w:tcBorders>
              <w:top w:val="nil"/>
              <w:left w:val="single" w:sz="4" w:space="0" w:color="8064A2" w:themeColor="accent4"/>
              <w:bottom w:val="single" w:sz="8" w:space="0" w:color="8064A2" w:themeColor="accent4"/>
            </w:tcBorders>
            <w:hideMark/>
          </w:tcPr>
          <w:p w:rsidR="00CB0535" w:rsidRPr="00F06D55" w:rsidRDefault="00CB0535" w:rsidP="001E4BA5">
            <w:pPr>
              <w:tabs>
                <w:tab w:val="decimal" w:pos="445"/>
              </w:tabs>
              <w:spacing w:before="40" w:after="40" w:line="240" w:lineRule="auto"/>
              <w:rPr>
                <w:color w:val="000000" w:themeColor="text1"/>
                <w:sz w:val="20"/>
              </w:rPr>
            </w:pPr>
            <w:r w:rsidRPr="00F06D55">
              <w:rPr>
                <w:color w:val="000000" w:themeColor="text1"/>
                <w:sz w:val="20"/>
              </w:rPr>
              <w:t>0,2</w:t>
            </w:r>
          </w:p>
        </w:tc>
        <w:tc>
          <w:tcPr>
            <w:tcW w:w="519" w:type="pct"/>
            <w:tcBorders>
              <w:top w:val="nil"/>
              <w:bottom w:val="single" w:sz="8" w:space="0" w:color="8064A2" w:themeColor="accent4"/>
            </w:tcBorders>
            <w:hideMark/>
          </w:tcPr>
          <w:p w:rsidR="00CB0535" w:rsidRPr="00F06D55" w:rsidRDefault="00CB0535">
            <w:pPr>
              <w:tabs>
                <w:tab w:val="decimal" w:pos="472"/>
              </w:tabs>
              <w:spacing w:before="40" w:after="40" w:line="240" w:lineRule="auto"/>
              <w:rPr>
                <w:color w:val="000000" w:themeColor="text1"/>
                <w:sz w:val="20"/>
              </w:rPr>
            </w:pPr>
            <w:r w:rsidRPr="00F06D55">
              <w:rPr>
                <w:color w:val="000000" w:themeColor="text1"/>
                <w:sz w:val="20"/>
              </w:rPr>
              <w:t>3,0</w:t>
            </w:r>
          </w:p>
        </w:tc>
      </w:tr>
    </w:tbl>
    <w:p w:rsidR="00CB0535" w:rsidRPr="00F06D55" w:rsidRDefault="00CB0535" w:rsidP="00CB0535">
      <w:pPr>
        <w:spacing w:after="0" w:line="240" w:lineRule="auto"/>
        <w:jc w:val="both"/>
        <w:rPr>
          <w:color w:val="000000" w:themeColor="text1"/>
          <w:sz w:val="26"/>
          <w:szCs w:val="26"/>
        </w:rPr>
      </w:pPr>
    </w:p>
    <w:p w:rsidR="00CB0535" w:rsidRPr="00F06D55" w:rsidRDefault="00CB0535" w:rsidP="00CB0535">
      <w:pPr>
        <w:spacing w:after="0" w:line="240" w:lineRule="auto"/>
        <w:ind w:firstLine="567"/>
        <w:jc w:val="both"/>
        <w:rPr>
          <w:color w:val="000000" w:themeColor="text1"/>
          <w:sz w:val="26"/>
          <w:szCs w:val="26"/>
        </w:rPr>
      </w:pPr>
      <w:r w:rsidRPr="00F06D55">
        <w:rPr>
          <w:color w:val="000000" w:themeColor="text1"/>
          <w:sz w:val="26"/>
          <w:szCs w:val="26"/>
        </w:rPr>
        <w:t>Kopumā galvenie darbaspēka piedāvājuma virzītājspēki vidējā termiņā būs demogrāfiski</w:t>
      </w:r>
      <w:r w:rsidR="002C6B26">
        <w:rPr>
          <w:color w:val="000000" w:themeColor="text1"/>
          <w:sz w:val="26"/>
          <w:szCs w:val="26"/>
        </w:rPr>
        <w:t>e</w:t>
      </w:r>
      <w:r w:rsidRPr="00F06D55">
        <w:rPr>
          <w:color w:val="000000" w:themeColor="text1"/>
          <w:sz w:val="26"/>
          <w:szCs w:val="26"/>
        </w:rPr>
        <w:t xml:space="preserve"> procesi, savukārt, sākot ar 2019.gadu, ar vien lielāka nozīme būs iedzīvotāju ekonomiskās aktivitātes pieaugumam.</w:t>
      </w:r>
    </w:p>
    <w:p w:rsidR="0077399B" w:rsidRPr="00CD7B6E" w:rsidRDefault="0077399B" w:rsidP="0077399B">
      <w:pPr>
        <w:spacing w:after="0" w:line="240" w:lineRule="auto"/>
        <w:jc w:val="both"/>
        <w:rPr>
          <w:spacing w:val="-4"/>
          <w:sz w:val="26"/>
          <w:szCs w:val="26"/>
          <w:lang w:eastAsia="lv-LV"/>
        </w:rPr>
      </w:pPr>
    </w:p>
    <w:p w:rsidR="0077399B" w:rsidRPr="00CD7B6E" w:rsidRDefault="0077399B" w:rsidP="0077399B">
      <w:pPr>
        <w:pStyle w:val="Heading2"/>
        <w:pBdr>
          <w:bottom w:val="thinThickSmallGap" w:sz="18" w:space="1" w:color="8064A2" w:themeColor="accent4"/>
        </w:pBdr>
        <w:spacing w:before="0" w:after="0" w:line="240" w:lineRule="auto"/>
        <w:rPr>
          <w:szCs w:val="28"/>
        </w:rPr>
      </w:pPr>
      <w:bookmarkStart w:id="56" w:name="_Toc357503121"/>
      <w:r w:rsidRPr="00CD7B6E">
        <w:rPr>
          <w:szCs w:val="28"/>
        </w:rPr>
        <w:t>3.3. Darbaspēka pieprasījuma prognozes</w:t>
      </w:r>
      <w:bookmarkEnd w:id="56"/>
    </w:p>
    <w:p w:rsidR="0077399B" w:rsidRPr="00CD7B6E" w:rsidRDefault="0077399B" w:rsidP="0077399B">
      <w:pPr>
        <w:spacing w:after="0" w:line="240" w:lineRule="auto"/>
        <w:jc w:val="both"/>
        <w:rPr>
          <w:sz w:val="26"/>
          <w:szCs w:val="26"/>
        </w:rPr>
      </w:pPr>
    </w:p>
    <w:p w:rsidR="0077399B" w:rsidRPr="001D4472" w:rsidRDefault="0077399B" w:rsidP="0077399B">
      <w:pPr>
        <w:spacing w:after="0" w:line="240" w:lineRule="auto"/>
        <w:ind w:firstLine="567"/>
        <w:jc w:val="both"/>
        <w:rPr>
          <w:sz w:val="26"/>
          <w:szCs w:val="26"/>
        </w:rPr>
      </w:pPr>
      <w:r w:rsidRPr="001D4472">
        <w:rPr>
          <w:sz w:val="26"/>
          <w:szCs w:val="26"/>
        </w:rPr>
        <w:t>Latvijas ekonomika pārkārtojas uz ilgtspējīgu attīstības modeli, kurā galvenais attīstības dzinējspēks ir eksports. Viens no svarīgākajiem ekonomiskās paradigmas maiņas jautājumiem ir ražošanas nozaru attīstības iespējas, kas savukārt ir atkarīgas no spējas veikt strukturālās izmaiņas nozarē. Tas ir nepieciešams priekšnosacījums, l</w:t>
      </w:r>
      <w:r w:rsidR="00521971">
        <w:rPr>
          <w:sz w:val="26"/>
          <w:szCs w:val="26"/>
        </w:rPr>
        <w:t>ai stiprinātu Latvijas konkurēt</w:t>
      </w:r>
      <w:r w:rsidRPr="001D4472">
        <w:rPr>
          <w:sz w:val="26"/>
          <w:szCs w:val="26"/>
        </w:rPr>
        <w:t>spējīg</w:t>
      </w:r>
      <w:r w:rsidR="00C17198">
        <w:rPr>
          <w:sz w:val="26"/>
          <w:szCs w:val="26"/>
        </w:rPr>
        <w:t>ā</w:t>
      </w:r>
      <w:r w:rsidRPr="001D4472">
        <w:rPr>
          <w:sz w:val="26"/>
          <w:szCs w:val="26"/>
        </w:rPr>
        <w:t>s pozīcijas globālajos tirgos, vienlaikus palielinot eksporta groza ienesīgumu.</w:t>
      </w:r>
    </w:p>
    <w:p w:rsidR="0077399B" w:rsidRPr="001D4472" w:rsidRDefault="0077399B" w:rsidP="0077399B">
      <w:pPr>
        <w:spacing w:after="0" w:line="240" w:lineRule="auto"/>
        <w:ind w:firstLine="567"/>
        <w:jc w:val="both"/>
        <w:rPr>
          <w:sz w:val="26"/>
          <w:szCs w:val="26"/>
        </w:rPr>
      </w:pPr>
      <w:r w:rsidRPr="001D4472">
        <w:rPr>
          <w:sz w:val="26"/>
          <w:szCs w:val="26"/>
        </w:rPr>
        <w:t>Latvijas tautsaimniecības struktūrpolitikas galvenie mērķi vidējā termiņā ir saistīti ar noteiktām strukturālām izmaiņām tautsaimniecības resursu izvietojumā par labu preču un pakalpojumu ar augstāku pievienoto vērtību ražošanai, uz eksportu vērstām nozarēm, lielākiem ieguldījumiem jaunās tehnoloģijās, inovācijā un IKT, kā arī uzlabojumiem izglītības sistēmā. Šo politikas pasākumu īstenošana stiprinās ekonomiskās izaugsmes potenciālu, paātrinot rūpniecības izaugsmi un paaugstinot tautsaimniecības produktivitāti.</w:t>
      </w:r>
    </w:p>
    <w:p w:rsidR="0077399B" w:rsidRPr="001D4472" w:rsidRDefault="0077399B" w:rsidP="0077399B">
      <w:pPr>
        <w:spacing w:after="0" w:line="240" w:lineRule="auto"/>
        <w:ind w:firstLine="567"/>
        <w:jc w:val="both"/>
        <w:rPr>
          <w:sz w:val="26"/>
          <w:szCs w:val="26"/>
        </w:rPr>
      </w:pPr>
      <w:r w:rsidRPr="001D4472">
        <w:rPr>
          <w:sz w:val="26"/>
          <w:szCs w:val="26"/>
        </w:rPr>
        <w:t xml:space="preserve">Latvijas darba tirgus elastīgums </w:t>
      </w:r>
      <w:proofErr w:type="spellStart"/>
      <w:r w:rsidRPr="001D4472">
        <w:rPr>
          <w:sz w:val="26"/>
          <w:szCs w:val="26"/>
        </w:rPr>
        <w:t>pēckrīzes</w:t>
      </w:r>
      <w:proofErr w:type="spellEnd"/>
      <w:r w:rsidRPr="001D4472">
        <w:rPr>
          <w:sz w:val="26"/>
          <w:szCs w:val="26"/>
        </w:rPr>
        <w:t xml:space="preserve"> periodā bija izšķirošs faktors pašreizējās izaugsmes nodrošināšanā. To raksturo darba algu un nodarbinātības samazināšanās atbilstoši spējam izlaides samazinājumam, kas ļāva uzlabot tautsaimniecības konkurētspēju saistībā ar iekšējās devalvācijas pasākumiem. Tomēr turpmākā izaugsme vairs nevar balstīties uz tik drastiskiem pasākumiem, un arvien lielāka nozīme būs darba tirgus kvalitatīviem uzlabojumiem, lai reaģētu uz galvenajiem tautsaimniecības attīstības izaicinājumiem – demogrāfiju</w:t>
      </w:r>
      <w:r>
        <w:rPr>
          <w:sz w:val="26"/>
          <w:szCs w:val="26"/>
        </w:rPr>
        <w:t>,</w:t>
      </w:r>
      <w:r w:rsidRPr="001D4472">
        <w:rPr>
          <w:sz w:val="26"/>
          <w:szCs w:val="26"/>
        </w:rPr>
        <w:t xml:space="preserve"> darbaspēka izmaksu kāpumu, kā arī prasmju piedāvājuma neatbilstību pieprasījumam.</w:t>
      </w:r>
    </w:p>
    <w:p w:rsidR="0077399B" w:rsidRPr="00CD7B6E" w:rsidRDefault="0077399B" w:rsidP="0077399B">
      <w:pPr>
        <w:spacing w:after="0" w:line="240" w:lineRule="auto"/>
        <w:ind w:firstLine="567"/>
        <w:jc w:val="both"/>
        <w:rPr>
          <w:sz w:val="26"/>
          <w:szCs w:val="26"/>
        </w:rPr>
      </w:pPr>
      <w:r>
        <w:rPr>
          <w:sz w:val="26"/>
          <w:szCs w:val="26"/>
        </w:rPr>
        <w:lastRenderedPageBreak/>
        <w:t xml:space="preserve">Tautsaimniecības </w:t>
      </w:r>
      <w:r w:rsidRPr="00CD7B6E">
        <w:rPr>
          <w:sz w:val="26"/>
          <w:szCs w:val="26"/>
        </w:rPr>
        <w:t xml:space="preserve">attīstības scenārijā IKP līdz 2020.gadam varētu pieaugt par </w:t>
      </w:r>
      <w:r>
        <w:rPr>
          <w:sz w:val="26"/>
          <w:szCs w:val="26"/>
        </w:rPr>
        <w:t>vairāk nekā 40%,</w:t>
      </w:r>
      <w:r w:rsidRPr="00CD7B6E">
        <w:rPr>
          <w:sz w:val="26"/>
          <w:szCs w:val="26"/>
        </w:rPr>
        <w:t xml:space="preserve"> salīdzinot ar 201</w:t>
      </w:r>
      <w:r>
        <w:rPr>
          <w:sz w:val="26"/>
          <w:szCs w:val="26"/>
        </w:rPr>
        <w:t>2</w:t>
      </w:r>
      <w:r w:rsidRPr="00CD7B6E">
        <w:rPr>
          <w:sz w:val="26"/>
          <w:szCs w:val="26"/>
        </w:rPr>
        <w:t>.gadu. Lie</w:t>
      </w:r>
      <w:r>
        <w:rPr>
          <w:sz w:val="26"/>
          <w:szCs w:val="26"/>
        </w:rPr>
        <w:t>l</w:t>
      </w:r>
      <w:r w:rsidRPr="00CD7B6E">
        <w:rPr>
          <w:sz w:val="26"/>
          <w:szCs w:val="26"/>
        </w:rPr>
        <w:t xml:space="preserve">s devums izaugsmē </w:t>
      </w:r>
      <w:r>
        <w:rPr>
          <w:sz w:val="26"/>
          <w:szCs w:val="26"/>
        </w:rPr>
        <w:t>sagaidāms apstrādes rūpniecībai, kur</w:t>
      </w:r>
      <w:r w:rsidRPr="00CD7B6E">
        <w:rPr>
          <w:sz w:val="26"/>
          <w:szCs w:val="26"/>
        </w:rPr>
        <w:t xml:space="preserve"> pieauguma tempi </w:t>
      </w:r>
      <w:r>
        <w:rPr>
          <w:sz w:val="26"/>
          <w:szCs w:val="26"/>
        </w:rPr>
        <w:t>būs straujāki n</w:t>
      </w:r>
      <w:r w:rsidRPr="00CD7B6E">
        <w:rPr>
          <w:sz w:val="26"/>
          <w:szCs w:val="26"/>
        </w:rPr>
        <w:t>ekā vidēji tautsaimniecībā.</w:t>
      </w:r>
      <w:r>
        <w:rPr>
          <w:sz w:val="26"/>
          <w:szCs w:val="26"/>
        </w:rPr>
        <w:t xml:space="preserve"> Savukārt i</w:t>
      </w:r>
      <w:r w:rsidRPr="00CD7B6E">
        <w:rPr>
          <w:sz w:val="26"/>
          <w:szCs w:val="26"/>
        </w:rPr>
        <w:t xml:space="preserve">enākumu pieaugums </w:t>
      </w:r>
      <w:r>
        <w:rPr>
          <w:sz w:val="26"/>
          <w:szCs w:val="26"/>
        </w:rPr>
        <w:t xml:space="preserve">no eksporta dos </w:t>
      </w:r>
      <w:r w:rsidRPr="00CD7B6E">
        <w:rPr>
          <w:sz w:val="26"/>
          <w:szCs w:val="26"/>
        </w:rPr>
        <w:t xml:space="preserve">pozitīvus stimulus uz iekšējo patēriņu vērsto nozaru </w:t>
      </w:r>
      <w:r>
        <w:rPr>
          <w:sz w:val="26"/>
          <w:szCs w:val="26"/>
        </w:rPr>
        <w:t>izaugsmei</w:t>
      </w:r>
      <w:r w:rsidRPr="00CD7B6E">
        <w:rPr>
          <w:sz w:val="26"/>
          <w:szCs w:val="26"/>
        </w:rPr>
        <w:t>.</w:t>
      </w:r>
    </w:p>
    <w:p w:rsidR="0077399B" w:rsidRPr="00CD7B6E" w:rsidRDefault="0077399B" w:rsidP="0077399B">
      <w:pPr>
        <w:spacing w:after="0" w:line="240" w:lineRule="auto"/>
        <w:jc w:val="right"/>
        <w:rPr>
          <w:sz w:val="26"/>
          <w:szCs w:val="26"/>
        </w:rPr>
      </w:pPr>
      <w:r w:rsidRPr="00CD7B6E">
        <w:rPr>
          <w:sz w:val="26"/>
          <w:szCs w:val="26"/>
        </w:rPr>
        <w:t>3.7. tabula</w:t>
      </w:r>
    </w:p>
    <w:p w:rsidR="0077399B" w:rsidRPr="00CD7B6E" w:rsidRDefault="0077399B" w:rsidP="0077399B">
      <w:pPr>
        <w:spacing w:after="0" w:line="240" w:lineRule="auto"/>
        <w:jc w:val="center"/>
        <w:rPr>
          <w:b/>
          <w:sz w:val="26"/>
          <w:szCs w:val="26"/>
        </w:rPr>
      </w:pPr>
      <w:r w:rsidRPr="00CD7B6E">
        <w:rPr>
          <w:b/>
          <w:sz w:val="26"/>
          <w:szCs w:val="26"/>
        </w:rPr>
        <w:t>Nozaru pieauguma tempi</w:t>
      </w:r>
    </w:p>
    <w:p w:rsidR="0077399B" w:rsidRDefault="0077399B" w:rsidP="0077399B">
      <w:pPr>
        <w:spacing w:after="0" w:line="240" w:lineRule="auto"/>
        <w:jc w:val="center"/>
        <w:rPr>
          <w:szCs w:val="26"/>
        </w:rPr>
      </w:pPr>
      <w:r w:rsidRPr="00CD7B6E">
        <w:rPr>
          <w:szCs w:val="26"/>
        </w:rPr>
        <w:t>(</w:t>
      </w:r>
      <w:r>
        <w:rPr>
          <w:szCs w:val="26"/>
        </w:rPr>
        <w:t>%</w:t>
      </w:r>
      <w:r w:rsidRPr="00CD7B6E">
        <w:rPr>
          <w:szCs w:val="26"/>
        </w:rPr>
        <w:t>, vidēji gadā)</w:t>
      </w:r>
    </w:p>
    <w:p w:rsidR="00CA709A" w:rsidRPr="00CA709A" w:rsidRDefault="00CA709A" w:rsidP="0077399B">
      <w:pPr>
        <w:spacing w:after="0" w:line="240" w:lineRule="auto"/>
        <w:jc w:val="center"/>
        <w:rPr>
          <w:sz w:val="8"/>
          <w:szCs w:val="26"/>
        </w:rPr>
      </w:pPr>
    </w:p>
    <w:tbl>
      <w:tblPr>
        <w:tblStyle w:val="LightShading-Accent4"/>
        <w:tblW w:w="0" w:type="auto"/>
        <w:jc w:val="center"/>
        <w:tblLook w:val="04A0" w:firstRow="1" w:lastRow="0" w:firstColumn="1" w:lastColumn="0" w:noHBand="0" w:noVBand="1"/>
      </w:tblPr>
      <w:tblGrid>
        <w:gridCol w:w="2518"/>
        <w:gridCol w:w="1134"/>
        <w:gridCol w:w="1134"/>
        <w:gridCol w:w="1134"/>
        <w:gridCol w:w="1134"/>
        <w:gridCol w:w="1134"/>
      </w:tblGrid>
      <w:tr w:rsidR="0077399B" w:rsidRPr="00CD7B6E" w:rsidTr="00D902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jc w:val="both"/>
              <w:rPr>
                <w:color w:val="000000" w:themeColor="text1"/>
                <w:sz w:val="20"/>
              </w:rPr>
            </w:pPr>
          </w:p>
        </w:tc>
        <w:tc>
          <w:tcPr>
            <w:tcW w:w="1134" w:type="dxa"/>
            <w:tcBorders>
              <w:left w:val="single" w:sz="4" w:space="0" w:color="8064A2" w:themeColor="accent4"/>
              <w:right w:val="single" w:sz="4" w:space="0" w:color="8064A2" w:themeColor="accent4"/>
            </w:tcBorders>
          </w:tcPr>
          <w:p w:rsidR="0077399B" w:rsidRPr="00CD7B6E" w:rsidRDefault="0077399B" w:rsidP="00CA709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D7B6E">
              <w:rPr>
                <w:color w:val="000000" w:themeColor="text1"/>
                <w:sz w:val="20"/>
              </w:rPr>
              <w:t>2010/</w:t>
            </w:r>
            <w:r w:rsidRPr="00CD7B6E">
              <w:rPr>
                <w:color w:val="000000" w:themeColor="text1"/>
                <w:sz w:val="20"/>
              </w:rPr>
              <w:br/>
              <w:t>2005</w:t>
            </w:r>
          </w:p>
        </w:tc>
        <w:tc>
          <w:tcPr>
            <w:tcW w:w="1134" w:type="dxa"/>
            <w:tcBorders>
              <w:left w:val="single" w:sz="4" w:space="0" w:color="8064A2" w:themeColor="accent4"/>
              <w:right w:val="single" w:sz="4" w:space="0" w:color="8064A2" w:themeColor="accent4"/>
            </w:tcBorders>
          </w:tcPr>
          <w:p w:rsidR="0077399B" w:rsidRPr="00CD7B6E" w:rsidRDefault="0077399B" w:rsidP="00CA709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D7B6E">
              <w:rPr>
                <w:color w:val="000000" w:themeColor="text1"/>
                <w:sz w:val="20"/>
              </w:rPr>
              <w:t>2015/</w:t>
            </w:r>
            <w:r w:rsidRPr="00CD7B6E">
              <w:rPr>
                <w:color w:val="000000" w:themeColor="text1"/>
                <w:sz w:val="20"/>
              </w:rPr>
              <w:br/>
              <w:t>2010</w:t>
            </w:r>
          </w:p>
        </w:tc>
        <w:tc>
          <w:tcPr>
            <w:tcW w:w="1134" w:type="dxa"/>
            <w:tcBorders>
              <w:left w:val="single" w:sz="4" w:space="0" w:color="8064A2" w:themeColor="accent4"/>
              <w:right w:val="single" w:sz="4" w:space="0" w:color="8064A2" w:themeColor="accent4"/>
            </w:tcBorders>
          </w:tcPr>
          <w:p w:rsidR="0077399B" w:rsidRPr="00CD7B6E" w:rsidRDefault="0077399B" w:rsidP="00CA709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D7B6E">
              <w:rPr>
                <w:color w:val="000000" w:themeColor="text1"/>
                <w:sz w:val="20"/>
              </w:rPr>
              <w:t>2020/</w:t>
            </w:r>
            <w:r w:rsidRPr="00CD7B6E">
              <w:rPr>
                <w:color w:val="000000" w:themeColor="text1"/>
                <w:sz w:val="20"/>
              </w:rPr>
              <w:br/>
              <w:t>2015</w:t>
            </w:r>
          </w:p>
        </w:tc>
        <w:tc>
          <w:tcPr>
            <w:tcW w:w="1134" w:type="dxa"/>
            <w:tcBorders>
              <w:left w:val="single" w:sz="4" w:space="0" w:color="8064A2" w:themeColor="accent4"/>
              <w:right w:val="single" w:sz="4" w:space="0" w:color="8064A2" w:themeColor="accent4"/>
            </w:tcBorders>
          </w:tcPr>
          <w:p w:rsidR="0077399B" w:rsidRPr="00CD7B6E" w:rsidRDefault="0077399B" w:rsidP="00CA709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D7B6E">
              <w:rPr>
                <w:color w:val="000000" w:themeColor="text1"/>
                <w:sz w:val="20"/>
              </w:rPr>
              <w:t>2025/</w:t>
            </w:r>
            <w:r w:rsidRPr="00CD7B6E">
              <w:rPr>
                <w:color w:val="000000" w:themeColor="text1"/>
                <w:sz w:val="20"/>
              </w:rPr>
              <w:br/>
              <w:t>2020</w:t>
            </w:r>
          </w:p>
        </w:tc>
        <w:tc>
          <w:tcPr>
            <w:tcW w:w="1134" w:type="dxa"/>
            <w:tcBorders>
              <w:left w:val="single" w:sz="4" w:space="0" w:color="8064A2" w:themeColor="accent4"/>
            </w:tcBorders>
          </w:tcPr>
          <w:p w:rsidR="0077399B" w:rsidRPr="00CD7B6E" w:rsidRDefault="0077399B" w:rsidP="00CA709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D7B6E">
              <w:rPr>
                <w:color w:val="000000" w:themeColor="text1"/>
                <w:sz w:val="20"/>
              </w:rPr>
              <w:t>2030/</w:t>
            </w:r>
            <w:r w:rsidRPr="00CD7B6E">
              <w:rPr>
                <w:color w:val="000000" w:themeColor="text1"/>
                <w:sz w:val="20"/>
              </w:rPr>
              <w:br/>
              <w:t>2025</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Lauksaimniecība</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0,1</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3,3</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3,1</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2,2</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2,2</w:t>
            </w:r>
          </w:p>
        </w:tc>
      </w:tr>
      <w:tr w:rsidR="0077399B" w:rsidRPr="00CD7B6E" w:rsidTr="00D90219">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Apstrādes rūpniecība</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-0,8</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7,1</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5,2</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4,3</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3,5</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Pārējā rūpniecība</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3,4</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1,8</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3,3</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2,3</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2,1</w:t>
            </w:r>
          </w:p>
        </w:tc>
      </w:tr>
      <w:tr w:rsidR="0077399B" w:rsidRPr="00CD7B6E" w:rsidTr="00D90219">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Būvniecība</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-7,4</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9,0</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7,6</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4,5</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2,3</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Tirdzniecība</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-1,6</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7</w:t>
            </w:r>
            <w:r w:rsidRPr="00AE7289">
              <w:rPr>
                <w:color w:val="000000" w:themeColor="text1"/>
                <w:sz w:val="20"/>
              </w:rPr>
              <w:t>,</w:t>
            </w:r>
            <w:r>
              <w:rPr>
                <w:color w:val="000000" w:themeColor="text1"/>
                <w:sz w:val="20"/>
              </w:rPr>
              <w:t>0</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4,5</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w:t>
            </w:r>
            <w:r>
              <w:rPr>
                <w:color w:val="000000" w:themeColor="text1"/>
                <w:sz w:val="20"/>
              </w:rPr>
              <w:t>9</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w:t>
            </w:r>
            <w:r>
              <w:rPr>
                <w:color w:val="000000" w:themeColor="text1"/>
                <w:sz w:val="20"/>
              </w:rPr>
              <w:t>2</w:t>
            </w:r>
          </w:p>
        </w:tc>
      </w:tr>
      <w:tr w:rsidR="0077399B" w:rsidRPr="00CD7B6E" w:rsidTr="00D90219">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Transports</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2,8</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4,3</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3,5</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2,8</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3,1</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Komercpakalpojumi</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2</w:t>
            </w:r>
            <w:r w:rsidRPr="00AE7289">
              <w:rPr>
                <w:color w:val="000000" w:themeColor="text1"/>
                <w:sz w:val="20"/>
              </w:rPr>
              <w:t>,</w:t>
            </w:r>
            <w:r>
              <w:rPr>
                <w:color w:val="000000" w:themeColor="text1"/>
                <w:sz w:val="20"/>
              </w:rPr>
              <w:t>1</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3</w:t>
            </w:r>
            <w:r w:rsidRPr="00AE7289">
              <w:rPr>
                <w:color w:val="000000" w:themeColor="text1"/>
                <w:sz w:val="20"/>
              </w:rPr>
              <w:t>,</w:t>
            </w:r>
            <w:r>
              <w:rPr>
                <w:color w:val="000000" w:themeColor="text1"/>
                <w:sz w:val="20"/>
              </w:rPr>
              <w:t>8</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4,4</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3,5</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E7289">
              <w:rPr>
                <w:color w:val="000000" w:themeColor="text1"/>
                <w:sz w:val="20"/>
              </w:rPr>
              <w:t>3,3</w:t>
            </w:r>
          </w:p>
        </w:tc>
      </w:tr>
      <w:tr w:rsidR="0077399B" w:rsidRPr="00CD7B6E" w:rsidTr="00D90219">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b w:val="0"/>
                <w:color w:val="000000" w:themeColor="text1"/>
                <w:sz w:val="20"/>
              </w:rPr>
            </w:pPr>
            <w:r w:rsidRPr="00CD7B6E">
              <w:rPr>
                <w:b w:val="0"/>
                <w:color w:val="000000" w:themeColor="text1"/>
                <w:sz w:val="20"/>
              </w:rPr>
              <w:t>Sabiedriskie pakalpojumi</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-2,3</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1,3</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3,6</w:t>
            </w:r>
          </w:p>
        </w:tc>
        <w:tc>
          <w:tcPr>
            <w:tcW w:w="1134" w:type="dxa"/>
            <w:tcBorders>
              <w:left w:val="single" w:sz="4"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4,1</w:t>
            </w:r>
          </w:p>
        </w:tc>
        <w:tc>
          <w:tcPr>
            <w:tcW w:w="1134" w:type="dxa"/>
            <w:tcBorders>
              <w:left w:val="single" w:sz="4" w:space="0" w:color="8064A2" w:themeColor="accent4"/>
            </w:tcBorders>
          </w:tcPr>
          <w:p w:rsidR="0077399B" w:rsidRPr="00AE7289" w:rsidRDefault="0077399B" w:rsidP="00103CD6">
            <w:pPr>
              <w:tabs>
                <w:tab w:val="decimal" w:pos="447"/>
              </w:tab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E7289">
              <w:rPr>
                <w:color w:val="000000" w:themeColor="text1"/>
                <w:sz w:val="20"/>
              </w:rPr>
              <w:t>3,7</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8064A2" w:themeColor="accent4"/>
            </w:tcBorders>
          </w:tcPr>
          <w:p w:rsidR="0077399B" w:rsidRPr="00CD7B6E" w:rsidRDefault="0077399B" w:rsidP="00CA709A">
            <w:pPr>
              <w:spacing w:before="40" w:after="40" w:line="240" w:lineRule="auto"/>
              <w:rPr>
                <w:color w:val="000000" w:themeColor="text1"/>
                <w:sz w:val="20"/>
              </w:rPr>
            </w:pPr>
            <w:r w:rsidRPr="00CD7B6E">
              <w:rPr>
                <w:color w:val="000000" w:themeColor="text1"/>
                <w:sz w:val="20"/>
              </w:rPr>
              <w:t>IKP</w:t>
            </w:r>
          </w:p>
        </w:tc>
        <w:tc>
          <w:tcPr>
            <w:tcW w:w="1134" w:type="dxa"/>
            <w:tcBorders>
              <w:left w:val="single" w:sz="4" w:space="0" w:color="8064A2" w:themeColor="accent4"/>
              <w:bottom w:val="single" w:sz="8" w:space="0" w:color="8064A2" w:themeColor="accent4"/>
              <w:right w:val="single" w:sz="4" w:space="0" w:color="8064A2" w:themeColor="accent4"/>
            </w:tcBorders>
          </w:tcPr>
          <w:p w:rsidR="0077399B" w:rsidRPr="00AE7289"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AE7289">
              <w:rPr>
                <w:b/>
                <w:color w:val="000000" w:themeColor="text1"/>
                <w:sz w:val="20"/>
              </w:rPr>
              <w:t>-0,8</w:t>
            </w:r>
          </w:p>
        </w:tc>
        <w:tc>
          <w:tcPr>
            <w:tcW w:w="1134" w:type="dxa"/>
            <w:tcBorders>
              <w:left w:val="single" w:sz="4" w:space="0" w:color="8064A2" w:themeColor="accent4"/>
              <w:bottom w:val="single" w:sz="8" w:space="0" w:color="8064A2" w:themeColor="accent4"/>
              <w:right w:val="single" w:sz="4" w:space="0" w:color="8064A2" w:themeColor="accent4"/>
            </w:tcBorders>
          </w:tcPr>
          <w:p w:rsidR="0077399B" w:rsidRPr="00CD7B6E"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CD7B6E">
              <w:rPr>
                <w:b/>
                <w:color w:val="000000" w:themeColor="text1"/>
                <w:sz w:val="20"/>
              </w:rPr>
              <w:t>5,</w:t>
            </w:r>
            <w:r>
              <w:rPr>
                <w:b/>
                <w:color w:val="000000" w:themeColor="text1"/>
                <w:sz w:val="20"/>
              </w:rPr>
              <w:t>0</w:t>
            </w:r>
          </w:p>
        </w:tc>
        <w:tc>
          <w:tcPr>
            <w:tcW w:w="1134" w:type="dxa"/>
            <w:tcBorders>
              <w:left w:val="single" w:sz="4" w:space="0" w:color="8064A2" w:themeColor="accent4"/>
              <w:bottom w:val="single" w:sz="8" w:space="0" w:color="8064A2" w:themeColor="accent4"/>
              <w:right w:val="single" w:sz="4" w:space="0" w:color="8064A2" w:themeColor="accent4"/>
            </w:tcBorders>
          </w:tcPr>
          <w:p w:rsidR="0077399B" w:rsidRPr="00CD7B6E"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CD7B6E">
              <w:rPr>
                <w:b/>
                <w:color w:val="000000" w:themeColor="text1"/>
                <w:sz w:val="20"/>
              </w:rPr>
              <w:t>4,</w:t>
            </w:r>
            <w:r>
              <w:rPr>
                <w:b/>
                <w:color w:val="000000" w:themeColor="text1"/>
                <w:sz w:val="20"/>
              </w:rPr>
              <w:t>5</w:t>
            </w:r>
          </w:p>
        </w:tc>
        <w:tc>
          <w:tcPr>
            <w:tcW w:w="1134" w:type="dxa"/>
            <w:tcBorders>
              <w:left w:val="single" w:sz="4" w:space="0" w:color="8064A2" w:themeColor="accent4"/>
              <w:bottom w:val="single" w:sz="8" w:space="0" w:color="8064A2" w:themeColor="accent4"/>
              <w:right w:val="single" w:sz="4" w:space="0" w:color="8064A2" w:themeColor="accent4"/>
            </w:tcBorders>
          </w:tcPr>
          <w:p w:rsidR="0077399B" w:rsidRPr="00CD7B6E"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CD7B6E">
              <w:rPr>
                <w:b/>
                <w:color w:val="000000" w:themeColor="text1"/>
                <w:sz w:val="20"/>
              </w:rPr>
              <w:t>3,7</w:t>
            </w:r>
          </w:p>
        </w:tc>
        <w:tc>
          <w:tcPr>
            <w:tcW w:w="1134" w:type="dxa"/>
            <w:tcBorders>
              <w:left w:val="single" w:sz="4" w:space="0" w:color="8064A2" w:themeColor="accent4"/>
              <w:bottom w:val="single" w:sz="8" w:space="0" w:color="8064A2" w:themeColor="accent4"/>
            </w:tcBorders>
          </w:tcPr>
          <w:p w:rsidR="0077399B" w:rsidRPr="00CD7B6E" w:rsidRDefault="0077399B" w:rsidP="00103CD6">
            <w:pPr>
              <w:tabs>
                <w:tab w:val="decimal" w:pos="447"/>
              </w:tabs>
              <w:spacing w:before="40" w:after="4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CD7B6E">
              <w:rPr>
                <w:b/>
                <w:color w:val="000000" w:themeColor="text1"/>
                <w:sz w:val="20"/>
              </w:rPr>
              <w:t>3,2</w:t>
            </w:r>
          </w:p>
        </w:tc>
      </w:tr>
    </w:tbl>
    <w:p w:rsidR="00521971" w:rsidRDefault="00521971" w:rsidP="0077399B">
      <w:pPr>
        <w:spacing w:after="0" w:line="240" w:lineRule="auto"/>
        <w:ind w:firstLine="567"/>
        <w:jc w:val="right"/>
        <w:rPr>
          <w:sz w:val="26"/>
          <w:szCs w:val="26"/>
        </w:rPr>
      </w:pPr>
    </w:p>
    <w:p w:rsidR="0077399B" w:rsidRPr="00CD7B6E" w:rsidRDefault="0077399B" w:rsidP="0077399B">
      <w:pPr>
        <w:spacing w:after="0" w:line="240" w:lineRule="auto"/>
        <w:ind w:firstLine="567"/>
        <w:jc w:val="right"/>
        <w:rPr>
          <w:sz w:val="26"/>
          <w:szCs w:val="26"/>
        </w:rPr>
      </w:pPr>
      <w:r w:rsidRPr="00CD7B6E">
        <w:rPr>
          <w:sz w:val="26"/>
          <w:szCs w:val="26"/>
        </w:rPr>
        <w:t>3.</w:t>
      </w:r>
      <w:r w:rsidR="00F6144C">
        <w:rPr>
          <w:sz w:val="26"/>
          <w:szCs w:val="26"/>
        </w:rPr>
        <w:t>7</w:t>
      </w:r>
      <w:r w:rsidRPr="00CD7B6E">
        <w:rPr>
          <w:sz w:val="26"/>
          <w:szCs w:val="26"/>
        </w:rPr>
        <w:t>. attēls</w:t>
      </w:r>
    </w:p>
    <w:p w:rsidR="0077399B" w:rsidRPr="00CD7B6E" w:rsidRDefault="0077399B" w:rsidP="0077399B">
      <w:pPr>
        <w:spacing w:after="0" w:line="240" w:lineRule="auto"/>
        <w:jc w:val="center"/>
        <w:rPr>
          <w:b/>
          <w:sz w:val="26"/>
          <w:szCs w:val="26"/>
        </w:rPr>
      </w:pPr>
      <w:r w:rsidRPr="00CD7B6E">
        <w:rPr>
          <w:b/>
          <w:sz w:val="26"/>
          <w:szCs w:val="26"/>
        </w:rPr>
        <w:t>IKP, produktivitātes un darbaspēka pieprasījuma izmaiņas</w:t>
      </w:r>
    </w:p>
    <w:p w:rsidR="0077399B" w:rsidRDefault="0077399B" w:rsidP="0077399B">
      <w:pPr>
        <w:spacing w:after="0" w:line="240" w:lineRule="auto"/>
        <w:jc w:val="center"/>
        <w:rPr>
          <w:szCs w:val="28"/>
        </w:rPr>
      </w:pPr>
      <w:r w:rsidRPr="00CD7B6E">
        <w:rPr>
          <w:szCs w:val="28"/>
        </w:rPr>
        <w:t>(</w:t>
      </w:r>
      <w:r>
        <w:rPr>
          <w:szCs w:val="28"/>
        </w:rPr>
        <w:t>2020</w:t>
      </w:r>
      <w:r w:rsidRPr="00CD7B6E">
        <w:rPr>
          <w:szCs w:val="28"/>
        </w:rPr>
        <w:t>.gads salīdzinājumā ar 201</w:t>
      </w:r>
      <w:r>
        <w:rPr>
          <w:szCs w:val="28"/>
        </w:rPr>
        <w:t>2</w:t>
      </w:r>
      <w:r w:rsidRPr="00CD7B6E">
        <w:rPr>
          <w:szCs w:val="28"/>
        </w:rPr>
        <w:t>.gadu, %)</w:t>
      </w:r>
    </w:p>
    <w:p w:rsidR="00521971" w:rsidRPr="00521971" w:rsidRDefault="00521971" w:rsidP="0077399B">
      <w:pPr>
        <w:spacing w:after="0" w:line="240" w:lineRule="auto"/>
        <w:jc w:val="center"/>
        <w:rPr>
          <w:sz w:val="8"/>
          <w:szCs w:val="28"/>
        </w:rPr>
      </w:pPr>
    </w:p>
    <w:tbl>
      <w:tblPr>
        <w:tblStyle w:val="TableGrid"/>
        <w:tblW w:w="96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6"/>
        <w:gridCol w:w="2291"/>
        <w:gridCol w:w="184"/>
        <w:gridCol w:w="241"/>
        <w:gridCol w:w="1985"/>
        <w:gridCol w:w="250"/>
        <w:gridCol w:w="175"/>
        <w:gridCol w:w="2301"/>
      </w:tblGrid>
      <w:tr w:rsidR="0077399B" w:rsidRPr="00CD7B6E" w:rsidTr="00CA709A">
        <w:tc>
          <w:tcPr>
            <w:tcW w:w="2246" w:type="dxa"/>
          </w:tcPr>
          <w:p w:rsidR="0077399B" w:rsidRPr="00CD7B6E" w:rsidRDefault="0077399B" w:rsidP="0077399B">
            <w:pPr>
              <w:spacing w:after="0" w:line="240" w:lineRule="auto"/>
              <w:jc w:val="center"/>
              <w:rPr>
                <w:b/>
                <w:bCs/>
                <w:sz w:val="20"/>
                <w:szCs w:val="20"/>
              </w:rPr>
            </w:pPr>
          </w:p>
        </w:tc>
        <w:tc>
          <w:tcPr>
            <w:tcW w:w="2291" w:type="dxa"/>
            <w:vAlign w:val="center"/>
          </w:tcPr>
          <w:p w:rsidR="0077399B" w:rsidRPr="00CD7B6E" w:rsidRDefault="0077399B" w:rsidP="0077399B">
            <w:pPr>
              <w:spacing w:after="0" w:line="240" w:lineRule="auto"/>
              <w:jc w:val="center"/>
              <w:rPr>
                <w:b/>
                <w:sz w:val="20"/>
                <w:szCs w:val="20"/>
              </w:rPr>
            </w:pPr>
            <w:r w:rsidRPr="00CD7B6E">
              <w:rPr>
                <w:b/>
                <w:bCs/>
                <w:sz w:val="20"/>
                <w:szCs w:val="20"/>
              </w:rPr>
              <w:t>Nodarbinātības</w:t>
            </w:r>
            <w:r w:rsidRPr="00CD7B6E">
              <w:rPr>
                <w:b/>
                <w:bCs/>
                <w:sz w:val="20"/>
                <w:szCs w:val="20"/>
              </w:rPr>
              <w:br/>
              <w:t>pieaugums</w:t>
            </w:r>
          </w:p>
        </w:tc>
        <w:tc>
          <w:tcPr>
            <w:tcW w:w="425" w:type="dxa"/>
            <w:gridSpan w:val="2"/>
            <w:vAlign w:val="center"/>
          </w:tcPr>
          <w:p w:rsidR="0077399B" w:rsidRPr="00CD7B6E" w:rsidRDefault="0077399B" w:rsidP="0077399B">
            <w:pPr>
              <w:spacing w:after="0" w:line="240" w:lineRule="auto"/>
              <w:jc w:val="center"/>
              <w:rPr>
                <w:b/>
                <w:sz w:val="20"/>
                <w:szCs w:val="20"/>
              </w:rPr>
            </w:pPr>
            <w:r w:rsidRPr="00CD7B6E">
              <w:rPr>
                <w:b/>
                <w:sz w:val="20"/>
                <w:szCs w:val="20"/>
              </w:rPr>
              <w:t>+</w:t>
            </w:r>
          </w:p>
        </w:tc>
        <w:tc>
          <w:tcPr>
            <w:tcW w:w="1985" w:type="dxa"/>
            <w:vAlign w:val="center"/>
          </w:tcPr>
          <w:p w:rsidR="0077399B" w:rsidRPr="00CD7B6E" w:rsidRDefault="0077399B" w:rsidP="0077399B">
            <w:pPr>
              <w:spacing w:after="0" w:line="240" w:lineRule="auto"/>
              <w:jc w:val="center"/>
              <w:rPr>
                <w:b/>
                <w:sz w:val="20"/>
                <w:szCs w:val="20"/>
              </w:rPr>
            </w:pPr>
            <w:r w:rsidRPr="00CD7B6E">
              <w:rPr>
                <w:b/>
                <w:bCs/>
                <w:sz w:val="20"/>
                <w:szCs w:val="20"/>
              </w:rPr>
              <w:t>Produktivitātes</w:t>
            </w:r>
            <w:r w:rsidRPr="00CD7B6E">
              <w:rPr>
                <w:b/>
                <w:bCs/>
                <w:sz w:val="20"/>
                <w:szCs w:val="20"/>
              </w:rPr>
              <w:br/>
              <w:t>pieaugums</w:t>
            </w:r>
          </w:p>
        </w:tc>
        <w:tc>
          <w:tcPr>
            <w:tcW w:w="425" w:type="dxa"/>
            <w:gridSpan w:val="2"/>
            <w:vAlign w:val="center"/>
          </w:tcPr>
          <w:p w:rsidR="0077399B" w:rsidRPr="00CD7B6E" w:rsidRDefault="0077399B" w:rsidP="0077399B">
            <w:pPr>
              <w:spacing w:after="0" w:line="240" w:lineRule="auto"/>
              <w:jc w:val="center"/>
              <w:rPr>
                <w:b/>
                <w:sz w:val="20"/>
                <w:szCs w:val="20"/>
              </w:rPr>
            </w:pPr>
            <w:r w:rsidRPr="00CD7B6E">
              <w:rPr>
                <w:b/>
                <w:sz w:val="20"/>
                <w:szCs w:val="20"/>
              </w:rPr>
              <w:t>=</w:t>
            </w:r>
          </w:p>
        </w:tc>
        <w:tc>
          <w:tcPr>
            <w:tcW w:w="2301" w:type="dxa"/>
            <w:vAlign w:val="center"/>
          </w:tcPr>
          <w:p w:rsidR="0077399B" w:rsidRPr="00CD7B6E" w:rsidRDefault="0077399B" w:rsidP="0077399B">
            <w:pPr>
              <w:spacing w:after="0" w:line="240" w:lineRule="auto"/>
              <w:jc w:val="center"/>
              <w:rPr>
                <w:b/>
                <w:sz w:val="20"/>
                <w:szCs w:val="20"/>
              </w:rPr>
            </w:pPr>
            <w:r w:rsidRPr="00CD7B6E">
              <w:rPr>
                <w:b/>
                <w:bCs/>
                <w:sz w:val="20"/>
                <w:szCs w:val="20"/>
              </w:rPr>
              <w:t>IKP pieaugums</w:t>
            </w:r>
          </w:p>
        </w:tc>
      </w:tr>
      <w:tr w:rsidR="0077399B" w:rsidRPr="00CD7B6E" w:rsidTr="00CA709A">
        <w:tc>
          <w:tcPr>
            <w:tcW w:w="2246" w:type="dxa"/>
          </w:tcPr>
          <w:p w:rsidR="0077399B" w:rsidRDefault="0077399B" w:rsidP="00CA709A">
            <w:pPr>
              <w:spacing w:before="80" w:after="120" w:line="240" w:lineRule="auto"/>
              <w:ind w:right="-57"/>
              <w:jc w:val="right"/>
              <w:rPr>
                <w:sz w:val="20"/>
                <w:szCs w:val="20"/>
              </w:rPr>
            </w:pPr>
            <w:r>
              <w:rPr>
                <w:sz w:val="20"/>
                <w:szCs w:val="20"/>
              </w:rPr>
              <w:t>Kopā</w:t>
            </w:r>
          </w:p>
          <w:p w:rsidR="0077399B" w:rsidRDefault="0077399B" w:rsidP="00CA709A">
            <w:pPr>
              <w:spacing w:before="80" w:after="120" w:line="240" w:lineRule="auto"/>
              <w:ind w:right="-57"/>
              <w:jc w:val="right"/>
              <w:rPr>
                <w:sz w:val="20"/>
                <w:szCs w:val="20"/>
              </w:rPr>
            </w:pPr>
          </w:p>
          <w:p w:rsidR="0077399B" w:rsidRPr="00AE7289" w:rsidRDefault="0077399B" w:rsidP="00CA709A">
            <w:pPr>
              <w:spacing w:before="80" w:after="120" w:line="240" w:lineRule="auto"/>
              <w:ind w:right="-57"/>
              <w:jc w:val="right"/>
              <w:rPr>
                <w:sz w:val="20"/>
                <w:szCs w:val="20"/>
              </w:rPr>
            </w:pPr>
            <w:r w:rsidRPr="00AE7289">
              <w:rPr>
                <w:sz w:val="20"/>
                <w:szCs w:val="20"/>
              </w:rPr>
              <w:t>Lauksaimniecība</w:t>
            </w:r>
          </w:p>
          <w:p w:rsidR="0077399B" w:rsidRPr="00AE7289" w:rsidRDefault="0077399B" w:rsidP="00CA709A">
            <w:pPr>
              <w:spacing w:before="80" w:after="120" w:line="240" w:lineRule="auto"/>
              <w:ind w:right="-57"/>
              <w:jc w:val="right"/>
              <w:rPr>
                <w:sz w:val="20"/>
                <w:szCs w:val="20"/>
              </w:rPr>
            </w:pPr>
            <w:r w:rsidRPr="00AE7289">
              <w:rPr>
                <w:sz w:val="20"/>
                <w:szCs w:val="20"/>
              </w:rPr>
              <w:t>Apstrādes rūpniecība</w:t>
            </w:r>
          </w:p>
          <w:p w:rsidR="0077399B" w:rsidRPr="00AE7289" w:rsidRDefault="0077399B" w:rsidP="00CA709A">
            <w:pPr>
              <w:spacing w:before="80" w:after="120" w:line="240" w:lineRule="auto"/>
              <w:ind w:right="-57"/>
              <w:jc w:val="right"/>
              <w:rPr>
                <w:sz w:val="20"/>
                <w:szCs w:val="20"/>
              </w:rPr>
            </w:pPr>
            <w:r w:rsidRPr="00AE7289">
              <w:rPr>
                <w:sz w:val="20"/>
                <w:szCs w:val="20"/>
              </w:rPr>
              <w:t>Pārējā rūpniecība</w:t>
            </w:r>
          </w:p>
          <w:p w:rsidR="0077399B" w:rsidRPr="00AE7289" w:rsidRDefault="0077399B" w:rsidP="00CA709A">
            <w:pPr>
              <w:spacing w:before="80" w:after="120" w:line="240" w:lineRule="auto"/>
              <w:ind w:right="-57"/>
              <w:jc w:val="right"/>
              <w:rPr>
                <w:sz w:val="20"/>
                <w:szCs w:val="20"/>
              </w:rPr>
            </w:pPr>
            <w:r w:rsidRPr="00AE7289">
              <w:rPr>
                <w:sz w:val="20"/>
                <w:szCs w:val="20"/>
              </w:rPr>
              <w:t>Būvniecība</w:t>
            </w:r>
          </w:p>
          <w:p w:rsidR="0077399B" w:rsidRPr="00AE7289" w:rsidRDefault="0077399B" w:rsidP="00CA709A">
            <w:pPr>
              <w:spacing w:before="80" w:after="120" w:line="240" w:lineRule="auto"/>
              <w:ind w:right="-57"/>
              <w:jc w:val="right"/>
              <w:rPr>
                <w:sz w:val="20"/>
                <w:szCs w:val="20"/>
              </w:rPr>
            </w:pPr>
            <w:r w:rsidRPr="00AE7289">
              <w:rPr>
                <w:sz w:val="20"/>
                <w:szCs w:val="20"/>
              </w:rPr>
              <w:t>Tirdzniecība</w:t>
            </w:r>
          </w:p>
          <w:p w:rsidR="0077399B" w:rsidRPr="00AE7289" w:rsidRDefault="0077399B" w:rsidP="00CA709A">
            <w:pPr>
              <w:spacing w:before="80" w:after="120" w:line="240" w:lineRule="auto"/>
              <w:ind w:right="-57"/>
              <w:jc w:val="right"/>
              <w:rPr>
                <w:sz w:val="20"/>
                <w:szCs w:val="20"/>
              </w:rPr>
            </w:pPr>
            <w:r w:rsidRPr="00AE7289">
              <w:rPr>
                <w:sz w:val="20"/>
                <w:szCs w:val="20"/>
              </w:rPr>
              <w:t>Transports</w:t>
            </w:r>
          </w:p>
          <w:p w:rsidR="0077399B" w:rsidRPr="00AE7289" w:rsidRDefault="0077399B" w:rsidP="00CA709A">
            <w:pPr>
              <w:spacing w:before="80" w:after="120" w:line="240" w:lineRule="auto"/>
              <w:ind w:right="-57"/>
              <w:jc w:val="right"/>
              <w:rPr>
                <w:sz w:val="20"/>
                <w:szCs w:val="20"/>
              </w:rPr>
            </w:pPr>
            <w:r w:rsidRPr="00AE7289">
              <w:rPr>
                <w:sz w:val="20"/>
                <w:szCs w:val="20"/>
              </w:rPr>
              <w:t>Komercpakalpojumi</w:t>
            </w:r>
          </w:p>
          <w:p w:rsidR="0077399B" w:rsidRPr="00CA709A" w:rsidRDefault="0077399B" w:rsidP="00CA709A">
            <w:pPr>
              <w:spacing w:before="80" w:after="120" w:line="240" w:lineRule="auto"/>
              <w:ind w:left="-284" w:right="-57"/>
              <w:jc w:val="right"/>
              <w:rPr>
                <w:spacing w:val="-4"/>
              </w:rPr>
            </w:pPr>
            <w:r w:rsidRPr="00CA709A">
              <w:rPr>
                <w:spacing w:val="-4"/>
                <w:sz w:val="20"/>
                <w:szCs w:val="20"/>
              </w:rPr>
              <w:t>Sabiedriskie pakalpojumi</w:t>
            </w:r>
          </w:p>
        </w:tc>
        <w:tc>
          <w:tcPr>
            <w:tcW w:w="2475" w:type="dxa"/>
            <w:gridSpan w:val="2"/>
          </w:tcPr>
          <w:p w:rsidR="0077399B" w:rsidRPr="00CD7B6E" w:rsidRDefault="0077399B" w:rsidP="0077399B">
            <w:pPr>
              <w:spacing w:after="0" w:line="240" w:lineRule="auto"/>
              <w:ind w:left="-113" w:right="-113"/>
            </w:pPr>
            <w:r w:rsidRPr="00CD7B6E">
              <w:rPr>
                <w:noProof/>
                <w:lang w:eastAsia="lv-LV"/>
              </w:rPr>
              <w:drawing>
                <wp:inline distT="0" distB="0" distL="0" distR="0" wp14:anchorId="35237A15" wp14:editId="2D0F5A89">
                  <wp:extent cx="1620000" cy="2450592"/>
                  <wp:effectExtent l="0" t="0" r="0" b="6985"/>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476" w:type="dxa"/>
            <w:gridSpan w:val="3"/>
          </w:tcPr>
          <w:p w:rsidR="0077399B" w:rsidRPr="00CD7B6E" w:rsidRDefault="0077399B" w:rsidP="0077399B">
            <w:pPr>
              <w:spacing w:after="0" w:line="240" w:lineRule="auto"/>
              <w:ind w:left="-113" w:right="-113"/>
            </w:pPr>
            <w:r w:rsidRPr="00CD7B6E">
              <w:rPr>
                <w:noProof/>
                <w:lang w:eastAsia="lv-LV"/>
              </w:rPr>
              <w:drawing>
                <wp:inline distT="0" distB="0" distL="0" distR="0" wp14:anchorId="41110A9E" wp14:editId="45D128DD">
                  <wp:extent cx="1620000" cy="2450592"/>
                  <wp:effectExtent l="0" t="0" r="0" b="6985"/>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476" w:type="dxa"/>
            <w:gridSpan w:val="2"/>
          </w:tcPr>
          <w:p w:rsidR="0077399B" w:rsidRPr="00CD7B6E" w:rsidRDefault="0077399B" w:rsidP="0077399B">
            <w:pPr>
              <w:spacing w:after="0" w:line="240" w:lineRule="auto"/>
              <w:ind w:left="-113" w:right="-113"/>
              <w:jc w:val="center"/>
            </w:pPr>
            <w:r w:rsidRPr="00CD7B6E">
              <w:rPr>
                <w:noProof/>
                <w:lang w:eastAsia="lv-LV"/>
              </w:rPr>
              <w:drawing>
                <wp:inline distT="0" distB="0" distL="0" distR="0" wp14:anchorId="04197B7C" wp14:editId="60A2E550">
                  <wp:extent cx="1620000" cy="2450592"/>
                  <wp:effectExtent l="0" t="0" r="0" b="6985"/>
                  <wp:docPr id="9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77399B" w:rsidRDefault="0077399B" w:rsidP="0077399B">
      <w:pPr>
        <w:spacing w:after="0" w:line="240" w:lineRule="auto"/>
        <w:ind w:firstLine="567"/>
        <w:jc w:val="both"/>
        <w:rPr>
          <w:sz w:val="26"/>
          <w:szCs w:val="26"/>
        </w:rPr>
      </w:pPr>
    </w:p>
    <w:p w:rsidR="0077399B" w:rsidRPr="00CD7B6E" w:rsidRDefault="0077399B" w:rsidP="0077399B">
      <w:pPr>
        <w:spacing w:after="0" w:line="240" w:lineRule="auto"/>
        <w:ind w:firstLine="567"/>
        <w:jc w:val="both"/>
        <w:rPr>
          <w:sz w:val="26"/>
          <w:szCs w:val="26"/>
        </w:rPr>
      </w:pPr>
      <w:r w:rsidRPr="00CD7B6E">
        <w:rPr>
          <w:sz w:val="26"/>
          <w:szCs w:val="26"/>
        </w:rPr>
        <w:t>Lai gan pieauguma tempi ir sagaidāmi salīdzinoši strauji, tomēr pieprasījums pēc darbaspēka vidējā termiņā augs mēreni, jo izaugsm</w:t>
      </w:r>
      <w:r>
        <w:rPr>
          <w:sz w:val="26"/>
          <w:szCs w:val="26"/>
        </w:rPr>
        <w:t>e</w:t>
      </w:r>
      <w:r w:rsidRPr="00CD7B6E">
        <w:rPr>
          <w:sz w:val="26"/>
          <w:szCs w:val="26"/>
        </w:rPr>
        <w:t>i galvenokārt</w:t>
      </w:r>
      <w:r>
        <w:rPr>
          <w:sz w:val="26"/>
          <w:szCs w:val="26"/>
        </w:rPr>
        <w:t xml:space="preserve"> jābalstās uz </w:t>
      </w:r>
      <w:r w:rsidRPr="00CD7B6E">
        <w:rPr>
          <w:sz w:val="26"/>
          <w:szCs w:val="26"/>
        </w:rPr>
        <w:t xml:space="preserve">produktivitātes </w:t>
      </w:r>
      <w:r>
        <w:rPr>
          <w:sz w:val="26"/>
          <w:szCs w:val="26"/>
        </w:rPr>
        <w:t>pieaugumu</w:t>
      </w:r>
      <w:r w:rsidRPr="00CD7B6E">
        <w:rPr>
          <w:sz w:val="26"/>
          <w:szCs w:val="26"/>
        </w:rPr>
        <w:t>. Īpaši tas attiec</w:t>
      </w:r>
      <w:r>
        <w:rPr>
          <w:sz w:val="26"/>
          <w:szCs w:val="26"/>
        </w:rPr>
        <w:t xml:space="preserve">as </w:t>
      </w:r>
      <w:r w:rsidRPr="00CD7B6E">
        <w:rPr>
          <w:sz w:val="26"/>
          <w:szCs w:val="26"/>
        </w:rPr>
        <w:t>uz tirgojamajām nozarēm un galvenokārt apstrādes rūpniecību, kas darbojas atvērtos preču un pakalpojumu tirgos, kur izšķiroša nozīme ir konkurētspējai.</w:t>
      </w:r>
      <w:r>
        <w:rPr>
          <w:sz w:val="26"/>
          <w:szCs w:val="26"/>
        </w:rPr>
        <w:t xml:space="preserve"> S</w:t>
      </w:r>
      <w:r w:rsidRPr="00CD7B6E">
        <w:rPr>
          <w:sz w:val="26"/>
          <w:szCs w:val="26"/>
        </w:rPr>
        <w:t xml:space="preserve">agaidāms, ka </w:t>
      </w:r>
      <w:r>
        <w:rPr>
          <w:sz w:val="26"/>
          <w:szCs w:val="26"/>
        </w:rPr>
        <w:t xml:space="preserve">kopumā tautsaimniecībā </w:t>
      </w:r>
      <w:r w:rsidRPr="00CD7B6E">
        <w:rPr>
          <w:sz w:val="26"/>
          <w:szCs w:val="26"/>
        </w:rPr>
        <w:t xml:space="preserve">pieprasījums pēc darbaspēka 2020.gadā par </w:t>
      </w:r>
      <w:r>
        <w:rPr>
          <w:sz w:val="26"/>
          <w:szCs w:val="26"/>
        </w:rPr>
        <w:t>5,6% pārsniegs 2011.gada līmeni</w:t>
      </w:r>
      <w:r w:rsidRPr="00CD7B6E">
        <w:rPr>
          <w:sz w:val="26"/>
          <w:szCs w:val="26"/>
        </w:rPr>
        <w:t>.</w:t>
      </w:r>
    </w:p>
    <w:p w:rsidR="00521971" w:rsidRDefault="00521971">
      <w:pPr>
        <w:spacing w:after="0" w:line="240" w:lineRule="auto"/>
        <w:rPr>
          <w:sz w:val="26"/>
          <w:szCs w:val="26"/>
        </w:rPr>
      </w:pPr>
      <w:r>
        <w:rPr>
          <w:sz w:val="26"/>
          <w:szCs w:val="26"/>
        </w:rPr>
        <w:br w:type="page"/>
      </w:r>
    </w:p>
    <w:p w:rsidR="0077399B" w:rsidRPr="00CD7B6E" w:rsidRDefault="0077399B" w:rsidP="0077399B">
      <w:pPr>
        <w:spacing w:after="0" w:line="240" w:lineRule="auto"/>
        <w:jc w:val="right"/>
        <w:rPr>
          <w:sz w:val="26"/>
          <w:szCs w:val="26"/>
        </w:rPr>
      </w:pPr>
      <w:r w:rsidRPr="00CD7B6E">
        <w:rPr>
          <w:sz w:val="26"/>
          <w:szCs w:val="26"/>
        </w:rPr>
        <w:lastRenderedPageBreak/>
        <w:t>3.</w:t>
      </w:r>
      <w:r w:rsidR="00F6144C">
        <w:rPr>
          <w:sz w:val="26"/>
          <w:szCs w:val="26"/>
        </w:rPr>
        <w:t>8</w:t>
      </w:r>
      <w:r w:rsidRPr="00CD7B6E">
        <w:rPr>
          <w:sz w:val="26"/>
          <w:szCs w:val="26"/>
        </w:rPr>
        <w:t>. attēls</w:t>
      </w:r>
    </w:p>
    <w:p w:rsidR="00CA709A" w:rsidRDefault="0077399B" w:rsidP="0077399B">
      <w:pPr>
        <w:spacing w:after="0" w:line="240" w:lineRule="auto"/>
        <w:jc w:val="center"/>
        <w:rPr>
          <w:b/>
          <w:sz w:val="26"/>
          <w:szCs w:val="26"/>
        </w:rPr>
      </w:pPr>
      <w:r w:rsidRPr="00CD7B6E">
        <w:rPr>
          <w:b/>
          <w:sz w:val="26"/>
          <w:szCs w:val="26"/>
        </w:rPr>
        <w:t>Darbaspēka pieprasījums</w:t>
      </w:r>
    </w:p>
    <w:p w:rsidR="0077399B" w:rsidRDefault="0077399B" w:rsidP="0077399B">
      <w:pPr>
        <w:spacing w:after="0" w:line="240" w:lineRule="auto"/>
        <w:jc w:val="center"/>
        <w:rPr>
          <w:bCs/>
        </w:rPr>
      </w:pPr>
      <w:r w:rsidRPr="00CD7B6E">
        <w:t xml:space="preserve">(nodarbinātie vecuma grupā 15-74 gadi, </w:t>
      </w:r>
      <w:proofErr w:type="spellStart"/>
      <w:r w:rsidRPr="00CD7B6E">
        <w:rPr>
          <w:bCs/>
        </w:rPr>
        <w:t>tūkst</w:t>
      </w:r>
      <w:proofErr w:type="spellEnd"/>
      <w:r w:rsidRPr="00CD7B6E">
        <w:rPr>
          <w:bCs/>
        </w:rPr>
        <w:t>. cilvēku)</w:t>
      </w:r>
    </w:p>
    <w:p w:rsidR="00CA709A" w:rsidRPr="00CA709A" w:rsidRDefault="00CA709A" w:rsidP="0077399B">
      <w:pPr>
        <w:spacing w:after="0" w:line="240" w:lineRule="auto"/>
        <w:jc w:val="center"/>
        <w:rPr>
          <w:bCs/>
          <w:sz w:val="8"/>
        </w:rPr>
      </w:pPr>
    </w:p>
    <w:p w:rsidR="0077399B" w:rsidRPr="00CD7B6E" w:rsidRDefault="0077399B" w:rsidP="0077399B">
      <w:pPr>
        <w:spacing w:after="0" w:line="240" w:lineRule="auto"/>
        <w:jc w:val="center"/>
        <w:rPr>
          <w:b/>
          <w:sz w:val="20"/>
          <w:szCs w:val="20"/>
        </w:rPr>
      </w:pPr>
      <w:r w:rsidRPr="00CD7B6E">
        <w:rPr>
          <w:b/>
          <w:noProof/>
          <w:sz w:val="28"/>
          <w:szCs w:val="28"/>
          <w:lang w:eastAsia="lv-LV"/>
        </w:rPr>
        <w:drawing>
          <wp:inline distT="0" distB="0" distL="0" distR="0" wp14:anchorId="1CD8A8EC" wp14:editId="3ED52EF1">
            <wp:extent cx="4190337" cy="1399429"/>
            <wp:effectExtent l="0" t="0" r="1270" b="0"/>
            <wp:docPr id="98"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7399B" w:rsidRPr="00CD7B6E" w:rsidRDefault="0077399B" w:rsidP="0077399B">
      <w:pPr>
        <w:spacing w:after="0" w:line="240" w:lineRule="auto"/>
        <w:jc w:val="both"/>
        <w:rPr>
          <w:sz w:val="2"/>
          <w:szCs w:val="6"/>
        </w:rPr>
      </w:pPr>
    </w:p>
    <w:p w:rsidR="0077399B" w:rsidRPr="00CD7B6E" w:rsidRDefault="0077399B" w:rsidP="0077399B">
      <w:pPr>
        <w:spacing w:after="0" w:line="240" w:lineRule="auto"/>
        <w:jc w:val="both"/>
        <w:rPr>
          <w:sz w:val="26"/>
          <w:szCs w:val="26"/>
        </w:rPr>
      </w:pPr>
    </w:p>
    <w:p w:rsidR="0077399B" w:rsidRDefault="0077399B" w:rsidP="0077399B">
      <w:pPr>
        <w:spacing w:after="0" w:line="240" w:lineRule="auto"/>
        <w:ind w:firstLine="567"/>
        <w:jc w:val="both"/>
        <w:rPr>
          <w:sz w:val="26"/>
          <w:szCs w:val="26"/>
        </w:rPr>
      </w:pPr>
      <w:r w:rsidRPr="00CD7B6E">
        <w:rPr>
          <w:sz w:val="26"/>
          <w:szCs w:val="26"/>
        </w:rPr>
        <w:t xml:space="preserve">Gandrīz 2/3 no visa darbaspēka pieprasījuma </w:t>
      </w:r>
      <w:r>
        <w:rPr>
          <w:sz w:val="26"/>
          <w:szCs w:val="26"/>
        </w:rPr>
        <w:t xml:space="preserve">pieauguma </w:t>
      </w:r>
      <w:r w:rsidRPr="00CD7B6E">
        <w:rPr>
          <w:sz w:val="26"/>
          <w:szCs w:val="26"/>
        </w:rPr>
        <w:t xml:space="preserve">līdz 2020.gadam </w:t>
      </w:r>
      <w:r>
        <w:rPr>
          <w:sz w:val="26"/>
          <w:szCs w:val="26"/>
        </w:rPr>
        <w:t>veidos</w:t>
      </w:r>
      <w:r w:rsidRPr="00CD7B6E">
        <w:rPr>
          <w:sz w:val="26"/>
          <w:szCs w:val="26"/>
        </w:rPr>
        <w:t xml:space="preserve"> trīs nozares – apstrādes rūpniecība, tirdzniecība un komercpakalpojumi.</w:t>
      </w:r>
    </w:p>
    <w:p w:rsidR="0077399B" w:rsidRPr="00CD7B6E" w:rsidRDefault="0077399B" w:rsidP="0077399B">
      <w:pPr>
        <w:pStyle w:val="BodyTextIndent"/>
        <w:spacing w:after="0" w:line="240" w:lineRule="auto"/>
        <w:ind w:left="0" w:firstLine="567"/>
        <w:jc w:val="both"/>
        <w:rPr>
          <w:sz w:val="26"/>
          <w:szCs w:val="26"/>
        </w:rPr>
      </w:pPr>
      <w:r w:rsidRPr="00CD7B6E">
        <w:rPr>
          <w:sz w:val="26"/>
          <w:szCs w:val="26"/>
        </w:rPr>
        <w:t>Apstrādes rūpniecībā, strauji augot ražošanas apjomiem, palielinās</w:t>
      </w:r>
      <w:r>
        <w:rPr>
          <w:sz w:val="26"/>
          <w:szCs w:val="26"/>
        </w:rPr>
        <w:t>ies</w:t>
      </w:r>
      <w:r w:rsidRPr="00CD7B6E">
        <w:rPr>
          <w:sz w:val="26"/>
          <w:szCs w:val="26"/>
        </w:rPr>
        <w:t xml:space="preserve"> arī pieprasījums pēc darbaspēka. Tomēr, lai vidējā un ilgtermiņā nozare būtu konkurētspējīga, vairāk nekā </w:t>
      </w:r>
      <w:r>
        <w:rPr>
          <w:sz w:val="26"/>
          <w:szCs w:val="26"/>
        </w:rPr>
        <w:t>3/4</w:t>
      </w:r>
      <w:r w:rsidRPr="00CD7B6E">
        <w:rPr>
          <w:sz w:val="26"/>
          <w:szCs w:val="26"/>
        </w:rPr>
        <w:t xml:space="preserve"> no kopējā nozares pieauguma ir jānodrošina produ</w:t>
      </w:r>
      <w:r w:rsidRPr="00FA1D38">
        <w:rPr>
          <w:sz w:val="26"/>
          <w:szCs w:val="26"/>
        </w:rPr>
        <w:t>ktivitātes kāpumam</w:t>
      </w:r>
      <w:r>
        <w:rPr>
          <w:sz w:val="26"/>
          <w:szCs w:val="26"/>
        </w:rPr>
        <w:t xml:space="preserve"> – </w:t>
      </w:r>
      <w:r w:rsidRPr="00FA1D38">
        <w:rPr>
          <w:sz w:val="26"/>
          <w:szCs w:val="26"/>
        </w:rPr>
        <w:t>tehnoloģiju pārnese</w:t>
      </w:r>
      <w:r>
        <w:rPr>
          <w:sz w:val="26"/>
          <w:szCs w:val="26"/>
        </w:rPr>
        <w:t>i</w:t>
      </w:r>
      <w:r w:rsidRPr="00FA1D38">
        <w:rPr>
          <w:sz w:val="26"/>
          <w:szCs w:val="26"/>
        </w:rPr>
        <w:t xml:space="preserve"> ražošanā, pētniecības attīstīšana</w:t>
      </w:r>
      <w:r>
        <w:rPr>
          <w:sz w:val="26"/>
          <w:szCs w:val="26"/>
        </w:rPr>
        <w:t xml:space="preserve">i, </w:t>
      </w:r>
      <w:r w:rsidRPr="00FA1D38">
        <w:rPr>
          <w:sz w:val="26"/>
          <w:szCs w:val="26"/>
        </w:rPr>
        <w:t>inovācija</w:t>
      </w:r>
      <w:r>
        <w:rPr>
          <w:sz w:val="26"/>
          <w:szCs w:val="26"/>
        </w:rPr>
        <w:t>i, darbinieku kvalifikācijas un prasmju celšanai</w:t>
      </w:r>
      <w:r w:rsidRPr="00FA1D38">
        <w:rPr>
          <w:sz w:val="26"/>
          <w:szCs w:val="26"/>
        </w:rPr>
        <w:t>.</w:t>
      </w:r>
      <w:r>
        <w:rPr>
          <w:sz w:val="26"/>
          <w:szCs w:val="26"/>
        </w:rPr>
        <w:t xml:space="preserve"> </w:t>
      </w:r>
      <w:r w:rsidRPr="00CD7B6E">
        <w:rPr>
          <w:sz w:val="26"/>
          <w:szCs w:val="26"/>
        </w:rPr>
        <w:t>Sagaidāms, ka ilgtermiņā apstrādes rūpniecības izaugsmē lielāku devumu dos vidējo un augsto tehnoloģiju nozares (piemēram, ierīču,</w:t>
      </w:r>
      <w:r>
        <w:rPr>
          <w:sz w:val="26"/>
          <w:szCs w:val="26"/>
        </w:rPr>
        <w:t xml:space="preserve"> </w:t>
      </w:r>
      <w:r w:rsidRPr="00CD7B6E">
        <w:rPr>
          <w:sz w:val="26"/>
          <w:szCs w:val="26"/>
        </w:rPr>
        <w:t xml:space="preserve">mehānismu, elektrisko un optisko iekārtu ražošana </w:t>
      </w:r>
      <w:proofErr w:type="spellStart"/>
      <w:r w:rsidRPr="00CD7B6E">
        <w:rPr>
          <w:sz w:val="26"/>
          <w:szCs w:val="26"/>
        </w:rPr>
        <w:t>u.c</w:t>
      </w:r>
      <w:proofErr w:type="spellEnd"/>
      <w:r w:rsidRPr="00CD7B6E">
        <w:rPr>
          <w:sz w:val="26"/>
          <w:szCs w:val="26"/>
        </w:rPr>
        <w:t>.) un relatīvi ieguldījums samazināsies tādām tradicionālajām nozarēm kā kokapstrāde un pārtikas ražošana.</w:t>
      </w:r>
    </w:p>
    <w:p w:rsidR="0077399B" w:rsidRPr="00CD7B6E" w:rsidRDefault="0077399B" w:rsidP="0077399B">
      <w:pPr>
        <w:spacing w:after="0" w:line="240" w:lineRule="auto"/>
        <w:jc w:val="right"/>
        <w:rPr>
          <w:sz w:val="26"/>
          <w:szCs w:val="26"/>
        </w:rPr>
      </w:pPr>
      <w:r w:rsidRPr="00CD7B6E">
        <w:rPr>
          <w:sz w:val="26"/>
          <w:szCs w:val="26"/>
        </w:rPr>
        <w:t>3.8. tabula</w:t>
      </w:r>
    </w:p>
    <w:p w:rsidR="0077399B" w:rsidRPr="00CD7B6E" w:rsidRDefault="0077399B" w:rsidP="0077399B">
      <w:pPr>
        <w:spacing w:after="0" w:line="240" w:lineRule="auto"/>
        <w:jc w:val="center"/>
        <w:rPr>
          <w:sz w:val="26"/>
          <w:szCs w:val="26"/>
        </w:rPr>
      </w:pPr>
      <w:r w:rsidRPr="00CD7B6E">
        <w:rPr>
          <w:b/>
          <w:sz w:val="26"/>
          <w:szCs w:val="26"/>
        </w:rPr>
        <w:t>Darbaspēka pieprasījuma izmaiņas pa nozarēm</w:t>
      </w:r>
    </w:p>
    <w:p w:rsidR="0077399B" w:rsidRDefault="0077399B" w:rsidP="0077399B">
      <w:pPr>
        <w:spacing w:after="0" w:line="240" w:lineRule="auto"/>
        <w:jc w:val="center"/>
        <w:rPr>
          <w:szCs w:val="26"/>
        </w:rPr>
      </w:pPr>
      <w:r>
        <w:rPr>
          <w:szCs w:val="26"/>
        </w:rPr>
        <w:t>(</w:t>
      </w:r>
      <w:proofErr w:type="spellStart"/>
      <w:r>
        <w:rPr>
          <w:szCs w:val="26"/>
        </w:rPr>
        <w:t>tūkst</w:t>
      </w:r>
      <w:proofErr w:type="spellEnd"/>
      <w:r>
        <w:rPr>
          <w:szCs w:val="26"/>
        </w:rPr>
        <w:t>.)</w:t>
      </w:r>
    </w:p>
    <w:p w:rsidR="00CA709A" w:rsidRPr="00CA709A" w:rsidRDefault="00CA709A" w:rsidP="0077399B">
      <w:pPr>
        <w:spacing w:after="0" w:line="240" w:lineRule="auto"/>
        <w:jc w:val="center"/>
        <w:rPr>
          <w:sz w:val="8"/>
          <w:szCs w:val="26"/>
        </w:rPr>
      </w:pPr>
    </w:p>
    <w:tbl>
      <w:tblPr>
        <w:tblStyle w:val="MediumList1-Accent4"/>
        <w:tblW w:w="4865" w:type="pct"/>
        <w:jc w:val="center"/>
        <w:tblLook w:val="0400" w:firstRow="0" w:lastRow="0" w:firstColumn="0" w:lastColumn="0" w:noHBand="0" w:noVBand="1"/>
      </w:tblPr>
      <w:tblGrid>
        <w:gridCol w:w="2482"/>
        <w:gridCol w:w="810"/>
        <w:gridCol w:w="810"/>
        <w:gridCol w:w="810"/>
        <w:gridCol w:w="810"/>
        <w:gridCol w:w="1639"/>
        <w:gridCol w:w="1675"/>
      </w:tblGrid>
      <w:tr w:rsidR="0077399B" w:rsidRPr="00CD7B6E" w:rsidTr="0090109A">
        <w:trPr>
          <w:cnfStyle w:val="000000100000" w:firstRow="0" w:lastRow="0" w:firstColumn="0" w:lastColumn="0" w:oddVBand="0" w:evenVBand="0" w:oddHBand="1" w:evenHBand="0" w:firstRowFirstColumn="0" w:firstRowLastColumn="0" w:lastRowFirstColumn="0" w:lastRowLastColumn="0"/>
          <w:jc w:val="center"/>
        </w:trPr>
        <w:tc>
          <w:tcPr>
            <w:tcW w:w="1373" w:type="pct"/>
            <w:tcBorders>
              <w:top w:val="single" w:sz="8" w:space="0" w:color="8064A2" w:themeColor="accent4"/>
              <w:bottom w:val="single" w:sz="8" w:space="0" w:color="8064A2" w:themeColor="accent4"/>
              <w:right w:val="single" w:sz="4" w:space="0" w:color="8064A2" w:themeColor="accent4"/>
            </w:tcBorders>
            <w:noWrap/>
          </w:tcPr>
          <w:p w:rsidR="0077399B" w:rsidRPr="00CD7B6E" w:rsidRDefault="0077399B" w:rsidP="00CA709A">
            <w:pPr>
              <w:spacing w:before="40" w:after="40" w:line="240" w:lineRule="auto"/>
              <w:jc w:val="both"/>
              <w:rPr>
                <w:rFonts w:eastAsia="Arial Unicode MS"/>
                <w:sz w:val="20"/>
                <w:szCs w:val="20"/>
              </w:rPr>
            </w:pPr>
          </w:p>
        </w:tc>
        <w:tc>
          <w:tcPr>
            <w:tcW w:w="448"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vAlign w:val="center"/>
          </w:tcPr>
          <w:p w:rsidR="0077399B" w:rsidRPr="00CD7B6E" w:rsidRDefault="0077399B" w:rsidP="00D90219">
            <w:pPr>
              <w:spacing w:before="40" w:after="40" w:line="240" w:lineRule="auto"/>
              <w:jc w:val="center"/>
              <w:rPr>
                <w:b/>
                <w:sz w:val="20"/>
                <w:szCs w:val="20"/>
              </w:rPr>
            </w:pPr>
            <w:r w:rsidRPr="00CD7B6E">
              <w:rPr>
                <w:b/>
                <w:sz w:val="20"/>
                <w:szCs w:val="20"/>
              </w:rPr>
              <w:t>201</w:t>
            </w:r>
            <w:r>
              <w:rPr>
                <w:b/>
                <w:sz w:val="20"/>
                <w:szCs w:val="20"/>
              </w:rPr>
              <w:t>2</w:t>
            </w:r>
          </w:p>
        </w:tc>
        <w:tc>
          <w:tcPr>
            <w:tcW w:w="448"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vAlign w:val="center"/>
          </w:tcPr>
          <w:p w:rsidR="0077399B" w:rsidRPr="00CD7B6E" w:rsidRDefault="0077399B" w:rsidP="00D90219">
            <w:pPr>
              <w:spacing w:before="40" w:after="40" w:line="240" w:lineRule="auto"/>
              <w:jc w:val="center"/>
              <w:rPr>
                <w:b/>
                <w:sz w:val="20"/>
                <w:szCs w:val="20"/>
              </w:rPr>
            </w:pPr>
            <w:r w:rsidRPr="00CD7B6E">
              <w:rPr>
                <w:b/>
                <w:sz w:val="20"/>
                <w:szCs w:val="20"/>
              </w:rPr>
              <w:t>2015</w:t>
            </w:r>
          </w:p>
        </w:tc>
        <w:tc>
          <w:tcPr>
            <w:tcW w:w="448"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vAlign w:val="center"/>
          </w:tcPr>
          <w:p w:rsidR="0077399B" w:rsidRPr="00CD7B6E" w:rsidRDefault="0077399B" w:rsidP="00D90219">
            <w:pPr>
              <w:spacing w:before="40" w:after="40" w:line="240" w:lineRule="auto"/>
              <w:jc w:val="center"/>
              <w:rPr>
                <w:b/>
                <w:sz w:val="20"/>
                <w:szCs w:val="20"/>
              </w:rPr>
            </w:pPr>
            <w:r w:rsidRPr="00CD7B6E">
              <w:rPr>
                <w:b/>
                <w:sz w:val="20"/>
                <w:szCs w:val="20"/>
              </w:rPr>
              <w:t>2020</w:t>
            </w:r>
          </w:p>
        </w:tc>
        <w:tc>
          <w:tcPr>
            <w:tcW w:w="448"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vAlign w:val="center"/>
          </w:tcPr>
          <w:p w:rsidR="0077399B" w:rsidRPr="00CD7B6E" w:rsidRDefault="0077399B" w:rsidP="00D90219">
            <w:pPr>
              <w:spacing w:before="40" w:after="40" w:line="240" w:lineRule="auto"/>
              <w:jc w:val="center"/>
              <w:rPr>
                <w:b/>
                <w:sz w:val="20"/>
                <w:szCs w:val="20"/>
              </w:rPr>
            </w:pPr>
            <w:r w:rsidRPr="00CD7B6E">
              <w:rPr>
                <w:b/>
                <w:sz w:val="20"/>
                <w:szCs w:val="20"/>
              </w:rPr>
              <w:t>2030</w:t>
            </w:r>
          </w:p>
        </w:tc>
        <w:tc>
          <w:tcPr>
            <w:tcW w:w="907" w:type="pct"/>
            <w:tcBorders>
              <w:top w:val="single" w:sz="8" w:space="0" w:color="8064A2" w:themeColor="accent4"/>
              <w:left w:val="single" w:sz="4" w:space="0" w:color="8064A2" w:themeColor="accent4"/>
              <w:bottom w:val="single" w:sz="8" w:space="0" w:color="8064A2" w:themeColor="accent4"/>
              <w:right w:val="single" w:sz="4" w:space="0" w:color="8064A2" w:themeColor="accent4"/>
            </w:tcBorders>
          </w:tcPr>
          <w:p w:rsidR="0077399B" w:rsidRPr="00CD7B6E" w:rsidRDefault="0077399B" w:rsidP="00CA709A">
            <w:pPr>
              <w:spacing w:before="40" w:after="40" w:line="240" w:lineRule="auto"/>
              <w:jc w:val="center"/>
              <w:rPr>
                <w:b/>
                <w:sz w:val="20"/>
                <w:szCs w:val="20"/>
              </w:rPr>
            </w:pPr>
            <w:r w:rsidRPr="00CD7B6E">
              <w:rPr>
                <w:b/>
                <w:sz w:val="20"/>
                <w:szCs w:val="20"/>
              </w:rPr>
              <w:t>Starpība</w:t>
            </w:r>
            <w:r w:rsidRPr="00CD7B6E">
              <w:rPr>
                <w:b/>
                <w:sz w:val="20"/>
                <w:szCs w:val="20"/>
              </w:rPr>
              <w:br/>
              <w:t>(2020-201</w:t>
            </w:r>
            <w:r>
              <w:rPr>
                <w:b/>
                <w:sz w:val="20"/>
                <w:szCs w:val="20"/>
              </w:rPr>
              <w:t>2</w:t>
            </w:r>
            <w:r w:rsidRPr="00CD7B6E">
              <w:rPr>
                <w:b/>
                <w:sz w:val="20"/>
                <w:szCs w:val="20"/>
              </w:rPr>
              <w:t>)</w:t>
            </w:r>
          </w:p>
        </w:tc>
        <w:tc>
          <w:tcPr>
            <w:tcW w:w="927" w:type="pct"/>
            <w:tcBorders>
              <w:top w:val="single" w:sz="8" w:space="0" w:color="8064A2" w:themeColor="accent4"/>
              <w:left w:val="single" w:sz="4" w:space="0" w:color="8064A2" w:themeColor="accent4"/>
              <w:bottom w:val="single" w:sz="8" w:space="0" w:color="8064A2" w:themeColor="accent4"/>
            </w:tcBorders>
          </w:tcPr>
          <w:p w:rsidR="0077399B" w:rsidRPr="00CD7B6E" w:rsidRDefault="0077399B" w:rsidP="00CA709A">
            <w:pPr>
              <w:spacing w:before="40" w:after="40" w:line="240" w:lineRule="auto"/>
              <w:jc w:val="center"/>
              <w:rPr>
                <w:b/>
                <w:sz w:val="20"/>
                <w:szCs w:val="20"/>
              </w:rPr>
            </w:pPr>
            <w:r w:rsidRPr="00CD7B6E">
              <w:rPr>
                <w:b/>
                <w:sz w:val="20"/>
                <w:szCs w:val="20"/>
              </w:rPr>
              <w:t>Starpība</w:t>
            </w:r>
            <w:r w:rsidRPr="00CD7B6E">
              <w:rPr>
                <w:b/>
                <w:sz w:val="20"/>
                <w:szCs w:val="20"/>
              </w:rPr>
              <w:br/>
              <w:t>(2030-201</w:t>
            </w:r>
            <w:r>
              <w:rPr>
                <w:b/>
                <w:sz w:val="20"/>
                <w:szCs w:val="20"/>
              </w:rPr>
              <w:t>2</w:t>
            </w:r>
            <w:r w:rsidRPr="00CD7B6E">
              <w:rPr>
                <w:b/>
                <w:sz w:val="20"/>
                <w:szCs w:val="20"/>
              </w:rPr>
              <w:t>)</w:t>
            </w:r>
          </w:p>
        </w:tc>
      </w:tr>
      <w:tr w:rsidR="0077399B" w:rsidRPr="00CD7B6E" w:rsidTr="0090109A">
        <w:trPr>
          <w:jc w:val="center"/>
        </w:trPr>
        <w:tc>
          <w:tcPr>
            <w:tcW w:w="1373" w:type="pct"/>
            <w:tcBorders>
              <w:top w:val="single" w:sz="8" w:space="0" w:color="8064A2" w:themeColor="accent4"/>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Lauksaimniecība</w:t>
            </w:r>
          </w:p>
        </w:tc>
        <w:tc>
          <w:tcPr>
            <w:tcW w:w="448" w:type="pct"/>
            <w:tcBorders>
              <w:top w:val="single" w:sz="8" w:space="0" w:color="8064A2" w:themeColor="accent4"/>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74</w:t>
            </w:r>
          </w:p>
        </w:tc>
        <w:tc>
          <w:tcPr>
            <w:tcW w:w="448" w:type="pct"/>
            <w:tcBorders>
              <w:top w:val="single" w:sz="8" w:space="0" w:color="8064A2" w:themeColor="accent4"/>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72</w:t>
            </w:r>
          </w:p>
        </w:tc>
        <w:tc>
          <w:tcPr>
            <w:tcW w:w="448" w:type="pct"/>
            <w:tcBorders>
              <w:top w:val="single" w:sz="8" w:space="0" w:color="8064A2" w:themeColor="accent4"/>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70</w:t>
            </w:r>
          </w:p>
        </w:tc>
        <w:tc>
          <w:tcPr>
            <w:tcW w:w="448" w:type="pct"/>
            <w:tcBorders>
              <w:top w:val="single" w:sz="8" w:space="0" w:color="8064A2" w:themeColor="accent4"/>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69</w:t>
            </w:r>
          </w:p>
        </w:tc>
        <w:tc>
          <w:tcPr>
            <w:tcW w:w="907" w:type="pct"/>
            <w:tcBorders>
              <w:top w:val="single" w:sz="8" w:space="0" w:color="8064A2" w:themeColor="accent4"/>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-5</w:t>
            </w:r>
          </w:p>
        </w:tc>
        <w:tc>
          <w:tcPr>
            <w:tcW w:w="927" w:type="pct"/>
            <w:tcBorders>
              <w:top w:val="single" w:sz="8" w:space="0" w:color="8064A2" w:themeColor="accent4"/>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-5</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Apstrādes rūpniecība</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124</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132</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139</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148</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15</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24</w:t>
            </w:r>
          </w:p>
        </w:tc>
      </w:tr>
      <w:tr w:rsidR="0077399B" w:rsidRPr="00CD7B6E" w:rsidTr="00D90219">
        <w:trPr>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Pārējā rūpniecība</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21</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23</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24</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25</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3</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Pr>
                <w:sz w:val="20"/>
                <w:szCs w:val="20"/>
              </w:rPr>
              <w:t>4</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Būvniecība</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64</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68</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71</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73</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8</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9</w:t>
            </w:r>
          </w:p>
        </w:tc>
      </w:tr>
      <w:tr w:rsidR="0077399B" w:rsidRPr="00CD7B6E" w:rsidTr="00D90219">
        <w:trPr>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Tirdzniecība</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158</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162</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167</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174</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9</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16</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Transports</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76</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78</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80</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83</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4</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7</w:t>
            </w:r>
          </w:p>
        </w:tc>
      </w:tr>
      <w:tr w:rsidR="0077399B" w:rsidRPr="00CD7B6E" w:rsidTr="00D90219">
        <w:trPr>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Komercpakalpojumi</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165</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177</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181</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189</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16</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23</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jc w:val="center"/>
        </w:trPr>
        <w:tc>
          <w:tcPr>
            <w:tcW w:w="1373" w:type="pct"/>
            <w:tcBorders>
              <w:right w:val="single" w:sz="4" w:space="0" w:color="8064A2" w:themeColor="accent4"/>
            </w:tcBorders>
          </w:tcPr>
          <w:p w:rsidR="0077399B" w:rsidRPr="00CD7B6E" w:rsidRDefault="0077399B" w:rsidP="00CA709A">
            <w:pPr>
              <w:tabs>
                <w:tab w:val="decimal" w:pos="597"/>
              </w:tabs>
              <w:spacing w:before="40" w:after="40" w:line="240" w:lineRule="auto"/>
              <w:rPr>
                <w:sz w:val="20"/>
                <w:szCs w:val="20"/>
              </w:rPr>
            </w:pPr>
            <w:r w:rsidRPr="00CD7B6E">
              <w:rPr>
                <w:sz w:val="20"/>
                <w:szCs w:val="20"/>
              </w:rPr>
              <w:t>Sabiedriskie pakalpojumi</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204</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204</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203</w:t>
            </w:r>
          </w:p>
        </w:tc>
        <w:tc>
          <w:tcPr>
            <w:tcW w:w="448"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411"/>
              </w:tabs>
              <w:spacing w:before="40" w:after="40" w:line="240" w:lineRule="auto"/>
              <w:rPr>
                <w:sz w:val="20"/>
                <w:szCs w:val="20"/>
              </w:rPr>
            </w:pPr>
            <w:r w:rsidRPr="00235370">
              <w:rPr>
                <w:sz w:val="20"/>
                <w:szCs w:val="20"/>
              </w:rPr>
              <w:t>206</w:t>
            </w:r>
          </w:p>
        </w:tc>
        <w:tc>
          <w:tcPr>
            <w:tcW w:w="907" w:type="pct"/>
            <w:tcBorders>
              <w:top w:val="nil"/>
              <w:left w:val="single" w:sz="4" w:space="0" w:color="8064A2" w:themeColor="accent4"/>
              <w:bottom w:val="nil"/>
              <w:right w:val="single" w:sz="4" w:space="0" w:color="8064A2" w:themeColor="accent4"/>
            </w:tcBorders>
          </w:tcPr>
          <w:p w:rsidR="0077399B" w:rsidRPr="00235370" w:rsidRDefault="0077399B" w:rsidP="00CA709A">
            <w:pPr>
              <w:tabs>
                <w:tab w:val="decimal" w:pos="816"/>
              </w:tabs>
              <w:spacing w:before="40" w:after="40" w:line="240" w:lineRule="auto"/>
              <w:rPr>
                <w:sz w:val="20"/>
                <w:szCs w:val="20"/>
              </w:rPr>
            </w:pPr>
            <w:r w:rsidRPr="00235370">
              <w:rPr>
                <w:sz w:val="20"/>
                <w:szCs w:val="20"/>
              </w:rPr>
              <w:t>-1</w:t>
            </w:r>
          </w:p>
        </w:tc>
        <w:tc>
          <w:tcPr>
            <w:tcW w:w="927" w:type="pct"/>
            <w:tcBorders>
              <w:top w:val="nil"/>
              <w:left w:val="single" w:sz="4" w:space="0" w:color="8064A2" w:themeColor="accent4"/>
              <w:bottom w:val="nil"/>
            </w:tcBorders>
          </w:tcPr>
          <w:p w:rsidR="0077399B" w:rsidRPr="00235370" w:rsidRDefault="0077399B" w:rsidP="00CA709A">
            <w:pPr>
              <w:tabs>
                <w:tab w:val="decimal" w:pos="816"/>
              </w:tabs>
              <w:spacing w:before="40" w:after="40" w:line="240" w:lineRule="auto"/>
              <w:rPr>
                <w:sz w:val="20"/>
                <w:szCs w:val="20"/>
              </w:rPr>
            </w:pPr>
            <w:r w:rsidRPr="00235370">
              <w:rPr>
                <w:sz w:val="20"/>
                <w:szCs w:val="20"/>
              </w:rPr>
              <w:t>2</w:t>
            </w:r>
          </w:p>
        </w:tc>
      </w:tr>
      <w:tr w:rsidR="0077399B" w:rsidRPr="00CD7B6E" w:rsidTr="00D90219">
        <w:trPr>
          <w:jc w:val="center"/>
        </w:trPr>
        <w:tc>
          <w:tcPr>
            <w:tcW w:w="1373" w:type="pct"/>
            <w:tcBorders>
              <w:right w:val="single" w:sz="4" w:space="0" w:color="8064A2" w:themeColor="accent4"/>
            </w:tcBorders>
          </w:tcPr>
          <w:p w:rsidR="0077399B" w:rsidRPr="00CD7B6E" w:rsidRDefault="0077399B" w:rsidP="00CA709A">
            <w:pPr>
              <w:spacing w:before="40" w:after="40" w:line="240" w:lineRule="auto"/>
              <w:rPr>
                <w:b/>
                <w:sz w:val="20"/>
                <w:szCs w:val="20"/>
              </w:rPr>
            </w:pPr>
            <w:r w:rsidRPr="00CD7B6E">
              <w:rPr>
                <w:b/>
                <w:sz w:val="20"/>
                <w:szCs w:val="20"/>
              </w:rPr>
              <w:t>Kopā</w:t>
            </w:r>
          </w:p>
        </w:tc>
        <w:tc>
          <w:tcPr>
            <w:tcW w:w="448" w:type="pct"/>
            <w:tcBorders>
              <w:top w:val="nil"/>
              <w:left w:val="single" w:sz="4" w:space="0" w:color="8064A2" w:themeColor="accent4"/>
              <w:bottom w:val="single" w:sz="8" w:space="0" w:color="8064A2" w:themeColor="accent4"/>
              <w:right w:val="single" w:sz="4" w:space="0" w:color="8064A2" w:themeColor="accent4"/>
            </w:tcBorders>
          </w:tcPr>
          <w:p w:rsidR="0077399B" w:rsidRPr="00235370" w:rsidRDefault="0077399B" w:rsidP="00CA709A">
            <w:pPr>
              <w:tabs>
                <w:tab w:val="decimal" w:pos="411"/>
              </w:tabs>
              <w:spacing w:before="40" w:after="40" w:line="240" w:lineRule="auto"/>
              <w:rPr>
                <w:b/>
                <w:sz w:val="20"/>
                <w:szCs w:val="20"/>
              </w:rPr>
            </w:pPr>
            <w:r w:rsidRPr="00235370">
              <w:rPr>
                <w:b/>
                <w:sz w:val="20"/>
                <w:szCs w:val="20"/>
              </w:rPr>
              <w:t>886</w:t>
            </w:r>
          </w:p>
        </w:tc>
        <w:tc>
          <w:tcPr>
            <w:tcW w:w="448" w:type="pct"/>
            <w:tcBorders>
              <w:top w:val="nil"/>
              <w:left w:val="single" w:sz="4" w:space="0" w:color="8064A2" w:themeColor="accent4"/>
              <w:bottom w:val="single" w:sz="8" w:space="0" w:color="8064A2" w:themeColor="accent4"/>
              <w:right w:val="single" w:sz="4" w:space="0" w:color="8064A2" w:themeColor="accent4"/>
            </w:tcBorders>
          </w:tcPr>
          <w:p w:rsidR="0077399B" w:rsidRPr="00235370" w:rsidRDefault="0077399B" w:rsidP="00CA709A">
            <w:pPr>
              <w:tabs>
                <w:tab w:val="decimal" w:pos="411"/>
              </w:tabs>
              <w:spacing w:before="40" w:after="40" w:line="240" w:lineRule="auto"/>
              <w:rPr>
                <w:b/>
                <w:sz w:val="20"/>
                <w:szCs w:val="20"/>
              </w:rPr>
            </w:pPr>
            <w:r w:rsidRPr="00235370">
              <w:rPr>
                <w:b/>
                <w:sz w:val="20"/>
                <w:szCs w:val="20"/>
              </w:rPr>
              <w:t>916</w:t>
            </w:r>
          </w:p>
        </w:tc>
        <w:tc>
          <w:tcPr>
            <w:tcW w:w="448" w:type="pct"/>
            <w:tcBorders>
              <w:top w:val="nil"/>
              <w:left w:val="single" w:sz="4" w:space="0" w:color="8064A2" w:themeColor="accent4"/>
              <w:bottom w:val="single" w:sz="8" w:space="0" w:color="8064A2" w:themeColor="accent4"/>
              <w:right w:val="single" w:sz="4" w:space="0" w:color="8064A2" w:themeColor="accent4"/>
            </w:tcBorders>
          </w:tcPr>
          <w:p w:rsidR="0077399B" w:rsidRPr="00235370" w:rsidRDefault="0077399B" w:rsidP="00CA709A">
            <w:pPr>
              <w:tabs>
                <w:tab w:val="decimal" w:pos="411"/>
              </w:tabs>
              <w:spacing w:before="40" w:after="40" w:line="240" w:lineRule="auto"/>
              <w:rPr>
                <w:b/>
                <w:sz w:val="20"/>
                <w:szCs w:val="20"/>
              </w:rPr>
            </w:pPr>
            <w:r w:rsidRPr="00235370">
              <w:rPr>
                <w:b/>
                <w:sz w:val="20"/>
                <w:szCs w:val="20"/>
              </w:rPr>
              <w:t>935</w:t>
            </w:r>
          </w:p>
        </w:tc>
        <w:tc>
          <w:tcPr>
            <w:tcW w:w="448" w:type="pct"/>
            <w:tcBorders>
              <w:top w:val="nil"/>
              <w:left w:val="single" w:sz="4" w:space="0" w:color="8064A2" w:themeColor="accent4"/>
              <w:bottom w:val="single" w:sz="8" w:space="0" w:color="8064A2" w:themeColor="accent4"/>
              <w:right w:val="single" w:sz="4" w:space="0" w:color="8064A2" w:themeColor="accent4"/>
            </w:tcBorders>
          </w:tcPr>
          <w:p w:rsidR="0077399B" w:rsidRPr="00235370" w:rsidRDefault="0077399B" w:rsidP="00CA709A">
            <w:pPr>
              <w:tabs>
                <w:tab w:val="decimal" w:pos="411"/>
              </w:tabs>
              <w:spacing w:before="40" w:after="40" w:line="240" w:lineRule="auto"/>
              <w:rPr>
                <w:b/>
                <w:sz w:val="20"/>
                <w:szCs w:val="20"/>
              </w:rPr>
            </w:pPr>
            <w:r w:rsidRPr="00235370">
              <w:rPr>
                <w:b/>
                <w:sz w:val="20"/>
                <w:szCs w:val="20"/>
              </w:rPr>
              <w:t>966</w:t>
            </w:r>
          </w:p>
        </w:tc>
        <w:tc>
          <w:tcPr>
            <w:tcW w:w="907" w:type="pct"/>
            <w:tcBorders>
              <w:top w:val="nil"/>
              <w:left w:val="single" w:sz="4" w:space="0" w:color="8064A2" w:themeColor="accent4"/>
              <w:bottom w:val="single" w:sz="8" w:space="0" w:color="8064A2" w:themeColor="accent4"/>
              <w:right w:val="single" w:sz="4" w:space="0" w:color="8064A2" w:themeColor="accent4"/>
            </w:tcBorders>
          </w:tcPr>
          <w:p w:rsidR="0077399B" w:rsidRPr="00235370" w:rsidRDefault="0077399B" w:rsidP="00CA709A">
            <w:pPr>
              <w:tabs>
                <w:tab w:val="decimal" w:pos="816"/>
              </w:tabs>
              <w:spacing w:before="40" w:after="40" w:line="240" w:lineRule="auto"/>
              <w:rPr>
                <w:b/>
                <w:sz w:val="20"/>
                <w:szCs w:val="20"/>
              </w:rPr>
            </w:pPr>
            <w:r w:rsidRPr="00235370">
              <w:rPr>
                <w:b/>
                <w:sz w:val="20"/>
                <w:szCs w:val="20"/>
              </w:rPr>
              <w:t>50</w:t>
            </w:r>
          </w:p>
        </w:tc>
        <w:tc>
          <w:tcPr>
            <w:tcW w:w="927" w:type="pct"/>
            <w:tcBorders>
              <w:top w:val="nil"/>
              <w:left w:val="single" w:sz="4" w:space="0" w:color="8064A2" w:themeColor="accent4"/>
              <w:bottom w:val="single" w:sz="8" w:space="0" w:color="8064A2" w:themeColor="accent4"/>
            </w:tcBorders>
          </w:tcPr>
          <w:p w:rsidR="0077399B" w:rsidRPr="00235370" w:rsidRDefault="0077399B" w:rsidP="00CA709A">
            <w:pPr>
              <w:tabs>
                <w:tab w:val="decimal" w:pos="816"/>
              </w:tabs>
              <w:spacing w:before="40" w:after="40" w:line="240" w:lineRule="auto"/>
              <w:rPr>
                <w:b/>
                <w:sz w:val="20"/>
                <w:szCs w:val="20"/>
              </w:rPr>
            </w:pPr>
            <w:r w:rsidRPr="00235370">
              <w:rPr>
                <w:b/>
                <w:sz w:val="20"/>
                <w:szCs w:val="20"/>
              </w:rPr>
              <w:t>80</w:t>
            </w:r>
          </w:p>
        </w:tc>
      </w:tr>
    </w:tbl>
    <w:p w:rsidR="0077399B" w:rsidRPr="00CD7B6E" w:rsidRDefault="0077399B" w:rsidP="0077399B">
      <w:pPr>
        <w:spacing w:after="0" w:line="240" w:lineRule="auto"/>
        <w:jc w:val="both"/>
        <w:rPr>
          <w:sz w:val="26"/>
          <w:szCs w:val="26"/>
        </w:rPr>
      </w:pPr>
    </w:p>
    <w:p w:rsidR="0077399B" w:rsidRPr="00CD7B6E" w:rsidRDefault="0077399B" w:rsidP="0077399B">
      <w:pPr>
        <w:spacing w:after="0" w:line="240" w:lineRule="auto"/>
        <w:ind w:firstLine="567"/>
        <w:jc w:val="both"/>
        <w:rPr>
          <w:sz w:val="26"/>
          <w:szCs w:val="26"/>
        </w:rPr>
      </w:pPr>
      <w:r w:rsidRPr="00CD7B6E">
        <w:rPr>
          <w:sz w:val="26"/>
          <w:szCs w:val="26"/>
        </w:rPr>
        <w:t xml:space="preserve">Lauksaimniecības un mežsaimniecības nozarē tuvākajos gados, pieaugot pieprasījumam, arī strādājošo skaits nozarē varētu nedaudz pieaugt. Tomēr </w:t>
      </w:r>
      <w:r>
        <w:rPr>
          <w:sz w:val="26"/>
          <w:szCs w:val="26"/>
        </w:rPr>
        <w:t>vidējā un ilgtermiņā</w:t>
      </w:r>
      <w:r w:rsidRPr="00CD7B6E">
        <w:rPr>
          <w:sz w:val="26"/>
          <w:szCs w:val="26"/>
        </w:rPr>
        <w:t xml:space="preserve">, līdzīgi kā citās attīstītajās valstīs, nodarbināto skaits nozarē samazināsies. </w:t>
      </w:r>
      <w:r>
        <w:rPr>
          <w:sz w:val="26"/>
          <w:szCs w:val="26"/>
        </w:rPr>
        <w:t xml:space="preserve">2012.gadā </w:t>
      </w:r>
      <w:r w:rsidRPr="00CD7B6E">
        <w:rPr>
          <w:sz w:val="26"/>
          <w:szCs w:val="26"/>
        </w:rPr>
        <w:t>lauksaimniecības un mežsaimniecības nozare veido</w:t>
      </w:r>
      <w:r>
        <w:rPr>
          <w:sz w:val="26"/>
          <w:szCs w:val="26"/>
        </w:rPr>
        <w:t>ja</w:t>
      </w:r>
      <w:r w:rsidRPr="00CD7B6E">
        <w:rPr>
          <w:sz w:val="26"/>
          <w:szCs w:val="26"/>
        </w:rPr>
        <w:t xml:space="preserve"> 5% no </w:t>
      </w:r>
      <w:r>
        <w:rPr>
          <w:sz w:val="26"/>
          <w:szCs w:val="26"/>
        </w:rPr>
        <w:t xml:space="preserve">IKP, bet </w:t>
      </w:r>
      <w:r w:rsidRPr="00CD7B6E">
        <w:rPr>
          <w:sz w:val="26"/>
          <w:szCs w:val="26"/>
        </w:rPr>
        <w:t xml:space="preserve">pēc strādājošo skaita </w:t>
      </w:r>
      <w:r>
        <w:rPr>
          <w:sz w:val="26"/>
          <w:szCs w:val="26"/>
        </w:rPr>
        <w:t>8,4%</w:t>
      </w:r>
      <w:r w:rsidRPr="00CD7B6E">
        <w:rPr>
          <w:sz w:val="26"/>
          <w:szCs w:val="26"/>
        </w:rPr>
        <w:t xml:space="preserve"> no kopējā nodarbināto skaita tautsaimniecībā. Tas nozīmē, ka salīdzinājumā ar citām nozarēm</w:t>
      </w:r>
      <w:r w:rsidR="00C17198">
        <w:rPr>
          <w:sz w:val="26"/>
          <w:szCs w:val="26"/>
        </w:rPr>
        <w:t>,</w:t>
      </w:r>
      <w:r w:rsidRPr="00CD7B6E">
        <w:rPr>
          <w:sz w:val="26"/>
          <w:szCs w:val="26"/>
        </w:rPr>
        <w:t xml:space="preserve"> lauksaimniecībā un mežsaimni</w:t>
      </w:r>
      <w:r>
        <w:rPr>
          <w:sz w:val="26"/>
          <w:szCs w:val="26"/>
        </w:rPr>
        <w:t xml:space="preserve">ecībā ir zemāka produktivitāte, kuras </w:t>
      </w:r>
      <w:r w:rsidRPr="00CD7B6E">
        <w:rPr>
          <w:sz w:val="26"/>
          <w:szCs w:val="26"/>
        </w:rPr>
        <w:t>pieaugum</w:t>
      </w:r>
      <w:r>
        <w:rPr>
          <w:sz w:val="26"/>
          <w:szCs w:val="26"/>
        </w:rPr>
        <w:t>am</w:t>
      </w:r>
      <w:r w:rsidRPr="00CD7B6E">
        <w:rPr>
          <w:sz w:val="26"/>
          <w:szCs w:val="26"/>
        </w:rPr>
        <w:t xml:space="preserve"> turpmākajos gad</w:t>
      </w:r>
      <w:r>
        <w:rPr>
          <w:sz w:val="26"/>
          <w:szCs w:val="26"/>
        </w:rPr>
        <w:t>os būs izšķiroša loma nozares izaugsmē.</w:t>
      </w:r>
    </w:p>
    <w:p w:rsidR="0077399B" w:rsidRPr="00CD7B6E" w:rsidRDefault="0077399B" w:rsidP="0077399B">
      <w:pPr>
        <w:spacing w:after="0" w:line="240" w:lineRule="auto"/>
        <w:ind w:firstLine="567"/>
        <w:jc w:val="both"/>
        <w:rPr>
          <w:sz w:val="26"/>
          <w:szCs w:val="26"/>
        </w:rPr>
      </w:pPr>
      <w:r w:rsidRPr="00CD7B6E">
        <w:rPr>
          <w:sz w:val="26"/>
          <w:szCs w:val="26"/>
        </w:rPr>
        <w:lastRenderedPageBreak/>
        <w:t xml:space="preserve">Nākotnē pakāpeniski augs pieprasījums pēc darbaspēka arī būvniecības nozarē. Taču jāņem vērā, ka krīzes laikā būvniecībā nodarbināto skaits ļoti būtiski saruka. </w:t>
      </w:r>
      <w:r>
        <w:rPr>
          <w:sz w:val="26"/>
          <w:szCs w:val="26"/>
        </w:rPr>
        <w:t>Prognozēs t</w:t>
      </w:r>
      <w:r w:rsidRPr="00CD7B6E">
        <w:rPr>
          <w:sz w:val="26"/>
          <w:szCs w:val="26"/>
        </w:rPr>
        <w:t>iek paredzēta stabila un harmoniska nozares izaugsme dažādos tās segmentos – infrastruktūras objektu, ražošanas un tirdzniecības būvju, kā arī sabiedrisko un dzīvojamo ēku būvniecībā.</w:t>
      </w:r>
    </w:p>
    <w:p w:rsidR="0077399B" w:rsidRPr="00CD7B6E" w:rsidRDefault="0077399B" w:rsidP="0077399B">
      <w:pPr>
        <w:spacing w:after="0" w:line="240" w:lineRule="auto"/>
        <w:ind w:firstLine="567"/>
        <w:jc w:val="both"/>
        <w:rPr>
          <w:sz w:val="26"/>
          <w:szCs w:val="26"/>
        </w:rPr>
      </w:pPr>
      <w:r w:rsidRPr="00CD7B6E">
        <w:rPr>
          <w:sz w:val="26"/>
          <w:szCs w:val="26"/>
        </w:rPr>
        <w:t xml:space="preserve">Sagaidāms, ka nākotnē </w:t>
      </w:r>
      <w:r>
        <w:rPr>
          <w:sz w:val="26"/>
          <w:szCs w:val="26"/>
        </w:rPr>
        <w:t>salīdzinoši liels</w:t>
      </w:r>
      <w:r w:rsidRPr="00CD7B6E">
        <w:rPr>
          <w:sz w:val="26"/>
          <w:szCs w:val="26"/>
        </w:rPr>
        <w:t xml:space="preserve"> nodarbināto skaita pieaugums bū</w:t>
      </w:r>
      <w:r>
        <w:rPr>
          <w:sz w:val="26"/>
          <w:szCs w:val="26"/>
        </w:rPr>
        <w:t>s komercpakalpojumu nozarēs. 202</w:t>
      </w:r>
      <w:r w:rsidRPr="00CD7B6E">
        <w:rPr>
          <w:sz w:val="26"/>
          <w:szCs w:val="26"/>
        </w:rPr>
        <w:t xml:space="preserve">0.gadā pieprasījums pēc darbaspēka par </w:t>
      </w:r>
      <w:r>
        <w:rPr>
          <w:sz w:val="26"/>
          <w:szCs w:val="26"/>
        </w:rPr>
        <w:t xml:space="preserve">gandrīz </w:t>
      </w:r>
      <w:r w:rsidRPr="00CD7B6E">
        <w:rPr>
          <w:sz w:val="26"/>
          <w:szCs w:val="26"/>
        </w:rPr>
        <w:t>1</w:t>
      </w:r>
      <w:r>
        <w:rPr>
          <w:sz w:val="26"/>
          <w:szCs w:val="26"/>
        </w:rPr>
        <w:t>0</w:t>
      </w:r>
      <w:r w:rsidRPr="00CD7B6E">
        <w:rPr>
          <w:sz w:val="26"/>
          <w:szCs w:val="26"/>
        </w:rPr>
        <w:t>% pārsniegs 201</w:t>
      </w:r>
      <w:r>
        <w:rPr>
          <w:sz w:val="26"/>
          <w:szCs w:val="26"/>
        </w:rPr>
        <w:t>2</w:t>
      </w:r>
      <w:r w:rsidRPr="00CD7B6E">
        <w:rPr>
          <w:sz w:val="26"/>
          <w:szCs w:val="26"/>
        </w:rPr>
        <w:t>.gada līmeni</w:t>
      </w:r>
      <w:r>
        <w:rPr>
          <w:sz w:val="26"/>
          <w:szCs w:val="26"/>
        </w:rPr>
        <w:t xml:space="preserve"> un </w:t>
      </w:r>
      <w:r w:rsidRPr="00CD7B6E">
        <w:rPr>
          <w:sz w:val="26"/>
          <w:szCs w:val="26"/>
        </w:rPr>
        <w:t>veidos 1/5 no vis</w:t>
      </w:r>
      <w:r>
        <w:rPr>
          <w:sz w:val="26"/>
          <w:szCs w:val="26"/>
        </w:rPr>
        <w:t>ā</w:t>
      </w:r>
      <w:r w:rsidRPr="00CD7B6E">
        <w:rPr>
          <w:sz w:val="26"/>
          <w:szCs w:val="26"/>
        </w:rPr>
        <w:t xml:space="preserve"> tautsaimniecīb</w:t>
      </w:r>
      <w:r>
        <w:rPr>
          <w:sz w:val="26"/>
          <w:szCs w:val="26"/>
        </w:rPr>
        <w:t>ā nodarbināto skaita</w:t>
      </w:r>
      <w:r w:rsidRPr="00CD7B6E">
        <w:rPr>
          <w:sz w:val="26"/>
          <w:szCs w:val="26"/>
        </w:rPr>
        <w:t xml:space="preserve">. Komercpakalpojumu nozares izaugsmi galvenokārt veicinās pārējo tautsaimniecības nozaru attīstība un aizvien augošais </w:t>
      </w:r>
      <w:r>
        <w:rPr>
          <w:sz w:val="26"/>
          <w:szCs w:val="26"/>
        </w:rPr>
        <w:t xml:space="preserve">pieprasījums pēc </w:t>
      </w:r>
      <w:r w:rsidRPr="00CD7B6E">
        <w:rPr>
          <w:sz w:val="26"/>
          <w:szCs w:val="26"/>
        </w:rPr>
        <w:t>ārpakalpojum</w:t>
      </w:r>
      <w:r>
        <w:rPr>
          <w:sz w:val="26"/>
          <w:szCs w:val="26"/>
        </w:rPr>
        <w:t>iem</w:t>
      </w:r>
      <w:r w:rsidRPr="00CD7B6E">
        <w:rPr>
          <w:sz w:val="26"/>
          <w:szCs w:val="26"/>
        </w:rPr>
        <w:t>.</w:t>
      </w:r>
    </w:p>
    <w:p w:rsidR="0077399B" w:rsidRPr="004E1728" w:rsidRDefault="0077399B" w:rsidP="0077399B">
      <w:pPr>
        <w:spacing w:after="0" w:line="240" w:lineRule="auto"/>
        <w:ind w:firstLine="567"/>
        <w:jc w:val="both"/>
        <w:rPr>
          <w:sz w:val="12"/>
          <w:szCs w:val="12"/>
        </w:rPr>
      </w:pPr>
    </w:p>
    <w:p w:rsidR="0077399B" w:rsidRPr="00CD7B6E" w:rsidRDefault="0077399B" w:rsidP="0077399B">
      <w:pPr>
        <w:spacing w:after="0" w:line="240" w:lineRule="auto"/>
        <w:ind w:firstLine="567"/>
        <w:jc w:val="both"/>
        <w:rPr>
          <w:sz w:val="26"/>
          <w:szCs w:val="26"/>
        </w:rPr>
      </w:pPr>
      <w:r>
        <w:rPr>
          <w:sz w:val="26"/>
          <w:szCs w:val="26"/>
        </w:rPr>
        <w:t xml:space="preserve">Ņemot vērā </w:t>
      </w:r>
      <w:r w:rsidRPr="00CD7B6E">
        <w:rPr>
          <w:sz w:val="26"/>
          <w:szCs w:val="26"/>
        </w:rPr>
        <w:t>tautsaimniecības pārstrukturizācij</w:t>
      </w:r>
      <w:r>
        <w:rPr>
          <w:sz w:val="26"/>
          <w:szCs w:val="26"/>
        </w:rPr>
        <w:t xml:space="preserve">u vidējā un ilgtermiņā, </w:t>
      </w:r>
      <w:r w:rsidRPr="00CD7B6E">
        <w:rPr>
          <w:sz w:val="26"/>
          <w:szCs w:val="26"/>
        </w:rPr>
        <w:t>sagaidāmas izmaiņas arī darbaspēka pieprasījumā pa profesiju grupām.</w:t>
      </w:r>
      <w:r>
        <w:rPr>
          <w:sz w:val="26"/>
          <w:szCs w:val="26"/>
        </w:rPr>
        <w:t xml:space="preserve"> A</w:t>
      </w:r>
      <w:r w:rsidRPr="00CD7B6E">
        <w:rPr>
          <w:sz w:val="26"/>
          <w:szCs w:val="26"/>
        </w:rPr>
        <w:t xml:space="preserve">izvien straujāk pieaugs pieprasījums pēc augstas kvalifikācijas speciālistiem. To pamatā noteiks pieprasījuma pieaugums apstrādes rūpniecībā un pakalpojumos (īpaši komercpakalpojumos). Vienlaikus </w:t>
      </w:r>
      <w:r>
        <w:rPr>
          <w:sz w:val="26"/>
          <w:szCs w:val="26"/>
        </w:rPr>
        <w:t>augs arī</w:t>
      </w:r>
      <w:r w:rsidRPr="00CD7B6E">
        <w:rPr>
          <w:sz w:val="26"/>
          <w:szCs w:val="26"/>
        </w:rPr>
        <w:t xml:space="preserve"> pieprasījum</w:t>
      </w:r>
      <w:r>
        <w:rPr>
          <w:sz w:val="26"/>
          <w:szCs w:val="26"/>
        </w:rPr>
        <w:t>s</w:t>
      </w:r>
      <w:r w:rsidRPr="00CD7B6E">
        <w:rPr>
          <w:sz w:val="26"/>
          <w:szCs w:val="26"/>
        </w:rPr>
        <w:t xml:space="preserve"> pēc vidējās kvalifikācijas profesiju speciālistiem, galvenokārt apstrādes rūpniecībā. </w:t>
      </w:r>
      <w:r>
        <w:rPr>
          <w:sz w:val="26"/>
          <w:szCs w:val="26"/>
        </w:rPr>
        <w:t xml:space="preserve">Tajā pašā laikā </w:t>
      </w:r>
      <w:r w:rsidRPr="00CD7B6E">
        <w:rPr>
          <w:sz w:val="26"/>
          <w:szCs w:val="26"/>
        </w:rPr>
        <w:t>mazināsies pieprasījums pēc vidējas kvalifikācijas lauksaimniecības darbiniekiem.</w:t>
      </w:r>
    </w:p>
    <w:p w:rsidR="0077399B" w:rsidRPr="00CD7B6E" w:rsidRDefault="002C6B26" w:rsidP="0077399B">
      <w:pPr>
        <w:spacing w:after="0" w:line="240" w:lineRule="auto"/>
        <w:ind w:firstLine="567"/>
        <w:jc w:val="both"/>
        <w:rPr>
          <w:sz w:val="26"/>
          <w:szCs w:val="26"/>
        </w:rPr>
      </w:pPr>
      <w:r>
        <w:rPr>
          <w:sz w:val="26"/>
          <w:szCs w:val="26"/>
        </w:rPr>
        <w:t>Gandrīz</w:t>
      </w:r>
      <w:r w:rsidR="0077399B" w:rsidRPr="00CD7B6E">
        <w:rPr>
          <w:sz w:val="26"/>
          <w:szCs w:val="26"/>
        </w:rPr>
        <w:t xml:space="preserve"> visās nozarēs, īpaši pēc 2020.gada, saruks pieprasījums pēc zemas kvalifikācijas darbaspēka.</w:t>
      </w:r>
    </w:p>
    <w:p w:rsidR="0077399B" w:rsidRDefault="0077399B" w:rsidP="0077399B">
      <w:pPr>
        <w:spacing w:after="0" w:line="240" w:lineRule="auto"/>
        <w:jc w:val="right"/>
        <w:rPr>
          <w:sz w:val="26"/>
          <w:szCs w:val="26"/>
        </w:rPr>
      </w:pPr>
    </w:p>
    <w:p w:rsidR="0077399B" w:rsidRPr="00CD7B6E" w:rsidRDefault="0077399B" w:rsidP="0077399B">
      <w:pPr>
        <w:spacing w:after="0" w:line="240" w:lineRule="auto"/>
        <w:jc w:val="right"/>
        <w:rPr>
          <w:sz w:val="26"/>
          <w:szCs w:val="26"/>
        </w:rPr>
      </w:pPr>
      <w:r w:rsidRPr="00CD7B6E">
        <w:rPr>
          <w:sz w:val="26"/>
          <w:szCs w:val="26"/>
        </w:rPr>
        <w:t>3.9. tabula</w:t>
      </w:r>
    </w:p>
    <w:p w:rsidR="0077399B" w:rsidRDefault="0077399B" w:rsidP="0077399B">
      <w:pPr>
        <w:spacing w:after="0" w:line="240" w:lineRule="auto"/>
        <w:jc w:val="center"/>
        <w:rPr>
          <w:szCs w:val="26"/>
        </w:rPr>
      </w:pPr>
      <w:r w:rsidRPr="00CD7B6E">
        <w:rPr>
          <w:b/>
          <w:sz w:val="26"/>
          <w:szCs w:val="26"/>
        </w:rPr>
        <w:t>Darbaspēka pieprasījuma izmaiņas profesiju grupās</w:t>
      </w:r>
      <w:r w:rsidRPr="00CD7B6E">
        <w:rPr>
          <w:sz w:val="26"/>
          <w:szCs w:val="26"/>
        </w:rPr>
        <w:t>,</w:t>
      </w:r>
      <w:r w:rsidRPr="00CD7B6E">
        <w:rPr>
          <w:sz w:val="26"/>
          <w:szCs w:val="26"/>
        </w:rPr>
        <w:br/>
      </w:r>
      <w:r>
        <w:rPr>
          <w:szCs w:val="26"/>
        </w:rPr>
        <w:t>(</w:t>
      </w:r>
      <w:r w:rsidRPr="00CD7B6E">
        <w:rPr>
          <w:szCs w:val="26"/>
        </w:rPr>
        <w:t>%</w:t>
      </w:r>
      <w:r>
        <w:rPr>
          <w:szCs w:val="26"/>
        </w:rPr>
        <w:t>)</w:t>
      </w:r>
    </w:p>
    <w:p w:rsidR="00CA709A" w:rsidRPr="00CA709A" w:rsidRDefault="00CA709A" w:rsidP="0077399B">
      <w:pPr>
        <w:spacing w:after="0" w:line="240" w:lineRule="auto"/>
        <w:jc w:val="center"/>
        <w:rPr>
          <w:sz w:val="8"/>
          <w:szCs w:val="26"/>
        </w:rPr>
      </w:pPr>
    </w:p>
    <w:tbl>
      <w:tblPr>
        <w:tblStyle w:val="MediumList1-Accent4"/>
        <w:tblW w:w="4868" w:type="pct"/>
        <w:tblLook w:val="0400" w:firstRow="0" w:lastRow="0" w:firstColumn="0" w:lastColumn="0" w:noHBand="0" w:noVBand="1"/>
      </w:tblPr>
      <w:tblGrid>
        <w:gridCol w:w="3686"/>
        <w:gridCol w:w="1338"/>
        <w:gridCol w:w="1340"/>
        <w:gridCol w:w="1338"/>
        <w:gridCol w:w="1340"/>
      </w:tblGrid>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bottom w:val="nil"/>
              <w:right w:val="single" w:sz="4" w:space="0" w:color="8064A2" w:themeColor="accent4"/>
            </w:tcBorders>
            <w:noWrap/>
          </w:tcPr>
          <w:p w:rsidR="0077399B" w:rsidRPr="00CD7B6E" w:rsidRDefault="0077399B" w:rsidP="00CA709A">
            <w:pPr>
              <w:spacing w:before="40" w:after="40" w:line="240" w:lineRule="auto"/>
              <w:ind w:left="-142" w:right="-142"/>
              <w:jc w:val="center"/>
              <w:rPr>
                <w:sz w:val="20"/>
                <w:szCs w:val="20"/>
              </w:rPr>
            </w:pPr>
          </w:p>
        </w:tc>
        <w:tc>
          <w:tcPr>
            <w:tcW w:w="1481" w:type="pct"/>
            <w:gridSpan w:val="2"/>
            <w:tcBorders>
              <w:top w:val="single" w:sz="8" w:space="0" w:color="8064A2" w:themeColor="accent4"/>
              <w:left w:val="single" w:sz="4" w:space="0" w:color="8064A2" w:themeColor="accent4"/>
              <w:bottom w:val="nil"/>
              <w:right w:val="single" w:sz="4" w:space="0" w:color="8064A2" w:themeColor="accent4"/>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Izmaiņas pret 201</w:t>
            </w:r>
            <w:r>
              <w:rPr>
                <w:b/>
                <w:sz w:val="20"/>
                <w:szCs w:val="20"/>
              </w:rPr>
              <w:t>2</w:t>
            </w:r>
            <w:r w:rsidRPr="00CD7B6E">
              <w:rPr>
                <w:b/>
                <w:sz w:val="20"/>
                <w:szCs w:val="20"/>
              </w:rPr>
              <w:t>.gadu</w:t>
            </w:r>
          </w:p>
        </w:tc>
        <w:tc>
          <w:tcPr>
            <w:tcW w:w="1481" w:type="pct"/>
            <w:gridSpan w:val="2"/>
            <w:tcBorders>
              <w:top w:val="single" w:sz="8" w:space="0" w:color="8064A2" w:themeColor="accent4"/>
              <w:left w:val="single" w:sz="4" w:space="0" w:color="8064A2" w:themeColor="accent4"/>
              <w:bottom w:val="nil"/>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Struktūra</w:t>
            </w:r>
          </w:p>
        </w:tc>
      </w:tr>
      <w:tr w:rsidR="0077399B" w:rsidRPr="00CD7B6E" w:rsidTr="00D90219">
        <w:tc>
          <w:tcPr>
            <w:tcW w:w="2038" w:type="pct"/>
            <w:tcBorders>
              <w:top w:val="nil"/>
              <w:bottom w:val="single" w:sz="4" w:space="0" w:color="8064A2" w:themeColor="accent4"/>
              <w:right w:val="single" w:sz="4" w:space="0" w:color="8064A2" w:themeColor="accent4"/>
            </w:tcBorders>
            <w:noWrap/>
          </w:tcPr>
          <w:p w:rsidR="0077399B" w:rsidRPr="00CD7B6E" w:rsidRDefault="0077399B" w:rsidP="00CA709A">
            <w:pPr>
              <w:spacing w:before="40" w:after="40" w:line="240" w:lineRule="auto"/>
              <w:ind w:left="-142" w:right="-142"/>
              <w:jc w:val="center"/>
              <w:rPr>
                <w:b/>
                <w:sz w:val="20"/>
                <w:szCs w:val="20"/>
              </w:rPr>
            </w:pPr>
          </w:p>
        </w:tc>
        <w:tc>
          <w:tcPr>
            <w:tcW w:w="740" w:type="pct"/>
            <w:tcBorders>
              <w:top w:val="nil"/>
              <w:left w:val="single" w:sz="4" w:space="0" w:color="8064A2" w:themeColor="accent4"/>
              <w:bottom w:val="single" w:sz="4" w:space="0" w:color="8064A2" w:themeColor="accent4"/>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2020</w:t>
            </w:r>
          </w:p>
        </w:tc>
        <w:tc>
          <w:tcPr>
            <w:tcW w:w="741" w:type="pct"/>
            <w:tcBorders>
              <w:top w:val="nil"/>
              <w:bottom w:val="single" w:sz="4" w:space="0" w:color="8064A2" w:themeColor="accent4"/>
              <w:right w:val="single" w:sz="4" w:space="0" w:color="8064A2" w:themeColor="accent4"/>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2030</w:t>
            </w:r>
          </w:p>
        </w:tc>
        <w:tc>
          <w:tcPr>
            <w:tcW w:w="740" w:type="pct"/>
            <w:tcBorders>
              <w:top w:val="nil"/>
              <w:left w:val="single" w:sz="4" w:space="0" w:color="8064A2" w:themeColor="accent4"/>
              <w:bottom w:val="single" w:sz="4" w:space="0" w:color="8064A2" w:themeColor="accent4"/>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2020</w:t>
            </w:r>
          </w:p>
        </w:tc>
        <w:tc>
          <w:tcPr>
            <w:tcW w:w="741" w:type="pct"/>
            <w:tcBorders>
              <w:top w:val="nil"/>
              <w:bottom w:val="single" w:sz="4" w:space="0" w:color="8064A2" w:themeColor="accent4"/>
            </w:tcBorders>
          </w:tcPr>
          <w:p w:rsidR="0077399B" w:rsidRPr="00CD7B6E" w:rsidRDefault="0077399B" w:rsidP="00CA709A">
            <w:pPr>
              <w:spacing w:before="40" w:after="40" w:line="240" w:lineRule="auto"/>
              <w:ind w:left="-142" w:right="-142"/>
              <w:jc w:val="center"/>
              <w:rPr>
                <w:b/>
                <w:sz w:val="20"/>
                <w:szCs w:val="20"/>
              </w:rPr>
            </w:pPr>
            <w:r w:rsidRPr="00CD7B6E">
              <w:rPr>
                <w:b/>
                <w:sz w:val="20"/>
                <w:szCs w:val="20"/>
              </w:rPr>
              <w:t>2030</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top w:val="single" w:sz="4" w:space="0" w:color="8064A2" w:themeColor="accent4"/>
              <w:right w:val="single" w:sz="4" w:space="0" w:color="8064A2" w:themeColor="accent4"/>
            </w:tcBorders>
          </w:tcPr>
          <w:p w:rsidR="0077399B" w:rsidRPr="00CD7B6E" w:rsidRDefault="0077399B" w:rsidP="00CA709A">
            <w:pPr>
              <w:spacing w:before="40" w:after="40" w:line="240" w:lineRule="auto"/>
              <w:ind w:right="-142"/>
              <w:jc w:val="both"/>
              <w:rPr>
                <w:b/>
                <w:sz w:val="20"/>
                <w:szCs w:val="20"/>
              </w:rPr>
            </w:pPr>
            <w:r w:rsidRPr="00CD7B6E">
              <w:rPr>
                <w:b/>
                <w:sz w:val="20"/>
                <w:szCs w:val="20"/>
              </w:rPr>
              <w:t>Augstas kvalifikācijas profesijas</w:t>
            </w:r>
          </w:p>
        </w:tc>
        <w:tc>
          <w:tcPr>
            <w:tcW w:w="740" w:type="pct"/>
            <w:tcBorders>
              <w:top w:val="single" w:sz="4" w:space="0" w:color="8064A2" w:themeColor="accent4"/>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15,4</w:t>
            </w:r>
          </w:p>
        </w:tc>
        <w:tc>
          <w:tcPr>
            <w:tcW w:w="741" w:type="pct"/>
            <w:tcBorders>
              <w:top w:val="single" w:sz="4" w:space="0" w:color="8064A2" w:themeColor="accent4"/>
              <w:right w:val="single" w:sz="4"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32,5</w:t>
            </w:r>
          </w:p>
        </w:tc>
        <w:tc>
          <w:tcPr>
            <w:tcW w:w="740" w:type="pct"/>
            <w:tcBorders>
              <w:top w:val="single" w:sz="4" w:space="0" w:color="8064A2" w:themeColor="accent4"/>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43,5</w:t>
            </w:r>
          </w:p>
        </w:tc>
        <w:tc>
          <w:tcPr>
            <w:tcW w:w="741" w:type="pct"/>
            <w:tcBorders>
              <w:top w:val="single" w:sz="4"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48,3</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jc w:val="both"/>
              <w:rPr>
                <w:sz w:val="20"/>
                <w:szCs w:val="20"/>
              </w:rPr>
            </w:pPr>
            <w:r w:rsidRPr="00CD7B6E">
              <w:rPr>
                <w:sz w:val="20"/>
                <w:szCs w:val="20"/>
              </w:rPr>
              <w:t>tai skaitā:</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p>
        </w:tc>
        <w:tc>
          <w:tcPr>
            <w:tcW w:w="741" w:type="pct"/>
          </w:tcPr>
          <w:p w:rsidR="0077399B" w:rsidRPr="00935139" w:rsidRDefault="0077399B" w:rsidP="00CA709A">
            <w:pPr>
              <w:tabs>
                <w:tab w:val="decimal" w:pos="588"/>
              </w:tabs>
              <w:spacing w:before="40" w:after="40" w:line="240" w:lineRule="auto"/>
              <w:rPr>
                <w:sz w:val="20"/>
                <w:szCs w:val="20"/>
              </w:rPr>
            </w:pP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Vadītāji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10,2</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18,2</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9,6</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10,0</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Vecākie speciālisti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14,6</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32,6</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18,8</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21,1</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Speciālisti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20,0</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42,2</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15,1</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17,3</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jc w:val="both"/>
              <w:rPr>
                <w:b/>
                <w:sz w:val="20"/>
                <w:szCs w:val="20"/>
              </w:rPr>
            </w:pPr>
            <w:r w:rsidRPr="00CD7B6E">
              <w:rPr>
                <w:b/>
                <w:sz w:val="20"/>
                <w:szCs w:val="20"/>
              </w:rPr>
              <w:t>Vi</w:t>
            </w:r>
            <w:r>
              <w:rPr>
                <w:b/>
                <w:sz w:val="20"/>
                <w:szCs w:val="20"/>
              </w:rPr>
              <w:t>dējas kvalifikācijas profesijas</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1,3</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-1,5</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45,1</w:t>
            </w:r>
          </w:p>
        </w:tc>
        <w:tc>
          <w:tcPr>
            <w:tcW w:w="741" w:type="pct"/>
          </w:tcPr>
          <w:p w:rsidR="0077399B" w:rsidRPr="00935139" w:rsidRDefault="0077399B" w:rsidP="00CA709A">
            <w:pPr>
              <w:tabs>
                <w:tab w:val="decimal" w:pos="588"/>
              </w:tabs>
              <w:spacing w:before="40" w:after="40" w:line="240" w:lineRule="auto"/>
              <w:rPr>
                <w:b/>
                <w:sz w:val="20"/>
                <w:szCs w:val="20"/>
              </w:rPr>
            </w:pPr>
            <w:r w:rsidRPr="00935139">
              <w:rPr>
                <w:b/>
                <w:sz w:val="20"/>
                <w:szCs w:val="20"/>
              </w:rPr>
              <w:t>42,4</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jc w:val="both"/>
              <w:rPr>
                <w:sz w:val="20"/>
                <w:szCs w:val="20"/>
              </w:rPr>
            </w:pPr>
            <w:r w:rsidRPr="00CD7B6E">
              <w:rPr>
                <w:sz w:val="20"/>
                <w:szCs w:val="20"/>
              </w:rPr>
              <w:t>tai skaitā:</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p>
        </w:tc>
        <w:tc>
          <w:tcPr>
            <w:tcW w:w="741" w:type="pct"/>
          </w:tcPr>
          <w:p w:rsidR="0077399B" w:rsidRPr="00935139" w:rsidRDefault="0077399B" w:rsidP="00CA709A">
            <w:pPr>
              <w:tabs>
                <w:tab w:val="decimal" w:pos="588"/>
              </w:tabs>
              <w:spacing w:before="40" w:after="40" w:line="240" w:lineRule="auto"/>
              <w:rPr>
                <w:sz w:val="20"/>
                <w:szCs w:val="20"/>
              </w:rPr>
            </w:pP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Iestāžu kalpotāji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-3,5</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-13,7</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5,7</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4,9</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Pakalpojumu darbinieki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3,7</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5,5</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14,9</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14,7</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Kvalificēti lauksaimniecības darbinieki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-19,9</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-38,7</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2,7</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2,0</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Kvalificēti strādnieki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6,7</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6,5</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13,0</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12,6</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firstLine="142"/>
              <w:jc w:val="both"/>
              <w:rPr>
                <w:sz w:val="20"/>
                <w:szCs w:val="20"/>
              </w:rPr>
            </w:pPr>
            <w:r w:rsidRPr="00CD7B6E">
              <w:rPr>
                <w:sz w:val="20"/>
                <w:szCs w:val="20"/>
              </w:rPr>
              <w:t>Iekārtu un mašīnu operatori</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1,4</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sz w:val="20"/>
                <w:szCs w:val="20"/>
              </w:rPr>
            </w:pPr>
            <w:r w:rsidRPr="00935139">
              <w:rPr>
                <w:sz w:val="20"/>
                <w:szCs w:val="20"/>
              </w:rPr>
              <w:t>-1,6</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sz w:val="20"/>
                <w:szCs w:val="20"/>
              </w:rPr>
            </w:pPr>
            <w:r w:rsidRPr="00935139">
              <w:rPr>
                <w:sz w:val="20"/>
                <w:szCs w:val="20"/>
              </w:rPr>
              <w:t>8,7</w:t>
            </w:r>
          </w:p>
        </w:tc>
        <w:tc>
          <w:tcPr>
            <w:tcW w:w="741" w:type="pct"/>
          </w:tcPr>
          <w:p w:rsidR="0077399B" w:rsidRPr="00935139" w:rsidRDefault="0077399B" w:rsidP="00CA709A">
            <w:pPr>
              <w:tabs>
                <w:tab w:val="decimal" w:pos="588"/>
              </w:tabs>
              <w:spacing w:before="40" w:after="40" w:line="240" w:lineRule="auto"/>
              <w:rPr>
                <w:sz w:val="20"/>
                <w:szCs w:val="20"/>
              </w:rPr>
            </w:pPr>
            <w:r w:rsidRPr="00935139">
              <w:rPr>
                <w:sz w:val="20"/>
                <w:szCs w:val="20"/>
              </w:rPr>
              <w:t>8,2</w:t>
            </w:r>
          </w:p>
        </w:tc>
      </w:tr>
      <w:tr w:rsidR="0077399B" w:rsidRPr="00CD7B6E" w:rsidTr="00D90219">
        <w:trPr>
          <w:cnfStyle w:val="000000100000" w:firstRow="0" w:lastRow="0" w:firstColumn="0" w:lastColumn="0" w:oddVBand="0" w:evenVBand="0" w:oddHBand="1" w:evenHBand="0" w:firstRowFirstColumn="0" w:firstRowLastColumn="0" w:lastRowFirstColumn="0" w:lastRowLastColumn="0"/>
        </w:trPr>
        <w:tc>
          <w:tcPr>
            <w:tcW w:w="2038" w:type="pct"/>
            <w:tcBorders>
              <w:right w:val="single" w:sz="4" w:space="0" w:color="8064A2" w:themeColor="accent4"/>
            </w:tcBorders>
          </w:tcPr>
          <w:p w:rsidR="0077399B" w:rsidRPr="00CD7B6E" w:rsidRDefault="0077399B" w:rsidP="00CA709A">
            <w:pPr>
              <w:spacing w:before="40" w:after="40" w:line="240" w:lineRule="auto"/>
              <w:ind w:right="-142"/>
              <w:jc w:val="both"/>
              <w:rPr>
                <w:b/>
                <w:sz w:val="20"/>
                <w:szCs w:val="20"/>
              </w:rPr>
            </w:pPr>
            <w:r w:rsidRPr="00CD7B6E">
              <w:rPr>
                <w:b/>
                <w:sz w:val="20"/>
                <w:szCs w:val="20"/>
              </w:rPr>
              <w:t>Zemas kvalifikācijas profesijas</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-8,4</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-23,9</w:t>
            </w:r>
          </w:p>
        </w:tc>
        <w:tc>
          <w:tcPr>
            <w:tcW w:w="740" w:type="pct"/>
            <w:tcBorders>
              <w:top w:val="nil"/>
              <w:left w:val="single" w:sz="4" w:space="0" w:color="8064A2" w:themeColor="accent4"/>
              <w:bottom w:val="nil"/>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11,5</w:t>
            </w:r>
          </w:p>
        </w:tc>
        <w:tc>
          <w:tcPr>
            <w:tcW w:w="741" w:type="pct"/>
          </w:tcPr>
          <w:p w:rsidR="0077399B" w:rsidRPr="00935139" w:rsidRDefault="0077399B" w:rsidP="00CA709A">
            <w:pPr>
              <w:tabs>
                <w:tab w:val="decimal" w:pos="588"/>
              </w:tabs>
              <w:spacing w:before="40" w:after="40" w:line="240" w:lineRule="auto"/>
              <w:rPr>
                <w:b/>
                <w:sz w:val="20"/>
                <w:szCs w:val="20"/>
              </w:rPr>
            </w:pPr>
            <w:r w:rsidRPr="00935139">
              <w:rPr>
                <w:b/>
                <w:sz w:val="20"/>
                <w:szCs w:val="20"/>
              </w:rPr>
              <w:t>9,2</w:t>
            </w:r>
          </w:p>
        </w:tc>
      </w:tr>
      <w:tr w:rsidR="0077399B" w:rsidRPr="00CD7B6E" w:rsidTr="00D90219">
        <w:tc>
          <w:tcPr>
            <w:tcW w:w="2038" w:type="pct"/>
            <w:tcBorders>
              <w:right w:val="single" w:sz="4" w:space="0" w:color="8064A2" w:themeColor="accent4"/>
            </w:tcBorders>
          </w:tcPr>
          <w:p w:rsidR="0077399B" w:rsidRPr="00CD7B6E" w:rsidRDefault="0077399B" w:rsidP="00CA709A">
            <w:pPr>
              <w:spacing w:before="40" w:after="40" w:line="240" w:lineRule="auto"/>
              <w:ind w:right="-142"/>
              <w:jc w:val="both"/>
              <w:rPr>
                <w:b/>
                <w:sz w:val="20"/>
                <w:szCs w:val="20"/>
              </w:rPr>
            </w:pPr>
            <w:r w:rsidRPr="00CD7B6E">
              <w:rPr>
                <w:b/>
                <w:sz w:val="20"/>
                <w:szCs w:val="20"/>
              </w:rPr>
              <w:t>Kopā</w:t>
            </w:r>
          </w:p>
        </w:tc>
        <w:tc>
          <w:tcPr>
            <w:tcW w:w="740" w:type="pct"/>
            <w:tcBorders>
              <w:top w:val="nil"/>
              <w:left w:val="single" w:sz="4" w:space="0" w:color="8064A2" w:themeColor="accent4"/>
              <w:bottom w:val="single" w:sz="8"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5,6</w:t>
            </w:r>
          </w:p>
        </w:tc>
        <w:tc>
          <w:tcPr>
            <w:tcW w:w="741" w:type="pct"/>
            <w:tcBorders>
              <w:right w:val="single" w:sz="4" w:space="0" w:color="8064A2" w:themeColor="accent4"/>
            </w:tcBorders>
          </w:tcPr>
          <w:p w:rsidR="0077399B" w:rsidRPr="00935139" w:rsidRDefault="0077399B" w:rsidP="00CA709A">
            <w:pPr>
              <w:tabs>
                <w:tab w:val="decimal" w:pos="588"/>
              </w:tabs>
              <w:spacing w:before="40" w:after="40" w:line="240" w:lineRule="auto"/>
              <w:rPr>
                <w:b/>
                <w:sz w:val="20"/>
                <w:szCs w:val="20"/>
              </w:rPr>
            </w:pPr>
            <w:r w:rsidRPr="00935139">
              <w:rPr>
                <w:b/>
                <w:sz w:val="20"/>
                <w:szCs w:val="20"/>
              </w:rPr>
              <w:t>9,0</w:t>
            </w:r>
          </w:p>
        </w:tc>
        <w:tc>
          <w:tcPr>
            <w:tcW w:w="740" w:type="pct"/>
            <w:tcBorders>
              <w:top w:val="nil"/>
              <w:left w:val="single" w:sz="4" w:space="0" w:color="8064A2" w:themeColor="accent4"/>
              <w:bottom w:val="single" w:sz="8" w:space="0" w:color="8064A2" w:themeColor="accent4"/>
            </w:tcBorders>
          </w:tcPr>
          <w:p w:rsidR="0077399B" w:rsidRPr="00935139" w:rsidRDefault="0077399B" w:rsidP="00CA709A">
            <w:pPr>
              <w:tabs>
                <w:tab w:val="decimal" w:pos="588"/>
              </w:tabs>
              <w:spacing w:before="40" w:after="40" w:line="240" w:lineRule="auto"/>
              <w:rPr>
                <w:b/>
                <w:sz w:val="20"/>
                <w:szCs w:val="20"/>
              </w:rPr>
            </w:pPr>
            <w:r>
              <w:rPr>
                <w:b/>
                <w:sz w:val="20"/>
                <w:szCs w:val="20"/>
              </w:rPr>
              <w:t>100</w:t>
            </w:r>
          </w:p>
        </w:tc>
        <w:tc>
          <w:tcPr>
            <w:tcW w:w="741" w:type="pct"/>
          </w:tcPr>
          <w:p w:rsidR="0077399B" w:rsidRPr="00935139" w:rsidRDefault="0077399B" w:rsidP="00CA709A">
            <w:pPr>
              <w:tabs>
                <w:tab w:val="decimal" w:pos="588"/>
              </w:tabs>
              <w:spacing w:before="40" w:after="40" w:line="240" w:lineRule="auto"/>
              <w:rPr>
                <w:b/>
                <w:sz w:val="20"/>
                <w:szCs w:val="20"/>
              </w:rPr>
            </w:pPr>
            <w:r>
              <w:rPr>
                <w:b/>
                <w:sz w:val="20"/>
                <w:szCs w:val="20"/>
              </w:rPr>
              <w:t>100</w:t>
            </w:r>
          </w:p>
        </w:tc>
      </w:tr>
    </w:tbl>
    <w:p w:rsidR="0077399B" w:rsidRDefault="0077399B" w:rsidP="0077399B">
      <w:pPr>
        <w:spacing w:after="0" w:line="240" w:lineRule="auto"/>
        <w:jc w:val="right"/>
        <w:rPr>
          <w:sz w:val="26"/>
          <w:szCs w:val="26"/>
        </w:rPr>
      </w:pPr>
    </w:p>
    <w:p w:rsidR="00521971" w:rsidRDefault="00521971">
      <w:pPr>
        <w:spacing w:after="0" w:line="240" w:lineRule="auto"/>
        <w:rPr>
          <w:sz w:val="26"/>
          <w:szCs w:val="26"/>
        </w:rPr>
      </w:pPr>
      <w:r>
        <w:rPr>
          <w:sz w:val="26"/>
          <w:szCs w:val="26"/>
        </w:rPr>
        <w:br w:type="page"/>
      </w:r>
    </w:p>
    <w:p w:rsidR="0077399B" w:rsidRPr="00CD7B6E" w:rsidRDefault="0077399B" w:rsidP="0077399B">
      <w:pPr>
        <w:spacing w:after="0" w:line="240" w:lineRule="auto"/>
        <w:jc w:val="right"/>
        <w:rPr>
          <w:sz w:val="26"/>
          <w:szCs w:val="26"/>
        </w:rPr>
      </w:pPr>
      <w:r w:rsidRPr="00CD7B6E">
        <w:rPr>
          <w:sz w:val="26"/>
          <w:szCs w:val="26"/>
        </w:rPr>
        <w:lastRenderedPageBreak/>
        <w:t>3.10. tabula</w:t>
      </w:r>
    </w:p>
    <w:p w:rsidR="0077399B" w:rsidRPr="001922B3" w:rsidRDefault="0077399B" w:rsidP="0077399B">
      <w:pPr>
        <w:spacing w:after="0" w:line="240" w:lineRule="auto"/>
        <w:ind w:left="-425" w:right="-142"/>
        <w:mirrorIndents/>
        <w:jc w:val="center"/>
        <w:rPr>
          <w:b/>
          <w:sz w:val="26"/>
          <w:szCs w:val="26"/>
        </w:rPr>
      </w:pPr>
      <w:r w:rsidRPr="001922B3">
        <w:rPr>
          <w:b/>
          <w:sz w:val="26"/>
          <w:szCs w:val="26"/>
        </w:rPr>
        <w:t xml:space="preserve">Nodarbināto skaita izmaiņas tautsaimniecības nozarēs </w:t>
      </w:r>
      <w:r w:rsidRPr="001922B3">
        <w:rPr>
          <w:b/>
          <w:sz w:val="26"/>
          <w:szCs w:val="26"/>
        </w:rPr>
        <w:br/>
        <w:t>sadalījumā pa profesiju grupām</w:t>
      </w:r>
    </w:p>
    <w:p w:rsidR="0077399B" w:rsidRDefault="0077399B" w:rsidP="0077399B">
      <w:pPr>
        <w:spacing w:after="0" w:line="240" w:lineRule="auto"/>
        <w:ind w:left="-425" w:right="-142"/>
        <w:mirrorIndents/>
        <w:jc w:val="center"/>
        <w:rPr>
          <w:szCs w:val="26"/>
        </w:rPr>
      </w:pPr>
      <w:r w:rsidRPr="001922B3">
        <w:rPr>
          <w:b/>
          <w:szCs w:val="26"/>
          <w:u w:val="single"/>
        </w:rPr>
        <w:t>2020.gads</w:t>
      </w:r>
      <w:r w:rsidRPr="001922B3">
        <w:rPr>
          <w:szCs w:val="26"/>
        </w:rPr>
        <w:t xml:space="preserve"> salīdzinājumā ar 2012.gadu, tūkstošos</w:t>
      </w:r>
    </w:p>
    <w:p w:rsidR="00CA709A" w:rsidRPr="00CA709A" w:rsidRDefault="00CA709A" w:rsidP="0077399B">
      <w:pPr>
        <w:spacing w:after="0" w:line="240" w:lineRule="auto"/>
        <w:ind w:left="-425" w:right="-142"/>
        <w:mirrorIndents/>
        <w:jc w:val="center"/>
        <w:rPr>
          <w:sz w:val="8"/>
          <w:szCs w:val="26"/>
        </w:rPr>
      </w:pPr>
    </w:p>
    <w:tbl>
      <w:tblPr>
        <w:tblStyle w:val="MediumList1-Accent4"/>
        <w:tblW w:w="5019" w:type="pct"/>
        <w:tblLayout w:type="fixed"/>
        <w:tblLook w:val="0400" w:firstRow="0" w:lastRow="0" w:firstColumn="0" w:lastColumn="0" w:noHBand="0" w:noVBand="1"/>
      </w:tblPr>
      <w:tblGrid>
        <w:gridCol w:w="3651"/>
        <w:gridCol w:w="631"/>
        <w:gridCol w:w="630"/>
        <w:gridCol w:w="630"/>
        <w:gridCol w:w="630"/>
        <w:gridCol w:w="630"/>
        <w:gridCol w:w="630"/>
        <w:gridCol w:w="630"/>
        <w:gridCol w:w="630"/>
        <w:gridCol w:w="630"/>
      </w:tblGrid>
      <w:tr w:rsidR="0077399B" w:rsidRPr="001922B3" w:rsidTr="00D90219">
        <w:trPr>
          <w:cnfStyle w:val="000000100000" w:firstRow="0" w:lastRow="0" w:firstColumn="0" w:lastColumn="0" w:oddVBand="0" w:evenVBand="0" w:oddHBand="1" w:evenHBand="0" w:firstRowFirstColumn="0" w:firstRowLastColumn="0" w:lastRowFirstColumn="0" w:lastRowLastColumn="0"/>
          <w:trHeight w:val="1417"/>
        </w:trPr>
        <w:tc>
          <w:tcPr>
            <w:tcW w:w="1958" w:type="pct"/>
            <w:tcBorders>
              <w:top w:val="single" w:sz="8" w:space="0" w:color="8064A2" w:themeColor="accent4"/>
              <w:bottom w:val="single" w:sz="4" w:space="0" w:color="8064A2" w:themeColor="accent4"/>
              <w:right w:val="single" w:sz="4" w:space="0" w:color="8064A2" w:themeColor="accent4"/>
            </w:tcBorders>
            <w:textDirection w:val="btLr"/>
          </w:tcPr>
          <w:p w:rsidR="0077399B" w:rsidRPr="001922B3" w:rsidRDefault="0077399B" w:rsidP="00CA709A">
            <w:pPr>
              <w:spacing w:before="40" w:after="40" w:line="240" w:lineRule="auto"/>
              <w:jc w:val="center"/>
              <w:rPr>
                <w:rFonts w:eastAsia="Arial Unicode MS"/>
                <w:sz w:val="18"/>
                <w:szCs w:val="20"/>
              </w:rPr>
            </w:pPr>
          </w:p>
        </w:tc>
        <w:tc>
          <w:tcPr>
            <w:tcW w:w="338" w:type="pct"/>
            <w:tcBorders>
              <w:top w:val="single" w:sz="8" w:space="0" w:color="8064A2" w:themeColor="accent4"/>
              <w:left w:val="single" w:sz="4"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Lauksaimniecība</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Apstrādes rūpniecība</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 xml:space="preserve">Pārējā </w:t>
            </w:r>
            <w:r w:rsidRPr="001922B3">
              <w:rPr>
                <w:sz w:val="18"/>
                <w:szCs w:val="20"/>
                <w:lang w:eastAsia="lv-LV"/>
              </w:rPr>
              <w:br/>
              <w:t>rūpniecība</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Būvniecība</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Tirdzniecība</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Transports</w:t>
            </w:r>
          </w:p>
        </w:tc>
        <w:tc>
          <w:tcPr>
            <w:tcW w:w="338" w:type="pct"/>
            <w:tcBorders>
              <w:top w:val="single" w:sz="8"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Sabiedriskie pakalpojumi</w:t>
            </w:r>
          </w:p>
        </w:tc>
        <w:tc>
          <w:tcPr>
            <w:tcW w:w="338" w:type="pct"/>
            <w:tcBorders>
              <w:top w:val="single" w:sz="8" w:space="0" w:color="8064A2" w:themeColor="accent4"/>
              <w:bottom w:val="single" w:sz="4" w:space="0" w:color="8064A2" w:themeColor="accent4"/>
              <w:right w:val="single" w:sz="4" w:space="0" w:color="8064A2" w:themeColor="accent4"/>
            </w:tcBorders>
            <w:textDirection w:val="btLr"/>
            <w:vAlign w:val="center"/>
          </w:tcPr>
          <w:p w:rsidR="0077399B" w:rsidRPr="001922B3" w:rsidRDefault="0077399B" w:rsidP="00CA709A">
            <w:pPr>
              <w:spacing w:before="40" w:after="40" w:line="240" w:lineRule="auto"/>
              <w:jc w:val="center"/>
              <w:rPr>
                <w:rFonts w:eastAsia="Arial Unicode MS"/>
                <w:bCs/>
                <w:sz w:val="18"/>
                <w:szCs w:val="20"/>
              </w:rPr>
            </w:pPr>
            <w:r w:rsidRPr="001922B3">
              <w:rPr>
                <w:sz w:val="18"/>
                <w:szCs w:val="20"/>
                <w:lang w:eastAsia="lv-LV"/>
              </w:rPr>
              <w:t xml:space="preserve">Citi </w:t>
            </w:r>
            <w:proofErr w:type="spellStart"/>
            <w:r w:rsidRPr="001922B3">
              <w:rPr>
                <w:sz w:val="18"/>
                <w:szCs w:val="20"/>
                <w:lang w:eastAsia="lv-LV"/>
              </w:rPr>
              <w:t>komerc-pakalpojumi</w:t>
            </w:r>
            <w:proofErr w:type="spellEnd"/>
          </w:p>
        </w:tc>
        <w:tc>
          <w:tcPr>
            <w:tcW w:w="338" w:type="pct"/>
            <w:tcBorders>
              <w:top w:val="single" w:sz="8" w:space="0" w:color="8064A2" w:themeColor="accent4"/>
              <w:left w:val="single" w:sz="4" w:space="0" w:color="8064A2" w:themeColor="accent4"/>
              <w:bottom w:val="single" w:sz="4" w:space="0" w:color="8064A2" w:themeColor="accent4"/>
            </w:tcBorders>
            <w:textDirection w:val="btLr"/>
            <w:vAlign w:val="center"/>
          </w:tcPr>
          <w:p w:rsidR="0077399B" w:rsidRPr="001922B3" w:rsidRDefault="0077399B" w:rsidP="00CA709A">
            <w:pPr>
              <w:spacing w:before="40" w:after="40" w:line="240" w:lineRule="auto"/>
              <w:jc w:val="center"/>
              <w:rPr>
                <w:b/>
                <w:bCs/>
                <w:sz w:val="18"/>
                <w:szCs w:val="20"/>
              </w:rPr>
            </w:pPr>
            <w:r w:rsidRPr="001922B3">
              <w:rPr>
                <w:rFonts w:eastAsia="Arial Unicode MS"/>
                <w:b/>
                <w:bCs/>
                <w:sz w:val="18"/>
                <w:szCs w:val="20"/>
              </w:rPr>
              <w:t>Kopā</w:t>
            </w:r>
          </w:p>
        </w:tc>
      </w:tr>
      <w:tr w:rsidR="0077399B" w:rsidRPr="001922B3" w:rsidTr="00D90219">
        <w:tc>
          <w:tcPr>
            <w:tcW w:w="1958" w:type="pct"/>
            <w:tcBorders>
              <w:top w:val="single" w:sz="4" w:space="0" w:color="8064A2" w:themeColor="accent4"/>
              <w:right w:val="single" w:sz="4" w:space="0" w:color="8064A2" w:themeColor="accent4"/>
            </w:tcBorders>
          </w:tcPr>
          <w:p w:rsidR="0077399B" w:rsidRPr="001922B3" w:rsidRDefault="0077399B" w:rsidP="00CA709A">
            <w:pPr>
              <w:spacing w:before="40" w:after="40" w:line="240" w:lineRule="auto"/>
              <w:rPr>
                <w:b/>
                <w:sz w:val="18"/>
                <w:szCs w:val="20"/>
                <w:lang w:eastAsia="lv-LV"/>
              </w:rPr>
            </w:pPr>
            <w:r w:rsidRPr="001922B3">
              <w:rPr>
                <w:b/>
                <w:sz w:val="18"/>
                <w:szCs w:val="20"/>
                <w:lang w:eastAsia="lv-LV"/>
              </w:rPr>
              <w:t>Augstas kvalifikācijas profesijas</w:t>
            </w:r>
          </w:p>
        </w:tc>
        <w:tc>
          <w:tcPr>
            <w:tcW w:w="338" w:type="pct"/>
            <w:tcBorders>
              <w:top w:val="single" w:sz="4" w:space="0" w:color="8064A2" w:themeColor="accent4"/>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2,7</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11,0</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2,4</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5,2</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7,9</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4,1</w:t>
            </w:r>
          </w:p>
        </w:tc>
        <w:tc>
          <w:tcPr>
            <w:tcW w:w="338" w:type="pct"/>
            <w:tcBorders>
              <w:top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2,3</w:t>
            </w:r>
          </w:p>
        </w:tc>
        <w:tc>
          <w:tcPr>
            <w:tcW w:w="338" w:type="pct"/>
            <w:tcBorders>
              <w:top w:val="single" w:sz="4" w:space="0" w:color="8064A2" w:themeColor="accent4"/>
              <w:right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18,5</w:t>
            </w:r>
          </w:p>
        </w:tc>
        <w:tc>
          <w:tcPr>
            <w:tcW w:w="338" w:type="pct"/>
            <w:tcBorders>
              <w:top w:val="single" w:sz="4" w:space="0" w:color="8064A2" w:themeColor="accent4"/>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54,2</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rPr>
                <w:sz w:val="18"/>
                <w:szCs w:val="20"/>
                <w:lang w:eastAsia="lv-LV"/>
              </w:rPr>
            </w:pPr>
            <w:r w:rsidRPr="001922B3">
              <w:rPr>
                <w:sz w:val="18"/>
                <w:szCs w:val="20"/>
                <w:lang w:eastAsia="lv-LV"/>
              </w:rPr>
              <w:t>tai skaitā:</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Vadītāji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0,3</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1,7</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1,6</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2,0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0,3</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1,6</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8,3</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Vecākie speciālisti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1,2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4,7</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0,8</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2,1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2,7</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0,8</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9,9</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22,4</w:t>
            </w: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Speciālisti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1,2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4,5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1,4</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3,3</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2,8</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1,8</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7,0</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23,5</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rPr>
                <w:b/>
                <w:sz w:val="18"/>
                <w:szCs w:val="20"/>
                <w:lang w:eastAsia="lv-LV"/>
              </w:rPr>
            </w:pPr>
            <w:r w:rsidRPr="001922B3">
              <w:rPr>
                <w:b/>
                <w:sz w:val="18"/>
                <w:szCs w:val="20"/>
                <w:lang w:eastAsia="lv-LV"/>
              </w:rPr>
              <w:t>Vidējas kvalifikācijas profesijas</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-6,2</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5,4</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0,9</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3,1</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-1,0</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0,6</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-0,4</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3,1</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5,5</w:t>
            </w: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rPr>
                <w:sz w:val="18"/>
                <w:szCs w:val="20"/>
                <w:lang w:eastAsia="lv-LV"/>
              </w:rPr>
            </w:pPr>
            <w:r w:rsidRPr="001922B3">
              <w:rPr>
                <w:sz w:val="18"/>
                <w:szCs w:val="20"/>
                <w:lang w:eastAsia="lv-LV"/>
              </w:rPr>
              <w:t>tai skaitā:</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Pr>
          <w:p w:rsidR="0077399B" w:rsidRPr="001922B3" w:rsidRDefault="0077399B" w:rsidP="00CA709A">
            <w:pPr>
              <w:tabs>
                <w:tab w:val="decimal" w:pos="218"/>
              </w:tabs>
              <w:spacing w:before="40" w:after="40" w:line="240" w:lineRule="auto"/>
              <w:rPr>
                <w:sz w:val="18"/>
                <w:szCs w:val="20"/>
              </w:rPr>
            </w:pP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Iestāžu kalpotāji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-0,7</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-0,4</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-0,6</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-0,9</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-1,9</w:t>
            </w: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Pakalpojumu darbinieki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0,4</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0,4</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1,0</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3,8</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5,0</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Kvalificēti lauksaimniecības darbinieki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-6,1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0,0</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-6,3</w:t>
            </w: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Kvalificēti strādnieki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3,5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2,8</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0,6</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-0,3</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0,3</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7,6</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ind w:left="142"/>
              <w:rPr>
                <w:rFonts w:eastAsia="Arial Unicode MS"/>
                <w:sz w:val="18"/>
                <w:szCs w:val="20"/>
              </w:rPr>
            </w:pPr>
            <w:r w:rsidRPr="001922B3">
              <w:rPr>
                <w:sz w:val="18"/>
                <w:szCs w:val="20"/>
                <w:lang w:eastAsia="lv-LV"/>
              </w:rPr>
              <w:t>Iekārtu un mašīnu operatori</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sz w:val="18"/>
                <w:szCs w:val="20"/>
              </w:rPr>
            </w:pPr>
            <w:r w:rsidRPr="001922B3">
              <w:rPr>
                <w:sz w:val="18"/>
                <w:szCs w:val="20"/>
              </w:rPr>
              <w:t>-0,5</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1,3</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0,2</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0,4</w:t>
            </w:r>
          </w:p>
        </w:tc>
        <w:tc>
          <w:tcPr>
            <w:tcW w:w="338" w:type="pct"/>
          </w:tcPr>
          <w:p w:rsidR="0077399B" w:rsidRPr="001922B3" w:rsidRDefault="0077399B" w:rsidP="00CA709A">
            <w:pPr>
              <w:tabs>
                <w:tab w:val="decimal" w:pos="218"/>
              </w:tabs>
              <w:spacing w:before="40" w:after="40" w:line="240" w:lineRule="auto"/>
              <w:rPr>
                <w:sz w:val="18"/>
                <w:szCs w:val="20"/>
              </w:rPr>
            </w:pPr>
            <w:r w:rsidRPr="001922B3">
              <w:rPr>
                <w:sz w:val="18"/>
                <w:szCs w:val="20"/>
              </w:rPr>
              <w:t>-0,5</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sz w:val="18"/>
                <w:szCs w:val="20"/>
              </w:rPr>
            </w:pPr>
            <w:r w:rsidRPr="001922B3">
              <w:rPr>
                <w:sz w:val="18"/>
                <w:szCs w:val="20"/>
              </w:rPr>
              <w:t>-0,1</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1,1</w:t>
            </w:r>
          </w:p>
        </w:tc>
      </w:tr>
      <w:tr w:rsidR="0077399B" w:rsidRPr="001922B3" w:rsidTr="00D90219">
        <w:tc>
          <w:tcPr>
            <w:tcW w:w="1958" w:type="pct"/>
            <w:tcBorders>
              <w:right w:val="single" w:sz="4" w:space="0" w:color="8064A2" w:themeColor="accent4"/>
            </w:tcBorders>
          </w:tcPr>
          <w:p w:rsidR="0077399B" w:rsidRPr="001922B3" w:rsidRDefault="0077399B" w:rsidP="00CA709A">
            <w:pPr>
              <w:spacing w:before="40" w:after="40" w:line="240" w:lineRule="auto"/>
              <w:rPr>
                <w:b/>
                <w:sz w:val="18"/>
                <w:szCs w:val="20"/>
                <w:lang w:eastAsia="lv-LV"/>
              </w:rPr>
            </w:pPr>
            <w:r w:rsidRPr="001922B3">
              <w:rPr>
                <w:b/>
                <w:sz w:val="18"/>
                <w:szCs w:val="20"/>
                <w:lang w:eastAsia="lv-LV"/>
              </w:rPr>
              <w:t>Zemas kvalifikācijas profesijas</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-1,0</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-1,2</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-0,1</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-0,7</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-0,8</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-0,8</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-3,0</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-2,2</w:t>
            </w:r>
          </w:p>
        </w:tc>
        <w:tc>
          <w:tcPr>
            <w:tcW w:w="338" w:type="pct"/>
            <w:tcBorders>
              <w:top w:val="nil"/>
              <w:left w:val="single" w:sz="4" w:space="0" w:color="8064A2" w:themeColor="accent4"/>
              <w:bottom w:val="nil"/>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-9,9</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958" w:type="pct"/>
            <w:tcBorders>
              <w:right w:val="single" w:sz="4" w:space="0" w:color="8064A2" w:themeColor="accent4"/>
            </w:tcBorders>
          </w:tcPr>
          <w:p w:rsidR="0077399B" w:rsidRPr="001922B3" w:rsidRDefault="0077399B" w:rsidP="00CA709A">
            <w:pPr>
              <w:spacing w:before="40" w:after="40" w:line="240" w:lineRule="auto"/>
              <w:rPr>
                <w:rFonts w:eastAsia="Arial Unicode MS"/>
                <w:b/>
                <w:sz w:val="18"/>
                <w:szCs w:val="20"/>
              </w:rPr>
            </w:pPr>
            <w:r w:rsidRPr="001922B3">
              <w:rPr>
                <w:rFonts w:eastAsia="Arial Unicode MS"/>
                <w:b/>
                <w:sz w:val="18"/>
                <w:szCs w:val="20"/>
              </w:rPr>
              <w:t>Kopā</w:t>
            </w:r>
          </w:p>
        </w:tc>
        <w:tc>
          <w:tcPr>
            <w:tcW w:w="338" w:type="pct"/>
            <w:tcBorders>
              <w:top w:val="nil"/>
              <w:left w:val="single" w:sz="4" w:space="0" w:color="8064A2" w:themeColor="accent4"/>
              <w:bottom w:val="single" w:sz="8"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-4,6</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15,2</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3,2</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7,6</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6,1</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3,9</w:t>
            </w:r>
          </w:p>
        </w:tc>
        <w:tc>
          <w:tcPr>
            <w:tcW w:w="338" w:type="pct"/>
          </w:tcPr>
          <w:p w:rsidR="0077399B" w:rsidRPr="001922B3" w:rsidRDefault="0077399B" w:rsidP="00CA709A">
            <w:pPr>
              <w:tabs>
                <w:tab w:val="decimal" w:pos="218"/>
              </w:tabs>
              <w:spacing w:before="40" w:after="40" w:line="240" w:lineRule="auto"/>
              <w:rPr>
                <w:b/>
                <w:sz w:val="18"/>
                <w:szCs w:val="20"/>
              </w:rPr>
            </w:pPr>
            <w:r w:rsidRPr="001922B3">
              <w:rPr>
                <w:b/>
                <w:sz w:val="18"/>
                <w:szCs w:val="20"/>
              </w:rPr>
              <w:t>-1,2</w:t>
            </w:r>
          </w:p>
        </w:tc>
        <w:tc>
          <w:tcPr>
            <w:tcW w:w="338" w:type="pct"/>
            <w:tcBorders>
              <w:right w:val="single" w:sz="4"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19,3</w:t>
            </w:r>
          </w:p>
        </w:tc>
        <w:tc>
          <w:tcPr>
            <w:tcW w:w="338" w:type="pct"/>
            <w:tcBorders>
              <w:top w:val="nil"/>
              <w:left w:val="single" w:sz="4" w:space="0" w:color="8064A2" w:themeColor="accent4"/>
              <w:bottom w:val="single" w:sz="8" w:space="0" w:color="8064A2" w:themeColor="accent4"/>
            </w:tcBorders>
          </w:tcPr>
          <w:p w:rsidR="0077399B" w:rsidRPr="001922B3" w:rsidRDefault="0077399B" w:rsidP="00CA709A">
            <w:pPr>
              <w:tabs>
                <w:tab w:val="decimal" w:pos="218"/>
              </w:tabs>
              <w:spacing w:before="40" w:after="40" w:line="240" w:lineRule="auto"/>
              <w:rPr>
                <w:b/>
                <w:sz w:val="18"/>
                <w:szCs w:val="20"/>
              </w:rPr>
            </w:pPr>
            <w:r w:rsidRPr="001922B3">
              <w:rPr>
                <w:b/>
                <w:sz w:val="18"/>
                <w:szCs w:val="20"/>
              </w:rPr>
              <w:t>49,7</w:t>
            </w:r>
          </w:p>
        </w:tc>
      </w:tr>
    </w:tbl>
    <w:p w:rsidR="0077399B" w:rsidRDefault="0077399B" w:rsidP="0077399B">
      <w:pPr>
        <w:spacing w:after="0" w:line="240" w:lineRule="auto"/>
        <w:jc w:val="right"/>
        <w:rPr>
          <w:sz w:val="26"/>
          <w:szCs w:val="26"/>
        </w:rPr>
      </w:pPr>
    </w:p>
    <w:p w:rsidR="0077399B" w:rsidRPr="00CD7B6E" w:rsidRDefault="0077399B" w:rsidP="0077399B">
      <w:pPr>
        <w:spacing w:after="0" w:line="240" w:lineRule="auto"/>
        <w:jc w:val="right"/>
        <w:rPr>
          <w:sz w:val="26"/>
          <w:szCs w:val="26"/>
        </w:rPr>
      </w:pPr>
      <w:r w:rsidRPr="00CD7B6E">
        <w:rPr>
          <w:sz w:val="26"/>
          <w:szCs w:val="26"/>
        </w:rPr>
        <w:t>3.11. tabula</w:t>
      </w:r>
    </w:p>
    <w:p w:rsidR="0077399B" w:rsidRPr="001922B3" w:rsidRDefault="0077399B" w:rsidP="0077399B">
      <w:pPr>
        <w:spacing w:after="0" w:line="240" w:lineRule="auto"/>
        <w:mirrorIndents/>
        <w:jc w:val="center"/>
        <w:rPr>
          <w:b/>
          <w:sz w:val="26"/>
          <w:szCs w:val="26"/>
        </w:rPr>
      </w:pPr>
      <w:r w:rsidRPr="001922B3">
        <w:rPr>
          <w:b/>
          <w:sz w:val="26"/>
          <w:szCs w:val="26"/>
        </w:rPr>
        <w:t xml:space="preserve">Nodarbināto skaita izmaiņas tautsaimniecības nozarēs </w:t>
      </w:r>
      <w:r w:rsidRPr="001922B3">
        <w:rPr>
          <w:b/>
          <w:sz w:val="26"/>
          <w:szCs w:val="26"/>
        </w:rPr>
        <w:br/>
        <w:t>sadalījumā pa profesiju grupām</w:t>
      </w:r>
    </w:p>
    <w:p w:rsidR="0077399B" w:rsidRDefault="0077399B" w:rsidP="0077399B">
      <w:pPr>
        <w:spacing w:after="0" w:line="240" w:lineRule="auto"/>
        <w:mirrorIndents/>
        <w:jc w:val="center"/>
        <w:rPr>
          <w:szCs w:val="26"/>
        </w:rPr>
      </w:pPr>
      <w:r w:rsidRPr="001922B3">
        <w:rPr>
          <w:b/>
          <w:szCs w:val="26"/>
          <w:u w:val="single"/>
        </w:rPr>
        <w:t>2030.gads</w:t>
      </w:r>
      <w:r w:rsidRPr="001922B3">
        <w:rPr>
          <w:szCs w:val="26"/>
        </w:rPr>
        <w:t xml:space="preserve"> salīdzinājumā ar 2012.gadu, tūkstošos</w:t>
      </w:r>
    </w:p>
    <w:p w:rsidR="009838F9" w:rsidRPr="009838F9" w:rsidRDefault="009838F9" w:rsidP="0077399B">
      <w:pPr>
        <w:spacing w:after="0" w:line="240" w:lineRule="auto"/>
        <w:mirrorIndents/>
        <w:jc w:val="center"/>
        <w:rPr>
          <w:sz w:val="8"/>
          <w:szCs w:val="26"/>
        </w:rPr>
      </w:pPr>
    </w:p>
    <w:tbl>
      <w:tblPr>
        <w:tblStyle w:val="MediumList1-Accent4"/>
        <w:tblW w:w="5000" w:type="pct"/>
        <w:tblLayout w:type="fixed"/>
        <w:tblLook w:val="0400" w:firstRow="0" w:lastRow="0" w:firstColumn="0" w:lastColumn="0" w:noHBand="0" w:noVBand="1"/>
      </w:tblPr>
      <w:tblGrid>
        <w:gridCol w:w="3205"/>
        <w:gridCol w:w="658"/>
        <w:gridCol w:w="658"/>
        <w:gridCol w:w="658"/>
        <w:gridCol w:w="713"/>
        <w:gridCol w:w="697"/>
        <w:gridCol w:w="658"/>
        <w:gridCol w:w="658"/>
        <w:gridCol w:w="658"/>
        <w:gridCol w:w="724"/>
      </w:tblGrid>
      <w:tr w:rsidR="0077399B" w:rsidRPr="001922B3" w:rsidTr="00D90219">
        <w:trPr>
          <w:cnfStyle w:val="000000100000" w:firstRow="0" w:lastRow="0" w:firstColumn="0" w:lastColumn="0" w:oddVBand="0" w:evenVBand="0" w:oddHBand="1" w:evenHBand="0" w:firstRowFirstColumn="0" w:firstRowLastColumn="0" w:lastRowFirstColumn="0" w:lastRowLastColumn="0"/>
          <w:trHeight w:val="1417"/>
        </w:trPr>
        <w:tc>
          <w:tcPr>
            <w:tcW w:w="1726" w:type="pct"/>
            <w:tcBorders>
              <w:top w:val="single" w:sz="8" w:space="0" w:color="8064A2" w:themeColor="accent4"/>
              <w:bottom w:val="single" w:sz="4" w:space="0" w:color="8064A2" w:themeColor="accent4"/>
              <w:right w:val="single" w:sz="4" w:space="0" w:color="8064A2" w:themeColor="accent4"/>
            </w:tcBorders>
            <w:textDirection w:val="btLr"/>
            <w:vAlign w:val="center"/>
          </w:tcPr>
          <w:p w:rsidR="0077399B" w:rsidRPr="001922B3" w:rsidRDefault="0077399B" w:rsidP="009838F9">
            <w:pPr>
              <w:spacing w:before="40" w:after="40" w:line="240" w:lineRule="auto"/>
              <w:ind w:left="57"/>
              <w:jc w:val="center"/>
              <w:rPr>
                <w:rFonts w:eastAsia="Arial Unicode MS"/>
                <w:sz w:val="18"/>
                <w:szCs w:val="18"/>
              </w:rPr>
            </w:pPr>
          </w:p>
        </w:tc>
        <w:tc>
          <w:tcPr>
            <w:tcW w:w="354" w:type="pct"/>
            <w:tcBorders>
              <w:top w:val="single" w:sz="8" w:space="0" w:color="8064A2" w:themeColor="accent4"/>
              <w:left w:val="single" w:sz="4"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Lauksaimniecība</w:t>
            </w:r>
          </w:p>
        </w:tc>
        <w:tc>
          <w:tcPr>
            <w:tcW w:w="354"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Apstrādes rūpniecība</w:t>
            </w:r>
          </w:p>
        </w:tc>
        <w:tc>
          <w:tcPr>
            <w:tcW w:w="354"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 xml:space="preserve">Pārējā </w:t>
            </w:r>
            <w:r w:rsidRPr="001922B3">
              <w:rPr>
                <w:sz w:val="18"/>
                <w:szCs w:val="18"/>
                <w:lang w:eastAsia="lv-LV"/>
              </w:rPr>
              <w:br/>
              <w:t>rūpniecība</w:t>
            </w:r>
          </w:p>
        </w:tc>
        <w:tc>
          <w:tcPr>
            <w:tcW w:w="384"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Būvniecība</w:t>
            </w:r>
          </w:p>
        </w:tc>
        <w:tc>
          <w:tcPr>
            <w:tcW w:w="375"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Tirdzniecība</w:t>
            </w:r>
          </w:p>
        </w:tc>
        <w:tc>
          <w:tcPr>
            <w:tcW w:w="354"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Transports</w:t>
            </w:r>
          </w:p>
        </w:tc>
        <w:tc>
          <w:tcPr>
            <w:tcW w:w="354" w:type="pct"/>
            <w:tcBorders>
              <w:top w:val="single" w:sz="8"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Sabiedriskie pakalpojumi</w:t>
            </w:r>
          </w:p>
        </w:tc>
        <w:tc>
          <w:tcPr>
            <w:tcW w:w="354" w:type="pct"/>
            <w:tcBorders>
              <w:top w:val="single" w:sz="8" w:space="0" w:color="8064A2" w:themeColor="accent4"/>
              <w:bottom w:val="single" w:sz="4" w:space="0" w:color="8064A2" w:themeColor="accent4"/>
              <w:right w:val="single" w:sz="4" w:space="0" w:color="8064A2" w:themeColor="accent4"/>
            </w:tcBorders>
            <w:textDirection w:val="btLr"/>
            <w:vAlign w:val="center"/>
          </w:tcPr>
          <w:p w:rsidR="0077399B" w:rsidRPr="001922B3" w:rsidRDefault="0077399B" w:rsidP="009838F9">
            <w:pPr>
              <w:spacing w:before="40" w:after="40" w:line="240" w:lineRule="auto"/>
              <w:jc w:val="center"/>
              <w:rPr>
                <w:rFonts w:eastAsia="Arial Unicode MS"/>
                <w:bCs/>
                <w:sz w:val="18"/>
                <w:szCs w:val="18"/>
              </w:rPr>
            </w:pPr>
            <w:r w:rsidRPr="001922B3">
              <w:rPr>
                <w:sz w:val="18"/>
                <w:szCs w:val="18"/>
                <w:lang w:eastAsia="lv-LV"/>
              </w:rPr>
              <w:t xml:space="preserve">Citi </w:t>
            </w:r>
            <w:proofErr w:type="spellStart"/>
            <w:r w:rsidRPr="001922B3">
              <w:rPr>
                <w:sz w:val="18"/>
                <w:szCs w:val="18"/>
                <w:lang w:eastAsia="lv-LV"/>
              </w:rPr>
              <w:t>komerc-pakalpojumi</w:t>
            </w:r>
            <w:proofErr w:type="spellEnd"/>
          </w:p>
        </w:tc>
        <w:tc>
          <w:tcPr>
            <w:tcW w:w="390" w:type="pct"/>
            <w:tcBorders>
              <w:top w:val="single" w:sz="8" w:space="0" w:color="8064A2" w:themeColor="accent4"/>
              <w:left w:val="single" w:sz="4" w:space="0" w:color="8064A2" w:themeColor="accent4"/>
              <w:bottom w:val="single" w:sz="4" w:space="0" w:color="8064A2" w:themeColor="accent4"/>
            </w:tcBorders>
            <w:textDirection w:val="btLr"/>
            <w:vAlign w:val="center"/>
          </w:tcPr>
          <w:p w:rsidR="0077399B" w:rsidRPr="001922B3" w:rsidRDefault="0077399B" w:rsidP="009838F9">
            <w:pPr>
              <w:spacing w:before="40" w:after="40" w:line="240" w:lineRule="auto"/>
              <w:jc w:val="center"/>
              <w:rPr>
                <w:b/>
                <w:bCs/>
                <w:sz w:val="18"/>
                <w:szCs w:val="18"/>
              </w:rPr>
            </w:pPr>
            <w:r w:rsidRPr="001922B3">
              <w:rPr>
                <w:rFonts w:eastAsia="Arial Unicode MS"/>
                <w:b/>
                <w:bCs/>
                <w:sz w:val="18"/>
                <w:szCs w:val="18"/>
              </w:rPr>
              <w:t>Kopā</w:t>
            </w:r>
          </w:p>
        </w:tc>
      </w:tr>
      <w:tr w:rsidR="0077399B" w:rsidRPr="001922B3" w:rsidTr="00D90219">
        <w:tc>
          <w:tcPr>
            <w:tcW w:w="1726" w:type="pct"/>
            <w:tcBorders>
              <w:top w:val="single" w:sz="4" w:space="0" w:color="8064A2" w:themeColor="accent4"/>
              <w:right w:val="single" w:sz="4" w:space="0" w:color="8064A2" w:themeColor="accent4"/>
            </w:tcBorders>
          </w:tcPr>
          <w:p w:rsidR="0077399B" w:rsidRPr="001922B3" w:rsidRDefault="0077399B" w:rsidP="009838F9">
            <w:pPr>
              <w:spacing w:before="40" w:after="40" w:line="240" w:lineRule="auto"/>
              <w:rPr>
                <w:b/>
                <w:sz w:val="18"/>
                <w:szCs w:val="18"/>
                <w:lang w:eastAsia="lv-LV"/>
              </w:rPr>
            </w:pPr>
            <w:r w:rsidRPr="001922B3">
              <w:rPr>
                <w:b/>
                <w:sz w:val="18"/>
                <w:szCs w:val="18"/>
                <w:lang w:eastAsia="lv-LV"/>
              </w:rPr>
              <w:t>Augstas kvalifikācijas profesijas</w:t>
            </w:r>
          </w:p>
        </w:tc>
        <w:tc>
          <w:tcPr>
            <w:tcW w:w="354" w:type="pct"/>
            <w:tcBorders>
              <w:top w:val="single" w:sz="4" w:space="0" w:color="8064A2" w:themeColor="accent4"/>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6,7</w:t>
            </w:r>
          </w:p>
        </w:tc>
        <w:tc>
          <w:tcPr>
            <w:tcW w:w="354"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23,5</w:t>
            </w:r>
          </w:p>
        </w:tc>
        <w:tc>
          <w:tcPr>
            <w:tcW w:w="354"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4,6</w:t>
            </w:r>
          </w:p>
        </w:tc>
        <w:tc>
          <w:tcPr>
            <w:tcW w:w="384"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9,8</w:t>
            </w:r>
          </w:p>
        </w:tc>
        <w:tc>
          <w:tcPr>
            <w:tcW w:w="375"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17,5</w:t>
            </w:r>
          </w:p>
        </w:tc>
        <w:tc>
          <w:tcPr>
            <w:tcW w:w="354"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9,2</w:t>
            </w:r>
          </w:p>
        </w:tc>
        <w:tc>
          <w:tcPr>
            <w:tcW w:w="354" w:type="pct"/>
            <w:tcBorders>
              <w:top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8,4</w:t>
            </w:r>
          </w:p>
        </w:tc>
        <w:tc>
          <w:tcPr>
            <w:tcW w:w="354" w:type="pct"/>
            <w:tcBorders>
              <w:top w:val="single" w:sz="4" w:space="0" w:color="8064A2" w:themeColor="accent4"/>
              <w:right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34,8</w:t>
            </w:r>
          </w:p>
        </w:tc>
        <w:tc>
          <w:tcPr>
            <w:tcW w:w="390" w:type="pct"/>
            <w:tcBorders>
              <w:top w:val="single" w:sz="4" w:space="0" w:color="8064A2" w:themeColor="accent4"/>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114,3</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rPr>
                <w:sz w:val="18"/>
                <w:szCs w:val="18"/>
                <w:lang w:eastAsia="lv-LV"/>
              </w:rPr>
            </w:pPr>
            <w:r w:rsidRPr="001922B3">
              <w:rPr>
                <w:sz w:val="18"/>
                <w:szCs w:val="18"/>
                <w:lang w:eastAsia="lv-LV"/>
              </w:rPr>
              <w:t>tai skaitā:</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84" w:type="pct"/>
          </w:tcPr>
          <w:p w:rsidR="0077399B" w:rsidRPr="001922B3" w:rsidRDefault="0077399B" w:rsidP="009838F9">
            <w:pPr>
              <w:tabs>
                <w:tab w:val="decimal" w:pos="218"/>
              </w:tabs>
              <w:spacing w:before="40" w:after="40" w:line="240" w:lineRule="auto"/>
              <w:rPr>
                <w:sz w:val="18"/>
                <w:szCs w:val="20"/>
              </w:rPr>
            </w:pPr>
          </w:p>
        </w:tc>
        <w:tc>
          <w:tcPr>
            <w:tcW w:w="375"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Vadītāji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1,0</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3,1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0,2</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2,6</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4,3</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0,7</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1,7</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14,7</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Vecākie speciālisti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2,9</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10,5</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1,6</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4,3</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6,0</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1,8</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3,3</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19,7</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50,0</w:t>
            </w: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Speciālisti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2,8</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9,9</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2,8</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2,9</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7,2</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6,2</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4,4</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13,4</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49,6</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rPr>
                <w:b/>
                <w:sz w:val="18"/>
                <w:szCs w:val="18"/>
                <w:lang w:eastAsia="lv-LV"/>
              </w:rPr>
            </w:pPr>
            <w:r w:rsidRPr="001922B3">
              <w:rPr>
                <w:b/>
                <w:sz w:val="18"/>
                <w:szCs w:val="18"/>
                <w:lang w:eastAsia="lv-LV"/>
              </w:rPr>
              <w:t>Vidējas kvalifikācijas profesijas</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-10,9</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5,8</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-0,3</w:t>
            </w:r>
          </w:p>
        </w:tc>
        <w:tc>
          <w:tcPr>
            <w:tcW w:w="38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2,0</w:t>
            </w:r>
          </w:p>
        </w:tc>
        <w:tc>
          <w:tcPr>
            <w:tcW w:w="375"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-4,4</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0,0</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0,1</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1,5</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-6,3</w:t>
            </w: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rPr>
                <w:sz w:val="18"/>
                <w:szCs w:val="18"/>
                <w:lang w:eastAsia="lv-LV"/>
              </w:rPr>
            </w:pPr>
            <w:r w:rsidRPr="001922B3">
              <w:rPr>
                <w:sz w:val="18"/>
                <w:szCs w:val="18"/>
                <w:lang w:eastAsia="lv-LV"/>
              </w:rPr>
              <w:t>tai skaitā:</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84" w:type="pct"/>
          </w:tcPr>
          <w:p w:rsidR="0077399B" w:rsidRPr="001922B3" w:rsidRDefault="0077399B" w:rsidP="009838F9">
            <w:pPr>
              <w:tabs>
                <w:tab w:val="decimal" w:pos="218"/>
              </w:tabs>
              <w:spacing w:before="40" w:after="40" w:line="240" w:lineRule="auto"/>
              <w:rPr>
                <w:sz w:val="18"/>
                <w:szCs w:val="20"/>
              </w:rPr>
            </w:pPr>
          </w:p>
        </w:tc>
        <w:tc>
          <w:tcPr>
            <w:tcW w:w="375"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Pr>
          <w:p w:rsidR="0077399B" w:rsidRPr="001922B3" w:rsidRDefault="0077399B" w:rsidP="009838F9">
            <w:pPr>
              <w:tabs>
                <w:tab w:val="decimal" w:pos="218"/>
              </w:tabs>
              <w:spacing w:before="40" w:after="40" w:line="240" w:lineRule="auto"/>
              <w:rPr>
                <w:sz w:val="18"/>
                <w:szCs w:val="20"/>
              </w:rPr>
            </w:pP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Iestāžu kalpotāji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0,2</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-0,2</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-1,9</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-1,2</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-3,5</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-7,5</w:t>
            </w: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Pakalpojumu darbinieki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0,5</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0,8</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-3,7</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0,8</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3,1</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5,7</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7,4</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Kvalificēti lauksaimniecības darbinieki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-11,7</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0,0</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0,0</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0,0</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0,0</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-0,2</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-0,3</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-12,2</w:t>
            </w: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Kvalificēti strādnieki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0,4</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3,8</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0,2</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2,1</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1,2</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0,3</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-0,6</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7,3</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ind w:left="142"/>
              <w:rPr>
                <w:rFonts w:eastAsia="Arial Unicode MS"/>
                <w:sz w:val="18"/>
                <w:szCs w:val="18"/>
              </w:rPr>
            </w:pPr>
            <w:r w:rsidRPr="001922B3">
              <w:rPr>
                <w:sz w:val="18"/>
                <w:szCs w:val="18"/>
                <w:lang w:eastAsia="lv-LV"/>
              </w:rPr>
              <w:t>Iekārtu un mašīnu operatori</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sz w:val="18"/>
                <w:szCs w:val="20"/>
              </w:rPr>
            </w:pPr>
            <w:r w:rsidRPr="001922B3">
              <w:rPr>
                <w:sz w:val="18"/>
                <w:szCs w:val="20"/>
              </w:rPr>
              <w:t>-0,4</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-0,3</w:t>
            </w:r>
          </w:p>
        </w:tc>
        <w:tc>
          <w:tcPr>
            <w:tcW w:w="384" w:type="pct"/>
          </w:tcPr>
          <w:p w:rsidR="0077399B" w:rsidRPr="001922B3" w:rsidRDefault="0077399B" w:rsidP="009838F9">
            <w:pPr>
              <w:tabs>
                <w:tab w:val="decimal" w:pos="218"/>
              </w:tabs>
              <w:spacing w:before="40" w:after="40" w:line="240" w:lineRule="auto"/>
              <w:rPr>
                <w:sz w:val="18"/>
                <w:szCs w:val="20"/>
              </w:rPr>
            </w:pPr>
            <w:r w:rsidRPr="001922B3">
              <w:rPr>
                <w:sz w:val="18"/>
                <w:szCs w:val="20"/>
              </w:rPr>
              <w:t>-0,4</w:t>
            </w:r>
          </w:p>
        </w:tc>
        <w:tc>
          <w:tcPr>
            <w:tcW w:w="375"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0,1</w:t>
            </w:r>
          </w:p>
        </w:tc>
        <w:tc>
          <w:tcPr>
            <w:tcW w:w="354" w:type="pct"/>
          </w:tcPr>
          <w:p w:rsidR="0077399B" w:rsidRPr="001922B3" w:rsidRDefault="0077399B" w:rsidP="009838F9">
            <w:pPr>
              <w:tabs>
                <w:tab w:val="decimal" w:pos="218"/>
              </w:tabs>
              <w:spacing w:before="40" w:after="40" w:line="240" w:lineRule="auto"/>
              <w:rPr>
                <w:sz w:val="18"/>
                <w:szCs w:val="20"/>
              </w:rPr>
            </w:pPr>
            <w:r w:rsidRPr="001922B3">
              <w:rPr>
                <w:sz w:val="18"/>
                <w:szCs w:val="20"/>
              </w:rPr>
              <w:t>-1,0</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sz w:val="18"/>
                <w:szCs w:val="20"/>
              </w:rPr>
            </w:pPr>
            <w:r w:rsidRPr="001922B3">
              <w:rPr>
                <w:sz w:val="18"/>
                <w:szCs w:val="20"/>
              </w:rPr>
              <w:t>-0,4</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-1,3</w:t>
            </w:r>
          </w:p>
        </w:tc>
      </w:tr>
      <w:tr w:rsidR="0077399B" w:rsidRPr="001922B3" w:rsidTr="00D90219">
        <w:tc>
          <w:tcPr>
            <w:tcW w:w="1726" w:type="pct"/>
            <w:tcBorders>
              <w:right w:val="single" w:sz="4" w:space="0" w:color="8064A2" w:themeColor="accent4"/>
            </w:tcBorders>
          </w:tcPr>
          <w:p w:rsidR="0077399B" w:rsidRPr="001922B3" w:rsidRDefault="0077399B" w:rsidP="009838F9">
            <w:pPr>
              <w:spacing w:before="40" w:after="40" w:line="240" w:lineRule="auto"/>
              <w:rPr>
                <w:b/>
                <w:sz w:val="18"/>
                <w:szCs w:val="18"/>
                <w:lang w:eastAsia="lv-LV"/>
              </w:rPr>
            </w:pPr>
            <w:r w:rsidRPr="001922B3">
              <w:rPr>
                <w:b/>
                <w:sz w:val="18"/>
                <w:szCs w:val="18"/>
                <w:lang w:eastAsia="lv-LV"/>
              </w:rPr>
              <w:t>Zemas kvalifikācijas profesijas</w:t>
            </w:r>
          </w:p>
        </w:tc>
        <w:tc>
          <w:tcPr>
            <w:tcW w:w="354"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-1,2</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-5,0</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-0,6</w:t>
            </w:r>
          </w:p>
        </w:tc>
        <w:tc>
          <w:tcPr>
            <w:tcW w:w="38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-2,7</w:t>
            </w:r>
          </w:p>
        </w:tc>
        <w:tc>
          <w:tcPr>
            <w:tcW w:w="375"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-2,2</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-2,2</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-6,3</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-7,8</w:t>
            </w:r>
          </w:p>
        </w:tc>
        <w:tc>
          <w:tcPr>
            <w:tcW w:w="390" w:type="pct"/>
            <w:tcBorders>
              <w:top w:val="nil"/>
              <w:left w:val="single" w:sz="4" w:space="0" w:color="8064A2" w:themeColor="accent4"/>
              <w:bottom w:val="nil"/>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-28,0</w:t>
            </w:r>
          </w:p>
        </w:tc>
      </w:tr>
      <w:tr w:rsidR="0077399B" w:rsidRPr="001922B3" w:rsidTr="00D90219">
        <w:trPr>
          <w:cnfStyle w:val="000000100000" w:firstRow="0" w:lastRow="0" w:firstColumn="0" w:lastColumn="0" w:oddVBand="0" w:evenVBand="0" w:oddHBand="1" w:evenHBand="0" w:firstRowFirstColumn="0" w:firstRowLastColumn="0" w:lastRowFirstColumn="0" w:lastRowLastColumn="0"/>
        </w:trPr>
        <w:tc>
          <w:tcPr>
            <w:tcW w:w="1726" w:type="pct"/>
            <w:tcBorders>
              <w:right w:val="single" w:sz="4" w:space="0" w:color="8064A2" w:themeColor="accent4"/>
            </w:tcBorders>
          </w:tcPr>
          <w:p w:rsidR="0077399B" w:rsidRPr="001922B3" w:rsidRDefault="0077399B" w:rsidP="009838F9">
            <w:pPr>
              <w:spacing w:before="40" w:after="40" w:line="240" w:lineRule="auto"/>
              <w:rPr>
                <w:rFonts w:eastAsia="Arial Unicode MS"/>
                <w:b/>
                <w:sz w:val="18"/>
                <w:szCs w:val="18"/>
              </w:rPr>
            </w:pPr>
            <w:r w:rsidRPr="001922B3">
              <w:rPr>
                <w:rFonts w:eastAsia="Arial Unicode MS"/>
                <w:b/>
                <w:sz w:val="18"/>
                <w:szCs w:val="18"/>
              </w:rPr>
              <w:t>Kopā</w:t>
            </w:r>
          </w:p>
        </w:tc>
        <w:tc>
          <w:tcPr>
            <w:tcW w:w="354" w:type="pct"/>
            <w:tcBorders>
              <w:top w:val="nil"/>
              <w:left w:val="single" w:sz="4" w:space="0" w:color="8064A2" w:themeColor="accent4"/>
              <w:bottom w:val="single" w:sz="8"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-5,4</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24,2</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3,7</w:t>
            </w:r>
          </w:p>
        </w:tc>
        <w:tc>
          <w:tcPr>
            <w:tcW w:w="38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9,0</w:t>
            </w:r>
          </w:p>
        </w:tc>
        <w:tc>
          <w:tcPr>
            <w:tcW w:w="375"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11,0</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7,0</w:t>
            </w:r>
          </w:p>
        </w:tc>
        <w:tc>
          <w:tcPr>
            <w:tcW w:w="354" w:type="pct"/>
          </w:tcPr>
          <w:p w:rsidR="0077399B" w:rsidRPr="001922B3" w:rsidRDefault="0077399B" w:rsidP="009838F9">
            <w:pPr>
              <w:tabs>
                <w:tab w:val="decimal" w:pos="218"/>
              </w:tabs>
              <w:spacing w:before="40" w:after="40" w:line="240" w:lineRule="auto"/>
              <w:rPr>
                <w:b/>
                <w:sz w:val="18"/>
                <w:szCs w:val="20"/>
              </w:rPr>
            </w:pPr>
            <w:r w:rsidRPr="001922B3">
              <w:rPr>
                <w:b/>
                <w:sz w:val="18"/>
                <w:szCs w:val="20"/>
              </w:rPr>
              <w:t>2,1</w:t>
            </w:r>
          </w:p>
        </w:tc>
        <w:tc>
          <w:tcPr>
            <w:tcW w:w="354" w:type="pct"/>
            <w:tcBorders>
              <w:right w:val="single" w:sz="4"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28,5</w:t>
            </w:r>
          </w:p>
        </w:tc>
        <w:tc>
          <w:tcPr>
            <w:tcW w:w="390" w:type="pct"/>
            <w:tcBorders>
              <w:top w:val="nil"/>
              <w:left w:val="single" w:sz="4" w:space="0" w:color="8064A2" w:themeColor="accent4"/>
              <w:bottom w:val="single" w:sz="8" w:space="0" w:color="8064A2" w:themeColor="accent4"/>
            </w:tcBorders>
          </w:tcPr>
          <w:p w:rsidR="0077399B" w:rsidRPr="001922B3" w:rsidRDefault="0077399B" w:rsidP="009838F9">
            <w:pPr>
              <w:tabs>
                <w:tab w:val="decimal" w:pos="218"/>
              </w:tabs>
              <w:spacing w:before="40" w:after="40" w:line="240" w:lineRule="auto"/>
              <w:rPr>
                <w:b/>
                <w:sz w:val="18"/>
                <w:szCs w:val="20"/>
              </w:rPr>
            </w:pPr>
            <w:r w:rsidRPr="001922B3">
              <w:rPr>
                <w:b/>
                <w:sz w:val="18"/>
                <w:szCs w:val="20"/>
              </w:rPr>
              <w:t>80,1</w:t>
            </w:r>
          </w:p>
        </w:tc>
      </w:tr>
    </w:tbl>
    <w:p w:rsidR="0077399B" w:rsidRPr="00521971" w:rsidRDefault="0077399B" w:rsidP="0077399B">
      <w:pPr>
        <w:spacing w:after="0" w:line="240" w:lineRule="auto"/>
        <w:jc w:val="both"/>
        <w:rPr>
          <w:szCs w:val="26"/>
        </w:rPr>
      </w:pPr>
    </w:p>
    <w:p w:rsidR="00CB0535" w:rsidRPr="00521971" w:rsidRDefault="00CB0535" w:rsidP="0077399B">
      <w:pPr>
        <w:spacing w:after="0" w:line="240" w:lineRule="auto"/>
        <w:jc w:val="both"/>
        <w:rPr>
          <w:szCs w:val="26"/>
        </w:rPr>
      </w:pPr>
    </w:p>
    <w:p w:rsidR="00CB0535" w:rsidRDefault="00CB0535" w:rsidP="0090109A">
      <w:pPr>
        <w:pStyle w:val="Heading2"/>
        <w:pBdr>
          <w:bottom w:val="thinThickSmallGap" w:sz="18" w:space="1" w:color="8064A2" w:themeColor="accent4"/>
        </w:pBdr>
        <w:spacing w:before="0" w:after="0" w:line="240" w:lineRule="auto"/>
        <w:rPr>
          <w:szCs w:val="28"/>
        </w:rPr>
      </w:pPr>
      <w:bookmarkStart w:id="57" w:name="_Toc357503122"/>
      <w:r>
        <w:rPr>
          <w:szCs w:val="28"/>
        </w:rPr>
        <w:lastRenderedPageBreak/>
        <w:t>3.4. Darbaspēka piedāvājuma prognozes un pietiekamība</w:t>
      </w:r>
      <w:bookmarkEnd w:id="57"/>
    </w:p>
    <w:p w:rsidR="00CB0535" w:rsidRDefault="00CB0535" w:rsidP="0077399B">
      <w:pPr>
        <w:spacing w:after="0" w:line="240" w:lineRule="auto"/>
        <w:jc w:val="both"/>
        <w:rPr>
          <w:sz w:val="26"/>
          <w:szCs w:val="26"/>
        </w:rPr>
      </w:pPr>
    </w:p>
    <w:p w:rsidR="00CB0535" w:rsidRPr="00C12DD4" w:rsidRDefault="00CB0535" w:rsidP="002C6B26">
      <w:pPr>
        <w:spacing w:after="40" w:line="240" w:lineRule="auto"/>
        <w:ind w:firstLine="567"/>
        <w:jc w:val="both"/>
        <w:rPr>
          <w:color w:val="000000" w:themeColor="text1"/>
          <w:spacing w:val="-4"/>
          <w:sz w:val="26"/>
          <w:szCs w:val="26"/>
        </w:rPr>
      </w:pPr>
      <w:r w:rsidRPr="00C12DD4">
        <w:rPr>
          <w:color w:val="000000" w:themeColor="text1"/>
          <w:spacing w:val="-4"/>
          <w:sz w:val="26"/>
          <w:szCs w:val="26"/>
        </w:rPr>
        <w:t xml:space="preserve">Nākamajos gados situācija darba tirgū turpinās pakāpeniski uzlaboties, tomēr vidējā termiņā saglabāsies jūtamas disproporcijas starp darbaspēka pieprasījumu un piedāvājumu. No vienas puses to noteiks neatbilstības starp darba tirgū pieprasītām un piedāvātām prasmēm, no otras </w:t>
      </w:r>
      <w:r w:rsidR="00521971" w:rsidRPr="00C12DD4">
        <w:rPr>
          <w:color w:val="000000" w:themeColor="text1"/>
          <w:spacing w:val="-4"/>
          <w:sz w:val="26"/>
          <w:szCs w:val="26"/>
        </w:rPr>
        <w:t>–</w:t>
      </w:r>
      <w:r w:rsidRPr="00C12DD4">
        <w:rPr>
          <w:color w:val="000000" w:themeColor="text1"/>
          <w:spacing w:val="-4"/>
          <w:sz w:val="26"/>
          <w:szCs w:val="26"/>
        </w:rPr>
        <w:t xml:space="preserve"> darbaspēka pieprasījuma un piedāvājuma reģionālās disproporcijas.</w:t>
      </w:r>
    </w:p>
    <w:p w:rsidR="00CB0535" w:rsidRPr="0090109A" w:rsidRDefault="00CB0535" w:rsidP="002C6B26">
      <w:pPr>
        <w:spacing w:after="40" w:line="240" w:lineRule="auto"/>
        <w:ind w:firstLine="567"/>
        <w:jc w:val="both"/>
        <w:rPr>
          <w:color w:val="000000" w:themeColor="text1"/>
          <w:sz w:val="26"/>
          <w:szCs w:val="26"/>
        </w:rPr>
      </w:pPr>
      <w:r w:rsidRPr="0090109A">
        <w:rPr>
          <w:color w:val="000000" w:themeColor="text1"/>
          <w:sz w:val="26"/>
          <w:szCs w:val="26"/>
        </w:rPr>
        <w:t>Pat pie relatīvi augsta atalgojuma līmeņa, atsevišķās profesijās jau pašlaik ir grūtības apmierināt pieaugošo pieprasījum</w:t>
      </w:r>
      <w:r w:rsidR="002C6B26">
        <w:rPr>
          <w:color w:val="000000" w:themeColor="text1"/>
          <w:sz w:val="26"/>
          <w:szCs w:val="26"/>
        </w:rPr>
        <w:t>u</w:t>
      </w:r>
      <w:r w:rsidRPr="0090109A">
        <w:rPr>
          <w:color w:val="000000" w:themeColor="text1"/>
          <w:sz w:val="26"/>
          <w:szCs w:val="26"/>
        </w:rPr>
        <w:t xml:space="preserve"> ar atbilstošas kvalifikācijas darbaspēku (piemēram – IT nozarē, programmētāji). Vienlaikus ir jomas, kur pastāv ievērojams darbaspēka pārpalikums (dažādu pakalpojumu jomu, pārvaldes/administrācijas darbinieki, personāla speciālisti, tirdzniecības aģenti </w:t>
      </w:r>
      <w:proofErr w:type="spellStart"/>
      <w:r w:rsidRPr="0090109A">
        <w:rPr>
          <w:color w:val="000000" w:themeColor="text1"/>
          <w:sz w:val="26"/>
          <w:szCs w:val="26"/>
        </w:rPr>
        <w:t>u.tml</w:t>
      </w:r>
      <w:proofErr w:type="spellEnd"/>
      <w:r w:rsidRPr="0090109A">
        <w:rPr>
          <w:color w:val="000000" w:themeColor="text1"/>
          <w:sz w:val="26"/>
          <w:szCs w:val="26"/>
        </w:rPr>
        <w:t>.), tād</w:t>
      </w:r>
      <w:r w:rsidR="00C903BE">
        <w:rPr>
          <w:color w:val="000000" w:themeColor="text1"/>
          <w:sz w:val="26"/>
          <w:szCs w:val="26"/>
        </w:rPr>
        <w:t>ē</w:t>
      </w:r>
      <w:r w:rsidRPr="0090109A">
        <w:rPr>
          <w:color w:val="000000" w:themeColor="text1"/>
          <w:sz w:val="26"/>
          <w:szCs w:val="26"/>
        </w:rPr>
        <w:t>jādi iedzīvotāji ar atbilstošo izglītību un pieredzi spiesti strādāt zemāka līmeņa darbos.</w:t>
      </w:r>
    </w:p>
    <w:p w:rsidR="00CB0535" w:rsidRPr="0090109A" w:rsidRDefault="00CB0535" w:rsidP="002C6B26">
      <w:pPr>
        <w:spacing w:after="40" w:line="240" w:lineRule="auto"/>
        <w:ind w:firstLine="567"/>
        <w:jc w:val="both"/>
        <w:rPr>
          <w:color w:val="000000" w:themeColor="text1"/>
          <w:sz w:val="26"/>
          <w:szCs w:val="26"/>
        </w:rPr>
      </w:pPr>
      <w:r w:rsidRPr="0090109A">
        <w:rPr>
          <w:color w:val="000000" w:themeColor="text1"/>
          <w:sz w:val="26"/>
          <w:szCs w:val="26"/>
        </w:rPr>
        <w:t>Ņemot vērā piedāvājuma puses (</w:t>
      </w:r>
      <w:proofErr w:type="spellStart"/>
      <w:r w:rsidRPr="0090109A">
        <w:rPr>
          <w:color w:val="000000" w:themeColor="text1"/>
          <w:sz w:val="26"/>
          <w:szCs w:val="26"/>
        </w:rPr>
        <w:t>t.sk</w:t>
      </w:r>
      <w:proofErr w:type="spellEnd"/>
      <w:r w:rsidRPr="0090109A">
        <w:rPr>
          <w:color w:val="000000" w:themeColor="text1"/>
          <w:sz w:val="26"/>
          <w:szCs w:val="26"/>
        </w:rPr>
        <w:t>. formālās izglītības un profesionālās apmācības sistēmu) salīdzinoši lēno spēju pielāgoties mainīgiem apstākļiem, prasmju pieprasījuma un piedāvājuma disproporcijas nākamajos 2-3 gados pastiprināsies. Jūtama darba tirgus līdzsvarošanās varētu būt sagaidāma tikai pēc 4-5 gadiem.</w:t>
      </w:r>
    </w:p>
    <w:p w:rsidR="00CB0535" w:rsidRPr="0090109A" w:rsidRDefault="00CB0535" w:rsidP="002C6B26">
      <w:pPr>
        <w:spacing w:after="40" w:line="240" w:lineRule="auto"/>
        <w:ind w:firstLine="567"/>
        <w:jc w:val="both"/>
        <w:rPr>
          <w:color w:val="000000" w:themeColor="text1"/>
          <w:sz w:val="26"/>
          <w:szCs w:val="26"/>
        </w:rPr>
      </w:pPr>
      <w:r w:rsidRPr="0090109A">
        <w:rPr>
          <w:color w:val="000000" w:themeColor="text1"/>
          <w:sz w:val="26"/>
          <w:szCs w:val="26"/>
        </w:rPr>
        <w:t>Pastāv arī izteiktas darbaspēka un darba vietu reģionālā sadalījuma atšķirības. Pēdējo desmit gadu laikā augstākais bezdarba līmenis valstī saglabājies Latgales reģionā, savukārt jauno darbavietu koncentrācija pārsvarā veidojusies Rīgas reģionā un Rīgas pilsētā. Ņemot vērā laiku un resursus, kas nepieciešams, lai notiktu vispārīga reģionālā izlīdzināša</w:t>
      </w:r>
      <w:r w:rsidR="0090109A">
        <w:rPr>
          <w:color w:val="000000" w:themeColor="text1"/>
          <w:sz w:val="26"/>
          <w:szCs w:val="26"/>
        </w:rPr>
        <w:t>nās, darba tirgus reģionālās atš</w:t>
      </w:r>
      <w:r w:rsidRPr="0090109A">
        <w:rPr>
          <w:color w:val="000000" w:themeColor="text1"/>
          <w:sz w:val="26"/>
          <w:szCs w:val="26"/>
        </w:rPr>
        <w:t>ķirības visdrīzāk sagl</w:t>
      </w:r>
      <w:r w:rsidR="00C12DD4">
        <w:rPr>
          <w:color w:val="000000" w:themeColor="text1"/>
          <w:sz w:val="26"/>
          <w:szCs w:val="26"/>
        </w:rPr>
        <w:t>abāsies kā ilgtermiņa problēma.</w:t>
      </w:r>
    </w:p>
    <w:p w:rsidR="00CB0535" w:rsidRPr="0090109A" w:rsidRDefault="00CB0535" w:rsidP="00C12DD4">
      <w:pPr>
        <w:spacing w:after="0" w:line="240" w:lineRule="auto"/>
        <w:jc w:val="right"/>
        <w:rPr>
          <w:color w:val="000000" w:themeColor="text1"/>
          <w:sz w:val="26"/>
          <w:szCs w:val="26"/>
        </w:rPr>
      </w:pPr>
      <w:r w:rsidRPr="0090109A">
        <w:rPr>
          <w:color w:val="000000" w:themeColor="text1"/>
          <w:sz w:val="26"/>
          <w:szCs w:val="26"/>
        </w:rPr>
        <w:t>3.</w:t>
      </w:r>
      <w:r w:rsidR="00F6144C">
        <w:rPr>
          <w:color w:val="000000" w:themeColor="text1"/>
          <w:sz w:val="26"/>
          <w:szCs w:val="26"/>
        </w:rPr>
        <w:t>9</w:t>
      </w:r>
      <w:r w:rsidRPr="0090109A">
        <w:rPr>
          <w:color w:val="000000" w:themeColor="text1"/>
          <w:sz w:val="26"/>
          <w:szCs w:val="26"/>
        </w:rPr>
        <w:t>. attēls</w:t>
      </w:r>
    </w:p>
    <w:p w:rsidR="0090109A" w:rsidRDefault="00CB0535" w:rsidP="00CB0535">
      <w:pPr>
        <w:spacing w:after="60" w:line="240" w:lineRule="auto"/>
        <w:jc w:val="center"/>
        <w:rPr>
          <w:b/>
          <w:color w:val="000000" w:themeColor="text1"/>
          <w:sz w:val="26"/>
          <w:szCs w:val="26"/>
        </w:rPr>
      </w:pPr>
      <w:r w:rsidRPr="0090109A">
        <w:rPr>
          <w:b/>
          <w:color w:val="000000" w:themeColor="text1"/>
          <w:sz w:val="26"/>
          <w:szCs w:val="26"/>
        </w:rPr>
        <w:t>Darbaspēka pieprasījums un piedāvājums</w:t>
      </w:r>
    </w:p>
    <w:p w:rsidR="00CB0535" w:rsidRPr="0090109A" w:rsidRDefault="0090109A" w:rsidP="00CB0535">
      <w:pPr>
        <w:spacing w:after="60" w:line="240" w:lineRule="auto"/>
        <w:jc w:val="center"/>
        <w:rPr>
          <w:color w:val="000000" w:themeColor="text1"/>
        </w:rPr>
      </w:pPr>
      <w:r>
        <w:rPr>
          <w:color w:val="000000" w:themeColor="text1"/>
        </w:rPr>
        <w:t>(</w:t>
      </w:r>
      <w:proofErr w:type="spellStart"/>
      <w:r w:rsidR="00CB0535" w:rsidRPr="0090109A">
        <w:rPr>
          <w:color w:val="000000" w:themeColor="text1"/>
        </w:rPr>
        <w:t>tūkst</w:t>
      </w:r>
      <w:proofErr w:type="spellEnd"/>
      <w:r w:rsidR="00CB0535" w:rsidRPr="0090109A">
        <w:rPr>
          <w:color w:val="000000" w:themeColor="text1"/>
        </w:rPr>
        <w:t>. cilvēku</w:t>
      </w:r>
      <w:r>
        <w:rPr>
          <w:color w:val="000000" w:themeColor="text1"/>
        </w:rPr>
        <w:t>)</w:t>
      </w:r>
    </w:p>
    <w:p w:rsidR="00CB0535" w:rsidRPr="0090109A" w:rsidRDefault="00CB0535" w:rsidP="00CB0535">
      <w:pPr>
        <w:spacing w:after="60" w:line="240" w:lineRule="auto"/>
        <w:jc w:val="center"/>
        <w:rPr>
          <w:color w:val="000000" w:themeColor="text1"/>
        </w:rPr>
      </w:pPr>
      <w:r w:rsidRPr="0090109A">
        <w:rPr>
          <w:noProof/>
          <w:color w:val="000000" w:themeColor="text1"/>
          <w:sz w:val="28"/>
          <w:szCs w:val="28"/>
          <w:lang w:eastAsia="lv-LV"/>
        </w:rPr>
        <w:drawing>
          <wp:inline distT="0" distB="0" distL="0" distR="0" wp14:anchorId="787EB59F" wp14:editId="300A87C7">
            <wp:extent cx="3600450" cy="2070100"/>
            <wp:effectExtent l="0" t="0" r="0" b="635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B0535" w:rsidRPr="0090109A" w:rsidRDefault="00CB0535" w:rsidP="00CB0535">
      <w:pPr>
        <w:spacing w:after="40" w:line="240" w:lineRule="auto"/>
        <w:ind w:firstLine="426"/>
        <w:jc w:val="both"/>
        <w:rPr>
          <w:color w:val="000000" w:themeColor="text1"/>
          <w:sz w:val="8"/>
          <w:szCs w:val="8"/>
        </w:rPr>
      </w:pPr>
    </w:p>
    <w:p w:rsidR="00CB0535" w:rsidRPr="0090109A" w:rsidRDefault="00CB0535" w:rsidP="005777D9">
      <w:pPr>
        <w:spacing w:after="0" w:line="240" w:lineRule="auto"/>
        <w:ind w:firstLine="425"/>
        <w:jc w:val="both"/>
        <w:rPr>
          <w:color w:val="000000" w:themeColor="text1"/>
          <w:sz w:val="26"/>
          <w:szCs w:val="26"/>
        </w:rPr>
      </w:pPr>
      <w:r w:rsidRPr="0090109A">
        <w:rPr>
          <w:color w:val="000000" w:themeColor="text1"/>
          <w:sz w:val="26"/>
          <w:szCs w:val="26"/>
        </w:rPr>
        <w:t xml:space="preserve">Kopumā 2020.gadā darbaspēka piedāvājums pārsniegs pieprasījumu par aptuveni 6%, savukārt līdz 2030.gadam starpība varētu samazināties par aptuveni 1 procentpunktu – līdz aptuveni 5%. Lai arī atbilstošais darbaspēka pārpalikums varētu būt pietiekams, lai nodrošinātu normālu darba tirgus un tautsaimniecības funkcionēšanu kopumā, tomēr </w:t>
      </w:r>
      <w:r w:rsidR="00C17198">
        <w:rPr>
          <w:color w:val="000000" w:themeColor="text1"/>
          <w:sz w:val="26"/>
          <w:szCs w:val="26"/>
        </w:rPr>
        <w:t>atsevišķos</w:t>
      </w:r>
      <w:r w:rsidRPr="0090109A">
        <w:rPr>
          <w:color w:val="000000" w:themeColor="text1"/>
          <w:sz w:val="26"/>
          <w:szCs w:val="26"/>
        </w:rPr>
        <w:t xml:space="preserve"> darba tirgus segmentos (reģionos, atsevišķās profesijās) disproporcijas varētu būt pietiekami nozīmīgas, lai kavētu noteiktu tautsaimniecības sektoru izaugsmi.</w:t>
      </w:r>
    </w:p>
    <w:p w:rsidR="00CB0535" w:rsidRPr="0090109A" w:rsidRDefault="00CB0535" w:rsidP="005777D9">
      <w:pPr>
        <w:spacing w:after="0" w:line="240" w:lineRule="auto"/>
        <w:ind w:firstLine="425"/>
        <w:jc w:val="both"/>
        <w:rPr>
          <w:color w:val="000000" w:themeColor="text1"/>
          <w:sz w:val="26"/>
          <w:szCs w:val="26"/>
        </w:rPr>
      </w:pPr>
      <w:r w:rsidRPr="0090109A">
        <w:rPr>
          <w:color w:val="000000" w:themeColor="text1"/>
          <w:sz w:val="26"/>
          <w:szCs w:val="26"/>
        </w:rPr>
        <w:t xml:space="preserve">Sagaidāms, ka nodarbināto skaits līdz 2020.gadam mērķa scenārija gadījumā varētu palielināties par gandrīz 6% jeb aptuveni 50 </w:t>
      </w:r>
      <w:proofErr w:type="spellStart"/>
      <w:r w:rsidRPr="0090109A">
        <w:rPr>
          <w:color w:val="000000" w:themeColor="text1"/>
          <w:sz w:val="26"/>
          <w:szCs w:val="26"/>
        </w:rPr>
        <w:t>tūkst</w:t>
      </w:r>
      <w:proofErr w:type="spellEnd"/>
      <w:r w:rsidRPr="0090109A">
        <w:rPr>
          <w:color w:val="000000" w:themeColor="text1"/>
          <w:sz w:val="26"/>
          <w:szCs w:val="26"/>
        </w:rPr>
        <w:t xml:space="preserve">., kas absorbēs daļu pašreizējo </w:t>
      </w:r>
      <w:r w:rsidRPr="0090109A">
        <w:rPr>
          <w:color w:val="000000" w:themeColor="text1"/>
          <w:sz w:val="26"/>
          <w:szCs w:val="26"/>
        </w:rPr>
        <w:lastRenderedPageBreak/>
        <w:t>darba meklētāju. Tomēr daļa iedzīvotāju, kas nespēs pielāgoties jauniem apstākļiem, visdrīzāk izies no darba tirgus (galvenokārt pensi</w:t>
      </w:r>
      <w:r w:rsidR="002C6B26">
        <w:rPr>
          <w:color w:val="000000" w:themeColor="text1"/>
          <w:sz w:val="26"/>
          <w:szCs w:val="26"/>
        </w:rPr>
        <w:t xml:space="preserve">onēsies, </w:t>
      </w:r>
      <w:proofErr w:type="spellStart"/>
      <w:r w:rsidR="002C6B26">
        <w:rPr>
          <w:color w:val="000000" w:themeColor="text1"/>
          <w:sz w:val="26"/>
          <w:szCs w:val="26"/>
        </w:rPr>
        <w:t>t.sk</w:t>
      </w:r>
      <w:proofErr w:type="spellEnd"/>
      <w:r w:rsidR="002C6B26">
        <w:rPr>
          <w:color w:val="000000" w:themeColor="text1"/>
          <w:sz w:val="26"/>
          <w:szCs w:val="26"/>
        </w:rPr>
        <w:t>.,</w:t>
      </w:r>
      <w:r w:rsidR="005777D9">
        <w:rPr>
          <w:color w:val="000000" w:themeColor="text1"/>
          <w:sz w:val="26"/>
          <w:szCs w:val="26"/>
        </w:rPr>
        <w:t xml:space="preserve"> priekšlaicīgi).</w:t>
      </w:r>
    </w:p>
    <w:p w:rsidR="00CB0535" w:rsidRPr="0090109A" w:rsidRDefault="00CB0535" w:rsidP="005777D9">
      <w:pPr>
        <w:spacing w:after="0" w:line="240" w:lineRule="auto"/>
        <w:ind w:firstLine="425"/>
        <w:jc w:val="both"/>
        <w:rPr>
          <w:color w:val="000000" w:themeColor="text1"/>
          <w:sz w:val="26"/>
          <w:szCs w:val="26"/>
        </w:rPr>
      </w:pPr>
      <w:r w:rsidRPr="0090109A">
        <w:rPr>
          <w:color w:val="000000" w:themeColor="text1"/>
          <w:sz w:val="26"/>
          <w:szCs w:val="26"/>
        </w:rPr>
        <w:t>Sagaidāms, ka b</w:t>
      </w:r>
      <w:r w:rsidR="005777D9">
        <w:rPr>
          <w:color w:val="000000" w:themeColor="text1"/>
          <w:sz w:val="26"/>
          <w:szCs w:val="26"/>
        </w:rPr>
        <w:t>ezdarba radītāji līdz pat 2016.</w:t>
      </w:r>
      <w:r w:rsidRPr="0090109A">
        <w:rPr>
          <w:color w:val="000000" w:themeColor="text1"/>
          <w:sz w:val="26"/>
          <w:szCs w:val="26"/>
        </w:rPr>
        <w:t>gadam noturēsies salīdzinoši augstā līmenī (bezdarba līmeni</w:t>
      </w:r>
      <w:r w:rsidR="005777D9">
        <w:rPr>
          <w:color w:val="000000" w:themeColor="text1"/>
          <w:sz w:val="26"/>
          <w:szCs w:val="26"/>
        </w:rPr>
        <w:t>s zem 10% varētu noslīdēt 2014.</w:t>
      </w:r>
      <w:r w:rsidRPr="0090109A">
        <w:rPr>
          <w:color w:val="000000" w:themeColor="text1"/>
          <w:sz w:val="26"/>
          <w:szCs w:val="26"/>
        </w:rPr>
        <w:t>gadā). Tas kopumā neveicinās iedzīvotāju līdzdalības darba tirgū straujāku pieaugumu. Tāpēc demogrāfijas negatīvo tendenču ietekmē darbaspēka piedāvājums vidējā termiņā turpinās samazināties.</w:t>
      </w:r>
    </w:p>
    <w:p w:rsidR="00CB0535" w:rsidRPr="00C12DD4" w:rsidRDefault="00CB0535" w:rsidP="005777D9">
      <w:pPr>
        <w:spacing w:after="0" w:line="240" w:lineRule="auto"/>
        <w:ind w:firstLine="425"/>
        <w:jc w:val="both"/>
        <w:rPr>
          <w:color w:val="000000" w:themeColor="text1"/>
          <w:spacing w:val="-4"/>
          <w:sz w:val="26"/>
          <w:szCs w:val="26"/>
        </w:rPr>
      </w:pPr>
      <w:r w:rsidRPr="00C12DD4">
        <w:rPr>
          <w:color w:val="000000" w:themeColor="text1"/>
          <w:spacing w:val="-4"/>
          <w:sz w:val="26"/>
          <w:szCs w:val="26"/>
        </w:rPr>
        <w:t>Tomēr ilgtermiņa perspektīvā raugoties, pieaugot darba tirgus pievilcībai, darbaspēka piedāvājums atsāks pieaugt. Tas līdzsvaros situāciju darba tirgū un nākamā desmitgadē bezdarba radītāji saglabāsies tuvu dabīgam bezdarba līmenim (5-6% robežās).</w:t>
      </w:r>
    </w:p>
    <w:p w:rsidR="00CB0535" w:rsidRDefault="00CB0535" w:rsidP="00C12DD4">
      <w:pPr>
        <w:tabs>
          <w:tab w:val="left" w:pos="6045"/>
          <w:tab w:val="right" w:pos="9071"/>
        </w:tabs>
        <w:spacing w:before="120" w:after="120" w:line="240" w:lineRule="auto"/>
        <w:jc w:val="right"/>
        <w:rPr>
          <w:sz w:val="26"/>
          <w:szCs w:val="26"/>
        </w:rPr>
      </w:pPr>
      <w:r>
        <w:rPr>
          <w:sz w:val="26"/>
          <w:szCs w:val="26"/>
        </w:rPr>
        <w:t>3.12. tabula</w:t>
      </w:r>
    </w:p>
    <w:p w:rsidR="00CB0535" w:rsidRDefault="00CB0535" w:rsidP="00CB0535">
      <w:pPr>
        <w:spacing w:after="60" w:line="240" w:lineRule="auto"/>
        <w:jc w:val="center"/>
        <w:rPr>
          <w:b/>
          <w:sz w:val="26"/>
          <w:szCs w:val="26"/>
        </w:rPr>
      </w:pPr>
      <w:r>
        <w:rPr>
          <w:b/>
          <w:sz w:val="26"/>
          <w:szCs w:val="26"/>
        </w:rPr>
        <w:t>Nodarbinātības un bezdarba galveno rādītāju prognozes</w:t>
      </w:r>
    </w:p>
    <w:tbl>
      <w:tblPr>
        <w:tblStyle w:val="MediumList1-Accent4"/>
        <w:tblW w:w="4898" w:type="pct"/>
        <w:tblLook w:val="0400" w:firstRow="0" w:lastRow="0" w:firstColumn="0" w:lastColumn="0" w:noHBand="0" w:noVBand="1"/>
      </w:tblPr>
      <w:tblGrid>
        <w:gridCol w:w="5954"/>
        <w:gridCol w:w="1135"/>
        <w:gridCol w:w="1012"/>
        <w:gridCol w:w="997"/>
      </w:tblGrid>
      <w:tr w:rsidR="00CB0535" w:rsidTr="0090109A">
        <w:trPr>
          <w:cnfStyle w:val="000000100000" w:firstRow="0" w:lastRow="0" w:firstColumn="0" w:lastColumn="0" w:oddVBand="0" w:evenVBand="0" w:oddHBand="1" w:evenHBand="0" w:firstRowFirstColumn="0" w:firstRowLastColumn="0" w:lastRowFirstColumn="0" w:lastRowLastColumn="0"/>
          <w:trHeight w:val="20"/>
        </w:trPr>
        <w:tc>
          <w:tcPr>
            <w:tcW w:w="3272" w:type="pct"/>
            <w:tcBorders>
              <w:top w:val="single" w:sz="8" w:space="0" w:color="8064A2" w:themeColor="accent4"/>
              <w:bottom w:val="single" w:sz="8" w:space="0" w:color="8064A2" w:themeColor="accent4"/>
            </w:tcBorders>
            <w:noWrap/>
          </w:tcPr>
          <w:p w:rsidR="00CB0535" w:rsidRDefault="00CB0535">
            <w:pPr>
              <w:spacing w:before="40" w:after="40" w:line="240" w:lineRule="auto"/>
              <w:jc w:val="both"/>
              <w:rPr>
                <w:rFonts w:eastAsia="Arial Unicode MS"/>
                <w:sz w:val="20"/>
                <w:szCs w:val="20"/>
              </w:rPr>
            </w:pPr>
          </w:p>
        </w:tc>
        <w:tc>
          <w:tcPr>
            <w:tcW w:w="624" w:type="pct"/>
            <w:tcBorders>
              <w:top w:val="single" w:sz="8" w:space="0" w:color="8064A2" w:themeColor="accent4"/>
              <w:bottom w:val="single" w:sz="8" w:space="0" w:color="8064A2" w:themeColor="accent4"/>
            </w:tcBorders>
            <w:hideMark/>
          </w:tcPr>
          <w:p w:rsidR="00CB0535" w:rsidRDefault="00CB0535">
            <w:pPr>
              <w:spacing w:before="40" w:after="40" w:line="240" w:lineRule="auto"/>
              <w:jc w:val="center"/>
              <w:rPr>
                <w:b/>
                <w:sz w:val="20"/>
                <w:szCs w:val="20"/>
              </w:rPr>
            </w:pPr>
            <w:r>
              <w:rPr>
                <w:b/>
                <w:sz w:val="20"/>
                <w:szCs w:val="20"/>
              </w:rPr>
              <w:t>2012</w:t>
            </w:r>
          </w:p>
        </w:tc>
        <w:tc>
          <w:tcPr>
            <w:tcW w:w="556" w:type="pct"/>
            <w:tcBorders>
              <w:top w:val="single" w:sz="8" w:space="0" w:color="8064A2" w:themeColor="accent4"/>
              <w:bottom w:val="single" w:sz="8" w:space="0" w:color="8064A2" w:themeColor="accent4"/>
            </w:tcBorders>
            <w:hideMark/>
          </w:tcPr>
          <w:p w:rsidR="00CB0535" w:rsidRDefault="00CB0535">
            <w:pPr>
              <w:spacing w:before="40" w:after="40" w:line="240" w:lineRule="auto"/>
              <w:jc w:val="center"/>
              <w:rPr>
                <w:b/>
                <w:sz w:val="20"/>
                <w:szCs w:val="20"/>
              </w:rPr>
            </w:pPr>
            <w:r>
              <w:rPr>
                <w:b/>
                <w:sz w:val="20"/>
                <w:szCs w:val="20"/>
              </w:rPr>
              <w:t>2020</w:t>
            </w:r>
          </w:p>
        </w:tc>
        <w:tc>
          <w:tcPr>
            <w:tcW w:w="548" w:type="pct"/>
            <w:tcBorders>
              <w:top w:val="single" w:sz="8" w:space="0" w:color="8064A2" w:themeColor="accent4"/>
              <w:bottom w:val="single" w:sz="8" w:space="0" w:color="8064A2" w:themeColor="accent4"/>
            </w:tcBorders>
            <w:hideMark/>
          </w:tcPr>
          <w:p w:rsidR="00CB0535" w:rsidRDefault="00CB0535">
            <w:pPr>
              <w:spacing w:before="40" w:after="40" w:line="240" w:lineRule="auto"/>
              <w:jc w:val="center"/>
              <w:rPr>
                <w:b/>
                <w:sz w:val="20"/>
                <w:szCs w:val="20"/>
              </w:rPr>
            </w:pPr>
            <w:r>
              <w:rPr>
                <w:b/>
                <w:sz w:val="20"/>
                <w:szCs w:val="20"/>
              </w:rPr>
              <w:t>2030</w:t>
            </w:r>
          </w:p>
        </w:tc>
      </w:tr>
      <w:tr w:rsidR="00CB0535" w:rsidTr="0090109A">
        <w:trPr>
          <w:trHeight w:val="20"/>
        </w:trPr>
        <w:tc>
          <w:tcPr>
            <w:tcW w:w="3272" w:type="pct"/>
            <w:tcBorders>
              <w:top w:val="single" w:sz="8" w:space="0" w:color="8064A2" w:themeColor="accent4"/>
            </w:tcBorders>
            <w:hideMark/>
          </w:tcPr>
          <w:p w:rsidR="00CB0535" w:rsidRDefault="00CB0535">
            <w:pPr>
              <w:spacing w:before="40" w:after="40" w:line="240" w:lineRule="auto"/>
              <w:rPr>
                <w:b/>
                <w:sz w:val="20"/>
                <w:szCs w:val="20"/>
              </w:rPr>
            </w:pPr>
            <w:r>
              <w:rPr>
                <w:b/>
                <w:sz w:val="20"/>
                <w:szCs w:val="20"/>
              </w:rPr>
              <w:t xml:space="preserve">Iedzīvotāju skaits </w:t>
            </w:r>
            <w:r>
              <w:rPr>
                <w:sz w:val="20"/>
                <w:szCs w:val="20"/>
              </w:rPr>
              <w:t>(</w:t>
            </w:r>
            <w:proofErr w:type="spellStart"/>
            <w:r>
              <w:rPr>
                <w:sz w:val="20"/>
                <w:szCs w:val="20"/>
              </w:rPr>
              <w:t>tūkst</w:t>
            </w:r>
            <w:proofErr w:type="spellEnd"/>
            <w:r>
              <w:rPr>
                <w:sz w:val="20"/>
                <w:szCs w:val="20"/>
              </w:rPr>
              <w:t>., 15-74 vecuma grupā )</w:t>
            </w:r>
          </w:p>
        </w:tc>
        <w:tc>
          <w:tcPr>
            <w:tcW w:w="624" w:type="pct"/>
            <w:tcBorders>
              <w:top w:val="single" w:sz="8" w:space="0" w:color="8064A2" w:themeColor="accent4"/>
            </w:tcBorders>
            <w:hideMark/>
          </w:tcPr>
          <w:p w:rsidR="00CB0535" w:rsidRDefault="00CB0535">
            <w:pPr>
              <w:tabs>
                <w:tab w:val="decimal" w:pos="531"/>
              </w:tabs>
              <w:spacing w:before="40" w:after="40" w:line="240" w:lineRule="auto"/>
              <w:rPr>
                <w:sz w:val="20"/>
                <w:szCs w:val="20"/>
              </w:rPr>
            </w:pPr>
            <w:r>
              <w:rPr>
                <w:sz w:val="20"/>
                <w:szCs w:val="20"/>
              </w:rPr>
              <w:t>2041,8</w:t>
            </w:r>
          </w:p>
        </w:tc>
        <w:tc>
          <w:tcPr>
            <w:tcW w:w="556" w:type="pct"/>
            <w:tcBorders>
              <w:top w:val="single" w:sz="8" w:space="0" w:color="8064A2" w:themeColor="accent4"/>
            </w:tcBorders>
            <w:hideMark/>
          </w:tcPr>
          <w:p w:rsidR="00CB0535" w:rsidRDefault="00CB0535">
            <w:pPr>
              <w:tabs>
                <w:tab w:val="decimal" w:pos="472"/>
              </w:tabs>
              <w:spacing w:before="40" w:after="40" w:line="240" w:lineRule="auto"/>
              <w:rPr>
                <w:sz w:val="20"/>
                <w:szCs w:val="20"/>
              </w:rPr>
            </w:pPr>
            <w:r>
              <w:rPr>
                <w:sz w:val="20"/>
                <w:szCs w:val="20"/>
              </w:rPr>
              <w:t>1931,5</w:t>
            </w:r>
          </w:p>
        </w:tc>
        <w:tc>
          <w:tcPr>
            <w:tcW w:w="548" w:type="pct"/>
            <w:tcBorders>
              <w:top w:val="single" w:sz="8" w:space="0" w:color="8064A2" w:themeColor="accent4"/>
            </w:tcBorders>
            <w:hideMark/>
          </w:tcPr>
          <w:p w:rsidR="00CB0535" w:rsidRDefault="00CB0535">
            <w:pPr>
              <w:tabs>
                <w:tab w:val="decimal" w:pos="452"/>
              </w:tabs>
              <w:spacing w:before="40" w:after="40" w:line="240" w:lineRule="auto"/>
              <w:rPr>
                <w:sz w:val="20"/>
                <w:szCs w:val="20"/>
              </w:rPr>
            </w:pPr>
            <w:r>
              <w:rPr>
                <w:sz w:val="20"/>
                <w:szCs w:val="20"/>
              </w:rPr>
              <w:t>1891,8</w:t>
            </w:r>
          </w:p>
        </w:tc>
      </w:tr>
      <w:tr w:rsidR="00CB0535" w:rsidTr="0090109A">
        <w:trPr>
          <w:cnfStyle w:val="000000100000" w:firstRow="0" w:lastRow="0" w:firstColumn="0" w:lastColumn="0" w:oddVBand="0" w:evenVBand="0" w:oddHBand="1" w:evenHBand="0" w:firstRowFirstColumn="0" w:firstRowLastColumn="0" w:lastRowFirstColumn="0" w:lastRowLastColumn="0"/>
          <w:trHeight w:val="20"/>
        </w:trPr>
        <w:tc>
          <w:tcPr>
            <w:tcW w:w="3272" w:type="pct"/>
            <w:hideMark/>
          </w:tcPr>
          <w:p w:rsidR="00CB0535" w:rsidRDefault="00CB0535">
            <w:pPr>
              <w:spacing w:before="40" w:after="40" w:line="240" w:lineRule="auto"/>
              <w:rPr>
                <w:sz w:val="20"/>
                <w:szCs w:val="20"/>
              </w:rPr>
            </w:pPr>
            <w:r>
              <w:rPr>
                <w:b/>
                <w:sz w:val="20"/>
                <w:szCs w:val="20"/>
              </w:rPr>
              <w:t xml:space="preserve">Nodarbināto iedzīvotāju skaits </w:t>
            </w:r>
            <w:r>
              <w:rPr>
                <w:sz w:val="20"/>
                <w:szCs w:val="20"/>
              </w:rPr>
              <w:t>(</w:t>
            </w:r>
            <w:proofErr w:type="spellStart"/>
            <w:r>
              <w:rPr>
                <w:sz w:val="20"/>
                <w:szCs w:val="20"/>
              </w:rPr>
              <w:t>tūkst</w:t>
            </w:r>
            <w:proofErr w:type="spellEnd"/>
            <w:r>
              <w:rPr>
                <w:sz w:val="20"/>
                <w:szCs w:val="20"/>
              </w:rPr>
              <w:t>., 15-74 vecuma grupā )</w:t>
            </w:r>
          </w:p>
        </w:tc>
        <w:tc>
          <w:tcPr>
            <w:tcW w:w="624" w:type="pct"/>
            <w:hideMark/>
          </w:tcPr>
          <w:p w:rsidR="00CB0535" w:rsidRDefault="00CB0535">
            <w:pPr>
              <w:tabs>
                <w:tab w:val="decimal" w:pos="531"/>
              </w:tabs>
              <w:spacing w:before="40" w:after="40" w:line="240" w:lineRule="auto"/>
              <w:rPr>
                <w:sz w:val="20"/>
                <w:szCs w:val="20"/>
              </w:rPr>
            </w:pPr>
            <w:r>
              <w:rPr>
                <w:sz w:val="20"/>
                <w:szCs w:val="20"/>
              </w:rPr>
              <w:t>885,6</w:t>
            </w:r>
          </w:p>
        </w:tc>
        <w:tc>
          <w:tcPr>
            <w:tcW w:w="556" w:type="pct"/>
            <w:hideMark/>
          </w:tcPr>
          <w:p w:rsidR="00CB0535" w:rsidRDefault="00CB0535">
            <w:pPr>
              <w:tabs>
                <w:tab w:val="decimal" w:pos="472"/>
              </w:tabs>
              <w:spacing w:before="40" w:after="40" w:line="240" w:lineRule="auto"/>
              <w:rPr>
                <w:sz w:val="20"/>
                <w:szCs w:val="20"/>
              </w:rPr>
            </w:pPr>
            <w:r>
              <w:rPr>
                <w:sz w:val="20"/>
                <w:szCs w:val="20"/>
              </w:rPr>
              <w:t>935,3</w:t>
            </w:r>
          </w:p>
        </w:tc>
        <w:tc>
          <w:tcPr>
            <w:tcW w:w="548" w:type="pct"/>
            <w:hideMark/>
          </w:tcPr>
          <w:p w:rsidR="00CB0535" w:rsidRDefault="00CB0535">
            <w:pPr>
              <w:tabs>
                <w:tab w:val="decimal" w:pos="452"/>
              </w:tabs>
              <w:spacing w:before="40" w:after="40" w:line="240" w:lineRule="auto"/>
              <w:rPr>
                <w:sz w:val="20"/>
                <w:szCs w:val="20"/>
              </w:rPr>
            </w:pPr>
            <w:r>
              <w:rPr>
                <w:sz w:val="20"/>
                <w:szCs w:val="20"/>
              </w:rPr>
              <w:t>965,7</w:t>
            </w:r>
          </w:p>
        </w:tc>
      </w:tr>
      <w:tr w:rsidR="00CB0535" w:rsidTr="0090109A">
        <w:trPr>
          <w:trHeight w:val="20"/>
        </w:trPr>
        <w:tc>
          <w:tcPr>
            <w:tcW w:w="3272" w:type="pct"/>
            <w:hideMark/>
          </w:tcPr>
          <w:p w:rsidR="00CB0535" w:rsidRDefault="00CB0535">
            <w:pPr>
              <w:spacing w:before="40" w:after="40" w:line="240" w:lineRule="auto"/>
              <w:ind w:left="142"/>
              <w:rPr>
                <w:b/>
                <w:sz w:val="20"/>
                <w:szCs w:val="20"/>
              </w:rPr>
            </w:pPr>
            <w:r>
              <w:rPr>
                <w:b/>
                <w:sz w:val="20"/>
                <w:szCs w:val="20"/>
              </w:rPr>
              <w:t>nodarbināto iedzīvotāju skaita izmaiņas</w:t>
            </w:r>
            <w:r w:rsidRPr="00C17198">
              <w:rPr>
                <w:sz w:val="20"/>
                <w:szCs w:val="20"/>
              </w:rPr>
              <w:t xml:space="preserve"> (</w:t>
            </w:r>
            <w:proofErr w:type="spellStart"/>
            <w:r>
              <w:rPr>
                <w:sz w:val="20"/>
                <w:szCs w:val="20"/>
              </w:rPr>
              <w:t>tūkst</w:t>
            </w:r>
            <w:proofErr w:type="spellEnd"/>
            <w:r>
              <w:rPr>
                <w:sz w:val="20"/>
                <w:szCs w:val="20"/>
              </w:rPr>
              <w:t>. pret 2012. gadu)</w:t>
            </w:r>
          </w:p>
        </w:tc>
        <w:tc>
          <w:tcPr>
            <w:tcW w:w="624" w:type="pct"/>
            <w:hideMark/>
          </w:tcPr>
          <w:p w:rsidR="00CB0535" w:rsidRDefault="00C204DE">
            <w:pPr>
              <w:tabs>
                <w:tab w:val="decimal" w:pos="531"/>
              </w:tabs>
              <w:spacing w:before="40" w:after="40" w:line="240" w:lineRule="auto"/>
              <w:rPr>
                <w:sz w:val="20"/>
                <w:szCs w:val="20"/>
              </w:rPr>
            </w:pPr>
            <w:r>
              <w:rPr>
                <w:sz w:val="20"/>
                <w:szCs w:val="20"/>
              </w:rPr>
              <w:t>–</w:t>
            </w:r>
          </w:p>
        </w:tc>
        <w:tc>
          <w:tcPr>
            <w:tcW w:w="556" w:type="pct"/>
            <w:hideMark/>
          </w:tcPr>
          <w:p w:rsidR="00CB0535" w:rsidRDefault="00CB0535">
            <w:pPr>
              <w:tabs>
                <w:tab w:val="decimal" w:pos="472"/>
              </w:tabs>
              <w:spacing w:before="40" w:after="40" w:line="240" w:lineRule="auto"/>
              <w:rPr>
                <w:sz w:val="20"/>
                <w:szCs w:val="20"/>
              </w:rPr>
            </w:pPr>
            <w:r>
              <w:rPr>
                <w:sz w:val="20"/>
                <w:szCs w:val="20"/>
              </w:rPr>
              <w:t>49,7</w:t>
            </w:r>
          </w:p>
        </w:tc>
        <w:tc>
          <w:tcPr>
            <w:tcW w:w="548" w:type="pct"/>
            <w:hideMark/>
          </w:tcPr>
          <w:p w:rsidR="00CB0535" w:rsidRDefault="00CB0535">
            <w:pPr>
              <w:tabs>
                <w:tab w:val="decimal" w:pos="452"/>
              </w:tabs>
              <w:spacing w:before="40" w:after="40" w:line="240" w:lineRule="auto"/>
              <w:rPr>
                <w:sz w:val="20"/>
                <w:szCs w:val="20"/>
              </w:rPr>
            </w:pPr>
            <w:r>
              <w:rPr>
                <w:sz w:val="20"/>
                <w:szCs w:val="20"/>
              </w:rPr>
              <w:t>80,1</w:t>
            </w:r>
          </w:p>
        </w:tc>
      </w:tr>
      <w:tr w:rsidR="00CB0535" w:rsidTr="0090109A">
        <w:trPr>
          <w:cnfStyle w:val="000000100000" w:firstRow="0" w:lastRow="0" w:firstColumn="0" w:lastColumn="0" w:oddVBand="0" w:evenVBand="0" w:oddHBand="1" w:evenHBand="0" w:firstRowFirstColumn="0" w:firstRowLastColumn="0" w:lastRowFirstColumn="0" w:lastRowLastColumn="0"/>
          <w:trHeight w:val="20"/>
        </w:trPr>
        <w:tc>
          <w:tcPr>
            <w:tcW w:w="3272" w:type="pct"/>
            <w:hideMark/>
          </w:tcPr>
          <w:p w:rsidR="00CB0535" w:rsidRDefault="00CB0535" w:rsidP="00C17198">
            <w:pPr>
              <w:spacing w:before="40" w:after="40" w:line="240" w:lineRule="auto"/>
              <w:ind w:left="142"/>
              <w:rPr>
                <w:b/>
                <w:sz w:val="20"/>
                <w:szCs w:val="20"/>
              </w:rPr>
            </w:pPr>
            <w:r>
              <w:rPr>
                <w:b/>
                <w:sz w:val="20"/>
                <w:szCs w:val="20"/>
              </w:rPr>
              <w:t>nodarbināto iedzīvotāju skaita izmaiņas</w:t>
            </w:r>
            <w:r w:rsidRPr="00C17198">
              <w:rPr>
                <w:sz w:val="20"/>
                <w:szCs w:val="20"/>
              </w:rPr>
              <w:t xml:space="preserve"> (%</w:t>
            </w:r>
            <w:r>
              <w:rPr>
                <w:sz w:val="20"/>
                <w:szCs w:val="20"/>
              </w:rPr>
              <w:t xml:space="preserve"> pret 201</w:t>
            </w:r>
            <w:r w:rsidR="00C17198">
              <w:rPr>
                <w:sz w:val="20"/>
                <w:szCs w:val="20"/>
              </w:rPr>
              <w:t>2</w:t>
            </w:r>
            <w:r>
              <w:rPr>
                <w:sz w:val="20"/>
                <w:szCs w:val="20"/>
              </w:rPr>
              <w:t>. gadu)</w:t>
            </w:r>
          </w:p>
        </w:tc>
        <w:tc>
          <w:tcPr>
            <w:tcW w:w="624" w:type="pct"/>
            <w:hideMark/>
          </w:tcPr>
          <w:p w:rsidR="00CB0535" w:rsidRDefault="00C204DE">
            <w:pPr>
              <w:tabs>
                <w:tab w:val="decimal" w:pos="531"/>
              </w:tabs>
              <w:spacing w:before="40" w:after="40" w:line="240" w:lineRule="auto"/>
              <w:rPr>
                <w:sz w:val="20"/>
                <w:szCs w:val="20"/>
              </w:rPr>
            </w:pPr>
            <w:r>
              <w:rPr>
                <w:sz w:val="20"/>
                <w:szCs w:val="20"/>
              </w:rPr>
              <w:t>–</w:t>
            </w:r>
          </w:p>
        </w:tc>
        <w:tc>
          <w:tcPr>
            <w:tcW w:w="556" w:type="pct"/>
            <w:hideMark/>
          </w:tcPr>
          <w:p w:rsidR="00CB0535" w:rsidRDefault="00CB0535">
            <w:pPr>
              <w:tabs>
                <w:tab w:val="decimal" w:pos="472"/>
              </w:tabs>
              <w:spacing w:before="40" w:after="40" w:line="240" w:lineRule="auto"/>
              <w:rPr>
                <w:sz w:val="20"/>
                <w:szCs w:val="20"/>
              </w:rPr>
            </w:pPr>
            <w:r>
              <w:rPr>
                <w:sz w:val="20"/>
                <w:szCs w:val="20"/>
              </w:rPr>
              <w:t>5,6</w:t>
            </w:r>
          </w:p>
        </w:tc>
        <w:tc>
          <w:tcPr>
            <w:tcW w:w="548" w:type="pct"/>
            <w:hideMark/>
          </w:tcPr>
          <w:p w:rsidR="00CB0535" w:rsidRDefault="00CB0535">
            <w:pPr>
              <w:tabs>
                <w:tab w:val="decimal" w:pos="452"/>
              </w:tabs>
              <w:spacing w:before="40" w:after="40" w:line="240" w:lineRule="auto"/>
              <w:rPr>
                <w:sz w:val="20"/>
                <w:szCs w:val="20"/>
              </w:rPr>
            </w:pPr>
            <w:r>
              <w:rPr>
                <w:sz w:val="20"/>
                <w:szCs w:val="20"/>
              </w:rPr>
              <w:t>9,0</w:t>
            </w:r>
          </w:p>
        </w:tc>
      </w:tr>
      <w:tr w:rsidR="00CB0535" w:rsidTr="0090109A">
        <w:trPr>
          <w:trHeight w:val="20"/>
        </w:trPr>
        <w:tc>
          <w:tcPr>
            <w:tcW w:w="3272" w:type="pct"/>
            <w:hideMark/>
          </w:tcPr>
          <w:p w:rsidR="00CB0535" w:rsidRDefault="00CB0535">
            <w:pPr>
              <w:spacing w:before="40" w:after="40" w:line="240" w:lineRule="auto"/>
              <w:rPr>
                <w:sz w:val="20"/>
                <w:szCs w:val="20"/>
              </w:rPr>
            </w:pPr>
            <w:r>
              <w:rPr>
                <w:b/>
                <w:sz w:val="20"/>
                <w:szCs w:val="20"/>
              </w:rPr>
              <w:t xml:space="preserve">Ekonomiski aktīvo iedzīvotāju skaits </w:t>
            </w:r>
            <w:r>
              <w:rPr>
                <w:sz w:val="20"/>
                <w:szCs w:val="20"/>
              </w:rPr>
              <w:t>(</w:t>
            </w:r>
            <w:proofErr w:type="spellStart"/>
            <w:r>
              <w:rPr>
                <w:sz w:val="20"/>
                <w:szCs w:val="20"/>
              </w:rPr>
              <w:t>tūkst</w:t>
            </w:r>
            <w:proofErr w:type="spellEnd"/>
            <w:r>
              <w:rPr>
                <w:sz w:val="20"/>
                <w:szCs w:val="20"/>
              </w:rPr>
              <w:t>., 15-74 vecuma grupā )</w:t>
            </w:r>
          </w:p>
        </w:tc>
        <w:tc>
          <w:tcPr>
            <w:tcW w:w="624" w:type="pct"/>
            <w:hideMark/>
          </w:tcPr>
          <w:p w:rsidR="00CB0535" w:rsidRDefault="00CB0535">
            <w:pPr>
              <w:tabs>
                <w:tab w:val="decimal" w:pos="531"/>
              </w:tabs>
              <w:spacing w:before="40" w:after="40" w:line="240" w:lineRule="auto"/>
              <w:rPr>
                <w:sz w:val="20"/>
                <w:szCs w:val="20"/>
              </w:rPr>
            </w:pPr>
            <w:r>
              <w:rPr>
                <w:sz w:val="20"/>
                <w:szCs w:val="20"/>
              </w:rPr>
              <w:t>1041,1</w:t>
            </w:r>
          </w:p>
        </w:tc>
        <w:tc>
          <w:tcPr>
            <w:tcW w:w="556" w:type="pct"/>
            <w:hideMark/>
          </w:tcPr>
          <w:p w:rsidR="00CB0535" w:rsidRDefault="00CB0535">
            <w:pPr>
              <w:tabs>
                <w:tab w:val="decimal" w:pos="472"/>
              </w:tabs>
              <w:spacing w:before="40" w:after="40" w:line="240" w:lineRule="auto"/>
              <w:rPr>
                <w:sz w:val="20"/>
                <w:szCs w:val="20"/>
              </w:rPr>
            </w:pPr>
            <w:r>
              <w:rPr>
                <w:sz w:val="20"/>
                <w:szCs w:val="20"/>
              </w:rPr>
              <w:t>999,5</w:t>
            </w:r>
          </w:p>
        </w:tc>
        <w:tc>
          <w:tcPr>
            <w:tcW w:w="548" w:type="pct"/>
            <w:hideMark/>
          </w:tcPr>
          <w:p w:rsidR="00CB0535" w:rsidRDefault="00CB0535">
            <w:pPr>
              <w:tabs>
                <w:tab w:val="decimal" w:pos="452"/>
              </w:tabs>
              <w:spacing w:before="40" w:after="40" w:line="240" w:lineRule="auto"/>
              <w:rPr>
                <w:sz w:val="20"/>
                <w:szCs w:val="20"/>
              </w:rPr>
            </w:pPr>
            <w:r>
              <w:rPr>
                <w:sz w:val="20"/>
                <w:szCs w:val="20"/>
              </w:rPr>
              <w:t>1021,4</w:t>
            </w:r>
          </w:p>
        </w:tc>
      </w:tr>
      <w:tr w:rsidR="00CB0535" w:rsidTr="0090109A">
        <w:trPr>
          <w:cnfStyle w:val="000000100000" w:firstRow="0" w:lastRow="0" w:firstColumn="0" w:lastColumn="0" w:oddVBand="0" w:evenVBand="0" w:oddHBand="1" w:evenHBand="0" w:firstRowFirstColumn="0" w:firstRowLastColumn="0" w:lastRowFirstColumn="0" w:lastRowLastColumn="0"/>
          <w:trHeight w:val="20"/>
        </w:trPr>
        <w:tc>
          <w:tcPr>
            <w:tcW w:w="3272" w:type="pct"/>
            <w:hideMark/>
          </w:tcPr>
          <w:p w:rsidR="00CB0535" w:rsidRDefault="00CB0535">
            <w:pPr>
              <w:spacing w:before="40" w:after="40" w:line="240" w:lineRule="auto"/>
              <w:rPr>
                <w:b/>
                <w:sz w:val="20"/>
                <w:szCs w:val="20"/>
              </w:rPr>
            </w:pPr>
            <w:r>
              <w:rPr>
                <w:b/>
                <w:sz w:val="20"/>
                <w:szCs w:val="20"/>
              </w:rPr>
              <w:t xml:space="preserve">Darba meklētāju skaits </w:t>
            </w:r>
            <w:r>
              <w:rPr>
                <w:sz w:val="20"/>
                <w:szCs w:val="20"/>
              </w:rPr>
              <w:t>(</w:t>
            </w:r>
            <w:proofErr w:type="spellStart"/>
            <w:r>
              <w:rPr>
                <w:sz w:val="20"/>
                <w:szCs w:val="20"/>
              </w:rPr>
              <w:t>tūkst</w:t>
            </w:r>
            <w:proofErr w:type="spellEnd"/>
            <w:r>
              <w:rPr>
                <w:sz w:val="20"/>
                <w:szCs w:val="20"/>
              </w:rPr>
              <w:t>., 15-74 vecuma grupā)</w:t>
            </w:r>
          </w:p>
        </w:tc>
        <w:tc>
          <w:tcPr>
            <w:tcW w:w="624" w:type="pct"/>
            <w:hideMark/>
          </w:tcPr>
          <w:p w:rsidR="00CB0535" w:rsidRDefault="00CB0535">
            <w:pPr>
              <w:tabs>
                <w:tab w:val="decimal" w:pos="531"/>
              </w:tabs>
              <w:spacing w:before="40" w:after="40" w:line="240" w:lineRule="auto"/>
              <w:rPr>
                <w:sz w:val="20"/>
                <w:szCs w:val="20"/>
              </w:rPr>
            </w:pPr>
            <w:r>
              <w:rPr>
                <w:sz w:val="20"/>
                <w:szCs w:val="20"/>
              </w:rPr>
              <w:t>155,5</w:t>
            </w:r>
          </w:p>
        </w:tc>
        <w:tc>
          <w:tcPr>
            <w:tcW w:w="556" w:type="pct"/>
            <w:hideMark/>
          </w:tcPr>
          <w:p w:rsidR="00CB0535" w:rsidRDefault="00CB0535">
            <w:pPr>
              <w:tabs>
                <w:tab w:val="decimal" w:pos="472"/>
              </w:tabs>
              <w:spacing w:before="40" w:after="40" w:line="240" w:lineRule="auto"/>
              <w:rPr>
                <w:sz w:val="20"/>
                <w:szCs w:val="20"/>
              </w:rPr>
            </w:pPr>
            <w:r>
              <w:rPr>
                <w:sz w:val="20"/>
                <w:szCs w:val="20"/>
              </w:rPr>
              <w:t>64,2</w:t>
            </w:r>
          </w:p>
        </w:tc>
        <w:tc>
          <w:tcPr>
            <w:tcW w:w="548" w:type="pct"/>
            <w:hideMark/>
          </w:tcPr>
          <w:p w:rsidR="00CB0535" w:rsidRDefault="00CB0535">
            <w:pPr>
              <w:tabs>
                <w:tab w:val="decimal" w:pos="452"/>
              </w:tabs>
              <w:spacing w:before="40" w:after="40" w:line="240" w:lineRule="auto"/>
              <w:rPr>
                <w:sz w:val="20"/>
                <w:szCs w:val="20"/>
              </w:rPr>
            </w:pPr>
            <w:r>
              <w:rPr>
                <w:sz w:val="20"/>
                <w:szCs w:val="20"/>
              </w:rPr>
              <w:t>55,7</w:t>
            </w:r>
          </w:p>
        </w:tc>
      </w:tr>
      <w:tr w:rsidR="00CB0535" w:rsidTr="0090109A">
        <w:trPr>
          <w:trHeight w:val="20"/>
        </w:trPr>
        <w:tc>
          <w:tcPr>
            <w:tcW w:w="3272" w:type="pct"/>
            <w:hideMark/>
          </w:tcPr>
          <w:p w:rsidR="00CB0535" w:rsidRDefault="00CB0535">
            <w:pPr>
              <w:spacing w:before="40" w:after="40" w:line="240" w:lineRule="auto"/>
              <w:rPr>
                <w:sz w:val="20"/>
                <w:szCs w:val="20"/>
              </w:rPr>
            </w:pPr>
            <w:r>
              <w:rPr>
                <w:b/>
                <w:sz w:val="20"/>
                <w:szCs w:val="20"/>
              </w:rPr>
              <w:t xml:space="preserve">Nodarbinātības līmenis </w:t>
            </w:r>
            <w:r>
              <w:rPr>
                <w:sz w:val="20"/>
                <w:szCs w:val="20"/>
              </w:rPr>
              <w:t>(nodarbināto skaits pret kopējo iedzīvotāju skaitu 15-74 gadu vecumā grupā)</w:t>
            </w:r>
          </w:p>
        </w:tc>
        <w:tc>
          <w:tcPr>
            <w:tcW w:w="624" w:type="pct"/>
            <w:hideMark/>
          </w:tcPr>
          <w:p w:rsidR="00CB0535" w:rsidRDefault="00CB0535">
            <w:pPr>
              <w:tabs>
                <w:tab w:val="decimal" w:pos="531"/>
              </w:tabs>
              <w:spacing w:before="40" w:after="40" w:line="240" w:lineRule="auto"/>
              <w:rPr>
                <w:sz w:val="20"/>
                <w:szCs w:val="20"/>
              </w:rPr>
            </w:pPr>
            <w:r>
              <w:rPr>
                <w:sz w:val="20"/>
                <w:szCs w:val="20"/>
              </w:rPr>
              <w:t>56,3</w:t>
            </w:r>
          </w:p>
        </w:tc>
        <w:tc>
          <w:tcPr>
            <w:tcW w:w="556" w:type="pct"/>
            <w:hideMark/>
          </w:tcPr>
          <w:p w:rsidR="00CB0535" w:rsidRDefault="00CB0535">
            <w:pPr>
              <w:tabs>
                <w:tab w:val="decimal" w:pos="472"/>
              </w:tabs>
              <w:spacing w:before="40" w:after="40" w:line="240" w:lineRule="auto"/>
              <w:rPr>
                <w:sz w:val="20"/>
                <w:szCs w:val="20"/>
              </w:rPr>
            </w:pPr>
            <w:r>
              <w:rPr>
                <w:sz w:val="20"/>
                <w:szCs w:val="20"/>
              </w:rPr>
              <w:t>64,8</w:t>
            </w:r>
          </w:p>
        </w:tc>
        <w:tc>
          <w:tcPr>
            <w:tcW w:w="548" w:type="pct"/>
            <w:hideMark/>
          </w:tcPr>
          <w:p w:rsidR="00CB0535" w:rsidRDefault="00CB0535">
            <w:pPr>
              <w:tabs>
                <w:tab w:val="decimal" w:pos="452"/>
              </w:tabs>
              <w:spacing w:before="40" w:after="40" w:line="240" w:lineRule="auto"/>
              <w:rPr>
                <w:sz w:val="20"/>
                <w:szCs w:val="20"/>
              </w:rPr>
            </w:pPr>
            <w:r>
              <w:rPr>
                <w:sz w:val="20"/>
                <w:szCs w:val="20"/>
              </w:rPr>
              <w:t>67,1</w:t>
            </w:r>
          </w:p>
        </w:tc>
      </w:tr>
      <w:tr w:rsidR="00CB0535" w:rsidTr="0090109A">
        <w:trPr>
          <w:cnfStyle w:val="000000100000" w:firstRow="0" w:lastRow="0" w:firstColumn="0" w:lastColumn="0" w:oddVBand="0" w:evenVBand="0" w:oddHBand="1" w:evenHBand="0" w:firstRowFirstColumn="0" w:firstRowLastColumn="0" w:lastRowFirstColumn="0" w:lastRowLastColumn="0"/>
          <w:trHeight w:val="20"/>
        </w:trPr>
        <w:tc>
          <w:tcPr>
            <w:tcW w:w="3272" w:type="pct"/>
            <w:hideMark/>
          </w:tcPr>
          <w:p w:rsidR="00CB0535" w:rsidRDefault="00CB0535">
            <w:pPr>
              <w:spacing w:before="40" w:after="40" w:line="240" w:lineRule="auto"/>
              <w:rPr>
                <w:sz w:val="20"/>
                <w:szCs w:val="20"/>
              </w:rPr>
            </w:pPr>
            <w:r>
              <w:rPr>
                <w:b/>
                <w:sz w:val="20"/>
                <w:szCs w:val="20"/>
              </w:rPr>
              <w:t xml:space="preserve">Līdzdalības līmenis </w:t>
            </w:r>
            <w:r>
              <w:rPr>
                <w:sz w:val="20"/>
                <w:szCs w:val="20"/>
              </w:rPr>
              <w:t>(ekonomiski aktīvo iedzīvotāju skaits pret kopējo iedzīvotāju skaitu 15-74 vecuma grupā)</w:t>
            </w:r>
          </w:p>
        </w:tc>
        <w:tc>
          <w:tcPr>
            <w:tcW w:w="624" w:type="pct"/>
            <w:hideMark/>
          </w:tcPr>
          <w:p w:rsidR="00CB0535" w:rsidRDefault="00CB0535">
            <w:pPr>
              <w:tabs>
                <w:tab w:val="decimal" w:pos="531"/>
              </w:tabs>
              <w:spacing w:before="40" w:after="40" w:line="240" w:lineRule="auto"/>
              <w:rPr>
                <w:sz w:val="20"/>
                <w:szCs w:val="20"/>
              </w:rPr>
            </w:pPr>
            <w:r>
              <w:rPr>
                <w:sz w:val="20"/>
                <w:szCs w:val="20"/>
              </w:rPr>
              <w:t>66,1</w:t>
            </w:r>
          </w:p>
        </w:tc>
        <w:tc>
          <w:tcPr>
            <w:tcW w:w="556" w:type="pct"/>
            <w:hideMark/>
          </w:tcPr>
          <w:p w:rsidR="00CB0535" w:rsidRDefault="00CB0535">
            <w:pPr>
              <w:tabs>
                <w:tab w:val="decimal" w:pos="472"/>
              </w:tabs>
              <w:spacing w:before="40" w:after="40" w:line="240" w:lineRule="auto"/>
              <w:rPr>
                <w:sz w:val="20"/>
                <w:szCs w:val="20"/>
              </w:rPr>
            </w:pPr>
            <w:r>
              <w:rPr>
                <w:sz w:val="20"/>
                <w:szCs w:val="20"/>
              </w:rPr>
              <w:t>69,3</w:t>
            </w:r>
          </w:p>
        </w:tc>
        <w:tc>
          <w:tcPr>
            <w:tcW w:w="548" w:type="pct"/>
            <w:hideMark/>
          </w:tcPr>
          <w:p w:rsidR="00CB0535" w:rsidRDefault="00CB0535">
            <w:pPr>
              <w:tabs>
                <w:tab w:val="decimal" w:pos="452"/>
              </w:tabs>
              <w:spacing w:before="40" w:after="40" w:line="240" w:lineRule="auto"/>
              <w:rPr>
                <w:sz w:val="20"/>
                <w:szCs w:val="20"/>
              </w:rPr>
            </w:pPr>
            <w:r>
              <w:rPr>
                <w:sz w:val="20"/>
                <w:szCs w:val="20"/>
              </w:rPr>
              <w:t>71,0</w:t>
            </w:r>
          </w:p>
        </w:tc>
      </w:tr>
      <w:tr w:rsidR="00CB0535" w:rsidTr="0090109A">
        <w:trPr>
          <w:trHeight w:val="20"/>
        </w:trPr>
        <w:tc>
          <w:tcPr>
            <w:tcW w:w="3272" w:type="pct"/>
            <w:hideMark/>
          </w:tcPr>
          <w:p w:rsidR="00CB0535" w:rsidRDefault="00CB0535">
            <w:pPr>
              <w:spacing w:before="40" w:after="40" w:line="240" w:lineRule="auto"/>
              <w:rPr>
                <w:sz w:val="20"/>
                <w:szCs w:val="20"/>
              </w:rPr>
            </w:pPr>
            <w:r>
              <w:rPr>
                <w:b/>
                <w:sz w:val="20"/>
                <w:szCs w:val="20"/>
              </w:rPr>
              <w:t xml:space="preserve">Bezdarba līmenis </w:t>
            </w:r>
            <w:r>
              <w:rPr>
                <w:sz w:val="20"/>
                <w:szCs w:val="20"/>
              </w:rPr>
              <w:t>(bezdarbnieku (darba meklētāju) īpatsvars ekonomiski aktīvo iedzīvotāju skaitā 15-74 gadu vecuma grupā)</w:t>
            </w:r>
          </w:p>
        </w:tc>
        <w:tc>
          <w:tcPr>
            <w:tcW w:w="624" w:type="pct"/>
            <w:hideMark/>
          </w:tcPr>
          <w:p w:rsidR="00CB0535" w:rsidRDefault="00CB0535">
            <w:pPr>
              <w:tabs>
                <w:tab w:val="decimal" w:pos="531"/>
              </w:tabs>
              <w:spacing w:before="40" w:after="40" w:line="240" w:lineRule="auto"/>
              <w:rPr>
                <w:sz w:val="20"/>
                <w:szCs w:val="20"/>
              </w:rPr>
            </w:pPr>
            <w:r>
              <w:rPr>
                <w:sz w:val="20"/>
                <w:szCs w:val="20"/>
              </w:rPr>
              <w:t>14,9</w:t>
            </w:r>
          </w:p>
        </w:tc>
        <w:tc>
          <w:tcPr>
            <w:tcW w:w="556" w:type="pct"/>
            <w:hideMark/>
          </w:tcPr>
          <w:p w:rsidR="00CB0535" w:rsidRDefault="00CB0535">
            <w:pPr>
              <w:tabs>
                <w:tab w:val="decimal" w:pos="472"/>
              </w:tabs>
              <w:spacing w:before="40" w:after="40" w:line="240" w:lineRule="auto"/>
              <w:rPr>
                <w:sz w:val="20"/>
                <w:szCs w:val="20"/>
              </w:rPr>
            </w:pPr>
            <w:r>
              <w:rPr>
                <w:sz w:val="20"/>
                <w:szCs w:val="20"/>
              </w:rPr>
              <w:t>6,4</w:t>
            </w:r>
          </w:p>
        </w:tc>
        <w:tc>
          <w:tcPr>
            <w:tcW w:w="548" w:type="pct"/>
            <w:hideMark/>
          </w:tcPr>
          <w:p w:rsidR="00CB0535" w:rsidRDefault="00CB0535">
            <w:pPr>
              <w:tabs>
                <w:tab w:val="decimal" w:pos="452"/>
              </w:tabs>
              <w:spacing w:before="40" w:after="40" w:line="240" w:lineRule="auto"/>
              <w:rPr>
                <w:sz w:val="20"/>
                <w:szCs w:val="20"/>
              </w:rPr>
            </w:pPr>
            <w:r>
              <w:rPr>
                <w:sz w:val="20"/>
                <w:szCs w:val="20"/>
              </w:rPr>
              <w:t>5,5</w:t>
            </w:r>
          </w:p>
        </w:tc>
      </w:tr>
    </w:tbl>
    <w:p w:rsidR="00521971" w:rsidRDefault="00521971" w:rsidP="0090109A">
      <w:pPr>
        <w:spacing w:after="0" w:line="240" w:lineRule="auto"/>
      </w:pPr>
    </w:p>
    <w:p w:rsidR="00CB0535" w:rsidRDefault="00CB0535" w:rsidP="00CB0535">
      <w:pPr>
        <w:spacing w:after="0" w:line="240" w:lineRule="auto"/>
        <w:rPr>
          <w:b/>
          <w:sz w:val="26"/>
          <w:szCs w:val="26"/>
          <w:highlight w:val="yellow"/>
        </w:rPr>
      </w:pPr>
      <w:r>
        <w:rPr>
          <w:b/>
          <w:sz w:val="26"/>
          <w:szCs w:val="26"/>
        </w:rPr>
        <w:t>Darbaspēka piedāvājums pa izglītības tematiskajām grupām</w:t>
      </w:r>
    </w:p>
    <w:p w:rsidR="00CB0535" w:rsidRPr="0090109A" w:rsidRDefault="00CB0535" w:rsidP="00521971">
      <w:pPr>
        <w:spacing w:after="0" w:line="240" w:lineRule="auto"/>
        <w:ind w:right="-1" w:firstLine="567"/>
        <w:jc w:val="both"/>
        <w:rPr>
          <w:sz w:val="8"/>
          <w:szCs w:val="26"/>
        </w:rPr>
      </w:pPr>
    </w:p>
    <w:p w:rsidR="00CB0535" w:rsidRDefault="00CB0535" w:rsidP="00521971">
      <w:pPr>
        <w:spacing w:after="0" w:line="240" w:lineRule="auto"/>
        <w:ind w:right="-1" w:firstLine="567"/>
        <w:jc w:val="both"/>
        <w:rPr>
          <w:color w:val="000000" w:themeColor="text1"/>
          <w:sz w:val="26"/>
          <w:szCs w:val="26"/>
        </w:rPr>
      </w:pPr>
      <w:r w:rsidRPr="0090109A">
        <w:rPr>
          <w:color w:val="000000" w:themeColor="text1"/>
          <w:sz w:val="26"/>
          <w:szCs w:val="26"/>
        </w:rPr>
        <w:t>Sagaidāms, ka vidējā un ilgtermiņā turpinās palielināties ekonomiski aktīvo iedzīvotāju skaits ar augstāko izglītību. Vienlaikus pakāpeniski samazināsies darbaspēka piedāvājums ar vidējo izglītību. Šīs izmaiņas nākotnē noteiks darbaspēka piedāvājuma pakāpenisku pārstrukturēšanos – būtiski palielināsies augstākās kvalifikācijas darbaspēka īpatsvars kopējā piedāvājumā, bet samazināsies vidējas un zemas kvalifikācijas darbaspēka piedāvājums. 2030.gadā darbaspēka piedāvājums ar augstāko izglītību varētu veidot jau gandrīz pusi no kopējā darbaspēka piedāvājuma. Jāatzīmē, ka līdzīgas tend</w:t>
      </w:r>
      <w:r w:rsidR="00414DFF">
        <w:rPr>
          <w:color w:val="000000" w:themeColor="text1"/>
          <w:sz w:val="26"/>
          <w:szCs w:val="26"/>
        </w:rPr>
        <w:t>ences sagaidāmas arī ES kopumā.</w:t>
      </w:r>
    </w:p>
    <w:p w:rsidR="00414DFF" w:rsidRPr="00C12DD4" w:rsidRDefault="00414DFF" w:rsidP="00521971">
      <w:pPr>
        <w:spacing w:after="0" w:line="240" w:lineRule="auto"/>
        <w:ind w:right="-1" w:firstLine="567"/>
        <w:jc w:val="both"/>
        <w:rPr>
          <w:color w:val="000000" w:themeColor="text1"/>
          <w:spacing w:val="-2"/>
          <w:sz w:val="26"/>
          <w:szCs w:val="26"/>
        </w:rPr>
      </w:pPr>
      <w:r w:rsidRPr="00C12DD4">
        <w:rPr>
          <w:color w:val="000000" w:themeColor="text1"/>
          <w:spacing w:val="-2"/>
          <w:sz w:val="26"/>
          <w:szCs w:val="26"/>
        </w:rPr>
        <w:t xml:space="preserve">Saglabājoties līdzšinējai izglītības piedāvājuma struktūrai, vislielākais darbaspēka pieaugums </w:t>
      </w:r>
      <w:r w:rsidRPr="00C12DD4">
        <w:rPr>
          <w:b/>
          <w:color w:val="000000" w:themeColor="text1"/>
          <w:spacing w:val="-2"/>
          <w:sz w:val="26"/>
          <w:szCs w:val="26"/>
        </w:rPr>
        <w:t>ar augstāko izglītību</w:t>
      </w:r>
      <w:r w:rsidRPr="00C12DD4">
        <w:rPr>
          <w:color w:val="000000" w:themeColor="text1"/>
          <w:spacing w:val="-2"/>
          <w:sz w:val="26"/>
          <w:szCs w:val="26"/>
        </w:rPr>
        <w:t xml:space="preserve"> sagaidāms, sociālo zinātņu, </w:t>
      </w:r>
      <w:proofErr w:type="spellStart"/>
      <w:r w:rsidRPr="00C12DD4">
        <w:rPr>
          <w:color w:val="000000" w:themeColor="text1"/>
          <w:spacing w:val="-2"/>
          <w:sz w:val="26"/>
          <w:szCs w:val="26"/>
        </w:rPr>
        <w:t>komerczinību</w:t>
      </w:r>
      <w:proofErr w:type="spellEnd"/>
      <w:r w:rsidRPr="00C12DD4">
        <w:rPr>
          <w:color w:val="000000" w:themeColor="text1"/>
          <w:spacing w:val="-2"/>
          <w:sz w:val="26"/>
          <w:szCs w:val="26"/>
        </w:rPr>
        <w:t xml:space="preserve"> un tiesību zinību jomās. Atbilstošās kvalifikācijas darbaspēka piedāvājuma pieaugums veidos gandrīz pusi no kopējā darbaspēka p</w:t>
      </w:r>
      <w:r w:rsidR="005777D9" w:rsidRPr="00C12DD4">
        <w:rPr>
          <w:color w:val="000000" w:themeColor="text1"/>
          <w:spacing w:val="-2"/>
          <w:sz w:val="26"/>
          <w:szCs w:val="26"/>
        </w:rPr>
        <w:t>ieauguma ar augstāko izglītību.</w:t>
      </w:r>
    </w:p>
    <w:p w:rsidR="00414DFF" w:rsidRPr="0090109A" w:rsidRDefault="00414DFF" w:rsidP="00521971">
      <w:pPr>
        <w:spacing w:after="0" w:line="240" w:lineRule="auto"/>
        <w:ind w:right="-1" w:firstLine="567"/>
        <w:jc w:val="both"/>
        <w:rPr>
          <w:color w:val="000000" w:themeColor="text1"/>
          <w:sz w:val="26"/>
          <w:szCs w:val="26"/>
        </w:rPr>
      </w:pPr>
      <w:r w:rsidRPr="0090109A">
        <w:rPr>
          <w:color w:val="000000" w:themeColor="text1"/>
          <w:sz w:val="26"/>
          <w:szCs w:val="26"/>
        </w:rPr>
        <w:t>Vienlaikus atsevišķās augstākās izglītības tematiskajās grupās ir sagaidāms darbaspēka piedāvājuma samazinājums, ko pamatā noteiks darbaspēka novecošanās un pakāpeniska iziešana no darba tirgus. Visvairāk tas izpaudīsies lauksaimniecības zinātnēs, kur aptuveni puse no pašlaik ekonomiski aktīvajiem iedzīvotājiem ir vecumā virs 50 gadiem. Turklāt pašlaik lauksaimniecības zinātnēs studējošo skaits nav pietiekams, lai nodrošinātu nove</w:t>
      </w:r>
      <w:r w:rsidR="005777D9">
        <w:rPr>
          <w:color w:val="000000" w:themeColor="text1"/>
          <w:sz w:val="26"/>
          <w:szCs w:val="26"/>
        </w:rPr>
        <w:t>cojošā darbaspēka aizvietošanu.</w:t>
      </w:r>
    </w:p>
    <w:p w:rsidR="00414DFF" w:rsidRPr="0090109A" w:rsidRDefault="00414DFF" w:rsidP="00521971">
      <w:pPr>
        <w:spacing w:after="0" w:line="240" w:lineRule="auto"/>
        <w:ind w:right="-1" w:firstLine="567"/>
        <w:jc w:val="both"/>
        <w:rPr>
          <w:color w:val="000000" w:themeColor="text1"/>
          <w:sz w:val="26"/>
          <w:szCs w:val="26"/>
        </w:rPr>
      </w:pPr>
      <w:r w:rsidRPr="0090109A">
        <w:rPr>
          <w:color w:val="000000" w:themeColor="text1"/>
          <w:sz w:val="26"/>
          <w:szCs w:val="26"/>
        </w:rPr>
        <w:t>Novecošanās tendences spilgti būs redzamas arī atsevišķu inženierzinātņu un ražošanas kvalifikācijas sp</w:t>
      </w:r>
      <w:r w:rsidR="005777D9">
        <w:rPr>
          <w:color w:val="000000" w:themeColor="text1"/>
          <w:sz w:val="26"/>
          <w:szCs w:val="26"/>
        </w:rPr>
        <w:t xml:space="preserve">eciālistu piedāvājumā nākotnē. </w:t>
      </w:r>
      <w:r w:rsidRPr="0090109A">
        <w:rPr>
          <w:color w:val="000000" w:themeColor="text1"/>
          <w:sz w:val="26"/>
          <w:szCs w:val="26"/>
        </w:rPr>
        <w:t xml:space="preserve">Pašlaik aptuveni 70% no </w:t>
      </w:r>
      <w:r w:rsidRPr="0090109A">
        <w:rPr>
          <w:color w:val="000000" w:themeColor="text1"/>
          <w:sz w:val="26"/>
          <w:szCs w:val="26"/>
        </w:rPr>
        <w:lastRenderedPageBreak/>
        <w:t>ekonomiski aktīviem iedzīvotājiem ar augstāko izglītību tekstilizstrādājumu ražošanā ir vecumā virs 50 gadiem. Līdzīga situācija ir starp ekonomiski aktīviem iedzīvotājiem ar izglītību mehānikā un metālapstrādē, kur gandrīz 55% ir pirmspensijas vecumā un nākamo 10-20 gadu laikā vairums no tiem pametīs darba tirgu. Līdzīgi kā lauksaimniecībā, arī mehānikas un metālapstrādes studiju programmās studējošo skaits ir nepietiekams, lai nodrošinātu darbaspēka normālu atražošanu.</w:t>
      </w:r>
    </w:p>
    <w:p w:rsidR="00414DFF" w:rsidRPr="00C12DD4" w:rsidRDefault="00414DFF" w:rsidP="00521971">
      <w:pPr>
        <w:spacing w:after="0" w:line="240" w:lineRule="auto"/>
        <w:ind w:firstLine="567"/>
        <w:jc w:val="both"/>
        <w:rPr>
          <w:color w:val="000000" w:themeColor="text1"/>
          <w:spacing w:val="-2"/>
          <w:sz w:val="26"/>
          <w:szCs w:val="26"/>
        </w:rPr>
      </w:pPr>
      <w:r w:rsidRPr="00C12DD4">
        <w:rPr>
          <w:color w:val="000000" w:themeColor="text1"/>
          <w:spacing w:val="-2"/>
          <w:sz w:val="26"/>
          <w:szCs w:val="26"/>
        </w:rPr>
        <w:t xml:space="preserve">Darbaspēka piedāvājums </w:t>
      </w:r>
      <w:r w:rsidRPr="00C12DD4">
        <w:rPr>
          <w:b/>
          <w:color w:val="000000" w:themeColor="text1"/>
          <w:spacing w:val="-2"/>
          <w:sz w:val="26"/>
          <w:szCs w:val="26"/>
        </w:rPr>
        <w:t>ar vidējo izglītību</w:t>
      </w:r>
      <w:r w:rsidRPr="00C12DD4">
        <w:rPr>
          <w:color w:val="000000" w:themeColor="text1"/>
          <w:spacing w:val="-2"/>
          <w:sz w:val="26"/>
          <w:szCs w:val="26"/>
        </w:rPr>
        <w:t xml:space="preserve"> samazināsies gandrīz visās tematiskajās grupās. Vidējā termiņā kopējais darbaspēka piedāvājuma samazinājums spilgtāk izpaudīsies jomās, kur ir lielāks gados vecāku ekonomiski aktīvo iedzīvotāju īpatsvars (atsevišķās inženierzinātņu jomās, </w:t>
      </w:r>
      <w:proofErr w:type="spellStart"/>
      <w:r w:rsidRPr="00C12DD4">
        <w:rPr>
          <w:color w:val="000000" w:themeColor="text1"/>
          <w:spacing w:val="-2"/>
          <w:sz w:val="26"/>
          <w:szCs w:val="26"/>
        </w:rPr>
        <w:t>māszinībās</w:t>
      </w:r>
      <w:proofErr w:type="spellEnd"/>
      <w:r w:rsidRPr="00C12DD4">
        <w:rPr>
          <w:color w:val="000000" w:themeColor="text1"/>
          <w:spacing w:val="-2"/>
          <w:sz w:val="26"/>
          <w:szCs w:val="26"/>
        </w:rPr>
        <w:t xml:space="preserve"> un farmācijas izglītības jomās).</w:t>
      </w:r>
    </w:p>
    <w:p w:rsidR="00CB0535" w:rsidRDefault="00CB0535" w:rsidP="00C12DD4">
      <w:pPr>
        <w:pStyle w:val="BodyTextIndent"/>
        <w:numPr>
          <w:ilvl w:val="12"/>
          <w:numId w:val="0"/>
        </w:numPr>
        <w:spacing w:before="120" w:after="0"/>
        <w:jc w:val="right"/>
        <w:rPr>
          <w:color w:val="000000"/>
          <w:sz w:val="26"/>
          <w:szCs w:val="26"/>
        </w:rPr>
      </w:pPr>
      <w:r>
        <w:rPr>
          <w:color w:val="000000"/>
          <w:sz w:val="26"/>
          <w:szCs w:val="26"/>
        </w:rPr>
        <w:t>3.13. tabula</w:t>
      </w:r>
    </w:p>
    <w:p w:rsidR="00CB0535" w:rsidRDefault="00CB0535" w:rsidP="00CB0535">
      <w:pPr>
        <w:spacing w:after="0" w:line="240" w:lineRule="auto"/>
        <w:jc w:val="center"/>
        <w:rPr>
          <w:b/>
          <w:sz w:val="26"/>
          <w:szCs w:val="26"/>
        </w:rPr>
      </w:pPr>
      <w:r>
        <w:rPr>
          <w:b/>
          <w:sz w:val="26"/>
          <w:szCs w:val="26"/>
        </w:rPr>
        <w:t>Darbaspēka piedāvājuma izmaiņas pa izglītības tematiskajām grupām</w:t>
      </w:r>
    </w:p>
    <w:p w:rsidR="0090109A" w:rsidRPr="0090109A" w:rsidRDefault="0090109A" w:rsidP="00CB0535">
      <w:pPr>
        <w:spacing w:after="0" w:line="240" w:lineRule="auto"/>
        <w:jc w:val="center"/>
        <w:rPr>
          <w:sz w:val="8"/>
          <w:szCs w:val="26"/>
        </w:rPr>
      </w:pPr>
    </w:p>
    <w:tbl>
      <w:tblPr>
        <w:tblStyle w:val="LightShading-Accent4"/>
        <w:tblW w:w="9180" w:type="dxa"/>
        <w:tblLayout w:type="fixed"/>
        <w:tblLook w:val="04A0" w:firstRow="1" w:lastRow="0" w:firstColumn="1" w:lastColumn="0" w:noHBand="0" w:noVBand="1"/>
      </w:tblPr>
      <w:tblGrid>
        <w:gridCol w:w="388"/>
        <w:gridCol w:w="813"/>
        <w:gridCol w:w="2632"/>
        <w:gridCol w:w="692"/>
        <w:gridCol w:w="677"/>
        <w:gridCol w:w="668"/>
        <w:gridCol w:w="664"/>
        <w:gridCol w:w="663"/>
        <w:gridCol w:w="661"/>
        <w:gridCol w:w="661"/>
        <w:gridCol w:w="661"/>
      </w:tblGrid>
      <w:tr w:rsidR="00414DFF" w:rsidRPr="00414DFF" w:rsidTr="00DD25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9" w:type="dxa"/>
            <w:vMerge w:val="restart"/>
            <w:hideMark/>
          </w:tcPr>
          <w:p w:rsidR="00CB0535" w:rsidRPr="00414DFF" w:rsidRDefault="00CB0535">
            <w:pPr>
              <w:spacing w:after="0" w:line="240" w:lineRule="auto"/>
              <w:rPr>
                <w:color w:val="000000" w:themeColor="text1"/>
              </w:rPr>
            </w:pPr>
          </w:p>
        </w:tc>
        <w:tc>
          <w:tcPr>
            <w:tcW w:w="3446" w:type="dxa"/>
            <w:gridSpan w:val="2"/>
            <w:vMerge w:val="restart"/>
            <w:tcBorders>
              <w:right w:val="single" w:sz="4" w:space="0" w:color="8064A2" w:themeColor="accent4"/>
            </w:tcBorders>
            <w:vAlign w:val="center"/>
            <w:hideMark/>
          </w:tcPr>
          <w:p w:rsidR="00CB0535" w:rsidRPr="00C204DE" w:rsidRDefault="00CB0535" w:rsidP="00C204D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themeColor="text1"/>
                <w:sz w:val="18"/>
                <w:szCs w:val="18"/>
                <w:lang w:eastAsia="lv-LV"/>
              </w:rPr>
            </w:pPr>
            <w:r w:rsidRPr="00C204DE">
              <w:rPr>
                <w:rFonts w:eastAsia="Times New Roman"/>
                <w:color w:val="000000" w:themeColor="text1"/>
                <w:sz w:val="18"/>
                <w:szCs w:val="18"/>
                <w:lang w:eastAsia="lv-LV"/>
              </w:rPr>
              <w:t xml:space="preserve">Izglītības tematiskā </w:t>
            </w:r>
            <w:r w:rsidRPr="00C204DE">
              <w:rPr>
                <w:rFonts w:eastAsia="Times New Roman"/>
                <w:color w:val="000000" w:themeColor="text1"/>
                <w:sz w:val="18"/>
                <w:szCs w:val="18"/>
                <w:lang w:eastAsia="lv-LV"/>
              </w:rPr>
              <w:br/>
              <w:t>grupa</w:t>
            </w:r>
          </w:p>
        </w:tc>
        <w:tc>
          <w:tcPr>
            <w:tcW w:w="2037" w:type="dxa"/>
            <w:gridSpan w:val="3"/>
            <w:tcBorders>
              <w:left w:val="single" w:sz="4" w:space="0" w:color="8064A2" w:themeColor="accent4"/>
              <w:bottom w:val="nil"/>
              <w:right w:val="single" w:sz="4" w:space="0" w:color="8064A2" w:themeColor="accent4"/>
            </w:tcBorders>
            <w:noWrap/>
            <w:vAlign w:val="center"/>
            <w:hideMark/>
          </w:tcPr>
          <w:p w:rsidR="00CB0535" w:rsidRPr="00C204DE" w:rsidRDefault="00CB0535" w:rsidP="00C204D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C204DE">
              <w:rPr>
                <w:rFonts w:eastAsia="Times New Roman"/>
                <w:color w:val="000000" w:themeColor="text1"/>
                <w:sz w:val="18"/>
                <w:szCs w:val="18"/>
                <w:lang w:eastAsia="lv-LV"/>
              </w:rPr>
              <w:t>tūkstošos</w:t>
            </w:r>
          </w:p>
        </w:tc>
        <w:tc>
          <w:tcPr>
            <w:tcW w:w="1987" w:type="dxa"/>
            <w:gridSpan w:val="3"/>
            <w:tcBorders>
              <w:left w:val="single" w:sz="4" w:space="0" w:color="8064A2" w:themeColor="accent4"/>
              <w:bottom w:val="nil"/>
              <w:right w:val="single" w:sz="4" w:space="0" w:color="8064A2" w:themeColor="accent4"/>
            </w:tcBorders>
            <w:vAlign w:val="center"/>
            <w:hideMark/>
          </w:tcPr>
          <w:p w:rsidR="00CB0535" w:rsidRPr="00C204DE" w:rsidRDefault="00CB0535" w:rsidP="00C204D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C204DE">
              <w:rPr>
                <w:rFonts w:eastAsia="Times New Roman"/>
                <w:color w:val="000000" w:themeColor="text1"/>
                <w:sz w:val="18"/>
                <w:szCs w:val="18"/>
                <w:lang w:eastAsia="lv-LV"/>
              </w:rPr>
              <w:t>struktūra, %</w:t>
            </w:r>
          </w:p>
        </w:tc>
        <w:tc>
          <w:tcPr>
            <w:tcW w:w="1322" w:type="dxa"/>
            <w:gridSpan w:val="2"/>
            <w:tcBorders>
              <w:left w:val="single" w:sz="4" w:space="0" w:color="8064A2" w:themeColor="accent4"/>
              <w:bottom w:val="nil"/>
            </w:tcBorders>
            <w:hideMark/>
          </w:tcPr>
          <w:p w:rsidR="00CB0535" w:rsidRPr="00C204DE" w:rsidRDefault="00CB053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C204DE">
              <w:rPr>
                <w:rFonts w:eastAsia="Times New Roman"/>
                <w:color w:val="000000" w:themeColor="text1"/>
                <w:sz w:val="18"/>
                <w:szCs w:val="18"/>
                <w:lang w:eastAsia="lv-LV"/>
              </w:rPr>
              <w:t>izmaiņas pret 2012.g., %</w:t>
            </w:r>
          </w:p>
        </w:tc>
      </w:tr>
      <w:tr w:rsidR="00414DFF" w:rsidRPr="00414DFF" w:rsidTr="001E4B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bottom w:val="single" w:sz="8" w:space="0" w:color="8064A2" w:themeColor="accent4"/>
            </w:tcBorders>
            <w:hideMark/>
          </w:tcPr>
          <w:p w:rsidR="00CB0535" w:rsidRPr="00414DFF" w:rsidRDefault="00CB0535">
            <w:pPr>
              <w:spacing w:after="0" w:line="240" w:lineRule="auto"/>
              <w:rPr>
                <w:rFonts w:ascii="Calibri" w:hAnsi="Calibri"/>
                <w:color w:val="000000" w:themeColor="text1"/>
              </w:rPr>
            </w:pPr>
          </w:p>
        </w:tc>
        <w:tc>
          <w:tcPr>
            <w:tcW w:w="6079" w:type="dxa"/>
            <w:gridSpan w:val="2"/>
            <w:vMerge/>
            <w:tcBorders>
              <w:bottom w:val="single" w:sz="8" w:space="0" w:color="8064A2" w:themeColor="accent4"/>
              <w:right w:val="single" w:sz="4" w:space="0" w:color="8064A2" w:themeColor="accent4"/>
            </w:tcBorders>
            <w:hideMark/>
          </w:tcPr>
          <w:p w:rsidR="00CB0535" w:rsidRPr="00414DFF" w:rsidRDefault="00CB053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8"/>
                <w:szCs w:val="18"/>
                <w:lang w:eastAsia="lv-LV"/>
              </w:rPr>
            </w:pPr>
          </w:p>
        </w:tc>
        <w:tc>
          <w:tcPr>
            <w:tcW w:w="692" w:type="dxa"/>
            <w:tcBorders>
              <w:top w:val="nil"/>
              <w:left w:val="single" w:sz="4" w:space="0" w:color="8064A2" w:themeColor="accent4"/>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2012</w:t>
            </w:r>
          </w:p>
        </w:tc>
        <w:tc>
          <w:tcPr>
            <w:tcW w:w="677" w:type="dxa"/>
            <w:tcBorders>
              <w:top w:val="nil"/>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2020</w:t>
            </w:r>
          </w:p>
        </w:tc>
        <w:tc>
          <w:tcPr>
            <w:tcW w:w="668" w:type="dxa"/>
            <w:tcBorders>
              <w:top w:val="nil"/>
              <w:bottom w:val="single" w:sz="8" w:space="0" w:color="8064A2" w:themeColor="accent4"/>
              <w:right w:val="single" w:sz="4"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2030</w:t>
            </w:r>
          </w:p>
        </w:tc>
        <w:tc>
          <w:tcPr>
            <w:tcW w:w="664" w:type="dxa"/>
            <w:tcBorders>
              <w:top w:val="nil"/>
              <w:left w:val="single" w:sz="4" w:space="0" w:color="8064A2" w:themeColor="accent4"/>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2012</w:t>
            </w:r>
          </w:p>
        </w:tc>
        <w:tc>
          <w:tcPr>
            <w:tcW w:w="662" w:type="dxa"/>
            <w:tcBorders>
              <w:top w:val="nil"/>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2020</w:t>
            </w:r>
          </w:p>
        </w:tc>
        <w:tc>
          <w:tcPr>
            <w:tcW w:w="661" w:type="dxa"/>
            <w:tcBorders>
              <w:top w:val="nil"/>
              <w:bottom w:val="single" w:sz="8" w:space="0" w:color="8064A2" w:themeColor="accent4"/>
              <w:right w:val="single" w:sz="4"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2030</w:t>
            </w:r>
          </w:p>
        </w:tc>
        <w:tc>
          <w:tcPr>
            <w:tcW w:w="661" w:type="dxa"/>
            <w:tcBorders>
              <w:top w:val="nil"/>
              <w:left w:val="single" w:sz="4" w:space="0" w:color="8064A2" w:themeColor="accent4"/>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2020</w:t>
            </w:r>
          </w:p>
        </w:tc>
        <w:tc>
          <w:tcPr>
            <w:tcW w:w="661" w:type="dxa"/>
            <w:tcBorders>
              <w:top w:val="nil"/>
              <w:bottom w:val="single" w:sz="8" w:space="0" w:color="8064A2" w:themeColor="accent4"/>
            </w:tcBorders>
            <w:hideMark/>
          </w:tcPr>
          <w:p w:rsidR="00CB0535" w:rsidRPr="00414DFF" w:rsidRDefault="00CB053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lv-LV"/>
              </w:rPr>
            </w:pPr>
            <w:r w:rsidRPr="00414DFF">
              <w:rPr>
                <w:rFonts w:eastAsia="Times New Roman"/>
                <w:b/>
                <w:color w:val="000000" w:themeColor="text1"/>
                <w:sz w:val="18"/>
                <w:szCs w:val="18"/>
                <w:lang w:eastAsia="lv-LV"/>
              </w:rPr>
              <w:t>2030</w:t>
            </w:r>
          </w:p>
        </w:tc>
      </w:tr>
      <w:tr w:rsidR="00414DFF" w:rsidRPr="00414DFF" w:rsidTr="001E4BA5">
        <w:trPr>
          <w:trHeight w:val="20"/>
        </w:trPr>
        <w:tc>
          <w:tcPr>
            <w:cnfStyle w:val="001000000000" w:firstRow="0" w:lastRow="0" w:firstColumn="1" w:lastColumn="0" w:oddVBand="0" w:evenVBand="0" w:oddHBand="0" w:evenHBand="0" w:firstRowFirstColumn="0" w:firstRowLastColumn="0" w:lastRowFirstColumn="0" w:lastRowLastColumn="0"/>
            <w:tcW w:w="389" w:type="dxa"/>
            <w:vMerge w:val="restart"/>
            <w:tcBorders>
              <w:top w:val="single" w:sz="8" w:space="0" w:color="8064A2" w:themeColor="accent4"/>
              <w:bottom w:val="single" w:sz="4" w:space="0" w:color="8064A2" w:themeColor="accent4"/>
            </w:tcBorders>
            <w:noWrap/>
            <w:textDirection w:val="btLr"/>
            <w:hideMark/>
          </w:tcPr>
          <w:p w:rsidR="00CB0535" w:rsidRPr="00414DFF" w:rsidRDefault="00CB0535">
            <w:pPr>
              <w:spacing w:before="40" w:after="40" w:line="240" w:lineRule="auto"/>
              <w:jc w:val="center"/>
              <w:rPr>
                <w:rFonts w:eastAsia="Times New Roman"/>
                <w:b w:val="0"/>
                <w:bCs w:val="0"/>
                <w:color w:val="000000" w:themeColor="text1"/>
                <w:sz w:val="18"/>
                <w:szCs w:val="18"/>
                <w:lang w:eastAsia="lv-LV"/>
              </w:rPr>
            </w:pPr>
            <w:r w:rsidRPr="00414DFF">
              <w:rPr>
                <w:rFonts w:eastAsia="Times New Roman"/>
                <w:color w:val="000000" w:themeColor="text1"/>
                <w:sz w:val="18"/>
                <w:szCs w:val="18"/>
                <w:lang w:eastAsia="lv-LV"/>
              </w:rPr>
              <w:t>Augstākā izglītība</w:t>
            </w:r>
          </w:p>
        </w:tc>
        <w:tc>
          <w:tcPr>
            <w:tcW w:w="3446" w:type="dxa"/>
            <w:gridSpan w:val="2"/>
            <w:tcBorders>
              <w:top w:val="single" w:sz="8" w:space="0" w:color="8064A2" w:themeColor="accent4"/>
              <w:bottom w:val="nil"/>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18"/>
                <w:szCs w:val="18"/>
                <w:lang w:eastAsia="lv-LV"/>
              </w:rPr>
            </w:pPr>
            <w:r w:rsidRPr="00414DFF">
              <w:rPr>
                <w:rFonts w:eastAsia="Times New Roman"/>
                <w:b/>
                <w:bCs/>
                <w:color w:val="000000" w:themeColor="text1"/>
                <w:sz w:val="18"/>
                <w:szCs w:val="18"/>
                <w:lang w:eastAsia="lv-LV"/>
              </w:rPr>
              <w:t>Augstākā izglītība kopā</w:t>
            </w:r>
          </w:p>
        </w:tc>
        <w:tc>
          <w:tcPr>
            <w:tcW w:w="692" w:type="dxa"/>
            <w:tcBorders>
              <w:top w:val="single" w:sz="8" w:space="0" w:color="8064A2" w:themeColor="accent4"/>
              <w:left w:val="single" w:sz="4" w:space="0" w:color="8064A2" w:themeColor="accent4"/>
              <w:bottom w:val="nil"/>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323,3</w:t>
            </w:r>
          </w:p>
        </w:tc>
        <w:tc>
          <w:tcPr>
            <w:tcW w:w="677" w:type="dxa"/>
            <w:tcBorders>
              <w:top w:val="single" w:sz="8" w:space="0" w:color="8064A2" w:themeColor="accent4"/>
              <w:bottom w:val="nil"/>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375,5</w:t>
            </w:r>
          </w:p>
        </w:tc>
        <w:tc>
          <w:tcPr>
            <w:tcW w:w="668" w:type="dxa"/>
            <w:tcBorders>
              <w:top w:val="single" w:sz="8" w:space="0" w:color="8064A2" w:themeColor="accent4"/>
              <w:bottom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468,7</w:t>
            </w:r>
          </w:p>
        </w:tc>
        <w:tc>
          <w:tcPr>
            <w:tcW w:w="664" w:type="dxa"/>
            <w:tcBorders>
              <w:top w:val="single" w:sz="8" w:space="0" w:color="8064A2" w:themeColor="accent4"/>
              <w:left w:val="single" w:sz="4" w:space="0" w:color="8064A2" w:themeColor="accent4"/>
              <w:bottom w:val="nil"/>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31,0</w:t>
            </w:r>
          </w:p>
        </w:tc>
        <w:tc>
          <w:tcPr>
            <w:tcW w:w="662" w:type="dxa"/>
            <w:tcBorders>
              <w:top w:val="single" w:sz="8" w:space="0" w:color="8064A2" w:themeColor="accent4"/>
              <w:bottom w:val="nil"/>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37,6</w:t>
            </w:r>
          </w:p>
        </w:tc>
        <w:tc>
          <w:tcPr>
            <w:tcW w:w="661" w:type="dxa"/>
            <w:tcBorders>
              <w:top w:val="single" w:sz="8" w:space="0" w:color="8064A2" w:themeColor="accent4"/>
              <w:bottom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45,9</w:t>
            </w:r>
          </w:p>
        </w:tc>
        <w:tc>
          <w:tcPr>
            <w:tcW w:w="661" w:type="dxa"/>
            <w:tcBorders>
              <w:top w:val="single" w:sz="8" w:space="0" w:color="8064A2" w:themeColor="accent4"/>
              <w:left w:val="single" w:sz="4" w:space="0" w:color="8064A2" w:themeColor="accent4"/>
              <w:bottom w:val="nil"/>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16,2</w:t>
            </w:r>
          </w:p>
        </w:tc>
        <w:tc>
          <w:tcPr>
            <w:tcW w:w="661" w:type="dxa"/>
            <w:tcBorders>
              <w:top w:val="single" w:sz="8" w:space="0" w:color="8064A2" w:themeColor="accent4"/>
              <w:bottom w:val="nil"/>
            </w:tcBorders>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45,0</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top w:val="nil"/>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Izglītība</w:t>
            </w:r>
          </w:p>
        </w:tc>
        <w:tc>
          <w:tcPr>
            <w:tcW w:w="692" w:type="dxa"/>
            <w:tcBorders>
              <w:top w:val="nil"/>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48,5</w:t>
            </w:r>
          </w:p>
        </w:tc>
        <w:tc>
          <w:tcPr>
            <w:tcW w:w="677" w:type="dxa"/>
            <w:tcBorders>
              <w:top w:val="nil"/>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46,0</w:t>
            </w:r>
          </w:p>
        </w:tc>
        <w:tc>
          <w:tcPr>
            <w:tcW w:w="668" w:type="dxa"/>
            <w:tcBorders>
              <w:top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44,7</w:t>
            </w:r>
          </w:p>
        </w:tc>
        <w:tc>
          <w:tcPr>
            <w:tcW w:w="664" w:type="dxa"/>
            <w:tcBorders>
              <w:top w:val="nil"/>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4,7</w:t>
            </w:r>
          </w:p>
        </w:tc>
        <w:tc>
          <w:tcPr>
            <w:tcW w:w="662" w:type="dxa"/>
            <w:tcBorders>
              <w:top w:val="nil"/>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4,6</w:t>
            </w:r>
          </w:p>
        </w:tc>
        <w:tc>
          <w:tcPr>
            <w:tcW w:w="661" w:type="dxa"/>
            <w:tcBorders>
              <w:top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4,4</w:t>
            </w:r>
          </w:p>
        </w:tc>
        <w:tc>
          <w:tcPr>
            <w:tcW w:w="661" w:type="dxa"/>
            <w:tcBorders>
              <w:top w:val="nil"/>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-5,1</w:t>
            </w:r>
          </w:p>
        </w:tc>
        <w:tc>
          <w:tcPr>
            <w:tcW w:w="661" w:type="dxa"/>
            <w:tcBorders>
              <w:top w:val="nil"/>
            </w:tcBorders>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-7,8</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Humanitārās zinātnes un māksla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21,4</w:t>
            </w:r>
          </w:p>
        </w:tc>
        <w:tc>
          <w:tcPr>
            <w:tcW w:w="677" w:type="dxa"/>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27,6</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32,8</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w:t>
            </w:r>
          </w:p>
        </w:tc>
        <w:tc>
          <w:tcPr>
            <w:tcW w:w="662" w:type="dxa"/>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2,8</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3,2</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28,8</w:t>
            </w:r>
          </w:p>
        </w:tc>
        <w:tc>
          <w:tcPr>
            <w:tcW w:w="661" w:type="dxa"/>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53,4</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 xml:space="preserve">Sociālās zinātnes, </w:t>
            </w:r>
            <w:proofErr w:type="spellStart"/>
            <w:r w:rsidRPr="00414DFF">
              <w:rPr>
                <w:rFonts w:eastAsia="Times New Roman"/>
                <w:color w:val="000000" w:themeColor="text1"/>
                <w:sz w:val="18"/>
                <w:szCs w:val="18"/>
                <w:lang w:eastAsia="lv-LV"/>
              </w:rPr>
              <w:t>komerczinības</w:t>
            </w:r>
            <w:proofErr w:type="spellEnd"/>
            <w:r w:rsidRPr="00414DFF">
              <w:rPr>
                <w:rFonts w:eastAsia="Times New Roman"/>
                <w:color w:val="000000" w:themeColor="text1"/>
                <w:sz w:val="18"/>
                <w:szCs w:val="18"/>
                <w:lang w:eastAsia="lv-LV"/>
              </w:rPr>
              <w:t xml:space="preserve"> un tiesības</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132,3</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160,9</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201,8</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12,7</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16,1</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19,8</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21,6</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52,5</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Dabas zinātnes, matemātika un informācijas tehnoloģijas</w:t>
            </w:r>
          </w:p>
        </w:tc>
        <w:tc>
          <w:tcPr>
            <w:tcW w:w="692" w:type="dxa"/>
            <w:tcBorders>
              <w:left w:val="single" w:sz="4" w:space="0" w:color="8064A2" w:themeColor="accent4"/>
            </w:tcBorders>
            <w:noWrap/>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17,3</w:t>
            </w:r>
          </w:p>
        </w:tc>
        <w:tc>
          <w:tcPr>
            <w:tcW w:w="677" w:type="dxa"/>
            <w:noWrap/>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24,0</w:t>
            </w:r>
          </w:p>
        </w:tc>
        <w:tc>
          <w:tcPr>
            <w:tcW w:w="668" w:type="dxa"/>
            <w:tcBorders>
              <w:righ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37,8</w:t>
            </w:r>
          </w:p>
        </w:tc>
        <w:tc>
          <w:tcPr>
            <w:tcW w:w="664" w:type="dxa"/>
            <w:tcBorders>
              <w:lef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1,7</w:t>
            </w:r>
          </w:p>
        </w:tc>
        <w:tc>
          <w:tcPr>
            <w:tcW w:w="662" w:type="dxa"/>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2,4</w:t>
            </w:r>
          </w:p>
        </w:tc>
        <w:tc>
          <w:tcPr>
            <w:tcW w:w="661" w:type="dxa"/>
            <w:tcBorders>
              <w:righ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3,7</w:t>
            </w:r>
          </w:p>
        </w:tc>
        <w:tc>
          <w:tcPr>
            <w:tcW w:w="661" w:type="dxa"/>
            <w:tcBorders>
              <w:lef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38,3</w:t>
            </w:r>
          </w:p>
        </w:tc>
        <w:tc>
          <w:tcPr>
            <w:tcW w:w="661" w:type="dxa"/>
            <w:vAlign w:val="center"/>
            <w:hideMark/>
          </w:tcPr>
          <w:p w:rsidR="00CB0535" w:rsidRPr="00414DFF" w:rsidRDefault="00CB0535" w:rsidP="00C204DE">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118,3</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Inženierzinātnes, ražošana un būvniecība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54,2</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57,7</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73,0</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5,2</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5,8</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7,2</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6,5</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34,9</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Lauksaimniecība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10,0</w:t>
            </w:r>
          </w:p>
        </w:tc>
        <w:tc>
          <w:tcPr>
            <w:tcW w:w="677" w:type="dxa"/>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8,3</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7,9</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1,0</w:t>
            </w:r>
          </w:p>
        </w:tc>
        <w:tc>
          <w:tcPr>
            <w:tcW w:w="662" w:type="dxa"/>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-16,9</w:t>
            </w:r>
          </w:p>
        </w:tc>
        <w:tc>
          <w:tcPr>
            <w:tcW w:w="661" w:type="dxa"/>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-21,3</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Veselības aprūpe un sociālā labklājība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23,8</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30,1</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44,7</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2,3</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3,0</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4,4</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26,2</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87,3</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bottom w:val="single" w:sz="4" w:space="0" w:color="8064A2" w:themeColor="accent4"/>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Pakalpojumi</w:t>
            </w:r>
          </w:p>
        </w:tc>
        <w:tc>
          <w:tcPr>
            <w:tcW w:w="692" w:type="dxa"/>
            <w:tcBorders>
              <w:left w:val="single" w:sz="4" w:space="0" w:color="8064A2" w:themeColor="accent4"/>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15,7</w:t>
            </w:r>
          </w:p>
        </w:tc>
        <w:tc>
          <w:tcPr>
            <w:tcW w:w="677" w:type="dxa"/>
            <w:tcBorders>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21,0</w:t>
            </w:r>
          </w:p>
        </w:tc>
        <w:tc>
          <w:tcPr>
            <w:tcW w:w="668" w:type="dxa"/>
            <w:tcBorders>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26,0</w:t>
            </w:r>
          </w:p>
        </w:tc>
        <w:tc>
          <w:tcPr>
            <w:tcW w:w="664" w:type="dxa"/>
            <w:tcBorders>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1,5</w:t>
            </w:r>
          </w:p>
        </w:tc>
        <w:tc>
          <w:tcPr>
            <w:tcW w:w="662" w:type="dxa"/>
            <w:tcBorders>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w:t>
            </w:r>
          </w:p>
        </w:tc>
        <w:tc>
          <w:tcPr>
            <w:tcW w:w="661" w:type="dxa"/>
            <w:tcBorders>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2,5</w:t>
            </w:r>
          </w:p>
        </w:tc>
        <w:tc>
          <w:tcPr>
            <w:tcW w:w="661" w:type="dxa"/>
            <w:tcBorders>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33,4</w:t>
            </w:r>
          </w:p>
        </w:tc>
        <w:tc>
          <w:tcPr>
            <w:tcW w:w="661" w:type="dxa"/>
            <w:tcBorders>
              <w:bottom w:val="single" w:sz="4" w:space="0" w:color="8064A2" w:themeColor="accent4"/>
            </w:tcBorders>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65,4</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9" w:type="dxa"/>
            <w:vMerge w:val="restart"/>
            <w:tcBorders>
              <w:top w:val="single" w:sz="4" w:space="0" w:color="8064A2" w:themeColor="accent4"/>
              <w:bottom w:val="nil"/>
            </w:tcBorders>
            <w:noWrap/>
            <w:textDirection w:val="btLr"/>
            <w:hideMark/>
          </w:tcPr>
          <w:p w:rsidR="00CB0535" w:rsidRPr="00414DFF" w:rsidRDefault="00CB0535">
            <w:pPr>
              <w:spacing w:before="40" w:after="40" w:line="240" w:lineRule="auto"/>
              <w:jc w:val="center"/>
              <w:rPr>
                <w:rFonts w:eastAsia="Times New Roman"/>
                <w:b w:val="0"/>
                <w:bCs w:val="0"/>
                <w:color w:val="000000" w:themeColor="text1"/>
                <w:sz w:val="18"/>
                <w:szCs w:val="18"/>
                <w:lang w:eastAsia="lv-LV"/>
              </w:rPr>
            </w:pPr>
            <w:r w:rsidRPr="00414DFF">
              <w:rPr>
                <w:rFonts w:eastAsia="Times New Roman"/>
                <w:color w:val="000000" w:themeColor="text1"/>
                <w:sz w:val="18"/>
                <w:szCs w:val="18"/>
                <w:lang w:eastAsia="lv-LV"/>
              </w:rPr>
              <w:t>Vidējā izglītība</w:t>
            </w:r>
          </w:p>
        </w:tc>
        <w:tc>
          <w:tcPr>
            <w:tcW w:w="3446" w:type="dxa"/>
            <w:gridSpan w:val="2"/>
            <w:tcBorders>
              <w:top w:val="single" w:sz="4" w:space="0" w:color="8064A2" w:themeColor="accent4"/>
              <w:bottom w:val="nil"/>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8"/>
                <w:szCs w:val="18"/>
                <w:lang w:eastAsia="lv-LV"/>
              </w:rPr>
            </w:pPr>
            <w:r w:rsidRPr="00414DFF">
              <w:rPr>
                <w:rFonts w:eastAsia="Times New Roman"/>
                <w:b/>
                <w:bCs/>
                <w:color w:val="000000" w:themeColor="text1"/>
                <w:sz w:val="18"/>
                <w:szCs w:val="18"/>
                <w:lang w:eastAsia="lv-LV"/>
              </w:rPr>
              <w:t>Vidējā izglītība kopā</w:t>
            </w:r>
          </w:p>
        </w:tc>
        <w:tc>
          <w:tcPr>
            <w:tcW w:w="692" w:type="dxa"/>
            <w:tcBorders>
              <w:top w:val="single" w:sz="4" w:space="0" w:color="8064A2" w:themeColor="accent4"/>
              <w:left w:val="single" w:sz="4" w:space="0" w:color="8064A2" w:themeColor="accent4"/>
              <w:bottom w:val="nil"/>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611,0</w:t>
            </w:r>
          </w:p>
        </w:tc>
        <w:tc>
          <w:tcPr>
            <w:tcW w:w="677" w:type="dxa"/>
            <w:tcBorders>
              <w:top w:val="single" w:sz="4" w:space="0" w:color="8064A2" w:themeColor="accent4"/>
              <w:bottom w:val="nil"/>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497,2</w:t>
            </w:r>
          </w:p>
        </w:tc>
        <w:tc>
          <w:tcPr>
            <w:tcW w:w="668" w:type="dxa"/>
            <w:tcBorders>
              <w:top w:val="single" w:sz="4" w:space="0" w:color="8064A2" w:themeColor="accent4"/>
              <w:bottom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428,6</w:t>
            </w:r>
          </w:p>
        </w:tc>
        <w:tc>
          <w:tcPr>
            <w:tcW w:w="664" w:type="dxa"/>
            <w:tcBorders>
              <w:top w:val="single" w:sz="4" w:space="0" w:color="8064A2" w:themeColor="accent4"/>
              <w:left w:val="single" w:sz="4" w:space="0" w:color="8064A2" w:themeColor="accent4"/>
              <w:bottom w:val="nil"/>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58,7</w:t>
            </w:r>
          </w:p>
        </w:tc>
        <w:tc>
          <w:tcPr>
            <w:tcW w:w="662" w:type="dxa"/>
            <w:tcBorders>
              <w:top w:val="single" w:sz="4" w:space="0" w:color="8064A2" w:themeColor="accent4"/>
              <w:bottom w:val="nil"/>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49,7</w:t>
            </w:r>
          </w:p>
        </w:tc>
        <w:tc>
          <w:tcPr>
            <w:tcW w:w="661" w:type="dxa"/>
            <w:tcBorders>
              <w:top w:val="single" w:sz="4" w:space="0" w:color="8064A2" w:themeColor="accent4"/>
              <w:bottom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42,0</w:t>
            </w:r>
          </w:p>
        </w:tc>
        <w:tc>
          <w:tcPr>
            <w:tcW w:w="661" w:type="dxa"/>
            <w:tcBorders>
              <w:top w:val="single" w:sz="4" w:space="0" w:color="8064A2" w:themeColor="accent4"/>
              <w:left w:val="single" w:sz="4" w:space="0" w:color="8064A2" w:themeColor="accent4"/>
              <w:bottom w:val="nil"/>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-18,6</w:t>
            </w:r>
          </w:p>
        </w:tc>
        <w:tc>
          <w:tcPr>
            <w:tcW w:w="661" w:type="dxa"/>
            <w:tcBorders>
              <w:top w:val="single" w:sz="4" w:space="0" w:color="8064A2" w:themeColor="accent4"/>
              <w:bottom w:val="nil"/>
            </w:tcBorders>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-29,9</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top w:val="nil"/>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top w:val="nil"/>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Izglītība</w:t>
            </w:r>
          </w:p>
        </w:tc>
        <w:tc>
          <w:tcPr>
            <w:tcW w:w="692" w:type="dxa"/>
            <w:tcBorders>
              <w:top w:val="nil"/>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4,5</w:t>
            </w:r>
          </w:p>
        </w:tc>
        <w:tc>
          <w:tcPr>
            <w:tcW w:w="677" w:type="dxa"/>
            <w:tcBorders>
              <w:top w:val="nil"/>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2,3</w:t>
            </w:r>
          </w:p>
        </w:tc>
        <w:tc>
          <w:tcPr>
            <w:tcW w:w="668" w:type="dxa"/>
            <w:tcBorders>
              <w:top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0,9</w:t>
            </w:r>
          </w:p>
        </w:tc>
        <w:tc>
          <w:tcPr>
            <w:tcW w:w="664" w:type="dxa"/>
            <w:tcBorders>
              <w:top w:val="nil"/>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0,4</w:t>
            </w:r>
          </w:p>
        </w:tc>
        <w:tc>
          <w:tcPr>
            <w:tcW w:w="662" w:type="dxa"/>
            <w:tcBorders>
              <w:top w:val="nil"/>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0,2</w:t>
            </w:r>
          </w:p>
        </w:tc>
        <w:tc>
          <w:tcPr>
            <w:tcW w:w="661" w:type="dxa"/>
            <w:tcBorders>
              <w:top w:val="nil"/>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0,1</w:t>
            </w:r>
          </w:p>
        </w:tc>
        <w:tc>
          <w:tcPr>
            <w:tcW w:w="661" w:type="dxa"/>
            <w:tcBorders>
              <w:top w:val="nil"/>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-48,1</w:t>
            </w:r>
          </w:p>
        </w:tc>
        <w:tc>
          <w:tcPr>
            <w:tcW w:w="661" w:type="dxa"/>
            <w:tcBorders>
              <w:top w:val="nil"/>
            </w:tcBorders>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-80,9</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Humanitārās zinātnes un māksla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7,9</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7,7</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7,7</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-2,9</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-2,7</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 xml:space="preserve">Sociālās zinātnes, </w:t>
            </w:r>
            <w:proofErr w:type="spellStart"/>
            <w:r w:rsidRPr="00414DFF">
              <w:rPr>
                <w:rFonts w:eastAsia="Times New Roman"/>
                <w:color w:val="000000" w:themeColor="text1"/>
                <w:sz w:val="18"/>
                <w:szCs w:val="18"/>
                <w:lang w:eastAsia="lv-LV"/>
              </w:rPr>
              <w:t>komerczinības</w:t>
            </w:r>
            <w:proofErr w:type="spellEnd"/>
            <w:r w:rsidRPr="00414DFF">
              <w:rPr>
                <w:rFonts w:eastAsia="Times New Roman"/>
                <w:color w:val="000000" w:themeColor="text1"/>
                <w:sz w:val="18"/>
                <w:szCs w:val="18"/>
                <w:lang w:eastAsia="lv-LV"/>
              </w:rPr>
              <w:t xml:space="preserve"> un tiesības</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43,9</w:t>
            </w:r>
          </w:p>
        </w:tc>
        <w:tc>
          <w:tcPr>
            <w:tcW w:w="677" w:type="dxa"/>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33,7</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25,7</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4,2</w:t>
            </w:r>
          </w:p>
        </w:tc>
        <w:tc>
          <w:tcPr>
            <w:tcW w:w="662" w:type="dxa"/>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3,4</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2,5</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-23,4</w:t>
            </w:r>
          </w:p>
        </w:tc>
        <w:tc>
          <w:tcPr>
            <w:tcW w:w="661" w:type="dxa"/>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-41,5</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Dabas zinātnes, matemātika un informācijas tehnoloģijas</w:t>
            </w:r>
          </w:p>
        </w:tc>
        <w:tc>
          <w:tcPr>
            <w:tcW w:w="692" w:type="dxa"/>
            <w:tcBorders>
              <w:left w:val="single" w:sz="4" w:space="0" w:color="8064A2" w:themeColor="accent4"/>
            </w:tcBorders>
            <w:noWrap/>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6,3</w:t>
            </w:r>
          </w:p>
        </w:tc>
        <w:tc>
          <w:tcPr>
            <w:tcW w:w="677" w:type="dxa"/>
            <w:noWrap/>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5,3</w:t>
            </w:r>
          </w:p>
        </w:tc>
        <w:tc>
          <w:tcPr>
            <w:tcW w:w="668" w:type="dxa"/>
            <w:tcBorders>
              <w:righ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4,8</w:t>
            </w:r>
          </w:p>
        </w:tc>
        <w:tc>
          <w:tcPr>
            <w:tcW w:w="664" w:type="dxa"/>
            <w:tcBorders>
              <w:lef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0,6</w:t>
            </w:r>
          </w:p>
        </w:tc>
        <w:tc>
          <w:tcPr>
            <w:tcW w:w="662" w:type="dxa"/>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0,5</w:t>
            </w:r>
          </w:p>
        </w:tc>
        <w:tc>
          <w:tcPr>
            <w:tcW w:w="661" w:type="dxa"/>
            <w:tcBorders>
              <w:righ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0,5</w:t>
            </w:r>
          </w:p>
        </w:tc>
        <w:tc>
          <w:tcPr>
            <w:tcW w:w="661" w:type="dxa"/>
            <w:tcBorders>
              <w:left w:val="single" w:sz="4" w:space="0" w:color="8064A2" w:themeColor="accent4"/>
            </w:tcBorders>
            <w:vAlign w:val="center"/>
            <w:hideMark/>
          </w:tcPr>
          <w:p w:rsidR="00CB0535" w:rsidRPr="00414DFF" w:rsidRDefault="00CB0535" w:rsidP="00C204DE">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-15,5</w:t>
            </w:r>
          </w:p>
        </w:tc>
        <w:tc>
          <w:tcPr>
            <w:tcW w:w="661" w:type="dxa"/>
            <w:vAlign w:val="center"/>
            <w:hideMark/>
          </w:tcPr>
          <w:p w:rsidR="00CB0535" w:rsidRPr="00414DFF" w:rsidRDefault="00CB0535" w:rsidP="00C204DE">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-23,3</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Inženierzinātnes, ražošana un būvniecība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203,6</w:t>
            </w:r>
          </w:p>
        </w:tc>
        <w:tc>
          <w:tcPr>
            <w:tcW w:w="677" w:type="dxa"/>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151,7</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111,2</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19,6</w:t>
            </w:r>
          </w:p>
        </w:tc>
        <w:tc>
          <w:tcPr>
            <w:tcW w:w="662" w:type="dxa"/>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15,2</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10,9</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-25,5</w:t>
            </w:r>
          </w:p>
        </w:tc>
        <w:tc>
          <w:tcPr>
            <w:tcW w:w="661" w:type="dxa"/>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-45,4</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Lauksaimniecība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23,2</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17,6</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11,8</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2,2</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1,8</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1,2</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-24,2</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-49,4</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Veselības aprūpe un sociālā labklājība</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18,8</w:t>
            </w:r>
          </w:p>
        </w:tc>
        <w:tc>
          <w:tcPr>
            <w:tcW w:w="677" w:type="dxa"/>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12,9</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8,0</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1,8</w:t>
            </w:r>
          </w:p>
        </w:tc>
        <w:tc>
          <w:tcPr>
            <w:tcW w:w="662" w:type="dxa"/>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1,3</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0,8</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-31,1</w:t>
            </w:r>
          </w:p>
        </w:tc>
        <w:tc>
          <w:tcPr>
            <w:tcW w:w="661" w:type="dxa"/>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-57,3</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35" w:type="dxa"/>
            <w:vMerge/>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right w:val="single" w:sz="4" w:space="0" w:color="8064A2" w:themeColor="accent4"/>
            </w:tcBorders>
            <w:hideMark/>
          </w:tcPr>
          <w:p w:rsidR="00CB0535" w:rsidRPr="00414DFF" w:rsidRDefault="00CB0535">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Pakalpojumi</w:t>
            </w:r>
          </w:p>
        </w:tc>
        <w:tc>
          <w:tcPr>
            <w:tcW w:w="692" w:type="dxa"/>
            <w:tcBorders>
              <w:left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38,1</w:t>
            </w:r>
          </w:p>
        </w:tc>
        <w:tc>
          <w:tcPr>
            <w:tcW w:w="677" w:type="dxa"/>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34,7</w:t>
            </w:r>
          </w:p>
        </w:tc>
        <w:tc>
          <w:tcPr>
            <w:tcW w:w="668"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36,1</w:t>
            </w:r>
          </w:p>
        </w:tc>
        <w:tc>
          <w:tcPr>
            <w:tcW w:w="664"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3,7</w:t>
            </w:r>
          </w:p>
        </w:tc>
        <w:tc>
          <w:tcPr>
            <w:tcW w:w="662" w:type="dxa"/>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3,5</w:t>
            </w:r>
          </w:p>
        </w:tc>
        <w:tc>
          <w:tcPr>
            <w:tcW w:w="661" w:type="dxa"/>
            <w:tcBorders>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3,5</w:t>
            </w:r>
          </w:p>
        </w:tc>
        <w:tc>
          <w:tcPr>
            <w:tcW w:w="661" w:type="dxa"/>
            <w:tcBorders>
              <w:lef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-9,0</w:t>
            </w:r>
          </w:p>
        </w:tc>
        <w:tc>
          <w:tcPr>
            <w:tcW w:w="661" w:type="dxa"/>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14DFF">
              <w:rPr>
                <w:color w:val="000000" w:themeColor="text1"/>
                <w:sz w:val="18"/>
                <w:szCs w:val="18"/>
              </w:rPr>
              <w:t>-5,4</w:t>
            </w:r>
          </w:p>
        </w:tc>
      </w:tr>
      <w:tr w:rsidR="00414DFF" w:rsidRPr="00414DFF" w:rsidTr="00DD2569">
        <w:trPr>
          <w:trHeight w:val="20"/>
        </w:trPr>
        <w:tc>
          <w:tcPr>
            <w:cnfStyle w:val="001000000000" w:firstRow="0" w:lastRow="0" w:firstColumn="1" w:lastColumn="0" w:oddVBand="0" w:evenVBand="0" w:oddHBand="0" w:evenHBand="0" w:firstRowFirstColumn="0" w:firstRowLastColumn="0" w:lastRowFirstColumn="0" w:lastRowLastColumn="0"/>
            <w:tcW w:w="3835" w:type="dxa"/>
            <w:vMerge/>
            <w:tcBorders>
              <w:bottom w:val="single" w:sz="4" w:space="0" w:color="8064A2" w:themeColor="accent4"/>
            </w:tcBorders>
            <w:hideMark/>
          </w:tcPr>
          <w:p w:rsidR="00CB0535" w:rsidRPr="00414DFF" w:rsidRDefault="00CB0535">
            <w:pPr>
              <w:spacing w:after="0" w:line="240" w:lineRule="auto"/>
              <w:rPr>
                <w:rFonts w:eastAsia="Times New Roman"/>
                <w:color w:val="000000" w:themeColor="text1"/>
                <w:sz w:val="18"/>
                <w:szCs w:val="18"/>
                <w:lang w:eastAsia="lv-LV"/>
              </w:rPr>
            </w:pPr>
          </w:p>
        </w:tc>
        <w:tc>
          <w:tcPr>
            <w:tcW w:w="3446" w:type="dxa"/>
            <w:gridSpan w:val="2"/>
            <w:tcBorders>
              <w:bottom w:val="single" w:sz="4" w:space="0" w:color="8064A2" w:themeColor="accent4"/>
              <w:right w:val="single" w:sz="4" w:space="0" w:color="8064A2" w:themeColor="accent4"/>
            </w:tcBorders>
            <w:hideMark/>
          </w:tcPr>
          <w:p w:rsidR="00CB0535" w:rsidRPr="00414DFF" w:rsidRDefault="00CB053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lv-LV"/>
              </w:rPr>
            </w:pPr>
            <w:r w:rsidRPr="00414DFF">
              <w:rPr>
                <w:rFonts w:eastAsia="Times New Roman"/>
                <w:color w:val="000000" w:themeColor="text1"/>
                <w:sz w:val="18"/>
                <w:szCs w:val="18"/>
                <w:lang w:eastAsia="lv-LV"/>
              </w:rPr>
              <w:t>Vispārējā vidējā izglītība</w:t>
            </w:r>
          </w:p>
        </w:tc>
        <w:tc>
          <w:tcPr>
            <w:tcW w:w="692" w:type="dxa"/>
            <w:tcBorders>
              <w:left w:val="single" w:sz="4" w:space="0" w:color="8064A2" w:themeColor="accent4"/>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264,6</w:t>
            </w:r>
          </w:p>
        </w:tc>
        <w:tc>
          <w:tcPr>
            <w:tcW w:w="677" w:type="dxa"/>
            <w:tcBorders>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231,2</w:t>
            </w:r>
          </w:p>
        </w:tc>
        <w:tc>
          <w:tcPr>
            <w:tcW w:w="668" w:type="dxa"/>
            <w:tcBorders>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222,5</w:t>
            </w:r>
          </w:p>
        </w:tc>
        <w:tc>
          <w:tcPr>
            <w:tcW w:w="664" w:type="dxa"/>
            <w:tcBorders>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25,4</w:t>
            </w:r>
          </w:p>
        </w:tc>
        <w:tc>
          <w:tcPr>
            <w:tcW w:w="662" w:type="dxa"/>
            <w:tcBorders>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23,1</w:t>
            </w:r>
          </w:p>
        </w:tc>
        <w:tc>
          <w:tcPr>
            <w:tcW w:w="661" w:type="dxa"/>
            <w:tcBorders>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21,8</w:t>
            </w:r>
          </w:p>
        </w:tc>
        <w:tc>
          <w:tcPr>
            <w:tcW w:w="661" w:type="dxa"/>
            <w:tcBorders>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-12,6</w:t>
            </w:r>
          </w:p>
        </w:tc>
        <w:tc>
          <w:tcPr>
            <w:tcW w:w="661" w:type="dxa"/>
            <w:tcBorders>
              <w:bottom w:val="single" w:sz="4" w:space="0" w:color="8064A2" w:themeColor="accent4"/>
            </w:tcBorders>
            <w:hideMark/>
          </w:tcPr>
          <w:p w:rsidR="00CB0535" w:rsidRPr="00414DFF" w:rsidRDefault="00CB0535">
            <w:pPr>
              <w:tabs>
                <w:tab w:val="decimal" w:pos="216"/>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14DFF">
              <w:rPr>
                <w:color w:val="000000" w:themeColor="text1"/>
                <w:sz w:val="18"/>
                <w:szCs w:val="18"/>
              </w:rPr>
              <w:t>-15,9</w:t>
            </w:r>
          </w:p>
        </w:tc>
      </w:tr>
      <w:tr w:rsidR="00414DFF" w:rsidRPr="00414DFF" w:rsidTr="00DD256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35" w:type="dxa"/>
            <w:gridSpan w:val="3"/>
            <w:tcBorders>
              <w:top w:val="single" w:sz="4" w:space="0" w:color="8064A2" w:themeColor="accent4"/>
              <w:bottom w:val="single" w:sz="4" w:space="0" w:color="8064A2" w:themeColor="accent4"/>
              <w:right w:val="single" w:sz="4" w:space="0" w:color="8064A2" w:themeColor="accent4"/>
            </w:tcBorders>
            <w:hideMark/>
          </w:tcPr>
          <w:p w:rsidR="00CB0535" w:rsidRPr="00414DFF" w:rsidRDefault="00CB0535">
            <w:pPr>
              <w:spacing w:before="40" w:after="40" w:line="240" w:lineRule="auto"/>
              <w:rPr>
                <w:rFonts w:eastAsia="Times New Roman"/>
                <w:b w:val="0"/>
                <w:bCs w:val="0"/>
                <w:color w:val="000000" w:themeColor="text1"/>
                <w:sz w:val="18"/>
                <w:szCs w:val="18"/>
                <w:lang w:eastAsia="lv-LV"/>
              </w:rPr>
            </w:pPr>
            <w:r w:rsidRPr="00414DFF">
              <w:rPr>
                <w:rFonts w:eastAsia="Times New Roman"/>
                <w:color w:val="000000" w:themeColor="text1"/>
                <w:sz w:val="18"/>
                <w:szCs w:val="18"/>
                <w:lang w:eastAsia="lv-LV"/>
              </w:rPr>
              <w:t>Pamatizglītība un zemāka par pamatizglītību</w:t>
            </w:r>
          </w:p>
        </w:tc>
        <w:tc>
          <w:tcPr>
            <w:tcW w:w="692" w:type="dxa"/>
            <w:tcBorders>
              <w:top w:val="single" w:sz="4" w:space="0" w:color="8064A2" w:themeColor="accent4"/>
              <w:left w:val="single" w:sz="4" w:space="0" w:color="8064A2" w:themeColor="accent4"/>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106,8</w:t>
            </w:r>
          </w:p>
        </w:tc>
        <w:tc>
          <w:tcPr>
            <w:tcW w:w="677" w:type="dxa"/>
            <w:tcBorders>
              <w:top w:val="single" w:sz="4" w:space="0" w:color="8064A2" w:themeColor="accent4"/>
              <w:bottom w:val="single" w:sz="4" w:space="0" w:color="8064A2" w:themeColor="accent4"/>
            </w:tcBorders>
            <w:noWrap/>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126,9</w:t>
            </w:r>
          </w:p>
        </w:tc>
        <w:tc>
          <w:tcPr>
            <w:tcW w:w="668" w:type="dxa"/>
            <w:tcBorders>
              <w:top w:val="single" w:sz="4" w:space="0" w:color="8064A2" w:themeColor="accent4"/>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124,1</w:t>
            </w:r>
          </w:p>
        </w:tc>
        <w:tc>
          <w:tcPr>
            <w:tcW w:w="664" w:type="dxa"/>
            <w:tcBorders>
              <w:top w:val="single" w:sz="4" w:space="0" w:color="8064A2" w:themeColor="accent4"/>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10,3</w:t>
            </w:r>
          </w:p>
        </w:tc>
        <w:tc>
          <w:tcPr>
            <w:tcW w:w="662" w:type="dxa"/>
            <w:tcBorders>
              <w:top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12,7</w:t>
            </w:r>
          </w:p>
        </w:tc>
        <w:tc>
          <w:tcPr>
            <w:tcW w:w="661" w:type="dxa"/>
            <w:tcBorders>
              <w:top w:val="single" w:sz="4" w:space="0" w:color="8064A2" w:themeColor="accent4"/>
              <w:bottom w:val="single" w:sz="4"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12,1</w:t>
            </w:r>
          </w:p>
        </w:tc>
        <w:tc>
          <w:tcPr>
            <w:tcW w:w="661" w:type="dxa"/>
            <w:tcBorders>
              <w:top w:val="single" w:sz="4" w:space="0" w:color="8064A2" w:themeColor="accent4"/>
              <w:left w:val="single" w:sz="4" w:space="0" w:color="8064A2" w:themeColor="accent4"/>
              <w:bottom w:val="single" w:sz="4" w:space="0" w:color="8064A2" w:themeColor="accent4"/>
            </w:tcBorders>
            <w:hideMark/>
          </w:tcPr>
          <w:p w:rsidR="00CB0535" w:rsidRPr="00414DFF" w:rsidRDefault="00CB0535">
            <w:pPr>
              <w:tabs>
                <w:tab w:val="decimal" w:pos="318"/>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18,8</w:t>
            </w:r>
          </w:p>
        </w:tc>
        <w:tc>
          <w:tcPr>
            <w:tcW w:w="661" w:type="dxa"/>
            <w:tcBorders>
              <w:top w:val="single" w:sz="4" w:space="0" w:color="8064A2" w:themeColor="accent4"/>
              <w:bottom w:val="single" w:sz="4" w:space="0" w:color="8064A2" w:themeColor="accent4"/>
            </w:tcBorders>
            <w:hideMark/>
          </w:tcPr>
          <w:p w:rsidR="00CB0535" w:rsidRPr="00414DFF" w:rsidRDefault="00CB0535">
            <w:pPr>
              <w:tabs>
                <w:tab w:val="decimal" w:pos="216"/>
              </w:tabs>
              <w:spacing w:before="40" w:after="40" w:line="240" w:lineRule="auto"/>
              <w:ind w:left="-57"/>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414DFF">
              <w:rPr>
                <w:b/>
                <w:color w:val="000000" w:themeColor="text1"/>
                <w:sz w:val="18"/>
                <w:szCs w:val="18"/>
              </w:rPr>
              <w:t>16,2</w:t>
            </w:r>
          </w:p>
        </w:tc>
      </w:tr>
      <w:tr w:rsidR="00414DFF" w:rsidRPr="00414DFF" w:rsidTr="00DD2569">
        <w:trPr>
          <w:trHeight w:val="153"/>
        </w:trPr>
        <w:tc>
          <w:tcPr>
            <w:cnfStyle w:val="001000000000" w:firstRow="0" w:lastRow="0" w:firstColumn="1" w:lastColumn="0" w:oddVBand="0" w:evenVBand="0" w:oddHBand="0" w:evenHBand="0" w:firstRowFirstColumn="0" w:firstRowLastColumn="0" w:lastRowFirstColumn="0" w:lastRowLastColumn="0"/>
            <w:tcW w:w="1202" w:type="dxa"/>
            <w:gridSpan w:val="2"/>
            <w:tcBorders>
              <w:top w:val="single" w:sz="4" w:space="0" w:color="8064A2" w:themeColor="accent4"/>
              <w:bottom w:val="single" w:sz="8" w:space="0" w:color="8064A2" w:themeColor="accent4"/>
            </w:tcBorders>
            <w:noWrap/>
            <w:hideMark/>
          </w:tcPr>
          <w:p w:rsidR="00CB0535" w:rsidRPr="00414DFF" w:rsidRDefault="00CB0535">
            <w:pPr>
              <w:spacing w:before="40" w:after="40" w:line="240" w:lineRule="auto"/>
              <w:rPr>
                <w:rFonts w:eastAsia="Times New Roman"/>
                <w:bCs w:val="0"/>
                <w:color w:val="000000" w:themeColor="text1"/>
                <w:sz w:val="18"/>
                <w:szCs w:val="18"/>
                <w:lang w:eastAsia="lv-LV"/>
              </w:rPr>
            </w:pPr>
            <w:r w:rsidRPr="00414DFF">
              <w:rPr>
                <w:rFonts w:eastAsia="Times New Roman"/>
                <w:color w:val="000000" w:themeColor="text1"/>
                <w:sz w:val="18"/>
                <w:szCs w:val="18"/>
                <w:lang w:eastAsia="lv-LV"/>
              </w:rPr>
              <w:t>Kopā</w:t>
            </w:r>
          </w:p>
        </w:tc>
        <w:tc>
          <w:tcPr>
            <w:tcW w:w="2633" w:type="dxa"/>
            <w:tcBorders>
              <w:top w:val="single" w:sz="4" w:space="0" w:color="8064A2" w:themeColor="accent4"/>
              <w:bottom w:val="single" w:sz="8" w:space="0" w:color="8064A2" w:themeColor="accent4"/>
              <w:right w:val="single" w:sz="4" w:space="0" w:color="8064A2" w:themeColor="accent4"/>
            </w:tcBorders>
            <w:noWrap/>
            <w:hideMark/>
          </w:tcPr>
          <w:p w:rsidR="00CB0535" w:rsidRPr="00414DFF" w:rsidRDefault="00CB053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92" w:type="dxa"/>
            <w:tcBorders>
              <w:top w:val="single" w:sz="4" w:space="0" w:color="8064A2" w:themeColor="accent4"/>
              <w:left w:val="single" w:sz="4" w:space="0" w:color="8064A2" w:themeColor="accent4"/>
              <w:bottom w:val="single" w:sz="8"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1041,1</w:t>
            </w:r>
          </w:p>
        </w:tc>
        <w:tc>
          <w:tcPr>
            <w:tcW w:w="677" w:type="dxa"/>
            <w:tcBorders>
              <w:top w:val="single" w:sz="4" w:space="0" w:color="8064A2" w:themeColor="accent4"/>
              <w:bottom w:val="single" w:sz="8" w:space="0" w:color="8064A2" w:themeColor="accent4"/>
            </w:tcBorders>
            <w:noWrap/>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999,5</w:t>
            </w:r>
          </w:p>
        </w:tc>
        <w:tc>
          <w:tcPr>
            <w:tcW w:w="668" w:type="dxa"/>
            <w:tcBorders>
              <w:top w:val="single" w:sz="4" w:space="0" w:color="8064A2" w:themeColor="accent4"/>
              <w:bottom w:val="single" w:sz="8"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1021,4</w:t>
            </w:r>
          </w:p>
        </w:tc>
        <w:tc>
          <w:tcPr>
            <w:tcW w:w="664" w:type="dxa"/>
            <w:tcBorders>
              <w:top w:val="single" w:sz="4" w:space="0" w:color="8064A2" w:themeColor="accent4"/>
              <w:left w:val="single" w:sz="4" w:space="0" w:color="8064A2" w:themeColor="accent4"/>
              <w:bottom w:val="single" w:sz="8"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100</w:t>
            </w:r>
          </w:p>
        </w:tc>
        <w:tc>
          <w:tcPr>
            <w:tcW w:w="663" w:type="dxa"/>
            <w:tcBorders>
              <w:top w:val="single" w:sz="4" w:space="0" w:color="8064A2" w:themeColor="accent4"/>
              <w:bottom w:val="single" w:sz="8"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100</w:t>
            </w:r>
          </w:p>
        </w:tc>
        <w:tc>
          <w:tcPr>
            <w:tcW w:w="661" w:type="dxa"/>
            <w:tcBorders>
              <w:top w:val="single" w:sz="4" w:space="0" w:color="8064A2" w:themeColor="accent4"/>
              <w:bottom w:val="single" w:sz="8" w:space="0" w:color="8064A2" w:themeColor="accent4"/>
              <w:right w:val="single" w:sz="4" w:space="0" w:color="8064A2" w:themeColor="accent4"/>
            </w:tcBorders>
            <w:hideMark/>
          </w:tcPr>
          <w:p w:rsidR="00CB0535" w:rsidRPr="00414DFF" w:rsidRDefault="00CB0535">
            <w:pPr>
              <w:tabs>
                <w:tab w:val="decimal" w:pos="318"/>
              </w:tabs>
              <w:spacing w:before="40" w:after="40" w:line="240" w:lineRule="auto"/>
              <w:ind w:left="-57"/>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100</w:t>
            </w:r>
          </w:p>
        </w:tc>
        <w:tc>
          <w:tcPr>
            <w:tcW w:w="661" w:type="dxa"/>
            <w:tcBorders>
              <w:top w:val="single" w:sz="4" w:space="0" w:color="8064A2" w:themeColor="accent4"/>
              <w:left w:val="single" w:sz="4" w:space="0" w:color="8064A2" w:themeColor="accent4"/>
              <w:bottom w:val="single" w:sz="8" w:space="0" w:color="8064A2" w:themeColor="accent4"/>
            </w:tcBorders>
            <w:hideMark/>
          </w:tcPr>
          <w:p w:rsidR="00CB0535" w:rsidRPr="00414DFF" w:rsidRDefault="00CB0535">
            <w:pPr>
              <w:tabs>
                <w:tab w:val="decimal" w:pos="310"/>
              </w:tab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-4,0</w:t>
            </w:r>
          </w:p>
        </w:tc>
        <w:tc>
          <w:tcPr>
            <w:tcW w:w="660" w:type="dxa"/>
            <w:tcBorders>
              <w:top w:val="single" w:sz="4" w:space="0" w:color="8064A2" w:themeColor="accent4"/>
              <w:bottom w:val="single" w:sz="8" w:space="0" w:color="8064A2" w:themeColor="accent4"/>
            </w:tcBorders>
            <w:hideMark/>
          </w:tcPr>
          <w:p w:rsidR="00CB0535" w:rsidRPr="00414DFF" w:rsidRDefault="00CB0535">
            <w:pPr>
              <w:tabs>
                <w:tab w:val="decimal" w:pos="227"/>
              </w:tab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414DFF">
              <w:rPr>
                <w:b/>
                <w:color w:val="000000" w:themeColor="text1"/>
                <w:sz w:val="18"/>
                <w:szCs w:val="18"/>
              </w:rPr>
              <w:t>-1,9</w:t>
            </w:r>
          </w:p>
        </w:tc>
      </w:tr>
    </w:tbl>
    <w:p w:rsidR="00CB0535" w:rsidRDefault="00CB0535" w:rsidP="00CB0535">
      <w:pPr>
        <w:spacing w:after="0" w:line="240" w:lineRule="auto"/>
        <w:ind w:right="-1" w:firstLine="426"/>
        <w:jc w:val="both"/>
        <w:rPr>
          <w:sz w:val="26"/>
          <w:szCs w:val="26"/>
        </w:rPr>
      </w:pPr>
    </w:p>
    <w:p w:rsidR="00CB0535" w:rsidRPr="0090109A" w:rsidRDefault="00CB0535" w:rsidP="00CB0535">
      <w:pPr>
        <w:spacing w:after="0" w:line="240" w:lineRule="auto"/>
        <w:ind w:firstLine="426"/>
        <w:jc w:val="both"/>
        <w:rPr>
          <w:color w:val="000000" w:themeColor="text1"/>
          <w:sz w:val="26"/>
          <w:szCs w:val="26"/>
        </w:rPr>
      </w:pPr>
      <w:r w:rsidRPr="0090109A">
        <w:rPr>
          <w:color w:val="000000" w:themeColor="text1"/>
          <w:sz w:val="26"/>
          <w:szCs w:val="26"/>
        </w:rPr>
        <w:t xml:space="preserve">Jāatzīmē, ka būtiskākais samazinājums varētu būt starp ekonomiski aktīvajiem iedzīvotājiem ar arodizglītību un vidējo profesionālo izglītību. Mērenāks darbaspēka piedāvājuma samazinājums sagaidāms ar vidējo vispārējo izglītību. Šīs tendences kopumā norāda uz nepieciešamību palielināt profesionālās izglītības nozīmi vidējā līmeņa izglītībā, mainot jauniešu izglītības </w:t>
      </w:r>
      <w:proofErr w:type="spellStart"/>
      <w:r w:rsidRPr="0090109A">
        <w:rPr>
          <w:color w:val="000000" w:themeColor="text1"/>
          <w:sz w:val="26"/>
          <w:szCs w:val="26"/>
        </w:rPr>
        <w:t>preferences</w:t>
      </w:r>
      <w:proofErr w:type="spellEnd"/>
      <w:r w:rsidRPr="0090109A">
        <w:rPr>
          <w:color w:val="000000" w:themeColor="text1"/>
          <w:sz w:val="26"/>
          <w:szCs w:val="26"/>
        </w:rPr>
        <w:t xml:space="preserve"> par labu profesionālai ievirzei.</w:t>
      </w:r>
    </w:p>
    <w:p w:rsidR="00CB0535" w:rsidRPr="0090109A" w:rsidRDefault="00CB0535" w:rsidP="00CB0535">
      <w:pPr>
        <w:spacing w:after="0" w:line="240" w:lineRule="auto"/>
        <w:ind w:firstLine="426"/>
        <w:jc w:val="both"/>
        <w:rPr>
          <w:color w:val="000000" w:themeColor="text1"/>
          <w:sz w:val="26"/>
          <w:szCs w:val="26"/>
        </w:rPr>
      </w:pPr>
      <w:r w:rsidRPr="0090109A">
        <w:rPr>
          <w:color w:val="000000" w:themeColor="text1"/>
          <w:sz w:val="26"/>
          <w:szCs w:val="26"/>
        </w:rPr>
        <w:t>Vienlaikus īpaša uzmanība būtu pievēršama iedzīvotājiem ar pamatizglītību, kuru skaits darba tirgū joprojām ir ievērojams. Turklāt nav sagaidāms arī, ka tuvākā nākotnē to īpatsvars varētu ievērojami sarukt. Jāuzsver, ka savlaicīgi veiktas reformas izglītības sistēmā var novērst iespējamās disproporcijas darba tirgū.</w:t>
      </w:r>
    </w:p>
    <w:p w:rsidR="00CB0535" w:rsidRPr="00CD7B6E" w:rsidRDefault="00CB0535" w:rsidP="0090109A">
      <w:pPr>
        <w:pStyle w:val="Heading2"/>
        <w:pBdr>
          <w:bottom w:val="thinThickSmallGap" w:sz="18" w:space="1" w:color="8064A2" w:themeColor="accent4"/>
        </w:pBdr>
        <w:spacing w:before="0" w:after="0" w:line="240" w:lineRule="auto"/>
        <w:rPr>
          <w:szCs w:val="28"/>
        </w:rPr>
      </w:pPr>
      <w:bookmarkStart w:id="58" w:name="_Toc357503123"/>
      <w:r w:rsidRPr="00CD7B6E">
        <w:rPr>
          <w:szCs w:val="28"/>
        </w:rPr>
        <w:lastRenderedPageBreak/>
        <w:t>3.5. Darbaspēka pieprasījuma un piedāvājuma atbilstība</w:t>
      </w:r>
      <w:bookmarkEnd w:id="58"/>
    </w:p>
    <w:p w:rsidR="00CB0535" w:rsidRPr="007863C3" w:rsidRDefault="00CB0535" w:rsidP="00DB2CA4">
      <w:pPr>
        <w:spacing w:after="0" w:line="240" w:lineRule="auto"/>
        <w:jc w:val="both"/>
        <w:rPr>
          <w:sz w:val="20"/>
          <w:szCs w:val="26"/>
        </w:rPr>
      </w:pPr>
    </w:p>
    <w:p w:rsidR="00A908C3" w:rsidRPr="00483A9D" w:rsidRDefault="00A908C3" w:rsidP="00A908C3">
      <w:pPr>
        <w:spacing w:after="0" w:line="240" w:lineRule="auto"/>
        <w:jc w:val="both"/>
        <w:rPr>
          <w:b/>
          <w:bCs/>
          <w:iCs/>
          <w:sz w:val="26"/>
          <w:szCs w:val="26"/>
        </w:rPr>
      </w:pPr>
      <w:r>
        <w:rPr>
          <w:b/>
          <w:bCs/>
          <w:iCs/>
          <w:sz w:val="26"/>
          <w:szCs w:val="26"/>
        </w:rPr>
        <w:t>A</w:t>
      </w:r>
      <w:r w:rsidRPr="001044C9">
        <w:rPr>
          <w:b/>
          <w:bCs/>
          <w:iCs/>
          <w:sz w:val="26"/>
          <w:szCs w:val="26"/>
        </w:rPr>
        <w:t>tbilstība pa izglītības tematiskajām grupām</w:t>
      </w:r>
    </w:p>
    <w:p w:rsidR="00A908C3" w:rsidRPr="00A908C3" w:rsidRDefault="00A908C3" w:rsidP="00A908C3">
      <w:pPr>
        <w:spacing w:after="0" w:line="240" w:lineRule="auto"/>
        <w:ind w:firstLine="426"/>
        <w:jc w:val="both"/>
        <w:rPr>
          <w:bCs/>
          <w:iCs/>
          <w:sz w:val="8"/>
          <w:szCs w:val="26"/>
        </w:rPr>
      </w:pPr>
    </w:p>
    <w:p w:rsidR="00A908C3" w:rsidRPr="00A908C3" w:rsidRDefault="00A908C3" w:rsidP="00A908C3">
      <w:pPr>
        <w:spacing w:after="0" w:line="240" w:lineRule="auto"/>
        <w:ind w:firstLine="426"/>
        <w:jc w:val="both"/>
        <w:rPr>
          <w:bCs/>
          <w:iCs/>
          <w:color w:val="000000" w:themeColor="text1"/>
          <w:sz w:val="26"/>
          <w:szCs w:val="26"/>
        </w:rPr>
      </w:pPr>
      <w:r>
        <w:rPr>
          <w:bCs/>
          <w:iCs/>
          <w:color w:val="000000" w:themeColor="text1"/>
          <w:sz w:val="26"/>
          <w:szCs w:val="26"/>
        </w:rPr>
        <w:t>Līdz 2030.</w:t>
      </w:r>
      <w:r w:rsidRPr="00A908C3">
        <w:rPr>
          <w:bCs/>
          <w:iCs/>
          <w:color w:val="000000" w:themeColor="text1"/>
          <w:sz w:val="26"/>
          <w:szCs w:val="26"/>
        </w:rPr>
        <w:t>gadam darbaspēka pieprasījums kopumā turpinās pārkārtoties par labu pieprasījumam pēc speciālistiem ar augstāko izglītību. Līdzīgas tendences būs vērojamas arī piedāvājuma pusē, turklāt izmaiņas darbaspēka piedāvājumā varētu būt sagaidām</w:t>
      </w:r>
      <w:r>
        <w:rPr>
          <w:bCs/>
          <w:iCs/>
          <w:color w:val="000000" w:themeColor="text1"/>
          <w:sz w:val="26"/>
          <w:szCs w:val="26"/>
        </w:rPr>
        <w:t>as pat ātrāk nekā pieprasījumā.</w:t>
      </w:r>
    </w:p>
    <w:p w:rsidR="00A908C3" w:rsidRPr="00A908C3" w:rsidRDefault="00A908C3" w:rsidP="00A908C3">
      <w:pPr>
        <w:spacing w:after="0" w:line="240" w:lineRule="auto"/>
        <w:ind w:firstLine="426"/>
        <w:jc w:val="both"/>
        <w:rPr>
          <w:bCs/>
          <w:iCs/>
          <w:color w:val="000000" w:themeColor="text1"/>
          <w:sz w:val="26"/>
          <w:szCs w:val="26"/>
        </w:rPr>
      </w:pPr>
      <w:r>
        <w:rPr>
          <w:bCs/>
          <w:iCs/>
          <w:color w:val="000000" w:themeColor="text1"/>
          <w:sz w:val="26"/>
          <w:szCs w:val="26"/>
        </w:rPr>
        <w:t>Vidējā termiņā (līdz 2020.</w:t>
      </w:r>
      <w:r w:rsidRPr="00A908C3">
        <w:rPr>
          <w:bCs/>
          <w:iCs/>
          <w:color w:val="000000" w:themeColor="text1"/>
          <w:sz w:val="26"/>
          <w:szCs w:val="26"/>
        </w:rPr>
        <w:t xml:space="preserve">gadam) augstākās un vidējās kvalifikācijas darbaspēka pieprasījums un piedāvājums pakāpeniski sasniegs līdzsvara stāvokli. Vienlaikus darbaspēka pieprasījuma un piedāvājuma attiecība nebūs vienlīdz vienāda visos izglītības </w:t>
      </w:r>
      <w:proofErr w:type="spellStart"/>
      <w:r w:rsidRPr="00A908C3">
        <w:rPr>
          <w:bCs/>
          <w:iCs/>
          <w:color w:val="000000" w:themeColor="text1"/>
          <w:sz w:val="26"/>
          <w:szCs w:val="26"/>
        </w:rPr>
        <w:t>apakšsegmentos</w:t>
      </w:r>
      <w:proofErr w:type="spellEnd"/>
      <w:r w:rsidRPr="00A908C3">
        <w:rPr>
          <w:bCs/>
          <w:iCs/>
          <w:color w:val="000000" w:themeColor="text1"/>
          <w:sz w:val="26"/>
          <w:szCs w:val="26"/>
        </w:rPr>
        <w:t xml:space="preserve"> – daudz izteiktāka nepietiekamība būs vērojama pēc darbaspēka ar profesionālās ievirzes izglītību (gan vidējā, gan augstākajā izglītīb</w:t>
      </w:r>
      <w:r>
        <w:rPr>
          <w:bCs/>
          <w:iCs/>
          <w:color w:val="000000" w:themeColor="text1"/>
          <w:sz w:val="26"/>
          <w:szCs w:val="26"/>
        </w:rPr>
        <w:t>ā).</w:t>
      </w:r>
    </w:p>
    <w:p w:rsidR="00A908C3" w:rsidRPr="00A908C3" w:rsidRDefault="00A908C3" w:rsidP="00A908C3">
      <w:pPr>
        <w:spacing w:after="0" w:line="240" w:lineRule="auto"/>
        <w:ind w:firstLine="426"/>
        <w:jc w:val="both"/>
        <w:rPr>
          <w:bCs/>
          <w:iCs/>
          <w:color w:val="000000" w:themeColor="text1"/>
          <w:sz w:val="26"/>
          <w:szCs w:val="26"/>
        </w:rPr>
      </w:pPr>
      <w:r w:rsidRPr="00A908C3">
        <w:rPr>
          <w:bCs/>
          <w:iCs/>
          <w:color w:val="000000" w:themeColor="text1"/>
          <w:sz w:val="26"/>
          <w:szCs w:val="26"/>
        </w:rPr>
        <w:t>Vienlaikus, bez efektīvas un uz darba tirgu orientētas tālākizglītības, augstākais darbaspēka pārpalikums gan vidējā, gan ilgtermiņā saglabāsies starp iedzīvotājiem ar pamatizglītību un vidējo vispārējo izglītību.</w:t>
      </w:r>
    </w:p>
    <w:p w:rsidR="00A908C3" w:rsidRPr="00CD7B6E" w:rsidRDefault="00A908C3" w:rsidP="00A908C3">
      <w:pPr>
        <w:spacing w:after="120" w:line="240" w:lineRule="auto"/>
        <w:ind w:firstLine="567"/>
        <w:jc w:val="right"/>
        <w:rPr>
          <w:bCs/>
          <w:iCs/>
          <w:sz w:val="26"/>
          <w:szCs w:val="26"/>
        </w:rPr>
      </w:pPr>
      <w:r w:rsidRPr="00CD7B6E">
        <w:rPr>
          <w:bCs/>
          <w:iCs/>
          <w:sz w:val="26"/>
          <w:szCs w:val="26"/>
        </w:rPr>
        <w:t>3.1</w:t>
      </w:r>
      <w:r w:rsidR="00F6144C">
        <w:rPr>
          <w:bCs/>
          <w:iCs/>
          <w:sz w:val="26"/>
          <w:szCs w:val="26"/>
        </w:rPr>
        <w:t>0</w:t>
      </w:r>
      <w:r w:rsidRPr="00CD7B6E">
        <w:rPr>
          <w:bCs/>
          <w:iCs/>
          <w:sz w:val="26"/>
          <w:szCs w:val="26"/>
        </w:rPr>
        <w:t>. attēls</w:t>
      </w:r>
    </w:p>
    <w:p w:rsidR="00A908C3" w:rsidRPr="00CD7B6E" w:rsidRDefault="00A908C3" w:rsidP="00A908C3">
      <w:pPr>
        <w:spacing w:after="0" w:line="240" w:lineRule="auto"/>
        <w:jc w:val="center"/>
        <w:rPr>
          <w:b/>
          <w:bCs/>
          <w:color w:val="000000"/>
          <w:sz w:val="26"/>
          <w:szCs w:val="26"/>
        </w:rPr>
      </w:pPr>
      <w:r w:rsidRPr="00CD7B6E">
        <w:rPr>
          <w:b/>
          <w:sz w:val="26"/>
          <w:szCs w:val="26"/>
        </w:rPr>
        <w:t xml:space="preserve">Darbaspēka piedāvājuma un pieprasījuma prognozes </w:t>
      </w:r>
      <w:r w:rsidRPr="007863C3">
        <w:rPr>
          <w:b/>
          <w:sz w:val="26"/>
          <w:szCs w:val="26"/>
          <w:u w:val="single"/>
        </w:rPr>
        <w:t xml:space="preserve">ar augstāko </w:t>
      </w:r>
      <w:r w:rsidRPr="007863C3">
        <w:rPr>
          <w:b/>
          <w:bCs/>
          <w:color w:val="000000"/>
          <w:sz w:val="26"/>
          <w:szCs w:val="26"/>
          <w:u w:val="single"/>
        </w:rPr>
        <w:t>izglītību</w:t>
      </w:r>
      <w:r w:rsidRPr="00CD7B6E">
        <w:rPr>
          <w:b/>
          <w:bCs/>
          <w:color w:val="000000"/>
          <w:sz w:val="26"/>
          <w:szCs w:val="26"/>
        </w:rPr>
        <w:t xml:space="preserve"> sadalījumā pa izglītības tematiskajām grupām</w:t>
      </w:r>
    </w:p>
    <w:p w:rsidR="00A908C3" w:rsidRPr="00CD7B6E" w:rsidRDefault="00A908C3" w:rsidP="00A908C3">
      <w:pPr>
        <w:spacing w:after="0" w:line="240" w:lineRule="auto"/>
        <w:jc w:val="center"/>
        <w:rPr>
          <w:sz w:val="24"/>
          <w:szCs w:val="24"/>
        </w:rPr>
      </w:pPr>
      <w:r w:rsidRPr="00CD7B6E">
        <w:rPr>
          <w:bCs/>
          <w:color w:val="000000"/>
          <w:sz w:val="24"/>
          <w:szCs w:val="24"/>
        </w:rPr>
        <w:t>(</w:t>
      </w:r>
      <w:proofErr w:type="spellStart"/>
      <w:r w:rsidRPr="00CD7B6E">
        <w:rPr>
          <w:bCs/>
          <w:color w:val="000000"/>
          <w:sz w:val="24"/>
          <w:szCs w:val="24"/>
        </w:rPr>
        <w:t>tūkst</w:t>
      </w:r>
      <w:proofErr w:type="spellEnd"/>
      <w:r w:rsidRPr="00CD7B6E">
        <w:rPr>
          <w:bCs/>
          <w:color w:val="000000"/>
          <w:sz w:val="24"/>
          <w:szCs w:val="24"/>
        </w:rPr>
        <w:t>.)</w:t>
      </w:r>
    </w:p>
    <w:tbl>
      <w:tblPr>
        <w:tblW w:w="5000" w:type="pct"/>
        <w:tblLayout w:type="fixed"/>
        <w:tblLook w:val="04A0" w:firstRow="1" w:lastRow="0" w:firstColumn="1" w:lastColumn="0" w:noHBand="0" w:noVBand="1"/>
      </w:tblPr>
      <w:tblGrid>
        <w:gridCol w:w="3095"/>
        <w:gridCol w:w="3096"/>
        <w:gridCol w:w="3096"/>
      </w:tblGrid>
      <w:tr w:rsidR="00A908C3" w:rsidRPr="00CD7B6E" w:rsidTr="005546B4">
        <w:tc>
          <w:tcPr>
            <w:tcW w:w="1666"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Izglītība</w:t>
            </w:r>
          </w:p>
        </w:tc>
        <w:tc>
          <w:tcPr>
            <w:tcW w:w="1667" w:type="pct"/>
            <w:vAlign w:val="bottom"/>
          </w:tcPr>
          <w:p w:rsidR="00A908C3" w:rsidRPr="00CD7B6E" w:rsidRDefault="00A908C3" w:rsidP="005546B4">
            <w:pPr>
              <w:spacing w:after="0" w:line="240" w:lineRule="auto"/>
              <w:jc w:val="center"/>
              <w:rPr>
                <w:b/>
                <w:bCs/>
                <w:sz w:val="20"/>
                <w:szCs w:val="20"/>
              </w:rPr>
            </w:pPr>
            <w:r w:rsidRPr="00CD7B6E">
              <w:rPr>
                <w:b/>
                <w:bCs/>
                <w:sz w:val="20"/>
                <w:szCs w:val="20"/>
              </w:rPr>
              <w:t>Humanitārās zinātnes un māksla</w:t>
            </w:r>
          </w:p>
        </w:tc>
        <w:tc>
          <w:tcPr>
            <w:tcW w:w="1667"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 xml:space="preserve">Sociālās zinātnes, </w:t>
            </w:r>
            <w:proofErr w:type="spellStart"/>
            <w:r w:rsidRPr="00CD7B6E">
              <w:rPr>
                <w:b/>
                <w:bCs/>
                <w:color w:val="000000"/>
                <w:sz w:val="20"/>
                <w:szCs w:val="20"/>
              </w:rPr>
              <w:t>komerczinības</w:t>
            </w:r>
            <w:proofErr w:type="spellEnd"/>
            <w:r w:rsidRPr="00CD7B6E">
              <w:rPr>
                <w:b/>
                <w:bCs/>
                <w:color w:val="000000"/>
                <w:sz w:val="20"/>
                <w:szCs w:val="20"/>
              </w:rPr>
              <w:t xml:space="preserve"> un tiesības</w:t>
            </w:r>
          </w:p>
        </w:tc>
      </w:tr>
      <w:tr w:rsidR="00A908C3" w:rsidRPr="00CD7B6E" w:rsidTr="005546B4">
        <w:tc>
          <w:tcPr>
            <w:tcW w:w="1666"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367A8B6D" wp14:editId="16439E08">
                  <wp:extent cx="1932167" cy="1455089"/>
                  <wp:effectExtent l="0" t="0" r="0" b="0"/>
                  <wp:docPr id="146" name="Char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3B124CAF" wp14:editId="48149CC2">
                  <wp:extent cx="1956021" cy="1439186"/>
                  <wp:effectExtent l="0" t="0" r="6350" b="0"/>
                  <wp:docPr id="145" name="Chart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66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59CE8761" wp14:editId="632C8A53">
                  <wp:extent cx="1796994" cy="1415332"/>
                  <wp:effectExtent l="0" t="0" r="0" b="0"/>
                  <wp:docPr id="144" name="Chart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A908C3" w:rsidRPr="00CD7B6E" w:rsidTr="005546B4">
        <w:tc>
          <w:tcPr>
            <w:tcW w:w="1666" w:type="pct"/>
            <w:vAlign w:val="bottom"/>
          </w:tcPr>
          <w:p w:rsidR="00A908C3" w:rsidRPr="00CD7B6E" w:rsidRDefault="00A908C3" w:rsidP="005546B4">
            <w:pPr>
              <w:spacing w:after="0" w:line="240" w:lineRule="auto"/>
              <w:jc w:val="center"/>
              <w:rPr>
                <w:b/>
                <w:bCs/>
                <w:sz w:val="20"/>
                <w:szCs w:val="20"/>
              </w:rPr>
            </w:pPr>
            <w:r w:rsidRPr="00CD7B6E">
              <w:rPr>
                <w:b/>
                <w:bCs/>
                <w:sz w:val="20"/>
                <w:szCs w:val="20"/>
              </w:rPr>
              <w:t>Dabas zinātnes, matemātika un informācijas tehnoloģijas</w:t>
            </w:r>
          </w:p>
        </w:tc>
        <w:tc>
          <w:tcPr>
            <w:tcW w:w="1667"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Inženierzinātnes, ražošana un būvniecība</w:t>
            </w:r>
          </w:p>
        </w:tc>
        <w:tc>
          <w:tcPr>
            <w:tcW w:w="1667"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Lauksaimniecība</w:t>
            </w:r>
          </w:p>
        </w:tc>
      </w:tr>
      <w:tr w:rsidR="00A908C3" w:rsidRPr="00CD7B6E" w:rsidTr="005546B4">
        <w:tc>
          <w:tcPr>
            <w:tcW w:w="1666"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3EC3762F" wp14:editId="6B99AF5B">
                  <wp:extent cx="1983023" cy="1455089"/>
                  <wp:effectExtent l="0" t="0" r="0" b="0"/>
                  <wp:docPr id="143" name="Chart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01E91E70" wp14:editId="67416336">
                  <wp:extent cx="1900361" cy="1431235"/>
                  <wp:effectExtent l="0" t="0" r="5080" b="0"/>
                  <wp:docPr id="142" name="Chart 1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66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5287F51F" wp14:editId="44D38353">
                  <wp:extent cx="1979875" cy="1439186"/>
                  <wp:effectExtent l="0" t="0" r="1905" b="0"/>
                  <wp:docPr id="141" name="Chart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A908C3" w:rsidRPr="00CD7B6E" w:rsidTr="005546B4">
        <w:tc>
          <w:tcPr>
            <w:tcW w:w="1666"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Veselības aprūpe un sociālā labklājība</w:t>
            </w:r>
          </w:p>
        </w:tc>
        <w:tc>
          <w:tcPr>
            <w:tcW w:w="1667" w:type="pct"/>
            <w:vAlign w:val="bottom"/>
          </w:tcPr>
          <w:p w:rsidR="00A908C3" w:rsidRPr="00CD7B6E" w:rsidRDefault="00A908C3" w:rsidP="005546B4">
            <w:pPr>
              <w:spacing w:after="0" w:line="240" w:lineRule="auto"/>
              <w:jc w:val="center"/>
              <w:rPr>
                <w:b/>
                <w:sz w:val="20"/>
                <w:szCs w:val="20"/>
              </w:rPr>
            </w:pPr>
            <w:r w:rsidRPr="00CD7B6E">
              <w:rPr>
                <w:b/>
                <w:sz w:val="20"/>
                <w:szCs w:val="20"/>
              </w:rPr>
              <w:t>Pakalpojumi</w:t>
            </w:r>
          </w:p>
        </w:tc>
        <w:tc>
          <w:tcPr>
            <w:tcW w:w="1667" w:type="pct"/>
            <w:vAlign w:val="bottom"/>
          </w:tcPr>
          <w:p w:rsidR="00A908C3" w:rsidRPr="00CD7B6E" w:rsidRDefault="00A908C3" w:rsidP="005546B4">
            <w:pPr>
              <w:spacing w:after="0" w:line="240" w:lineRule="auto"/>
              <w:jc w:val="center"/>
              <w:rPr>
                <w:b/>
                <w:sz w:val="20"/>
                <w:szCs w:val="20"/>
              </w:rPr>
            </w:pPr>
            <w:r w:rsidRPr="00CD7B6E">
              <w:rPr>
                <w:b/>
                <w:sz w:val="20"/>
                <w:szCs w:val="20"/>
              </w:rPr>
              <w:t xml:space="preserve">Augstākā </w:t>
            </w:r>
            <w:r w:rsidRPr="00CD7B6E">
              <w:rPr>
                <w:b/>
                <w:bCs/>
                <w:color w:val="000000"/>
                <w:sz w:val="20"/>
                <w:szCs w:val="20"/>
              </w:rPr>
              <w:t>izglītība kopā</w:t>
            </w:r>
          </w:p>
        </w:tc>
      </w:tr>
      <w:tr w:rsidR="00A908C3" w:rsidRPr="00CD7B6E" w:rsidTr="005546B4">
        <w:tc>
          <w:tcPr>
            <w:tcW w:w="1666"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0161D18F" wp14:editId="20B11C97">
                  <wp:extent cx="1963973" cy="1431234"/>
                  <wp:effectExtent l="0" t="0" r="0" b="0"/>
                  <wp:docPr id="140" name="Chart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45A284D4" wp14:editId="06CE924C">
                  <wp:extent cx="1956020" cy="1431234"/>
                  <wp:effectExtent l="0" t="0" r="6350" b="0"/>
                  <wp:docPr id="139" name="Chart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6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3DCF1E3D" wp14:editId="4DC7DF94">
                  <wp:extent cx="2026313" cy="1447137"/>
                  <wp:effectExtent l="0" t="0" r="0" b="1270"/>
                  <wp:docPr id="138" name="Char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A908C3" w:rsidRPr="00A908C3" w:rsidRDefault="00A908C3" w:rsidP="00A908C3">
      <w:pPr>
        <w:spacing w:after="0" w:line="240" w:lineRule="auto"/>
        <w:ind w:firstLine="567"/>
        <w:jc w:val="both"/>
        <w:rPr>
          <w:bCs/>
          <w:iCs/>
          <w:color w:val="000000" w:themeColor="text1"/>
          <w:sz w:val="26"/>
          <w:szCs w:val="26"/>
        </w:rPr>
      </w:pPr>
      <w:r w:rsidRPr="00A908C3">
        <w:rPr>
          <w:bCs/>
          <w:iCs/>
          <w:color w:val="000000" w:themeColor="text1"/>
          <w:sz w:val="26"/>
          <w:szCs w:val="26"/>
        </w:rPr>
        <w:lastRenderedPageBreak/>
        <w:t xml:space="preserve">Saglabājoties esošai sagatavošanas intensitātei, būtiskākais darbaspēka pārpalikums </w:t>
      </w:r>
      <w:r w:rsidRPr="00A908C3">
        <w:rPr>
          <w:b/>
          <w:bCs/>
          <w:iCs/>
          <w:color w:val="000000" w:themeColor="text1"/>
          <w:sz w:val="26"/>
          <w:szCs w:val="26"/>
        </w:rPr>
        <w:t xml:space="preserve">augstākās izglītības grupā </w:t>
      </w:r>
      <w:r w:rsidRPr="00A908C3">
        <w:rPr>
          <w:bCs/>
          <w:iCs/>
          <w:color w:val="000000" w:themeColor="text1"/>
          <w:sz w:val="26"/>
          <w:szCs w:val="26"/>
        </w:rPr>
        <w:t>sagaidāms starp iedzīvotājiem ar izglītību humanitārās zinātnēs un pakalpojumu jomā. Neskatoties uz to, ka pieprasījums pēc atbilstošās kvalifikācijas speciālistiem vidējā un ilgtermiņā varētu palielināties, tomēr nav sagaidāms, ka jauno darbavietu pieaugums nākotnē varētu būtu tik liels, lai akumulēt</w:t>
      </w:r>
      <w:r w:rsidR="00C17198">
        <w:rPr>
          <w:bCs/>
          <w:iCs/>
          <w:color w:val="000000" w:themeColor="text1"/>
          <w:sz w:val="26"/>
          <w:szCs w:val="26"/>
        </w:rPr>
        <w:t>u</w:t>
      </w:r>
      <w:r w:rsidRPr="00A908C3">
        <w:rPr>
          <w:bCs/>
          <w:iCs/>
          <w:color w:val="000000" w:themeColor="text1"/>
          <w:sz w:val="26"/>
          <w:szCs w:val="26"/>
        </w:rPr>
        <w:t xml:space="preserve"> kaut pusi no darba tirgū ienākošo atbilstošās kvalifikācijas jauno speciālistu skaita. Darbaspēka pārpalikums ar izglītību humanitārajā jomā, kā arī pakalpoju</w:t>
      </w:r>
      <w:r>
        <w:rPr>
          <w:bCs/>
          <w:iCs/>
          <w:color w:val="000000" w:themeColor="text1"/>
          <w:sz w:val="26"/>
          <w:szCs w:val="26"/>
        </w:rPr>
        <w:t>mu jomā 2020.</w:t>
      </w:r>
      <w:r w:rsidRPr="00A908C3">
        <w:rPr>
          <w:bCs/>
          <w:iCs/>
          <w:color w:val="000000" w:themeColor="text1"/>
          <w:sz w:val="26"/>
          <w:szCs w:val="26"/>
        </w:rPr>
        <w:t>gadā varētu pārsniegt pat 20%.</w:t>
      </w:r>
    </w:p>
    <w:p w:rsidR="00A908C3" w:rsidRPr="00A908C3" w:rsidRDefault="00A908C3" w:rsidP="00A908C3">
      <w:pPr>
        <w:spacing w:after="0" w:line="240" w:lineRule="auto"/>
        <w:ind w:firstLine="567"/>
        <w:jc w:val="both"/>
        <w:rPr>
          <w:bCs/>
          <w:iCs/>
          <w:color w:val="000000" w:themeColor="text1"/>
          <w:sz w:val="26"/>
          <w:szCs w:val="26"/>
        </w:rPr>
      </w:pPr>
      <w:r w:rsidRPr="00A908C3">
        <w:rPr>
          <w:bCs/>
          <w:iCs/>
          <w:color w:val="000000" w:themeColor="text1"/>
          <w:sz w:val="26"/>
          <w:szCs w:val="26"/>
        </w:rPr>
        <w:t>Nozīmīgs darbaspēka piedāvājuma pārsvars pār pieprasījumu būs vērojams ar</w:t>
      </w:r>
      <w:r w:rsidR="00C17198">
        <w:rPr>
          <w:bCs/>
          <w:iCs/>
          <w:color w:val="000000" w:themeColor="text1"/>
          <w:sz w:val="26"/>
          <w:szCs w:val="26"/>
        </w:rPr>
        <w:t>ī</w:t>
      </w:r>
      <w:r w:rsidRPr="00A908C3">
        <w:rPr>
          <w:bCs/>
          <w:iCs/>
          <w:color w:val="000000" w:themeColor="text1"/>
          <w:sz w:val="26"/>
          <w:szCs w:val="26"/>
        </w:rPr>
        <w:t xml:space="preserve"> sociālās, </w:t>
      </w:r>
      <w:proofErr w:type="spellStart"/>
      <w:r w:rsidRPr="00A908C3">
        <w:rPr>
          <w:bCs/>
          <w:iCs/>
          <w:color w:val="000000" w:themeColor="text1"/>
          <w:sz w:val="26"/>
          <w:szCs w:val="26"/>
        </w:rPr>
        <w:t>komerc-</w:t>
      </w:r>
      <w:proofErr w:type="spellEnd"/>
      <w:r w:rsidRPr="00A908C3">
        <w:rPr>
          <w:bCs/>
          <w:iCs/>
          <w:color w:val="000000" w:themeColor="text1"/>
          <w:sz w:val="26"/>
          <w:szCs w:val="26"/>
        </w:rPr>
        <w:t xml:space="preserve"> un tiesību zinībās, kā arī pedagogu izglītības programmu grupā. </w:t>
      </w:r>
      <w:r>
        <w:rPr>
          <w:bCs/>
          <w:iCs/>
          <w:color w:val="000000" w:themeColor="text1"/>
          <w:sz w:val="26"/>
          <w:szCs w:val="26"/>
        </w:rPr>
        <w:t>2020.</w:t>
      </w:r>
      <w:r w:rsidRPr="00A908C3">
        <w:rPr>
          <w:bCs/>
          <w:iCs/>
          <w:color w:val="000000" w:themeColor="text1"/>
          <w:sz w:val="26"/>
          <w:szCs w:val="26"/>
        </w:rPr>
        <w:t>gadā apmēram 10% atbilstošās kvalifikācijas jauno speciālistu strādās savai izglītībai neatbilstošā darbā. Turklāt nemainoties uzsvariem izglītības piedāvājumā, minētās disproporcijas ilgtermiņā palielināsies.</w:t>
      </w:r>
    </w:p>
    <w:p w:rsidR="00A908C3" w:rsidRPr="00CD7B6E" w:rsidRDefault="00A908C3" w:rsidP="00A908C3">
      <w:pPr>
        <w:spacing w:before="120" w:after="60" w:line="240" w:lineRule="auto"/>
        <w:jc w:val="right"/>
        <w:rPr>
          <w:sz w:val="26"/>
          <w:szCs w:val="26"/>
        </w:rPr>
      </w:pPr>
      <w:r w:rsidRPr="00CD7B6E">
        <w:rPr>
          <w:sz w:val="26"/>
          <w:szCs w:val="26"/>
        </w:rPr>
        <w:t>3.1</w:t>
      </w:r>
      <w:r w:rsidR="00F6144C">
        <w:rPr>
          <w:sz w:val="26"/>
          <w:szCs w:val="26"/>
        </w:rPr>
        <w:t>1</w:t>
      </w:r>
      <w:r w:rsidRPr="00CD7B6E">
        <w:rPr>
          <w:sz w:val="26"/>
          <w:szCs w:val="26"/>
        </w:rPr>
        <w:t>. attēls</w:t>
      </w:r>
    </w:p>
    <w:p w:rsidR="00A908C3" w:rsidRPr="00CD7B6E" w:rsidRDefault="00A908C3" w:rsidP="00A908C3">
      <w:pPr>
        <w:spacing w:after="0" w:line="240" w:lineRule="auto"/>
        <w:jc w:val="center"/>
        <w:rPr>
          <w:b/>
          <w:bCs/>
          <w:color w:val="000000"/>
          <w:sz w:val="26"/>
          <w:szCs w:val="26"/>
        </w:rPr>
      </w:pPr>
      <w:r w:rsidRPr="00CD7B6E">
        <w:rPr>
          <w:b/>
          <w:sz w:val="26"/>
          <w:szCs w:val="26"/>
        </w:rPr>
        <w:t xml:space="preserve">Darbaspēka piedāvājuma un pieprasījuma prognozes </w:t>
      </w:r>
      <w:r w:rsidRPr="007863C3">
        <w:rPr>
          <w:b/>
          <w:sz w:val="26"/>
          <w:szCs w:val="26"/>
          <w:u w:val="single"/>
        </w:rPr>
        <w:t xml:space="preserve">ar vidējo </w:t>
      </w:r>
      <w:r w:rsidRPr="007863C3">
        <w:rPr>
          <w:b/>
          <w:bCs/>
          <w:color w:val="000000"/>
          <w:sz w:val="26"/>
          <w:szCs w:val="26"/>
          <w:u w:val="single"/>
        </w:rPr>
        <w:t>izglītību</w:t>
      </w:r>
      <w:r w:rsidRPr="00CD7B6E">
        <w:rPr>
          <w:b/>
          <w:bCs/>
          <w:color w:val="000000"/>
          <w:sz w:val="26"/>
          <w:szCs w:val="26"/>
        </w:rPr>
        <w:t xml:space="preserve"> sadalījumā pa izglītības tematiskajām grupām</w:t>
      </w:r>
    </w:p>
    <w:p w:rsidR="00A908C3" w:rsidRPr="00CD7B6E" w:rsidRDefault="00A908C3" w:rsidP="00A908C3">
      <w:pPr>
        <w:spacing w:after="0" w:line="240" w:lineRule="auto"/>
        <w:jc w:val="center"/>
        <w:rPr>
          <w:sz w:val="24"/>
          <w:szCs w:val="24"/>
        </w:rPr>
      </w:pPr>
      <w:r w:rsidRPr="00CD7B6E">
        <w:rPr>
          <w:bCs/>
          <w:color w:val="000000"/>
          <w:sz w:val="24"/>
          <w:szCs w:val="24"/>
        </w:rPr>
        <w:t>(</w:t>
      </w:r>
      <w:proofErr w:type="spellStart"/>
      <w:r w:rsidRPr="00CD7B6E">
        <w:rPr>
          <w:bCs/>
          <w:color w:val="000000"/>
          <w:sz w:val="24"/>
          <w:szCs w:val="24"/>
        </w:rPr>
        <w:t>tūkst</w:t>
      </w:r>
      <w:proofErr w:type="spellEnd"/>
      <w:r w:rsidRPr="00CD7B6E">
        <w:rPr>
          <w:bCs/>
          <w:color w:val="000000"/>
          <w:sz w:val="24"/>
          <w:szCs w:val="24"/>
        </w:rPr>
        <w:t>.)</w:t>
      </w:r>
    </w:p>
    <w:tbl>
      <w:tblPr>
        <w:tblW w:w="5128" w:type="pct"/>
        <w:jc w:val="center"/>
        <w:tblLayout w:type="fixed"/>
        <w:tblLook w:val="04A0" w:firstRow="1" w:lastRow="0" w:firstColumn="1" w:lastColumn="0" w:noHBand="0" w:noVBand="1"/>
      </w:tblPr>
      <w:tblGrid>
        <w:gridCol w:w="3175"/>
        <w:gridCol w:w="3176"/>
        <w:gridCol w:w="3174"/>
      </w:tblGrid>
      <w:tr w:rsidR="00A908C3" w:rsidRPr="00CD7B6E" w:rsidTr="00A908C3">
        <w:trPr>
          <w:jc w:val="center"/>
        </w:trPr>
        <w:tc>
          <w:tcPr>
            <w:tcW w:w="1667" w:type="pct"/>
            <w:vAlign w:val="bottom"/>
          </w:tcPr>
          <w:p w:rsidR="00A908C3" w:rsidRPr="00CD7B6E" w:rsidRDefault="00A908C3" w:rsidP="005546B4">
            <w:pPr>
              <w:spacing w:after="0" w:line="240" w:lineRule="auto"/>
              <w:jc w:val="center"/>
              <w:rPr>
                <w:b/>
                <w:sz w:val="20"/>
                <w:szCs w:val="20"/>
              </w:rPr>
            </w:pPr>
            <w:r w:rsidRPr="00CD7B6E">
              <w:rPr>
                <w:b/>
                <w:bCs/>
                <w:color w:val="000000"/>
                <w:sz w:val="20"/>
                <w:szCs w:val="20"/>
              </w:rPr>
              <w:t>Vispārējā izglītība</w:t>
            </w:r>
            <w:r w:rsidRPr="00CD7B6E">
              <w:rPr>
                <w:b/>
                <w:bCs/>
                <w:sz w:val="20"/>
                <w:szCs w:val="20"/>
              </w:rPr>
              <w:t xml:space="preserve"> </w:t>
            </w:r>
          </w:p>
        </w:tc>
        <w:tc>
          <w:tcPr>
            <w:tcW w:w="1667" w:type="pct"/>
            <w:vAlign w:val="bottom"/>
          </w:tcPr>
          <w:p w:rsidR="00A908C3" w:rsidRPr="00CD7B6E" w:rsidRDefault="00A908C3" w:rsidP="005546B4">
            <w:pPr>
              <w:spacing w:after="0" w:line="240" w:lineRule="auto"/>
              <w:jc w:val="center"/>
              <w:rPr>
                <w:b/>
                <w:bCs/>
                <w:sz w:val="20"/>
                <w:szCs w:val="20"/>
              </w:rPr>
            </w:pPr>
            <w:r w:rsidRPr="00CD7B6E">
              <w:rPr>
                <w:b/>
                <w:bCs/>
                <w:sz w:val="20"/>
                <w:szCs w:val="20"/>
              </w:rPr>
              <w:t>Humanitārās zinātnes un māksla</w:t>
            </w:r>
          </w:p>
        </w:tc>
        <w:tc>
          <w:tcPr>
            <w:tcW w:w="1666"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 xml:space="preserve">Sociālās zinātnes, </w:t>
            </w:r>
            <w:proofErr w:type="spellStart"/>
            <w:r w:rsidRPr="00CD7B6E">
              <w:rPr>
                <w:b/>
                <w:bCs/>
                <w:color w:val="000000"/>
                <w:sz w:val="20"/>
                <w:szCs w:val="20"/>
              </w:rPr>
              <w:t>komerczinības</w:t>
            </w:r>
            <w:proofErr w:type="spellEnd"/>
            <w:r w:rsidRPr="00CD7B6E">
              <w:rPr>
                <w:b/>
                <w:bCs/>
                <w:color w:val="000000"/>
                <w:sz w:val="20"/>
                <w:szCs w:val="20"/>
              </w:rPr>
              <w:t xml:space="preserve"> un tiesības</w:t>
            </w:r>
          </w:p>
        </w:tc>
      </w:tr>
      <w:tr w:rsidR="00A908C3" w:rsidRPr="00CD7B6E" w:rsidTr="00A908C3">
        <w:trPr>
          <w:jc w:val="center"/>
        </w:trPr>
        <w:tc>
          <w:tcPr>
            <w:tcW w:w="166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229BACFA" wp14:editId="4947BE46">
                  <wp:extent cx="2075291" cy="1550505"/>
                  <wp:effectExtent l="0" t="0" r="1270" b="0"/>
                  <wp:docPr id="33" name="Chart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605B59E5" wp14:editId="2B94978F">
                  <wp:extent cx="2075290" cy="1590261"/>
                  <wp:effectExtent l="0" t="0" r="1270" b="0"/>
                  <wp:docPr id="34" name="Chart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666"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7E871BF7" wp14:editId="2048DCD3">
                  <wp:extent cx="2075291" cy="1606164"/>
                  <wp:effectExtent l="0" t="0" r="1270" b="0"/>
                  <wp:docPr id="35" name="Char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A908C3" w:rsidRPr="00CD7B6E" w:rsidTr="00A908C3">
        <w:trPr>
          <w:jc w:val="center"/>
        </w:trPr>
        <w:tc>
          <w:tcPr>
            <w:tcW w:w="1667" w:type="pct"/>
            <w:vAlign w:val="bottom"/>
          </w:tcPr>
          <w:p w:rsidR="00A908C3" w:rsidRPr="00CD7B6E" w:rsidRDefault="00A908C3" w:rsidP="005546B4">
            <w:pPr>
              <w:spacing w:after="0" w:line="240" w:lineRule="auto"/>
              <w:jc w:val="center"/>
              <w:rPr>
                <w:b/>
                <w:bCs/>
                <w:sz w:val="20"/>
                <w:szCs w:val="20"/>
              </w:rPr>
            </w:pPr>
            <w:r w:rsidRPr="00CD7B6E">
              <w:rPr>
                <w:b/>
                <w:bCs/>
                <w:sz w:val="20"/>
                <w:szCs w:val="20"/>
              </w:rPr>
              <w:t>Dabas zinātnes, matemātika un informācijas tehnoloģijas</w:t>
            </w:r>
          </w:p>
        </w:tc>
        <w:tc>
          <w:tcPr>
            <w:tcW w:w="1667"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Inženierzinātnes, ražošana un būvniecība</w:t>
            </w:r>
          </w:p>
        </w:tc>
        <w:tc>
          <w:tcPr>
            <w:tcW w:w="1666"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Lauksaimniecība</w:t>
            </w:r>
          </w:p>
        </w:tc>
      </w:tr>
      <w:tr w:rsidR="00A908C3" w:rsidRPr="00CD7B6E" w:rsidTr="00A908C3">
        <w:trPr>
          <w:jc w:val="center"/>
        </w:trPr>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264C5B80" wp14:editId="5A5F16F7">
                  <wp:extent cx="2075291" cy="1558456"/>
                  <wp:effectExtent l="0" t="0" r="1270" b="3810"/>
                  <wp:docPr id="36" name="Chart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0D00D6ED" wp14:editId="744209BA">
                  <wp:extent cx="2075290" cy="1582310"/>
                  <wp:effectExtent l="0" t="0" r="1270" b="0"/>
                  <wp:docPr id="47" name="Chart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666"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247C174A" wp14:editId="479628F4">
                  <wp:extent cx="2075291" cy="1558456"/>
                  <wp:effectExtent l="0" t="0" r="1270" b="3810"/>
                  <wp:docPr id="48"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A908C3" w:rsidRPr="00CD7B6E" w:rsidTr="00A908C3">
        <w:trPr>
          <w:jc w:val="center"/>
        </w:trPr>
        <w:tc>
          <w:tcPr>
            <w:tcW w:w="1667" w:type="pct"/>
            <w:vAlign w:val="bottom"/>
          </w:tcPr>
          <w:p w:rsidR="00A908C3" w:rsidRPr="00CD7B6E" w:rsidRDefault="00A908C3" w:rsidP="005546B4">
            <w:pPr>
              <w:spacing w:after="0" w:line="240" w:lineRule="auto"/>
              <w:jc w:val="center"/>
              <w:rPr>
                <w:sz w:val="18"/>
                <w:szCs w:val="18"/>
              </w:rPr>
            </w:pPr>
            <w:r w:rsidRPr="00CD7B6E">
              <w:rPr>
                <w:b/>
                <w:bCs/>
                <w:color w:val="000000"/>
                <w:sz w:val="20"/>
                <w:szCs w:val="20"/>
              </w:rPr>
              <w:t>Veselības aprūpe un sociālā labklājība</w:t>
            </w:r>
          </w:p>
        </w:tc>
        <w:tc>
          <w:tcPr>
            <w:tcW w:w="1667" w:type="pct"/>
            <w:vAlign w:val="bottom"/>
          </w:tcPr>
          <w:p w:rsidR="00A908C3" w:rsidRPr="00CD7B6E" w:rsidRDefault="00A908C3" w:rsidP="005546B4">
            <w:pPr>
              <w:spacing w:after="0" w:line="240" w:lineRule="auto"/>
              <w:jc w:val="center"/>
              <w:rPr>
                <w:b/>
                <w:sz w:val="20"/>
                <w:szCs w:val="20"/>
              </w:rPr>
            </w:pPr>
            <w:r w:rsidRPr="00CD7B6E">
              <w:rPr>
                <w:b/>
                <w:sz w:val="20"/>
                <w:szCs w:val="20"/>
              </w:rPr>
              <w:t>Pakalpojumi</w:t>
            </w:r>
          </w:p>
        </w:tc>
        <w:tc>
          <w:tcPr>
            <w:tcW w:w="1666" w:type="pct"/>
            <w:vAlign w:val="bottom"/>
          </w:tcPr>
          <w:p w:rsidR="00A908C3" w:rsidRPr="00C47BEA" w:rsidRDefault="00A908C3" w:rsidP="005546B4">
            <w:pPr>
              <w:spacing w:after="0" w:line="240" w:lineRule="auto"/>
              <w:jc w:val="center"/>
              <w:rPr>
                <w:b/>
                <w:sz w:val="20"/>
                <w:szCs w:val="20"/>
              </w:rPr>
            </w:pPr>
            <w:r w:rsidRPr="00C47BEA">
              <w:rPr>
                <w:b/>
                <w:bCs/>
                <w:sz w:val="20"/>
                <w:szCs w:val="20"/>
              </w:rPr>
              <w:t>Vidējā izglītība kopā</w:t>
            </w:r>
          </w:p>
        </w:tc>
      </w:tr>
      <w:tr w:rsidR="00A908C3" w:rsidRPr="00CD7B6E" w:rsidTr="00A908C3">
        <w:trPr>
          <w:jc w:val="center"/>
        </w:trPr>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66AE05E2" wp14:editId="3D24A8DC">
                  <wp:extent cx="2075291" cy="1574358"/>
                  <wp:effectExtent l="0" t="0" r="1270" b="6985"/>
                  <wp:docPr id="49" name="Chart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1667"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426EE021" wp14:editId="32993485">
                  <wp:extent cx="2075290" cy="1558456"/>
                  <wp:effectExtent l="0" t="0" r="1270" b="3810"/>
                  <wp:docPr id="50" name="Chart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1666"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3A80A6B0" wp14:editId="748775A4">
                  <wp:extent cx="2075291" cy="1582309"/>
                  <wp:effectExtent l="0" t="0" r="1270" b="0"/>
                  <wp:docPr id="51"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rsidR="00A908C3" w:rsidRPr="00A908C3" w:rsidRDefault="00A908C3" w:rsidP="00A908C3">
      <w:pPr>
        <w:spacing w:after="0" w:line="240" w:lineRule="auto"/>
        <w:ind w:firstLine="567"/>
        <w:jc w:val="both"/>
        <w:rPr>
          <w:bCs/>
          <w:iCs/>
          <w:color w:val="000000" w:themeColor="text1"/>
          <w:sz w:val="26"/>
          <w:szCs w:val="26"/>
        </w:rPr>
      </w:pPr>
      <w:r w:rsidRPr="00A908C3">
        <w:rPr>
          <w:bCs/>
          <w:iCs/>
          <w:color w:val="000000" w:themeColor="text1"/>
          <w:sz w:val="26"/>
          <w:szCs w:val="26"/>
        </w:rPr>
        <w:lastRenderedPageBreak/>
        <w:t>Savukārt citās izglītības jomās var nākties saskarties ar nepieciešamo speciālistu iztrūkumu. Visātrāk tas varētu izpausties dabas zinātņu, matemātikas un informācijas tehnoloģiju grupā. Ja netiks mainīta izglītības struktūra, līdz 2020.gadam var veidoties iztrūkums pēc speciālistiem ar augstāko izglītību inženierzinātnēs, ražošanā un būvniecībā, lauksaimniecībā, kā arī veselības aprūpē un sociāl</w:t>
      </w:r>
      <w:r w:rsidR="002C6B26">
        <w:rPr>
          <w:bCs/>
          <w:iCs/>
          <w:color w:val="000000" w:themeColor="text1"/>
          <w:sz w:val="26"/>
          <w:szCs w:val="26"/>
        </w:rPr>
        <w:t>aj</w:t>
      </w:r>
      <w:r w:rsidRPr="00A908C3">
        <w:rPr>
          <w:bCs/>
          <w:iCs/>
          <w:color w:val="000000" w:themeColor="text1"/>
          <w:sz w:val="26"/>
          <w:szCs w:val="26"/>
        </w:rPr>
        <w:t>ā labklājībā.</w:t>
      </w:r>
    </w:p>
    <w:p w:rsidR="00A908C3" w:rsidRPr="00A908C3" w:rsidRDefault="00A908C3" w:rsidP="00A908C3">
      <w:pPr>
        <w:spacing w:after="0" w:line="240" w:lineRule="auto"/>
        <w:ind w:firstLine="567"/>
        <w:jc w:val="both"/>
        <w:rPr>
          <w:bCs/>
          <w:iCs/>
          <w:color w:val="000000" w:themeColor="text1"/>
          <w:sz w:val="26"/>
          <w:szCs w:val="26"/>
        </w:rPr>
      </w:pPr>
      <w:r w:rsidRPr="00A908C3">
        <w:rPr>
          <w:bCs/>
          <w:iCs/>
          <w:color w:val="000000" w:themeColor="text1"/>
          <w:sz w:val="26"/>
          <w:szCs w:val="26"/>
        </w:rPr>
        <w:t>Sagaidāms, ka</w:t>
      </w:r>
      <w:r w:rsidRPr="00A908C3">
        <w:rPr>
          <w:b/>
          <w:bCs/>
          <w:iCs/>
          <w:color w:val="000000" w:themeColor="text1"/>
          <w:sz w:val="26"/>
          <w:szCs w:val="26"/>
        </w:rPr>
        <w:t xml:space="preserve"> vidējās izglītības līmenī</w:t>
      </w:r>
      <w:r w:rsidRPr="00A908C3">
        <w:rPr>
          <w:bCs/>
          <w:iCs/>
          <w:color w:val="000000" w:themeColor="text1"/>
          <w:sz w:val="26"/>
          <w:szCs w:val="26"/>
        </w:rPr>
        <w:t xml:space="preserve">, līdzīgi kā augstākajā izglītībā, relatīvi lielākais darbaspēka pārpalikums veidosies iedzīvotāju grupā ar izglītību humanitārajā un mākslas novirzienā, kā arī sociālo, </w:t>
      </w:r>
      <w:proofErr w:type="spellStart"/>
      <w:r w:rsidRPr="00A908C3">
        <w:rPr>
          <w:bCs/>
          <w:iCs/>
          <w:color w:val="000000" w:themeColor="text1"/>
          <w:sz w:val="26"/>
          <w:szCs w:val="26"/>
        </w:rPr>
        <w:t>komerc-</w:t>
      </w:r>
      <w:proofErr w:type="spellEnd"/>
      <w:r w:rsidRPr="00A908C3">
        <w:rPr>
          <w:bCs/>
          <w:iCs/>
          <w:color w:val="000000" w:themeColor="text1"/>
          <w:sz w:val="26"/>
          <w:szCs w:val="26"/>
        </w:rPr>
        <w:t xml:space="preserve"> un tiesību zinību novirzienā. Turklāt darba iespējas ar iegūto izglītību saistītajā jomā v</w:t>
      </w:r>
      <w:r w:rsidR="00C17198">
        <w:rPr>
          <w:bCs/>
          <w:iCs/>
          <w:color w:val="000000" w:themeColor="text1"/>
          <w:sz w:val="26"/>
          <w:szCs w:val="26"/>
        </w:rPr>
        <w:t>ē</w:t>
      </w:r>
      <w:r w:rsidRPr="00A908C3">
        <w:rPr>
          <w:bCs/>
          <w:iCs/>
          <w:color w:val="000000" w:themeColor="text1"/>
          <w:sz w:val="26"/>
          <w:szCs w:val="26"/>
        </w:rPr>
        <w:t>l vairāk samazinās pastiprinātā konkurence no speciālistiem ar augstāko izglītību atbilstošajā jomā.</w:t>
      </w:r>
    </w:p>
    <w:p w:rsidR="00A908C3" w:rsidRPr="00CD7B6E" w:rsidRDefault="00A908C3" w:rsidP="00516342">
      <w:pPr>
        <w:spacing w:after="120" w:line="240" w:lineRule="auto"/>
        <w:jc w:val="right"/>
        <w:rPr>
          <w:bCs/>
          <w:iCs/>
          <w:sz w:val="26"/>
          <w:szCs w:val="26"/>
        </w:rPr>
      </w:pPr>
      <w:r w:rsidRPr="00CD7B6E">
        <w:rPr>
          <w:bCs/>
          <w:iCs/>
          <w:sz w:val="26"/>
          <w:szCs w:val="26"/>
        </w:rPr>
        <w:t>3.1</w:t>
      </w:r>
      <w:r>
        <w:rPr>
          <w:bCs/>
          <w:iCs/>
          <w:sz w:val="26"/>
          <w:szCs w:val="26"/>
        </w:rPr>
        <w:t>4</w:t>
      </w:r>
      <w:r w:rsidRPr="00CD7B6E">
        <w:rPr>
          <w:bCs/>
          <w:iCs/>
          <w:sz w:val="26"/>
          <w:szCs w:val="26"/>
        </w:rPr>
        <w:t>. tabula</w:t>
      </w:r>
    </w:p>
    <w:p w:rsidR="00A908C3" w:rsidRPr="00CD7B6E" w:rsidRDefault="00A908C3" w:rsidP="00A908C3">
      <w:pPr>
        <w:spacing w:after="0" w:line="240" w:lineRule="auto"/>
        <w:jc w:val="center"/>
        <w:rPr>
          <w:b/>
          <w:sz w:val="26"/>
          <w:szCs w:val="26"/>
        </w:rPr>
      </w:pPr>
      <w:r w:rsidRPr="00CD7B6E">
        <w:rPr>
          <w:b/>
          <w:sz w:val="26"/>
          <w:szCs w:val="26"/>
        </w:rPr>
        <w:t>Darbaspēka pieprasījums un piedāvājums pa izglītības tematiskām grupām</w:t>
      </w:r>
    </w:p>
    <w:p w:rsidR="00A908C3" w:rsidRDefault="00A908C3" w:rsidP="00A908C3">
      <w:pPr>
        <w:spacing w:after="60" w:line="240" w:lineRule="auto"/>
        <w:jc w:val="center"/>
      </w:pPr>
      <w:r w:rsidRPr="00CD7B6E">
        <w:t>(saglabājoties pašreizējai darbaspēka sagatavošanas struktūrai)</w:t>
      </w:r>
    </w:p>
    <w:tbl>
      <w:tblPr>
        <w:tblStyle w:val="LightShading-Accent3"/>
        <w:tblW w:w="5000" w:type="pct"/>
        <w:jc w:val="center"/>
        <w:tblLook w:val="0400" w:firstRow="0" w:lastRow="0" w:firstColumn="0" w:lastColumn="0" w:noHBand="0" w:noVBand="1"/>
      </w:tblPr>
      <w:tblGrid>
        <w:gridCol w:w="534"/>
        <w:gridCol w:w="3715"/>
        <w:gridCol w:w="828"/>
        <w:gridCol w:w="832"/>
        <w:gridCol w:w="951"/>
        <w:gridCol w:w="830"/>
        <w:gridCol w:w="832"/>
        <w:gridCol w:w="765"/>
      </w:tblGrid>
      <w:tr w:rsidR="00A908C3" w:rsidRPr="00E81934"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tcBorders>
              <w:top w:val="single" w:sz="8" w:space="0" w:color="8064A2" w:themeColor="accent4"/>
              <w:bottom w:val="nil"/>
            </w:tcBorders>
            <w:shd w:val="clear" w:color="auto" w:fill="E5DFEC" w:themeFill="accent4" w:themeFillTint="33"/>
          </w:tcPr>
          <w:p w:rsidR="00A908C3" w:rsidRPr="00E81934" w:rsidRDefault="00A908C3" w:rsidP="005546B4">
            <w:pPr>
              <w:spacing w:after="0"/>
              <w:jc w:val="center"/>
              <w:rPr>
                <w:rFonts w:eastAsia="Times New Roman"/>
                <w:b/>
                <w:bCs/>
                <w:color w:val="000000"/>
                <w:sz w:val="20"/>
              </w:rPr>
            </w:pPr>
          </w:p>
        </w:tc>
        <w:tc>
          <w:tcPr>
            <w:tcW w:w="2000" w:type="pct"/>
            <w:tcBorders>
              <w:top w:val="single" w:sz="8" w:space="0" w:color="8064A2" w:themeColor="accent4"/>
              <w:bottom w:val="nil"/>
              <w:right w:val="single" w:sz="4" w:space="0" w:color="8064A2" w:themeColor="accent4"/>
            </w:tcBorders>
            <w:shd w:val="clear" w:color="auto" w:fill="E5DFEC" w:themeFill="accent4" w:themeFillTint="33"/>
            <w:vAlign w:val="center"/>
          </w:tcPr>
          <w:p w:rsidR="00A908C3" w:rsidRPr="00E81934" w:rsidRDefault="00A908C3" w:rsidP="005546B4">
            <w:pPr>
              <w:spacing w:after="0"/>
              <w:jc w:val="center"/>
              <w:rPr>
                <w:rFonts w:eastAsia="Times New Roman"/>
                <w:b/>
                <w:bCs/>
                <w:color w:val="000000"/>
                <w:sz w:val="20"/>
              </w:rPr>
            </w:pPr>
          </w:p>
        </w:tc>
        <w:tc>
          <w:tcPr>
            <w:tcW w:w="2814" w:type="pct"/>
            <w:gridSpan w:val="6"/>
            <w:tcBorders>
              <w:top w:val="single" w:sz="8" w:space="0" w:color="8064A2" w:themeColor="accent4"/>
              <w:left w:val="single" w:sz="4" w:space="0" w:color="8064A2" w:themeColor="accent4"/>
              <w:bottom w:val="single" w:sz="4" w:space="0" w:color="8064A2" w:themeColor="accent4"/>
            </w:tcBorders>
            <w:shd w:val="clear" w:color="auto" w:fill="E5DFEC" w:themeFill="accent4" w:themeFillTint="33"/>
            <w:vAlign w:val="center"/>
          </w:tcPr>
          <w:p w:rsidR="00A908C3" w:rsidRPr="00E81934" w:rsidRDefault="001E4BA5" w:rsidP="005546B4">
            <w:pPr>
              <w:spacing w:after="0"/>
              <w:jc w:val="center"/>
              <w:rPr>
                <w:rFonts w:eastAsia="Times New Roman"/>
                <w:b/>
                <w:color w:val="000000"/>
                <w:sz w:val="20"/>
              </w:rPr>
            </w:pPr>
            <w:r>
              <w:rPr>
                <w:rFonts w:eastAsia="Times New Roman"/>
                <w:b/>
                <w:color w:val="000000"/>
                <w:sz w:val="20"/>
              </w:rPr>
              <w:t>P</w:t>
            </w:r>
            <w:r w:rsidR="00A908C3" w:rsidRPr="00E81934">
              <w:rPr>
                <w:rFonts w:eastAsia="Times New Roman"/>
                <w:b/>
                <w:color w:val="000000"/>
                <w:sz w:val="20"/>
              </w:rPr>
              <w:t>rognoze</w:t>
            </w:r>
          </w:p>
        </w:tc>
      </w:tr>
      <w:tr w:rsidR="00A908C3" w:rsidRPr="00E81934" w:rsidTr="00516342">
        <w:trPr>
          <w:trHeight w:val="20"/>
          <w:jc w:val="center"/>
        </w:trPr>
        <w:tc>
          <w:tcPr>
            <w:tcW w:w="287" w:type="pct"/>
            <w:tcBorders>
              <w:top w:val="nil"/>
              <w:bottom w:val="nil"/>
            </w:tcBorders>
          </w:tcPr>
          <w:p w:rsidR="00A908C3" w:rsidRPr="00E81934" w:rsidRDefault="00A908C3" w:rsidP="005546B4">
            <w:pPr>
              <w:spacing w:after="0"/>
              <w:jc w:val="center"/>
              <w:rPr>
                <w:rFonts w:eastAsia="Times New Roman"/>
                <w:b/>
                <w:bCs/>
                <w:color w:val="000000"/>
                <w:sz w:val="20"/>
              </w:rPr>
            </w:pPr>
          </w:p>
        </w:tc>
        <w:tc>
          <w:tcPr>
            <w:tcW w:w="2000" w:type="pct"/>
            <w:tcBorders>
              <w:top w:val="nil"/>
              <w:bottom w:val="nil"/>
              <w:right w:val="single" w:sz="4" w:space="0" w:color="8064A2" w:themeColor="accent4"/>
            </w:tcBorders>
            <w:vAlign w:val="center"/>
            <w:hideMark/>
          </w:tcPr>
          <w:p w:rsidR="00A908C3" w:rsidRPr="00E81934" w:rsidRDefault="00A908C3" w:rsidP="005546B4">
            <w:pPr>
              <w:spacing w:after="0"/>
              <w:jc w:val="center"/>
              <w:rPr>
                <w:rFonts w:eastAsia="Times New Roman"/>
                <w:b/>
                <w:bCs/>
                <w:color w:val="000000"/>
                <w:sz w:val="20"/>
              </w:rPr>
            </w:pPr>
          </w:p>
        </w:tc>
        <w:tc>
          <w:tcPr>
            <w:tcW w:w="1406"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tcPr>
          <w:p w:rsidR="00A908C3" w:rsidRPr="00E81934" w:rsidRDefault="00A908C3" w:rsidP="005546B4">
            <w:pPr>
              <w:spacing w:after="0"/>
              <w:jc w:val="center"/>
              <w:rPr>
                <w:rFonts w:eastAsia="Times New Roman"/>
                <w:b/>
                <w:color w:val="000000"/>
                <w:sz w:val="20"/>
              </w:rPr>
            </w:pPr>
            <w:r w:rsidRPr="00E81934">
              <w:rPr>
                <w:rFonts w:eastAsia="Times New Roman"/>
                <w:b/>
                <w:color w:val="000000"/>
                <w:sz w:val="20"/>
              </w:rPr>
              <w:t>2020</w:t>
            </w:r>
          </w:p>
        </w:tc>
        <w:tc>
          <w:tcPr>
            <w:tcW w:w="1407" w:type="pct"/>
            <w:gridSpan w:val="3"/>
            <w:tcBorders>
              <w:top w:val="single" w:sz="4" w:space="0" w:color="8064A2" w:themeColor="accent4"/>
              <w:left w:val="single" w:sz="4" w:space="0" w:color="8064A2" w:themeColor="accent4"/>
              <w:bottom w:val="single" w:sz="4" w:space="0" w:color="8064A2" w:themeColor="accent4"/>
            </w:tcBorders>
            <w:vAlign w:val="center"/>
          </w:tcPr>
          <w:p w:rsidR="00A908C3" w:rsidRPr="00E81934" w:rsidRDefault="00A908C3" w:rsidP="005546B4">
            <w:pPr>
              <w:spacing w:after="0"/>
              <w:jc w:val="center"/>
              <w:rPr>
                <w:rFonts w:eastAsia="Times New Roman"/>
                <w:b/>
                <w:color w:val="000000"/>
                <w:sz w:val="20"/>
              </w:rPr>
            </w:pPr>
            <w:r w:rsidRPr="00E81934">
              <w:rPr>
                <w:rFonts w:eastAsia="Times New Roman"/>
                <w:b/>
                <w:color w:val="000000"/>
                <w:sz w:val="20"/>
              </w:rPr>
              <w:t>2030</w:t>
            </w:r>
          </w:p>
        </w:tc>
      </w:tr>
      <w:tr w:rsidR="00FE3BE2" w:rsidRPr="00CD7B6E" w:rsidTr="001E4BA5">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tcBorders>
              <w:top w:val="nil"/>
              <w:bottom w:val="single" w:sz="8" w:space="0" w:color="8064A2" w:themeColor="accent4"/>
            </w:tcBorders>
            <w:shd w:val="clear" w:color="auto" w:fill="E5DFEC" w:themeFill="accent4" w:themeFillTint="33"/>
          </w:tcPr>
          <w:p w:rsidR="00A908C3" w:rsidRPr="00CD7B6E" w:rsidRDefault="00A908C3" w:rsidP="005546B4">
            <w:pPr>
              <w:spacing w:before="20" w:after="20"/>
              <w:jc w:val="center"/>
              <w:rPr>
                <w:rFonts w:eastAsia="Times New Roman"/>
                <w:bCs/>
                <w:color w:val="000000"/>
                <w:sz w:val="20"/>
              </w:rPr>
            </w:pPr>
          </w:p>
        </w:tc>
        <w:tc>
          <w:tcPr>
            <w:tcW w:w="2000" w:type="pct"/>
            <w:tcBorders>
              <w:top w:val="nil"/>
              <w:bottom w:val="single" w:sz="8" w:space="0" w:color="8064A2" w:themeColor="accent4"/>
              <w:right w:val="single" w:sz="4" w:space="0" w:color="8064A2" w:themeColor="accent4"/>
            </w:tcBorders>
            <w:shd w:val="clear" w:color="auto" w:fill="E5DFEC" w:themeFill="accent4" w:themeFillTint="33"/>
            <w:vAlign w:val="center"/>
            <w:hideMark/>
          </w:tcPr>
          <w:p w:rsidR="00A908C3" w:rsidRPr="00CD7B6E" w:rsidRDefault="00A908C3" w:rsidP="005546B4">
            <w:pPr>
              <w:spacing w:before="20" w:after="20"/>
              <w:jc w:val="center"/>
              <w:rPr>
                <w:rFonts w:eastAsia="Times New Roman"/>
                <w:bCs/>
                <w:color w:val="000000"/>
                <w:sz w:val="20"/>
              </w:rPr>
            </w:pPr>
          </w:p>
        </w:tc>
        <w:tc>
          <w:tcPr>
            <w:tcW w:w="446" w:type="pct"/>
            <w:tcBorders>
              <w:top w:val="single" w:sz="4" w:space="0" w:color="8064A2" w:themeColor="accent4"/>
              <w:left w:val="single" w:sz="4" w:space="0" w:color="8064A2" w:themeColor="accent4"/>
              <w:bottom w:val="single" w:sz="8"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r w:rsidRPr="00CD7B6E">
              <w:rPr>
                <w:rFonts w:eastAsia="Times New Roman"/>
                <w:color w:val="000000"/>
                <w:sz w:val="20"/>
              </w:rPr>
              <w:t>piepra</w:t>
            </w:r>
            <w:r w:rsidRPr="00CD7B6E">
              <w:rPr>
                <w:rFonts w:eastAsia="Times New Roman"/>
                <w:color w:val="000000"/>
                <w:sz w:val="20"/>
              </w:rPr>
              <w:softHyphen/>
              <w:t>sījums</w:t>
            </w:r>
          </w:p>
        </w:tc>
        <w:tc>
          <w:tcPr>
            <w:tcW w:w="448" w:type="pct"/>
            <w:tcBorders>
              <w:top w:val="single" w:sz="4" w:space="0" w:color="8064A2" w:themeColor="accent4"/>
              <w:bottom w:val="single" w:sz="8"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r w:rsidRPr="00CD7B6E">
              <w:rPr>
                <w:rFonts w:eastAsia="Times New Roman"/>
                <w:color w:val="000000"/>
                <w:sz w:val="20"/>
              </w:rPr>
              <w:t>piedā</w:t>
            </w:r>
            <w:r w:rsidRPr="00CD7B6E">
              <w:rPr>
                <w:rFonts w:eastAsia="Times New Roman"/>
                <w:color w:val="000000"/>
                <w:sz w:val="20"/>
              </w:rPr>
              <w:softHyphen/>
              <w:t>vājums</w:t>
            </w:r>
          </w:p>
        </w:tc>
        <w:tc>
          <w:tcPr>
            <w:tcW w:w="511" w:type="pct"/>
            <w:tcBorders>
              <w:top w:val="single" w:sz="4" w:space="0" w:color="8064A2" w:themeColor="accent4"/>
              <w:bottom w:val="single" w:sz="8" w:space="0" w:color="8064A2" w:themeColor="accent4"/>
              <w:right w:val="single" w:sz="4"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proofErr w:type="spellStart"/>
            <w:r w:rsidRPr="00CD7B6E">
              <w:rPr>
                <w:rFonts w:eastAsia="Times New Roman"/>
                <w:color w:val="000000"/>
                <w:sz w:val="20"/>
              </w:rPr>
              <w:t>atbils</w:t>
            </w:r>
            <w:r w:rsidR="00FE3BE2">
              <w:rPr>
                <w:rFonts w:eastAsia="Times New Roman"/>
                <w:color w:val="000000"/>
                <w:sz w:val="20"/>
              </w:rPr>
              <w:t>-</w:t>
            </w:r>
            <w:r w:rsidRPr="00CD7B6E">
              <w:rPr>
                <w:rFonts w:eastAsia="Times New Roman"/>
                <w:color w:val="000000"/>
                <w:sz w:val="20"/>
              </w:rPr>
              <w:t>tība</w:t>
            </w:r>
            <w:proofErr w:type="spellEnd"/>
          </w:p>
        </w:tc>
        <w:tc>
          <w:tcPr>
            <w:tcW w:w="447" w:type="pct"/>
            <w:tcBorders>
              <w:top w:val="single" w:sz="4" w:space="0" w:color="8064A2" w:themeColor="accent4"/>
              <w:left w:val="single" w:sz="4" w:space="0" w:color="8064A2" w:themeColor="accent4"/>
              <w:bottom w:val="single" w:sz="8"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r w:rsidRPr="00CD7B6E">
              <w:rPr>
                <w:rFonts w:eastAsia="Times New Roman"/>
                <w:color w:val="000000"/>
                <w:sz w:val="20"/>
              </w:rPr>
              <w:t>piepra</w:t>
            </w:r>
            <w:r w:rsidRPr="00CD7B6E">
              <w:rPr>
                <w:rFonts w:eastAsia="Times New Roman"/>
                <w:color w:val="000000"/>
                <w:sz w:val="20"/>
              </w:rPr>
              <w:softHyphen/>
              <w:t>sījums</w:t>
            </w:r>
          </w:p>
        </w:tc>
        <w:tc>
          <w:tcPr>
            <w:tcW w:w="448" w:type="pct"/>
            <w:tcBorders>
              <w:top w:val="single" w:sz="4" w:space="0" w:color="8064A2" w:themeColor="accent4"/>
              <w:bottom w:val="single" w:sz="8"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r w:rsidRPr="00CD7B6E">
              <w:rPr>
                <w:rFonts w:eastAsia="Times New Roman"/>
                <w:color w:val="000000"/>
                <w:sz w:val="20"/>
              </w:rPr>
              <w:t>piedā</w:t>
            </w:r>
            <w:r w:rsidRPr="00CD7B6E">
              <w:rPr>
                <w:rFonts w:eastAsia="Times New Roman"/>
                <w:color w:val="000000"/>
                <w:sz w:val="20"/>
              </w:rPr>
              <w:softHyphen/>
              <w:t>vājums</w:t>
            </w:r>
          </w:p>
        </w:tc>
        <w:tc>
          <w:tcPr>
            <w:tcW w:w="511" w:type="pct"/>
            <w:tcBorders>
              <w:top w:val="single" w:sz="4" w:space="0" w:color="8064A2" w:themeColor="accent4"/>
              <w:bottom w:val="single" w:sz="8" w:space="0" w:color="8064A2" w:themeColor="accent4"/>
            </w:tcBorders>
            <w:shd w:val="clear" w:color="auto" w:fill="E5DFEC" w:themeFill="accent4" w:themeFillTint="33"/>
            <w:vAlign w:val="center"/>
          </w:tcPr>
          <w:p w:rsidR="00A908C3" w:rsidRPr="00CD7B6E" w:rsidRDefault="00A908C3" w:rsidP="005546B4">
            <w:pPr>
              <w:spacing w:before="20" w:after="20"/>
              <w:jc w:val="center"/>
              <w:rPr>
                <w:rFonts w:eastAsia="Times New Roman"/>
                <w:color w:val="000000"/>
                <w:sz w:val="20"/>
              </w:rPr>
            </w:pPr>
            <w:proofErr w:type="spellStart"/>
            <w:r w:rsidRPr="00CD7B6E">
              <w:rPr>
                <w:rFonts w:eastAsia="Times New Roman"/>
                <w:color w:val="000000"/>
                <w:sz w:val="20"/>
              </w:rPr>
              <w:t>atbils</w:t>
            </w:r>
            <w:r w:rsidR="00FE3BE2">
              <w:rPr>
                <w:rFonts w:eastAsia="Times New Roman"/>
                <w:color w:val="000000"/>
                <w:sz w:val="20"/>
              </w:rPr>
              <w:t>-</w:t>
            </w:r>
            <w:r w:rsidRPr="00CD7B6E">
              <w:rPr>
                <w:rFonts w:eastAsia="Times New Roman"/>
                <w:color w:val="000000"/>
                <w:sz w:val="20"/>
              </w:rPr>
              <w:t>tība</w:t>
            </w:r>
            <w:proofErr w:type="spellEnd"/>
          </w:p>
        </w:tc>
      </w:tr>
      <w:tr w:rsidR="00516342" w:rsidRPr="00CD7B6E" w:rsidTr="001E4BA5">
        <w:trPr>
          <w:trHeight w:val="20"/>
          <w:jc w:val="center"/>
        </w:trPr>
        <w:tc>
          <w:tcPr>
            <w:tcW w:w="287" w:type="pct"/>
            <w:vMerge w:val="restart"/>
            <w:tcBorders>
              <w:top w:val="single" w:sz="8" w:space="0" w:color="8064A2" w:themeColor="accent4"/>
            </w:tcBorders>
            <w:shd w:val="clear" w:color="auto" w:fill="auto"/>
            <w:textDirection w:val="btLr"/>
            <w:vAlign w:val="center"/>
          </w:tcPr>
          <w:p w:rsidR="00A908C3" w:rsidRPr="00CD7B6E" w:rsidRDefault="00A908C3" w:rsidP="005546B4">
            <w:pPr>
              <w:spacing w:before="20" w:after="20"/>
              <w:ind w:left="113" w:right="113"/>
              <w:jc w:val="center"/>
              <w:rPr>
                <w:rFonts w:eastAsia="Times New Roman"/>
                <w:color w:val="000000"/>
                <w:sz w:val="20"/>
              </w:rPr>
            </w:pPr>
            <w:r w:rsidRPr="00CD7B6E">
              <w:rPr>
                <w:rFonts w:eastAsia="Times New Roman"/>
                <w:b/>
                <w:bCs/>
                <w:color w:val="auto"/>
                <w:sz w:val="20"/>
              </w:rPr>
              <w:t>Augstākā izglītība</w:t>
            </w:r>
          </w:p>
        </w:tc>
        <w:tc>
          <w:tcPr>
            <w:tcW w:w="2000" w:type="pct"/>
            <w:tcBorders>
              <w:top w:val="single" w:sz="8" w:space="0" w:color="8064A2" w:themeColor="accent4"/>
              <w:right w:val="single" w:sz="4" w:space="0" w:color="8064A2" w:themeColor="accent4"/>
            </w:tcBorders>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b/>
                <w:bCs/>
                <w:color w:val="auto"/>
                <w:sz w:val="20"/>
              </w:rPr>
              <w:t>Augstākā izglītība kopā</w:t>
            </w:r>
          </w:p>
        </w:tc>
        <w:tc>
          <w:tcPr>
            <w:tcW w:w="446" w:type="pct"/>
            <w:tcBorders>
              <w:top w:val="single" w:sz="8" w:space="0" w:color="8064A2" w:themeColor="accent4"/>
              <w:left w:val="single" w:sz="4"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370,3</w:t>
            </w:r>
          </w:p>
        </w:tc>
        <w:tc>
          <w:tcPr>
            <w:tcW w:w="448" w:type="pct"/>
            <w:tcBorders>
              <w:top w:val="single" w:sz="8"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375,5</w:t>
            </w:r>
          </w:p>
        </w:tc>
        <w:tc>
          <w:tcPr>
            <w:tcW w:w="511" w:type="pct"/>
            <w:tcBorders>
              <w:top w:val="single" w:sz="8" w:space="0" w:color="8064A2" w:themeColor="accent4"/>
              <w:right w:val="single" w:sz="4" w:space="0" w:color="8064A2" w:themeColor="accent4"/>
            </w:tcBorders>
            <w:vAlign w:val="bottom"/>
          </w:tcPr>
          <w:p w:rsidR="00A908C3" w:rsidRPr="00C64149" w:rsidRDefault="00A908C3" w:rsidP="001E4BA5">
            <w:pPr>
              <w:tabs>
                <w:tab w:val="decimal" w:pos="430"/>
              </w:tabs>
              <w:spacing w:before="40" w:after="40" w:line="240" w:lineRule="auto"/>
              <w:rPr>
                <w:b/>
                <w:color w:val="000000"/>
                <w:sz w:val="20"/>
              </w:rPr>
            </w:pPr>
            <w:r w:rsidRPr="00C64149">
              <w:rPr>
                <w:b/>
                <w:color w:val="000000"/>
                <w:sz w:val="20"/>
              </w:rPr>
              <w:t>99</w:t>
            </w:r>
          </w:p>
        </w:tc>
        <w:tc>
          <w:tcPr>
            <w:tcW w:w="447" w:type="pct"/>
            <w:tcBorders>
              <w:top w:val="single" w:sz="8" w:space="0" w:color="8064A2" w:themeColor="accent4"/>
              <w:left w:val="single" w:sz="4"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441,6</w:t>
            </w:r>
          </w:p>
        </w:tc>
        <w:tc>
          <w:tcPr>
            <w:tcW w:w="448" w:type="pct"/>
            <w:tcBorders>
              <w:top w:val="single" w:sz="8"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468,7</w:t>
            </w:r>
          </w:p>
        </w:tc>
        <w:tc>
          <w:tcPr>
            <w:tcW w:w="511" w:type="pct"/>
            <w:tcBorders>
              <w:top w:val="single" w:sz="8" w:space="0" w:color="8064A2" w:themeColor="accent4"/>
            </w:tcBorders>
            <w:vAlign w:val="bottom"/>
          </w:tcPr>
          <w:p w:rsidR="00A908C3" w:rsidRPr="00C64149" w:rsidRDefault="00A908C3" w:rsidP="001E4BA5">
            <w:pPr>
              <w:tabs>
                <w:tab w:val="decimal" w:pos="453"/>
              </w:tabs>
              <w:spacing w:before="40" w:after="40" w:line="240" w:lineRule="auto"/>
              <w:rPr>
                <w:b/>
                <w:color w:val="000000"/>
                <w:sz w:val="20"/>
              </w:rPr>
            </w:pPr>
            <w:r w:rsidRPr="00C64149">
              <w:rPr>
                <w:b/>
                <w:color w:val="000000"/>
                <w:sz w:val="20"/>
              </w:rPr>
              <w:t>94</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Izglītība</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42,8</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46,0</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93</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39,7</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44,7</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89</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Humanitārās zinātnes un māksla</w:t>
            </w:r>
          </w:p>
        </w:tc>
        <w:tc>
          <w:tcPr>
            <w:tcW w:w="446"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21,8</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27,6</w:t>
            </w:r>
          </w:p>
        </w:tc>
        <w:tc>
          <w:tcPr>
            <w:tcW w:w="511" w:type="pct"/>
            <w:tcBorders>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79</w:t>
            </w:r>
          </w:p>
        </w:tc>
        <w:tc>
          <w:tcPr>
            <w:tcW w:w="447"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23,6</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32,8</w:t>
            </w:r>
          </w:p>
        </w:tc>
        <w:tc>
          <w:tcPr>
            <w:tcW w:w="511" w:type="pct"/>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72</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hideMark/>
          </w:tcPr>
          <w:p w:rsidR="00A908C3" w:rsidRPr="00FE3BE2" w:rsidRDefault="00A908C3" w:rsidP="001E4BA5">
            <w:pPr>
              <w:spacing w:before="40" w:after="40" w:line="240" w:lineRule="auto"/>
              <w:rPr>
                <w:rFonts w:eastAsia="Times New Roman"/>
                <w:color w:val="000000"/>
                <w:spacing w:val="-4"/>
                <w:sz w:val="20"/>
              </w:rPr>
            </w:pPr>
            <w:r w:rsidRPr="00FE3BE2">
              <w:rPr>
                <w:rFonts w:eastAsia="Times New Roman"/>
                <w:color w:val="000000"/>
                <w:spacing w:val="-4"/>
                <w:sz w:val="20"/>
              </w:rPr>
              <w:t xml:space="preserve">Sociālās zinātnes, </w:t>
            </w:r>
            <w:proofErr w:type="spellStart"/>
            <w:r w:rsidRPr="00FE3BE2">
              <w:rPr>
                <w:rFonts w:eastAsia="Times New Roman"/>
                <w:color w:val="000000"/>
                <w:spacing w:val="-4"/>
                <w:sz w:val="20"/>
              </w:rPr>
              <w:t>komerczinības</w:t>
            </w:r>
            <w:proofErr w:type="spellEnd"/>
            <w:r w:rsidRPr="00FE3BE2">
              <w:rPr>
                <w:rFonts w:eastAsia="Times New Roman"/>
                <w:color w:val="000000"/>
                <w:spacing w:val="-4"/>
                <w:sz w:val="20"/>
              </w:rPr>
              <w:t xml:space="preserve"> un tiesības</w:t>
            </w:r>
          </w:p>
        </w:tc>
        <w:tc>
          <w:tcPr>
            <w:tcW w:w="446" w:type="pct"/>
            <w:tcBorders>
              <w:left w:val="single" w:sz="4" w:space="0" w:color="8064A2" w:themeColor="accent4"/>
            </w:tcBorders>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147,4</w:t>
            </w:r>
          </w:p>
        </w:tc>
        <w:tc>
          <w:tcPr>
            <w:tcW w:w="448" w:type="pct"/>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160,9</w:t>
            </w:r>
          </w:p>
        </w:tc>
        <w:tc>
          <w:tcPr>
            <w:tcW w:w="511" w:type="pct"/>
            <w:tcBorders>
              <w:right w:val="single" w:sz="4" w:space="0" w:color="8064A2" w:themeColor="accent4"/>
            </w:tcBorders>
            <w:shd w:val="clear" w:color="auto" w:fill="E5DFEC" w:themeFill="accent4" w:themeFillTint="33"/>
            <w:vAlign w:val="center"/>
          </w:tcPr>
          <w:p w:rsidR="00A908C3" w:rsidRPr="00C64149" w:rsidRDefault="00A908C3" w:rsidP="001E4BA5">
            <w:pPr>
              <w:tabs>
                <w:tab w:val="decimal" w:pos="430"/>
              </w:tabs>
              <w:spacing w:before="40" w:after="40" w:line="240" w:lineRule="auto"/>
              <w:rPr>
                <w:color w:val="000000"/>
                <w:sz w:val="20"/>
              </w:rPr>
            </w:pPr>
            <w:r w:rsidRPr="00C64149">
              <w:rPr>
                <w:color w:val="000000"/>
                <w:sz w:val="20"/>
              </w:rPr>
              <w:t>92</w:t>
            </w:r>
          </w:p>
        </w:tc>
        <w:tc>
          <w:tcPr>
            <w:tcW w:w="447" w:type="pct"/>
            <w:tcBorders>
              <w:left w:val="single" w:sz="4" w:space="0" w:color="8064A2" w:themeColor="accent4"/>
            </w:tcBorders>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165,7</w:t>
            </w:r>
          </w:p>
        </w:tc>
        <w:tc>
          <w:tcPr>
            <w:tcW w:w="448" w:type="pct"/>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201,8</w:t>
            </w:r>
          </w:p>
        </w:tc>
        <w:tc>
          <w:tcPr>
            <w:tcW w:w="511" w:type="pct"/>
            <w:shd w:val="clear" w:color="auto" w:fill="E5DFEC" w:themeFill="accent4" w:themeFillTint="33"/>
            <w:vAlign w:val="center"/>
          </w:tcPr>
          <w:p w:rsidR="00A908C3" w:rsidRPr="00C64149" w:rsidRDefault="00A908C3" w:rsidP="001E4BA5">
            <w:pPr>
              <w:tabs>
                <w:tab w:val="decimal" w:pos="453"/>
              </w:tabs>
              <w:spacing w:before="40" w:after="40" w:line="240" w:lineRule="auto"/>
              <w:rPr>
                <w:color w:val="000000"/>
                <w:sz w:val="20"/>
              </w:rPr>
            </w:pPr>
            <w:r w:rsidRPr="00C64149">
              <w:rPr>
                <w:color w:val="000000"/>
                <w:sz w:val="20"/>
              </w:rPr>
              <w:t>82</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Dabas zinātnes, matemātika un informācijas tehnoloģijas</w:t>
            </w:r>
          </w:p>
        </w:tc>
        <w:tc>
          <w:tcPr>
            <w:tcW w:w="446" w:type="pct"/>
            <w:tcBorders>
              <w:left w:val="single" w:sz="4" w:space="0" w:color="8064A2" w:themeColor="accent4"/>
            </w:tcBorders>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32,3</w:t>
            </w:r>
          </w:p>
        </w:tc>
        <w:tc>
          <w:tcPr>
            <w:tcW w:w="448" w:type="pct"/>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24,0</w:t>
            </w:r>
          </w:p>
        </w:tc>
        <w:tc>
          <w:tcPr>
            <w:tcW w:w="511" w:type="pct"/>
            <w:tcBorders>
              <w:right w:val="single" w:sz="4" w:space="0" w:color="8064A2" w:themeColor="accent4"/>
            </w:tcBorders>
            <w:vAlign w:val="center"/>
          </w:tcPr>
          <w:p w:rsidR="00A908C3" w:rsidRPr="00C64149" w:rsidRDefault="00A908C3" w:rsidP="001E4BA5">
            <w:pPr>
              <w:tabs>
                <w:tab w:val="decimal" w:pos="430"/>
              </w:tabs>
              <w:spacing w:before="40" w:after="40" w:line="240" w:lineRule="auto"/>
              <w:rPr>
                <w:color w:val="000000"/>
                <w:sz w:val="20"/>
              </w:rPr>
            </w:pPr>
            <w:r w:rsidRPr="00C64149">
              <w:rPr>
                <w:color w:val="000000"/>
                <w:sz w:val="20"/>
              </w:rPr>
              <w:t>135</w:t>
            </w:r>
          </w:p>
        </w:tc>
        <w:tc>
          <w:tcPr>
            <w:tcW w:w="447" w:type="pct"/>
            <w:tcBorders>
              <w:left w:val="single" w:sz="4" w:space="0" w:color="8064A2" w:themeColor="accent4"/>
            </w:tcBorders>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50,8</w:t>
            </w:r>
          </w:p>
        </w:tc>
        <w:tc>
          <w:tcPr>
            <w:tcW w:w="448" w:type="pct"/>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37,8</w:t>
            </w:r>
          </w:p>
        </w:tc>
        <w:tc>
          <w:tcPr>
            <w:tcW w:w="511" w:type="pct"/>
            <w:vAlign w:val="center"/>
          </w:tcPr>
          <w:p w:rsidR="00A908C3" w:rsidRPr="00C64149" w:rsidRDefault="00A908C3" w:rsidP="001E4BA5">
            <w:pPr>
              <w:tabs>
                <w:tab w:val="decimal" w:pos="453"/>
              </w:tabs>
              <w:spacing w:before="40" w:after="40" w:line="240" w:lineRule="auto"/>
              <w:rPr>
                <w:color w:val="000000"/>
                <w:sz w:val="20"/>
              </w:rPr>
            </w:pPr>
            <w:r w:rsidRPr="00C64149">
              <w:rPr>
                <w:color w:val="000000"/>
                <w:sz w:val="20"/>
              </w:rPr>
              <w:t>134</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Inženierzinātnes, ražošana un būvniecība</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71,0</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57,7</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123</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95,4</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73,0</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131</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Lauksaimniecība</w:t>
            </w:r>
          </w:p>
        </w:tc>
        <w:tc>
          <w:tcPr>
            <w:tcW w:w="446"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8,4</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8,3</w:t>
            </w:r>
          </w:p>
        </w:tc>
        <w:tc>
          <w:tcPr>
            <w:tcW w:w="511" w:type="pct"/>
            <w:tcBorders>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101</w:t>
            </w:r>
          </w:p>
        </w:tc>
        <w:tc>
          <w:tcPr>
            <w:tcW w:w="447"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9,2</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7,9</w:t>
            </w:r>
          </w:p>
        </w:tc>
        <w:tc>
          <w:tcPr>
            <w:tcW w:w="511" w:type="pct"/>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116</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Veselības aprūpe un sociālā labklājība</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30,0</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30,1</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100</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38,9</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44,7</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87</w:t>
            </w:r>
          </w:p>
        </w:tc>
      </w:tr>
      <w:tr w:rsidR="00516342" w:rsidRPr="00CD7B6E" w:rsidTr="00516342">
        <w:trPr>
          <w:trHeight w:val="20"/>
          <w:jc w:val="center"/>
        </w:trPr>
        <w:tc>
          <w:tcPr>
            <w:tcW w:w="287" w:type="pct"/>
            <w:vMerge/>
            <w:tcBorders>
              <w:bottom w:val="single" w:sz="4" w:space="0" w:color="8064A2" w:themeColor="accent4"/>
            </w:tcBorders>
            <w:shd w:val="clear" w:color="auto" w:fill="auto"/>
          </w:tcPr>
          <w:p w:rsidR="00A908C3" w:rsidRPr="00CD7B6E" w:rsidRDefault="00A908C3" w:rsidP="005546B4">
            <w:pPr>
              <w:spacing w:before="20" w:after="20"/>
              <w:rPr>
                <w:rFonts w:eastAsia="Times New Roman"/>
                <w:color w:val="000000"/>
                <w:sz w:val="20"/>
              </w:rPr>
            </w:pPr>
          </w:p>
        </w:tc>
        <w:tc>
          <w:tcPr>
            <w:tcW w:w="2000" w:type="pct"/>
            <w:tcBorders>
              <w:bottom w:val="single" w:sz="4" w:space="0" w:color="8064A2" w:themeColor="accent4"/>
              <w:right w:val="single" w:sz="4" w:space="0" w:color="8064A2" w:themeColor="accent4"/>
            </w:tcBorders>
            <w:hideMark/>
          </w:tcPr>
          <w:p w:rsidR="00A908C3" w:rsidRPr="00CD7B6E" w:rsidRDefault="00A908C3" w:rsidP="001E4BA5">
            <w:pPr>
              <w:spacing w:before="40" w:after="40" w:line="240" w:lineRule="auto"/>
              <w:rPr>
                <w:rFonts w:eastAsia="Times New Roman"/>
                <w:color w:val="000000"/>
                <w:sz w:val="20"/>
              </w:rPr>
            </w:pPr>
            <w:r w:rsidRPr="00CD7B6E">
              <w:rPr>
                <w:rFonts w:eastAsia="Times New Roman"/>
                <w:color w:val="000000"/>
                <w:sz w:val="20"/>
              </w:rPr>
              <w:t>Pakalpojumi</w:t>
            </w:r>
          </w:p>
        </w:tc>
        <w:tc>
          <w:tcPr>
            <w:tcW w:w="446" w:type="pct"/>
            <w:tcBorders>
              <w:left w:val="single" w:sz="4" w:space="0" w:color="8064A2" w:themeColor="accent4"/>
              <w:bottom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16,5</w:t>
            </w:r>
          </w:p>
        </w:tc>
        <w:tc>
          <w:tcPr>
            <w:tcW w:w="448" w:type="pct"/>
            <w:tcBorders>
              <w:bottom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21,0</w:t>
            </w:r>
          </w:p>
        </w:tc>
        <w:tc>
          <w:tcPr>
            <w:tcW w:w="511" w:type="pct"/>
            <w:tcBorders>
              <w:bottom w:val="single" w:sz="4" w:space="0" w:color="8064A2" w:themeColor="accent4"/>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79</w:t>
            </w:r>
          </w:p>
        </w:tc>
        <w:tc>
          <w:tcPr>
            <w:tcW w:w="447" w:type="pct"/>
            <w:tcBorders>
              <w:left w:val="single" w:sz="4" w:space="0" w:color="8064A2" w:themeColor="accent4"/>
              <w:bottom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18,4</w:t>
            </w:r>
          </w:p>
        </w:tc>
        <w:tc>
          <w:tcPr>
            <w:tcW w:w="448" w:type="pct"/>
            <w:tcBorders>
              <w:bottom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26,0</w:t>
            </w:r>
          </w:p>
        </w:tc>
        <w:tc>
          <w:tcPr>
            <w:tcW w:w="511" w:type="pct"/>
            <w:tcBorders>
              <w:bottom w:val="single" w:sz="4" w:space="0" w:color="8064A2" w:themeColor="accent4"/>
            </w:tcBorders>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71</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val="restart"/>
            <w:tcBorders>
              <w:top w:val="single" w:sz="4" w:space="0" w:color="8064A2" w:themeColor="accent4"/>
              <w:bottom w:val="nil"/>
            </w:tcBorders>
            <w:shd w:val="clear" w:color="auto" w:fill="auto"/>
            <w:textDirection w:val="btLr"/>
            <w:vAlign w:val="center"/>
          </w:tcPr>
          <w:p w:rsidR="00A908C3" w:rsidRPr="00CD7B6E" w:rsidRDefault="00A908C3" w:rsidP="005546B4">
            <w:pPr>
              <w:spacing w:before="20" w:after="20"/>
              <w:ind w:left="113" w:right="113"/>
              <w:jc w:val="center"/>
              <w:rPr>
                <w:rFonts w:eastAsia="Times New Roman"/>
                <w:color w:val="000000"/>
                <w:sz w:val="20"/>
              </w:rPr>
            </w:pPr>
            <w:r>
              <w:rPr>
                <w:rFonts w:eastAsia="Times New Roman"/>
                <w:b/>
                <w:bCs/>
                <w:color w:val="auto"/>
                <w:sz w:val="20"/>
              </w:rPr>
              <w:t>Vidējā izglītība</w:t>
            </w:r>
          </w:p>
        </w:tc>
        <w:tc>
          <w:tcPr>
            <w:tcW w:w="2000" w:type="pct"/>
            <w:tcBorders>
              <w:top w:val="single" w:sz="4" w:space="0" w:color="8064A2" w:themeColor="accent4"/>
              <w:bottom w:val="nil"/>
              <w:right w:val="single" w:sz="4" w:space="0" w:color="8064A2" w:themeColor="accent4"/>
            </w:tcBorders>
            <w:shd w:val="clear" w:color="auto" w:fill="E5DFEC" w:themeFill="accent4" w:themeFillTint="33"/>
            <w:hideMark/>
          </w:tcPr>
          <w:p w:rsidR="00A908C3" w:rsidRPr="00CD7B6E" w:rsidRDefault="00A908C3" w:rsidP="001E4BA5">
            <w:pPr>
              <w:spacing w:before="40" w:after="40" w:line="240" w:lineRule="auto"/>
              <w:rPr>
                <w:rFonts w:eastAsia="Times New Roman"/>
                <w:b/>
                <w:bCs/>
                <w:color w:val="auto"/>
                <w:sz w:val="20"/>
              </w:rPr>
            </w:pPr>
            <w:r w:rsidRPr="00CD7B6E">
              <w:rPr>
                <w:rFonts w:eastAsia="Times New Roman"/>
                <w:b/>
                <w:bCs/>
                <w:color w:val="auto"/>
                <w:sz w:val="20"/>
              </w:rPr>
              <w:t>Vidējā izglītība kopā</w:t>
            </w:r>
          </w:p>
        </w:tc>
        <w:tc>
          <w:tcPr>
            <w:tcW w:w="446" w:type="pct"/>
            <w:tcBorders>
              <w:top w:val="single" w:sz="4" w:space="0" w:color="8064A2" w:themeColor="accent4"/>
              <w:left w:val="single" w:sz="4" w:space="0" w:color="8064A2" w:themeColor="accent4"/>
              <w:bottom w:val="nil"/>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487,3</w:t>
            </w:r>
          </w:p>
        </w:tc>
        <w:tc>
          <w:tcPr>
            <w:tcW w:w="448" w:type="pct"/>
            <w:tcBorders>
              <w:top w:val="single" w:sz="4" w:space="0" w:color="8064A2" w:themeColor="accent4"/>
              <w:bottom w:val="nil"/>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497,2</w:t>
            </w:r>
          </w:p>
        </w:tc>
        <w:tc>
          <w:tcPr>
            <w:tcW w:w="511" w:type="pct"/>
            <w:tcBorders>
              <w:top w:val="single" w:sz="4" w:space="0" w:color="8064A2" w:themeColor="accent4"/>
              <w:bottom w:val="nil"/>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b/>
                <w:color w:val="000000"/>
                <w:sz w:val="20"/>
              </w:rPr>
            </w:pPr>
            <w:r w:rsidRPr="00C64149">
              <w:rPr>
                <w:b/>
                <w:color w:val="000000"/>
                <w:sz w:val="20"/>
              </w:rPr>
              <w:t>98</w:t>
            </w:r>
          </w:p>
        </w:tc>
        <w:tc>
          <w:tcPr>
            <w:tcW w:w="447" w:type="pct"/>
            <w:tcBorders>
              <w:top w:val="single" w:sz="4" w:space="0" w:color="8064A2" w:themeColor="accent4"/>
              <w:left w:val="single" w:sz="4" w:space="0" w:color="8064A2" w:themeColor="accent4"/>
              <w:bottom w:val="nil"/>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447,0</w:t>
            </w:r>
          </w:p>
        </w:tc>
        <w:tc>
          <w:tcPr>
            <w:tcW w:w="448" w:type="pct"/>
            <w:tcBorders>
              <w:top w:val="single" w:sz="4" w:space="0" w:color="8064A2" w:themeColor="accent4"/>
              <w:bottom w:val="nil"/>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428,6</w:t>
            </w:r>
          </w:p>
        </w:tc>
        <w:tc>
          <w:tcPr>
            <w:tcW w:w="511" w:type="pct"/>
            <w:tcBorders>
              <w:top w:val="single" w:sz="4" w:space="0" w:color="8064A2" w:themeColor="accent4"/>
              <w:bottom w:val="nil"/>
            </w:tcBorders>
            <w:shd w:val="clear" w:color="auto" w:fill="E5DFEC" w:themeFill="accent4" w:themeFillTint="33"/>
            <w:vAlign w:val="bottom"/>
          </w:tcPr>
          <w:p w:rsidR="00A908C3" w:rsidRPr="00C64149" w:rsidRDefault="00A908C3" w:rsidP="001E4BA5">
            <w:pPr>
              <w:tabs>
                <w:tab w:val="decimal" w:pos="453"/>
              </w:tabs>
              <w:spacing w:before="40" w:after="40" w:line="240" w:lineRule="auto"/>
              <w:rPr>
                <w:b/>
                <w:color w:val="000000"/>
                <w:sz w:val="20"/>
              </w:rPr>
            </w:pPr>
            <w:r w:rsidRPr="00C64149">
              <w:rPr>
                <w:b/>
                <w:color w:val="000000"/>
                <w:sz w:val="20"/>
              </w:rPr>
              <w:t>104</w:t>
            </w:r>
          </w:p>
        </w:tc>
      </w:tr>
      <w:tr w:rsidR="00516342" w:rsidRPr="00CD7B6E" w:rsidTr="00516342">
        <w:trPr>
          <w:trHeight w:val="20"/>
          <w:jc w:val="center"/>
        </w:trPr>
        <w:tc>
          <w:tcPr>
            <w:tcW w:w="287" w:type="pct"/>
            <w:vMerge/>
            <w:tcBorders>
              <w:top w:val="nil"/>
            </w:tcBorders>
            <w:shd w:val="clear" w:color="auto" w:fill="auto"/>
          </w:tcPr>
          <w:p w:rsidR="00A908C3" w:rsidRPr="00CD7B6E" w:rsidRDefault="00A908C3" w:rsidP="005546B4">
            <w:pPr>
              <w:spacing w:before="20" w:after="20"/>
              <w:rPr>
                <w:rFonts w:eastAsia="Times New Roman"/>
                <w:color w:val="000000"/>
                <w:sz w:val="20"/>
              </w:rPr>
            </w:pPr>
          </w:p>
        </w:tc>
        <w:tc>
          <w:tcPr>
            <w:tcW w:w="2000" w:type="pct"/>
            <w:tcBorders>
              <w:top w:val="nil"/>
              <w:right w:val="single" w:sz="4" w:space="0" w:color="8064A2" w:themeColor="accent4"/>
            </w:tcBorders>
          </w:tcPr>
          <w:p w:rsidR="00A908C3" w:rsidRPr="00CD7B6E" w:rsidRDefault="00A908C3" w:rsidP="001E4BA5">
            <w:pPr>
              <w:spacing w:before="40" w:after="40" w:line="240" w:lineRule="auto"/>
              <w:rPr>
                <w:rFonts w:eastAsia="Times New Roman"/>
                <w:b/>
                <w:color w:val="auto"/>
                <w:sz w:val="20"/>
              </w:rPr>
            </w:pPr>
            <w:r w:rsidRPr="00CD7B6E">
              <w:rPr>
                <w:rFonts w:eastAsia="Times New Roman"/>
                <w:b/>
                <w:color w:val="auto"/>
                <w:sz w:val="20"/>
              </w:rPr>
              <w:t>Profesionālā vidējā izglītība kopā</w:t>
            </w:r>
          </w:p>
        </w:tc>
        <w:tc>
          <w:tcPr>
            <w:tcW w:w="446" w:type="pct"/>
            <w:tcBorders>
              <w:top w:val="nil"/>
              <w:left w:val="single" w:sz="4"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284,4</w:t>
            </w:r>
          </w:p>
        </w:tc>
        <w:tc>
          <w:tcPr>
            <w:tcW w:w="448" w:type="pct"/>
            <w:tcBorders>
              <w:top w:val="nil"/>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266,0</w:t>
            </w:r>
          </w:p>
        </w:tc>
        <w:tc>
          <w:tcPr>
            <w:tcW w:w="511" w:type="pct"/>
            <w:tcBorders>
              <w:top w:val="nil"/>
              <w:right w:val="single" w:sz="4" w:space="0" w:color="8064A2" w:themeColor="accent4"/>
            </w:tcBorders>
            <w:vAlign w:val="bottom"/>
          </w:tcPr>
          <w:p w:rsidR="00A908C3" w:rsidRPr="00C64149" w:rsidRDefault="00A908C3" w:rsidP="001E4BA5">
            <w:pPr>
              <w:tabs>
                <w:tab w:val="decimal" w:pos="430"/>
              </w:tabs>
              <w:spacing w:before="40" w:after="40" w:line="240" w:lineRule="auto"/>
              <w:rPr>
                <w:b/>
                <w:color w:val="000000"/>
                <w:sz w:val="20"/>
              </w:rPr>
            </w:pPr>
            <w:r w:rsidRPr="00C64149">
              <w:rPr>
                <w:b/>
                <w:color w:val="000000"/>
                <w:sz w:val="20"/>
              </w:rPr>
              <w:t>107</w:t>
            </w:r>
          </w:p>
        </w:tc>
        <w:tc>
          <w:tcPr>
            <w:tcW w:w="447" w:type="pct"/>
            <w:tcBorders>
              <w:top w:val="nil"/>
              <w:left w:val="single" w:sz="4" w:space="0" w:color="8064A2" w:themeColor="accent4"/>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264,6</w:t>
            </w:r>
          </w:p>
        </w:tc>
        <w:tc>
          <w:tcPr>
            <w:tcW w:w="448" w:type="pct"/>
            <w:tcBorders>
              <w:top w:val="nil"/>
            </w:tcBorders>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206,1</w:t>
            </w:r>
          </w:p>
        </w:tc>
        <w:tc>
          <w:tcPr>
            <w:tcW w:w="511" w:type="pct"/>
            <w:tcBorders>
              <w:top w:val="nil"/>
            </w:tcBorders>
            <w:vAlign w:val="bottom"/>
          </w:tcPr>
          <w:p w:rsidR="00A908C3" w:rsidRPr="00C64149" w:rsidRDefault="00A908C3" w:rsidP="001E4BA5">
            <w:pPr>
              <w:tabs>
                <w:tab w:val="decimal" w:pos="453"/>
              </w:tabs>
              <w:spacing w:before="40" w:after="40" w:line="240" w:lineRule="auto"/>
              <w:rPr>
                <w:b/>
                <w:color w:val="000000"/>
                <w:sz w:val="20"/>
              </w:rPr>
            </w:pPr>
            <w:r w:rsidRPr="00C64149">
              <w:rPr>
                <w:b/>
                <w:color w:val="000000"/>
                <w:sz w:val="20"/>
              </w:rPr>
              <w:t>128</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Izglītība</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2,9</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2,3</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123</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1,9</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0,9</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225</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Humanitārās zinātnes un māksla</w:t>
            </w:r>
          </w:p>
        </w:tc>
        <w:tc>
          <w:tcPr>
            <w:tcW w:w="446"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4,8</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7,7</w:t>
            </w:r>
          </w:p>
        </w:tc>
        <w:tc>
          <w:tcPr>
            <w:tcW w:w="511" w:type="pct"/>
            <w:tcBorders>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62</w:t>
            </w:r>
          </w:p>
        </w:tc>
        <w:tc>
          <w:tcPr>
            <w:tcW w:w="447"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3,6</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7,7</w:t>
            </w:r>
          </w:p>
        </w:tc>
        <w:tc>
          <w:tcPr>
            <w:tcW w:w="511" w:type="pct"/>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47</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tcPr>
          <w:p w:rsidR="00A908C3" w:rsidRPr="00FE3BE2" w:rsidRDefault="00A908C3" w:rsidP="001E4BA5">
            <w:pPr>
              <w:spacing w:before="40" w:after="40" w:line="240" w:lineRule="auto"/>
              <w:ind w:left="182" w:right="-107"/>
              <w:rPr>
                <w:rFonts w:eastAsia="Times New Roman"/>
                <w:color w:val="000000"/>
                <w:spacing w:val="-4"/>
                <w:sz w:val="20"/>
              </w:rPr>
            </w:pPr>
            <w:r w:rsidRPr="00FE3BE2">
              <w:rPr>
                <w:rFonts w:eastAsia="Times New Roman"/>
                <w:color w:val="000000"/>
                <w:spacing w:val="-4"/>
                <w:sz w:val="20"/>
              </w:rPr>
              <w:t xml:space="preserve">Sociālās zinātnes, </w:t>
            </w:r>
            <w:proofErr w:type="spellStart"/>
            <w:r w:rsidRPr="00FE3BE2">
              <w:rPr>
                <w:rFonts w:eastAsia="Times New Roman"/>
                <w:color w:val="000000"/>
                <w:spacing w:val="-4"/>
                <w:sz w:val="20"/>
              </w:rPr>
              <w:t>komerczinības</w:t>
            </w:r>
            <w:proofErr w:type="spellEnd"/>
            <w:r w:rsidRPr="00FE3BE2">
              <w:rPr>
                <w:rFonts w:eastAsia="Times New Roman"/>
                <w:color w:val="000000"/>
                <w:spacing w:val="-4"/>
                <w:sz w:val="20"/>
              </w:rPr>
              <w:t xml:space="preserve"> un tiesības</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29,7</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33,7</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88</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20,5</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25,7</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80</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Dabas zinātnes, matemātika un informācijas tehnoloģijas</w:t>
            </w:r>
          </w:p>
        </w:tc>
        <w:tc>
          <w:tcPr>
            <w:tcW w:w="446" w:type="pct"/>
            <w:tcBorders>
              <w:left w:val="single" w:sz="4" w:space="0" w:color="8064A2" w:themeColor="accent4"/>
            </w:tcBorders>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5,7</w:t>
            </w:r>
          </w:p>
        </w:tc>
        <w:tc>
          <w:tcPr>
            <w:tcW w:w="448" w:type="pct"/>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5,3</w:t>
            </w:r>
          </w:p>
        </w:tc>
        <w:tc>
          <w:tcPr>
            <w:tcW w:w="511" w:type="pct"/>
            <w:tcBorders>
              <w:right w:val="single" w:sz="4" w:space="0" w:color="8064A2" w:themeColor="accent4"/>
            </w:tcBorders>
            <w:vAlign w:val="center"/>
          </w:tcPr>
          <w:p w:rsidR="00A908C3" w:rsidRPr="00C64149" w:rsidRDefault="00A908C3" w:rsidP="001E4BA5">
            <w:pPr>
              <w:tabs>
                <w:tab w:val="decimal" w:pos="430"/>
              </w:tabs>
              <w:spacing w:before="40" w:after="40" w:line="240" w:lineRule="auto"/>
              <w:rPr>
                <w:color w:val="000000"/>
                <w:sz w:val="20"/>
              </w:rPr>
            </w:pPr>
            <w:r w:rsidRPr="00C64149">
              <w:rPr>
                <w:color w:val="000000"/>
                <w:sz w:val="20"/>
              </w:rPr>
              <w:t>107</w:t>
            </w:r>
          </w:p>
        </w:tc>
        <w:tc>
          <w:tcPr>
            <w:tcW w:w="447" w:type="pct"/>
            <w:tcBorders>
              <w:left w:val="single" w:sz="4" w:space="0" w:color="8064A2" w:themeColor="accent4"/>
            </w:tcBorders>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7,1</w:t>
            </w:r>
          </w:p>
        </w:tc>
        <w:tc>
          <w:tcPr>
            <w:tcW w:w="448" w:type="pct"/>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4,8</w:t>
            </w:r>
          </w:p>
        </w:tc>
        <w:tc>
          <w:tcPr>
            <w:tcW w:w="511" w:type="pct"/>
            <w:vAlign w:val="center"/>
          </w:tcPr>
          <w:p w:rsidR="00A908C3" w:rsidRPr="00C64149" w:rsidRDefault="00A908C3" w:rsidP="001E4BA5">
            <w:pPr>
              <w:tabs>
                <w:tab w:val="decimal" w:pos="453"/>
              </w:tabs>
              <w:spacing w:before="40" w:after="40" w:line="240" w:lineRule="auto"/>
              <w:rPr>
                <w:color w:val="000000"/>
                <w:sz w:val="20"/>
              </w:rPr>
            </w:pPr>
            <w:r w:rsidRPr="00C64149">
              <w:rPr>
                <w:color w:val="000000"/>
                <w:sz w:val="20"/>
              </w:rPr>
              <w:t>146</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Inženierzinātnes, ražošana un būvniecība</w:t>
            </w:r>
          </w:p>
        </w:tc>
        <w:tc>
          <w:tcPr>
            <w:tcW w:w="446" w:type="pct"/>
            <w:tcBorders>
              <w:left w:val="single" w:sz="4" w:space="0" w:color="8064A2" w:themeColor="accent4"/>
            </w:tcBorders>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171,2</w:t>
            </w:r>
          </w:p>
        </w:tc>
        <w:tc>
          <w:tcPr>
            <w:tcW w:w="448" w:type="pct"/>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151,7</w:t>
            </w:r>
          </w:p>
        </w:tc>
        <w:tc>
          <w:tcPr>
            <w:tcW w:w="511" w:type="pct"/>
            <w:tcBorders>
              <w:right w:val="single" w:sz="4" w:space="0" w:color="8064A2" w:themeColor="accent4"/>
            </w:tcBorders>
            <w:shd w:val="clear" w:color="auto" w:fill="E5DFEC" w:themeFill="accent4" w:themeFillTint="33"/>
            <w:vAlign w:val="center"/>
          </w:tcPr>
          <w:p w:rsidR="00A908C3" w:rsidRPr="00C64149" w:rsidRDefault="00A908C3" w:rsidP="001E4BA5">
            <w:pPr>
              <w:tabs>
                <w:tab w:val="decimal" w:pos="430"/>
              </w:tabs>
              <w:spacing w:before="40" w:after="40" w:line="240" w:lineRule="auto"/>
              <w:rPr>
                <w:color w:val="000000"/>
                <w:sz w:val="20"/>
              </w:rPr>
            </w:pPr>
            <w:r w:rsidRPr="00C64149">
              <w:rPr>
                <w:color w:val="000000"/>
                <w:sz w:val="20"/>
              </w:rPr>
              <w:t>113</w:t>
            </w:r>
          </w:p>
        </w:tc>
        <w:tc>
          <w:tcPr>
            <w:tcW w:w="447" w:type="pct"/>
            <w:tcBorders>
              <w:left w:val="single" w:sz="4" w:space="0" w:color="8064A2" w:themeColor="accent4"/>
            </w:tcBorders>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164,6</w:t>
            </w:r>
          </w:p>
        </w:tc>
        <w:tc>
          <w:tcPr>
            <w:tcW w:w="448" w:type="pct"/>
            <w:shd w:val="clear" w:color="auto" w:fill="E5DFEC" w:themeFill="accent4" w:themeFillTint="33"/>
            <w:vAlign w:val="center"/>
          </w:tcPr>
          <w:p w:rsidR="00A908C3" w:rsidRPr="00C64149" w:rsidRDefault="00A908C3" w:rsidP="001E4BA5">
            <w:pPr>
              <w:tabs>
                <w:tab w:val="decimal" w:pos="367"/>
              </w:tabs>
              <w:spacing w:before="40" w:after="40" w:line="240" w:lineRule="auto"/>
              <w:rPr>
                <w:color w:val="000000"/>
                <w:sz w:val="20"/>
              </w:rPr>
            </w:pPr>
            <w:r w:rsidRPr="00C64149">
              <w:rPr>
                <w:color w:val="000000"/>
                <w:sz w:val="20"/>
              </w:rPr>
              <w:t>111,2</w:t>
            </w:r>
          </w:p>
        </w:tc>
        <w:tc>
          <w:tcPr>
            <w:tcW w:w="511" w:type="pct"/>
            <w:shd w:val="clear" w:color="auto" w:fill="E5DFEC" w:themeFill="accent4" w:themeFillTint="33"/>
            <w:vAlign w:val="center"/>
          </w:tcPr>
          <w:p w:rsidR="00A908C3" w:rsidRPr="00C64149" w:rsidRDefault="00A908C3" w:rsidP="001E4BA5">
            <w:pPr>
              <w:tabs>
                <w:tab w:val="decimal" w:pos="453"/>
              </w:tabs>
              <w:spacing w:before="40" w:after="40" w:line="240" w:lineRule="auto"/>
              <w:rPr>
                <w:color w:val="000000"/>
                <w:sz w:val="20"/>
              </w:rPr>
            </w:pPr>
            <w:r w:rsidRPr="00C64149">
              <w:rPr>
                <w:color w:val="000000"/>
                <w:sz w:val="20"/>
              </w:rPr>
              <w:t>148</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Lauksaimniecība</w:t>
            </w:r>
          </w:p>
        </w:tc>
        <w:tc>
          <w:tcPr>
            <w:tcW w:w="446"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16,1</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17,6</w:t>
            </w:r>
          </w:p>
        </w:tc>
        <w:tc>
          <w:tcPr>
            <w:tcW w:w="511" w:type="pct"/>
            <w:tcBorders>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91</w:t>
            </w:r>
          </w:p>
        </w:tc>
        <w:tc>
          <w:tcPr>
            <w:tcW w:w="447"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10,7</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11,8</w:t>
            </w:r>
          </w:p>
        </w:tc>
        <w:tc>
          <w:tcPr>
            <w:tcW w:w="511" w:type="pct"/>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91</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shd w:val="clear" w:color="auto" w:fill="auto"/>
          </w:tcPr>
          <w:p w:rsidR="00A908C3" w:rsidRPr="00CD7B6E" w:rsidRDefault="00A908C3" w:rsidP="005546B4">
            <w:pPr>
              <w:spacing w:before="20" w:after="20"/>
              <w:rPr>
                <w:rFonts w:eastAsia="Times New Roman"/>
                <w:color w:val="000000"/>
                <w:sz w:val="20"/>
              </w:rPr>
            </w:pPr>
          </w:p>
        </w:tc>
        <w:tc>
          <w:tcPr>
            <w:tcW w:w="2000" w:type="pct"/>
            <w:tcBorders>
              <w:right w:val="single" w:sz="4" w:space="0" w:color="8064A2" w:themeColor="accent4"/>
            </w:tcBorders>
            <w:shd w:val="clear" w:color="auto" w:fill="E5DFEC" w:themeFill="accent4" w:themeFillTint="33"/>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Veselības aprūpe un sociālā labklājība</w:t>
            </w:r>
          </w:p>
        </w:tc>
        <w:tc>
          <w:tcPr>
            <w:tcW w:w="446"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13,6</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12,9</w:t>
            </w:r>
          </w:p>
        </w:tc>
        <w:tc>
          <w:tcPr>
            <w:tcW w:w="511" w:type="pct"/>
            <w:tcBorders>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105</w:t>
            </w:r>
          </w:p>
        </w:tc>
        <w:tc>
          <w:tcPr>
            <w:tcW w:w="447" w:type="pct"/>
            <w:tcBorders>
              <w:left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9,1</w:t>
            </w:r>
          </w:p>
        </w:tc>
        <w:tc>
          <w:tcPr>
            <w:tcW w:w="448" w:type="pct"/>
            <w:shd w:val="clear" w:color="auto" w:fill="E5DFEC" w:themeFill="accent4" w:themeFillTint="33"/>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8,0</w:t>
            </w:r>
          </w:p>
        </w:tc>
        <w:tc>
          <w:tcPr>
            <w:tcW w:w="511" w:type="pct"/>
            <w:shd w:val="clear" w:color="auto" w:fill="E5DFEC" w:themeFill="accent4" w:themeFillTint="33"/>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113</w:t>
            </w:r>
          </w:p>
        </w:tc>
      </w:tr>
      <w:tr w:rsidR="00516342" w:rsidRPr="00CD7B6E" w:rsidTr="00516342">
        <w:trPr>
          <w:trHeight w:val="20"/>
          <w:jc w:val="center"/>
        </w:trPr>
        <w:tc>
          <w:tcPr>
            <w:tcW w:w="287" w:type="pct"/>
            <w:vMerge/>
            <w:shd w:val="clear" w:color="auto" w:fill="auto"/>
          </w:tcPr>
          <w:p w:rsidR="00A908C3" w:rsidRPr="00CD7B6E" w:rsidRDefault="00A908C3" w:rsidP="005546B4">
            <w:pPr>
              <w:spacing w:before="20" w:after="20"/>
              <w:rPr>
                <w:rFonts w:eastAsia="Times New Roman"/>
                <w:b/>
                <w:color w:val="000000"/>
                <w:sz w:val="20"/>
              </w:rPr>
            </w:pPr>
          </w:p>
        </w:tc>
        <w:tc>
          <w:tcPr>
            <w:tcW w:w="2000" w:type="pct"/>
            <w:tcBorders>
              <w:right w:val="single" w:sz="4" w:space="0" w:color="8064A2" w:themeColor="accent4"/>
            </w:tcBorders>
          </w:tcPr>
          <w:p w:rsidR="00A908C3" w:rsidRPr="00CD7B6E" w:rsidRDefault="00A908C3" w:rsidP="001E4BA5">
            <w:pPr>
              <w:spacing w:before="40" w:after="40" w:line="240" w:lineRule="auto"/>
              <w:ind w:left="182"/>
              <w:rPr>
                <w:rFonts w:eastAsia="Times New Roman"/>
                <w:color w:val="auto"/>
                <w:sz w:val="20"/>
              </w:rPr>
            </w:pPr>
            <w:r w:rsidRPr="00CD7B6E">
              <w:rPr>
                <w:rFonts w:eastAsia="Times New Roman"/>
                <w:color w:val="auto"/>
                <w:sz w:val="20"/>
              </w:rPr>
              <w:t>Pakalpojumi</w:t>
            </w:r>
          </w:p>
        </w:tc>
        <w:tc>
          <w:tcPr>
            <w:tcW w:w="446"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40,6</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34,7</w:t>
            </w:r>
          </w:p>
        </w:tc>
        <w:tc>
          <w:tcPr>
            <w:tcW w:w="511" w:type="pct"/>
            <w:tcBorders>
              <w:right w:val="single" w:sz="4" w:space="0" w:color="8064A2" w:themeColor="accent4"/>
            </w:tcBorders>
            <w:vAlign w:val="bottom"/>
          </w:tcPr>
          <w:p w:rsidR="00A908C3" w:rsidRPr="00C64149" w:rsidRDefault="00A908C3" w:rsidP="001E4BA5">
            <w:pPr>
              <w:tabs>
                <w:tab w:val="decimal" w:pos="430"/>
              </w:tabs>
              <w:spacing w:before="40" w:after="40" w:line="240" w:lineRule="auto"/>
              <w:rPr>
                <w:color w:val="000000"/>
                <w:sz w:val="20"/>
              </w:rPr>
            </w:pPr>
            <w:r w:rsidRPr="00C64149">
              <w:rPr>
                <w:color w:val="000000"/>
                <w:sz w:val="20"/>
              </w:rPr>
              <w:t>117</w:t>
            </w:r>
          </w:p>
        </w:tc>
        <w:tc>
          <w:tcPr>
            <w:tcW w:w="447" w:type="pct"/>
            <w:tcBorders>
              <w:left w:val="single" w:sz="4" w:space="0" w:color="8064A2" w:themeColor="accent4"/>
            </w:tcBorders>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47,1</w:t>
            </w:r>
          </w:p>
        </w:tc>
        <w:tc>
          <w:tcPr>
            <w:tcW w:w="448" w:type="pct"/>
            <w:vAlign w:val="bottom"/>
          </w:tcPr>
          <w:p w:rsidR="00A908C3" w:rsidRPr="00C64149" w:rsidRDefault="00A908C3" w:rsidP="001E4BA5">
            <w:pPr>
              <w:tabs>
                <w:tab w:val="decimal" w:pos="367"/>
              </w:tabs>
              <w:spacing w:before="40" w:after="40" w:line="240" w:lineRule="auto"/>
              <w:rPr>
                <w:color w:val="000000"/>
                <w:sz w:val="20"/>
              </w:rPr>
            </w:pPr>
            <w:r w:rsidRPr="00C64149">
              <w:rPr>
                <w:color w:val="000000"/>
                <w:sz w:val="20"/>
              </w:rPr>
              <w:t>36,1</w:t>
            </w:r>
          </w:p>
        </w:tc>
        <w:tc>
          <w:tcPr>
            <w:tcW w:w="511" w:type="pct"/>
            <w:vAlign w:val="bottom"/>
          </w:tcPr>
          <w:p w:rsidR="00A908C3" w:rsidRPr="00C64149" w:rsidRDefault="00A908C3" w:rsidP="001E4BA5">
            <w:pPr>
              <w:tabs>
                <w:tab w:val="decimal" w:pos="453"/>
              </w:tabs>
              <w:spacing w:before="40" w:after="40" w:line="240" w:lineRule="auto"/>
              <w:rPr>
                <w:color w:val="000000"/>
                <w:sz w:val="20"/>
              </w:rPr>
            </w:pPr>
            <w:r w:rsidRPr="00C64149">
              <w:rPr>
                <w:color w:val="000000"/>
                <w:sz w:val="20"/>
              </w:rPr>
              <w:t>130</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87" w:type="pct"/>
            <w:vMerge/>
            <w:tcBorders>
              <w:bottom w:val="single" w:sz="4" w:space="0" w:color="8064A2" w:themeColor="accent4"/>
            </w:tcBorders>
            <w:shd w:val="clear" w:color="auto" w:fill="auto"/>
          </w:tcPr>
          <w:p w:rsidR="00A908C3" w:rsidRPr="00CD7B6E" w:rsidRDefault="00A908C3" w:rsidP="005546B4">
            <w:pPr>
              <w:spacing w:before="20" w:after="20"/>
              <w:rPr>
                <w:rFonts w:eastAsia="Times New Roman"/>
                <w:b/>
                <w:color w:val="000000"/>
                <w:sz w:val="20"/>
              </w:rPr>
            </w:pPr>
          </w:p>
        </w:tc>
        <w:tc>
          <w:tcPr>
            <w:tcW w:w="2000" w:type="pct"/>
            <w:tcBorders>
              <w:bottom w:val="single" w:sz="4" w:space="0" w:color="8064A2" w:themeColor="accent4"/>
              <w:right w:val="single" w:sz="4" w:space="0" w:color="8064A2" w:themeColor="accent4"/>
            </w:tcBorders>
            <w:shd w:val="clear" w:color="auto" w:fill="E5DFEC" w:themeFill="accent4" w:themeFillTint="33"/>
          </w:tcPr>
          <w:p w:rsidR="00A908C3" w:rsidRPr="00CD7B6E" w:rsidRDefault="00A908C3" w:rsidP="001E4BA5">
            <w:pPr>
              <w:spacing w:before="40" w:after="40" w:line="240" w:lineRule="auto"/>
              <w:rPr>
                <w:rFonts w:eastAsia="Times New Roman"/>
                <w:b/>
                <w:color w:val="000000"/>
                <w:sz w:val="20"/>
              </w:rPr>
            </w:pPr>
            <w:r w:rsidRPr="00CD7B6E">
              <w:rPr>
                <w:rFonts w:eastAsia="Times New Roman"/>
                <w:b/>
                <w:color w:val="auto"/>
                <w:sz w:val="20"/>
              </w:rPr>
              <w:t>Vispārējā vidējā izglītība</w:t>
            </w:r>
          </w:p>
        </w:tc>
        <w:tc>
          <w:tcPr>
            <w:tcW w:w="446" w:type="pct"/>
            <w:tcBorders>
              <w:left w:val="single" w:sz="4" w:space="0" w:color="8064A2" w:themeColor="accent4"/>
              <w:bottom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202,9</w:t>
            </w:r>
          </w:p>
        </w:tc>
        <w:tc>
          <w:tcPr>
            <w:tcW w:w="448" w:type="pct"/>
            <w:tcBorders>
              <w:bottom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231,2</w:t>
            </w:r>
          </w:p>
        </w:tc>
        <w:tc>
          <w:tcPr>
            <w:tcW w:w="511" w:type="pct"/>
            <w:tcBorders>
              <w:bottom w:val="single" w:sz="4" w:space="0" w:color="8064A2" w:themeColor="accent4"/>
              <w:right w:val="single" w:sz="4" w:space="0" w:color="8064A2" w:themeColor="accent4"/>
            </w:tcBorders>
            <w:shd w:val="clear" w:color="auto" w:fill="E5DFEC" w:themeFill="accent4" w:themeFillTint="33"/>
            <w:vAlign w:val="bottom"/>
          </w:tcPr>
          <w:p w:rsidR="00A908C3" w:rsidRPr="00C64149" w:rsidRDefault="00A908C3" w:rsidP="001E4BA5">
            <w:pPr>
              <w:tabs>
                <w:tab w:val="decimal" w:pos="430"/>
              </w:tabs>
              <w:spacing w:before="40" w:after="40" w:line="240" w:lineRule="auto"/>
              <w:rPr>
                <w:b/>
                <w:color w:val="000000"/>
                <w:sz w:val="20"/>
              </w:rPr>
            </w:pPr>
            <w:r w:rsidRPr="00C64149">
              <w:rPr>
                <w:b/>
                <w:color w:val="000000"/>
                <w:sz w:val="20"/>
              </w:rPr>
              <w:t>88</w:t>
            </w:r>
          </w:p>
        </w:tc>
        <w:tc>
          <w:tcPr>
            <w:tcW w:w="447" w:type="pct"/>
            <w:tcBorders>
              <w:left w:val="single" w:sz="4" w:space="0" w:color="8064A2" w:themeColor="accent4"/>
              <w:bottom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182,4</w:t>
            </w:r>
          </w:p>
        </w:tc>
        <w:tc>
          <w:tcPr>
            <w:tcW w:w="448" w:type="pct"/>
            <w:tcBorders>
              <w:bottom w:val="single" w:sz="4" w:space="0" w:color="8064A2" w:themeColor="accent4"/>
            </w:tcBorders>
            <w:shd w:val="clear" w:color="auto" w:fill="E5DFEC" w:themeFill="accent4" w:themeFillTint="33"/>
            <w:vAlign w:val="bottom"/>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222,5</w:t>
            </w:r>
          </w:p>
        </w:tc>
        <w:tc>
          <w:tcPr>
            <w:tcW w:w="511" w:type="pct"/>
            <w:tcBorders>
              <w:bottom w:val="single" w:sz="4" w:space="0" w:color="8064A2" w:themeColor="accent4"/>
            </w:tcBorders>
            <w:shd w:val="clear" w:color="auto" w:fill="E5DFEC" w:themeFill="accent4" w:themeFillTint="33"/>
            <w:vAlign w:val="bottom"/>
          </w:tcPr>
          <w:p w:rsidR="00A908C3" w:rsidRPr="00C64149" w:rsidRDefault="00A908C3" w:rsidP="001E4BA5">
            <w:pPr>
              <w:tabs>
                <w:tab w:val="decimal" w:pos="453"/>
              </w:tabs>
              <w:spacing w:before="40" w:after="40" w:line="240" w:lineRule="auto"/>
              <w:rPr>
                <w:b/>
                <w:color w:val="000000"/>
                <w:sz w:val="20"/>
              </w:rPr>
            </w:pPr>
            <w:r w:rsidRPr="00C64149">
              <w:rPr>
                <w:b/>
                <w:color w:val="000000"/>
                <w:sz w:val="20"/>
              </w:rPr>
              <w:t>82</w:t>
            </w:r>
          </w:p>
        </w:tc>
      </w:tr>
      <w:tr w:rsidR="00A908C3" w:rsidRPr="00CD7B6E" w:rsidTr="00516342">
        <w:trPr>
          <w:trHeight w:val="20"/>
          <w:jc w:val="center"/>
        </w:trPr>
        <w:tc>
          <w:tcPr>
            <w:tcW w:w="2000" w:type="pct"/>
            <w:gridSpan w:val="2"/>
            <w:tcBorders>
              <w:top w:val="single" w:sz="4" w:space="0" w:color="8064A2" w:themeColor="accent4"/>
              <w:bottom w:val="single" w:sz="4" w:space="0" w:color="8064A2" w:themeColor="accent4"/>
              <w:right w:val="single" w:sz="4" w:space="0" w:color="8064A2" w:themeColor="accent4"/>
            </w:tcBorders>
          </w:tcPr>
          <w:p w:rsidR="00A908C3" w:rsidRPr="00CD7B6E" w:rsidRDefault="00A908C3" w:rsidP="001E4BA5">
            <w:pPr>
              <w:spacing w:before="40" w:after="40" w:line="240" w:lineRule="auto"/>
              <w:rPr>
                <w:rFonts w:eastAsia="Times New Roman"/>
                <w:b/>
                <w:color w:val="000000"/>
                <w:sz w:val="20"/>
              </w:rPr>
            </w:pPr>
            <w:r w:rsidRPr="00CD7B6E">
              <w:rPr>
                <w:rFonts w:eastAsia="Times New Roman"/>
                <w:bCs/>
                <w:color w:val="auto"/>
                <w:sz w:val="20"/>
              </w:rPr>
              <w:t>Pamatizglītība un zemāka par pamatizglītību</w:t>
            </w:r>
          </w:p>
        </w:tc>
        <w:tc>
          <w:tcPr>
            <w:tcW w:w="446" w:type="pct"/>
            <w:tcBorders>
              <w:top w:val="single" w:sz="4" w:space="0" w:color="8064A2" w:themeColor="accent4"/>
              <w:left w:val="single" w:sz="4" w:space="0" w:color="8064A2" w:themeColor="accent4"/>
              <w:bottom w:val="single" w:sz="4" w:space="0" w:color="8064A2" w:themeColor="accent4"/>
            </w:tcBorders>
          </w:tcPr>
          <w:p w:rsidR="00A908C3" w:rsidRPr="00C64149" w:rsidRDefault="00A908C3" w:rsidP="001E4BA5">
            <w:pPr>
              <w:tabs>
                <w:tab w:val="decimal" w:pos="367"/>
              </w:tabs>
              <w:spacing w:before="40" w:after="40" w:line="240" w:lineRule="auto"/>
              <w:rPr>
                <w:color w:val="000000"/>
                <w:sz w:val="20"/>
              </w:rPr>
            </w:pPr>
            <w:r w:rsidRPr="00C64149">
              <w:rPr>
                <w:color w:val="000000"/>
                <w:sz w:val="20"/>
              </w:rPr>
              <w:t>74,8</w:t>
            </w:r>
          </w:p>
        </w:tc>
        <w:tc>
          <w:tcPr>
            <w:tcW w:w="448" w:type="pct"/>
            <w:tcBorders>
              <w:top w:val="single" w:sz="4" w:space="0" w:color="8064A2" w:themeColor="accent4"/>
              <w:bottom w:val="single" w:sz="4" w:space="0" w:color="8064A2" w:themeColor="accent4"/>
            </w:tcBorders>
          </w:tcPr>
          <w:p w:rsidR="00A908C3" w:rsidRPr="00C64149" w:rsidRDefault="00A908C3" w:rsidP="001E4BA5">
            <w:pPr>
              <w:tabs>
                <w:tab w:val="decimal" w:pos="367"/>
              </w:tabs>
              <w:spacing w:before="40" w:after="40" w:line="240" w:lineRule="auto"/>
              <w:rPr>
                <w:color w:val="000000"/>
                <w:sz w:val="20"/>
              </w:rPr>
            </w:pPr>
            <w:r w:rsidRPr="00C64149">
              <w:rPr>
                <w:color w:val="000000"/>
                <w:sz w:val="20"/>
              </w:rPr>
              <w:t>126,9</w:t>
            </w:r>
          </w:p>
        </w:tc>
        <w:tc>
          <w:tcPr>
            <w:tcW w:w="511" w:type="pct"/>
            <w:tcBorders>
              <w:top w:val="single" w:sz="4" w:space="0" w:color="8064A2" w:themeColor="accent4"/>
              <w:bottom w:val="single" w:sz="4" w:space="0" w:color="8064A2" w:themeColor="accent4"/>
              <w:right w:val="single" w:sz="4" w:space="0" w:color="8064A2" w:themeColor="accent4"/>
            </w:tcBorders>
          </w:tcPr>
          <w:p w:rsidR="00A908C3" w:rsidRPr="00C64149" w:rsidRDefault="00A908C3" w:rsidP="001E4BA5">
            <w:pPr>
              <w:tabs>
                <w:tab w:val="decimal" w:pos="430"/>
              </w:tabs>
              <w:spacing w:before="40" w:after="40" w:line="240" w:lineRule="auto"/>
              <w:rPr>
                <w:color w:val="000000"/>
                <w:sz w:val="20"/>
              </w:rPr>
            </w:pPr>
            <w:r>
              <w:rPr>
                <w:color w:val="000000"/>
                <w:sz w:val="20"/>
              </w:rPr>
              <w:t>59</w:t>
            </w:r>
          </w:p>
        </w:tc>
        <w:tc>
          <w:tcPr>
            <w:tcW w:w="447" w:type="pct"/>
            <w:tcBorders>
              <w:top w:val="single" w:sz="4" w:space="0" w:color="8064A2" w:themeColor="accent4"/>
              <w:left w:val="single" w:sz="4" w:space="0" w:color="8064A2" w:themeColor="accent4"/>
              <w:bottom w:val="single" w:sz="4" w:space="0" w:color="8064A2" w:themeColor="accent4"/>
            </w:tcBorders>
          </w:tcPr>
          <w:p w:rsidR="00A908C3" w:rsidRPr="00C64149" w:rsidRDefault="00A908C3" w:rsidP="001E4BA5">
            <w:pPr>
              <w:tabs>
                <w:tab w:val="decimal" w:pos="367"/>
              </w:tabs>
              <w:spacing w:before="40" w:after="40" w:line="240" w:lineRule="auto"/>
              <w:rPr>
                <w:color w:val="000000"/>
                <w:sz w:val="20"/>
              </w:rPr>
            </w:pPr>
            <w:r w:rsidRPr="00C64149">
              <w:rPr>
                <w:color w:val="000000"/>
                <w:sz w:val="20"/>
              </w:rPr>
              <w:t>72,2</w:t>
            </w:r>
          </w:p>
        </w:tc>
        <w:tc>
          <w:tcPr>
            <w:tcW w:w="448" w:type="pct"/>
            <w:tcBorders>
              <w:top w:val="single" w:sz="4" w:space="0" w:color="8064A2" w:themeColor="accent4"/>
              <w:bottom w:val="single" w:sz="4" w:space="0" w:color="8064A2" w:themeColor="accent4"/>
            </w:tcBorders>
          </w:tcPr>
          <w:p w:rsidR="00A908C3" w:rsidRPr="00C64149" w:rsidRDefault="00A908C3" w:rsidP="001E4BA5">
            <w:pPr>
              <w:tabs>
                <w:tab w:val="decimal" w:pos="367"/>
              </w:tabs>
              <w:spacing w:before="40" w:after="40" w:line="240" w:lineRule="auto"/>
              <w:rPr>
                <w:color w:val="000000"/>
                <w:sz w:val="20"/>
              </w:rPr>
            </w:pPr>
            <w:r w:rsidRPr="00C64149">
              <w:rPr>
                <w:color w:val="000000"/>
                <w:sz w:val="20"/>
              </w:rPr>
              <w:t>124,1</w:t>
            </w:r>
          </w:p>
        </w:tc>
        <w:tc>
          <w:tcPr>
            <w:tcW w:w="511" w:type="pct"/>
            <w:tcBorders>
              <w:top w:val="single" w:sz="4" w:space="0" w:color="8064A2" w:themeColor="accent4"/>
              <w:bottom w:val="single" w:sz="4" w:space="0" w:color="8064A2" w:themeColor="accent4"/>
            </w:tcBorders>
          </w:tcPr>
          <w:p w:rsidR="00A908C3" w:rsidRPr="00C64149" w:rsidRDefault="00A908C3" w:rsidP="001E4BA5">
            <w:pPr>
              <w:tabs>
                <w:tab w:val="decimal" w:pos="453"/>
              </w:tabs>
              <w:spacing w:before="40" w:after="40" w:line="240" w:lineRule="auto"/>
              <w:rPr>
                <w:color w:val="000000"/>
                <w:sz w:val="20"/>
              </w:rPr>
            </w:pPr>
            <w:r>
              <w:rPr>
                <w:color w:val="000000"/>
                <w:sz w:val="20"/>
              </w:rPr>
              <w:t>58</w:t>
            </w:r>
          </w:p>
        </w:tc>
      </w:tr>
      <w:tr w:rsidR="00FE3BE2" w:rsidRPr="00CD7B6E" w:rsidTr="00516342">
        <w:trPr>
          <w:cnfStyle w:val="000000100000" w:firstRow="0" w:lastRow="0" w:firstColumn="0" w:lastColumn="0" w:oddVBand="0" w:evenVBand="0" w:oddHBand="1" w:evenHBand="0" w:firstRowFirstColumn="0" w:firstRowLastColumn="0" w:lastRowFirstColumn="0" w:lastRowLastColumn="0"/>
          <w:trHeight w:val="20"/>
          <w:jc w:val="center"/>
        </w:trPr>
        <w:tc>
          <w:tcPr>
            <w:tcW w:w="2000" w:type="pct"/>
            <w:gridSpan w:val="2"/>
            <w:tcBorders>
              <w:top w:val="single" w:sz="4" w:space="0" w:color="8064A2" w:themeColor="accent4"/>
              <w:bottom w:val="single" w:sz="8" w:space="0" w:color="8064A2" w:themeColor="accent4"/>
              <w:right w:val="single" w:sz="4" w:space="0" w:color="8064A2" w:themeColor="accent4"/>
            </w:tcBorders>
            <w:shd w:val="clear" w:color="auto" w:fill="E5DFEC" w:themeFill="accent4" w:themeFillTint="33"/>
          </w:tcPr>
          <w:p w:rsidR="00A908C3" w:rsidRPr="00CD7B6E" w:rsidRDefault="00A908C3" w:rsidP="001E4BA5">
            <w:pPr>
              <w:spacing w:before="40" w:after="40" w:line="240" w:lineRule="auto"/>
              <w:rPr>
                <w:rFonts w:eastAsia="Times New Roman"/>
                <w:b/>
                <w:color w:val="000000"/>
                <w:sz w:val="20"/>
              </w:rPr>
            </w:pPr>
            <w:r w:rsidRPr="00CD7B6E">
              <w:rPr>
                <w:rFonts w:eastAsia="Times New Roman"/>
                <w:b/>
                <w:bCs/>
                <w:color w:val="auto"/>
                <w:sz w:val="20"/>
              </w:rPr>
              <w:t>Kopā</w:t>
            </w:r>
          </w:p>
        </w:tc>
        <w:tc>
          <w:tcPr>
            <w:tcW w:w="446" w:type="pct"/>
            <w:tcBorders>
              <w:top w:val="single" w:sz="4" w:space="0" w:color="8064A2" w:themeColor="accent4"/>
              <w:left w:val="single" w:sz="4" w:space="0" w:color="8064A2" w:themeColor="accent4"/>
              <w:bottom w:val="single" w:sz="8" w:space="0" w:color="8064A2" w:themeColor="accent4"/>
            </w:tcBorders>
            <w:shd w:val="clear" w:color="auto" w:fill="E5DFEC" w:themeFill="accent4" w:themeFillTint="33"/>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932,4</w:t>
            </w:r>
          </w:p>
        </w:tc>
        <w:tc>
          <w:tcPr>
            <w:tcW w:w="448" w:type="pct"/>
            <w:tcBorders>
              <w:top w:val="single" w:sz="4" w:space="0" w:color="8064A2" w:themeColor="accent4"/>
              <w:bottom w:val="single" w:sz="8" w:space="0" w:color="8064A2" w:themeColor="accent4"/>
            </w:tcBorders>
            <w:shd w:val="clear" w:color="auto" w:fill="E5DFEC" w:themeFill="accent4" w:themeFillTint="33"/>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999,5</w:t>
            </w:r>
          </w:p>
        </w:tc>
        <w:tc>
          <w:tcPr>
            <w:tcW w:w="511" w:type="pct"/>
            <w:tcBorders>
              <w:top w:val="single" w:sz="4" w:space="0" w:color="8064A2" w:themeColor="accent4"/>
              <w:bottom w:val="single" w:sz="8" w:space="0" w:color="8064A2" w:themeColor="accent4"/>
              <w:right w:val="single" w:sz="4" w:space="0" w:color="8064A2" w:themeColor="accent4"/>
            </w:tcBorders>
            <w:shd w:val="clear" w:color="auto" w:fill="E5DFEC" w:themeFill="accent4" w:themeFillTint="33"/>
          </w:tcPr>
          <w:p w:rsidR="00A908C3" w:rsidRPr="00C64149" w:rsidRDefault="00A908C3" w:rsidP="001E4BA5">
            <w:pPr>
              <w:tabs>
                <w:tab w:val="decimal" w:pos="430"/>
              </w:tabs>
              <w:spacing w:before="40" w:after="40" w:line="240" w:lineRule="auto"/>
              <w:rPr>
                <w:b/>
                <w:color w:val="000000"/>
                <w:sz w:val="20"/>
              </w:rPr>
            </w:pPr>
            <w:r w:rsidRPr="00C64149">
              <w:rPr>
                <w:b/>
                <w:color w:val="000000"/>
                <w:sz w:val="20"/>
              </w:rPr>
              <w:t>93</w:t>
            </w:r>
          </w:p>
        </w:tc>
        <w:tc>
          <w:tcPr>
            <w:tcW w:w="447" w:type="pct"/>
            <w:tcBorders>
              <w:top w:val="single" w:sz="4" w:space="0" w:color="8064A2" w:themeColor="accent4"/>
              <w:left w:val="single" w:sz="4" w:space="0" w:color="8064A2" w:themeColor="accent4"/>
              <w:bottom w:val="single" w:sz="8" w:space="0" w:color="8064A2" w:themeColor="accent4"/>
            </w:tcBorders>
            <w:shd w:val="clear" w:color="auto" w:fill="E5DFEC" w:themeFill="accent4" w:themeFillTint="33"/>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960,7</w:t>
            </w:r>
          </w:p>
        </w:tc>
        <w:tc>
          <w:tcPr>
            <w:tcW w:w="448" w:type="pct"/>
            <w:tcBorders>
              <w:top w:val="single" w:sz="4" w:space="0" w:color="8064A2" w:themeColor="accent4"/>
              <w:bottom w:val="single" w:sz="8" w:space="0" w:color="8064A2" w:themeColor="accent4"/>
            </w:tcBorders>
            <w:shd w:val="clear" w:color="auto" w:fill="E5DFEC" w:themeFill="accent4" w:themeFillTint="33"/>
          </w:tcPr>
          <w:p w:rsidR="00A908C3" w:rsidRPr="00C64149" w:rsidRDefault="00A908C3" w:rsidP="001E4BA5">
            <w:pPr>
              <w:tabs>
                <w:tab w:val="decimal" w:pos="367"/>
              </w:tabs>
              <w:spacing w:before="40" w:after="40" w:line="240" w:lineRule="auto"/>
              <w:rPr>
                <w:b/>
                <w:color w:val="000000"/>
                <w:sz w:val="20"/>
              </w:rPr>
            </w:pPr>
            <w:r w:rsidRPr="00C64149">
              <w:rPr>
                <w:b/>
                <w:color w:val="000000"/>
                <w:sz w:val="20"/>
              </w:rPr>
              <w:t>1021,4</w:t>
            </w:r>
          </w:p>
        </w:tc>
        <w:tc>
          <w:tcPr>
            <w:tcW w:w="511" w:type="pct"/>
            <w:tcBorders>
              <w:top w:val="single" w:sz="4" w:space="0" w:color="8064A2" w:themeColor="accent4"/>
              <w:bottom w:val="single" w:sz="8" w:space="0" w:color="8064A2" w:themeColor="accent4"/>
            </w:tcBorders>
            <w:shd w:val="clear" w:color="auto" w:fill="E5DFEC" w:themeFill="accent4" w:themeFillTint="33"/>
          </w:tcPr>
          <w:p w:rsidR="00A908C3" w:rsidRPr="00C64149" w:rsidRDefault="00A908C3" w:rsidP="001E4BA5">
            <w:pPr>
              <w:tabs>
                <w:tab w:val="decimal" w:pos="453"/>
              </w:tabs>
              <w:spacing w:before="40" w:after="40" w:line="240" w:lineRule="auto"/>
              <w:rPr>
                <w:b/>
                <w:color w:val="000000"/>
                <w:sz w:val="20"/>
              </w:rPr>
            </w:pPr>
            <w:r w:rsidRPr="00C64149">
              <w:rPr>
                <w:b/>
                <w:color w:val="000000"/>
                <w:sz w:val="20"/>
              </w:rPr>
              <w:t>94</w:t>
            </w:r>
          </w:p>
        </w:tc>
      </w:tr>
    </w:tbl>
    <w:p w:rsidR="00516342" w:rsidRPr="00516342" w:rsidRDefault="00516342" w:rsidP="00FE3BE2">
      <w:pPr>
        <w:spacing w:after="0" w:line="240" w:lineRule="auto"/>
        <w:ind w:firstLine="567"/>
        <w:jc w:val="both"/>
        <w:rPr>
          <w:bCs/>
          <w:iCs/>
          <w:color w:val="000000" w:themeColor="text1"/>
          <w:sz w:val="12"/>
          <w:szCs w:val="26"/>
        </w:rPr>
      </w:pPr>
    </w:p>
    <w:p w:rsidR="00FE3BE2" w:rsidRPr="00A908C3" w:rsidRDefault="00FE3BE2" w:rsidP="00FE3BE2">
      <w:pPr>
        <w:spacing w:after="0" w:line="240" w:lineRule="auto"/>
        <w:ind w:firstLine="567"/>
        <w:jc w:val="both"/>
        <w:rPr>
          <w:bCs/>
          <w:iCs/>
          <w:color w:val="000000" w:themeColor="text1"/>
          <w:sz w:val="26"/>
          <w:szCs w:val="26"/>
        </w:rPr>
      </w:pPr>
      <w:r w:rsidRPr="00A908C3">
        <w:rPr>
          <w:bCs/>
          <w:iCs/>
          <w:color w:val="000000" w:themeColor="text1"/>
          <w:sz w:val="26"/>
          <w:szCs w:val="26"/>
        </w:rPr>
        <w:t xml:space="preserve">Vienlaikus nepietiekams piedāvājums paredzams inženierzinātņu, ražošanas un būvniecības (galvenokārt metālapstrādes, </w:t>
      </w:r>
      <w:proofErr w:type="spellStart"/>
      <w:r w:rsidRPr="00A908C3">
        <w:rPr>
          <w:bCs/>
          <w:iCs/>
          <w:color w:val="000000" w:themeColor="text1"/>
          <w:sz w:val="26"/>
          <w:szCs w:val="26"/>
        </w:rPr>
        <w:t>mašīnzinību</w:t>
      </w:r>
      <w:proofErr w:type="spellEnd"/>
      <w:r w:rsidRPr="00A908C3">
        <w:rPr>
          <w:bCs/>
          <w:iCs/>
          <w:color w:val="000000" w:themeColor="text1"/>
          <w:sz w:val="26"/>
          <w:szCs w:val="26"/>
        </w:rPr>
        <w:t xml:space="preserve"> un kokapstrādes jomās), dabas zinātņu, matemātikas un informācijas tehnoloģiju, kā arī pakalpojumu (galvenokārt viesnīcu un restorānu pakalpojumu, transporta pakalpojumu un personu un īpašuma </w:t>
      </w:r>
      <w:r w:rsidRPr="00A908C3">
        <w:rPr>
          <w:bCs/>
          <w:iCs/>
          <w:color w:val="000000" w:themeColor="text1"/>
          <w:sz w:val="26"/>
          <w:szCs w:val="26"/>
        </w:rPr>
        <w:lastRenderedPageBreak/>
        <w:t>aizsardzības jomās) tematiskajās grupās. Šajās grupās, saglabājoties līdzšinējai darbaspēka sagatavošanas struktūrai, p</w:t>
      </w:r>
      <w:r>
        <w:rPr>
          <w:bCs/>
          <w:iCs/>
          <w:color w:val="000000" w:themeColor="text1"/>
          <w:sz w:val="26"/>
          <w:szCs w:val="26"/>
        </w:rPr>
        <w:t>iedāvājums varētu samazināties.</w:t>
      </w:r>
    </w:p>
    <w:p w:rsidR="00A908C3" w:rsidRPr="00FE3BE2" w:rsidRDefault="00A908C3" w:rsidP="00A908C3">
      <w:pPr>
        <w:spacing w:after="0" w:line="240" w:lineRule="auto"/>
        <w:ind w:firstLine="567"/>
        <w:jc w:val="both"/>
        <w:rPr>
          <w:bCs/>
          <w:iCs/>
          <w:color w:val="000000" w:themeColor="text1"/>
          <w:sz w:val="26"/>
          <w:szCs w:val="26"/>
        </w:rPr>
      </w:pPr>
      <w:r w:rsidRPr="00FE3BE2">
        <w:rPr>
          <w:bCs/>
          <w:iCs/>
          <w:color w:val="000000" w:themeColor="text1"/>
          <w:sz w:val="26"/>
          <w:szCs w:val="26"/>
        </w:rPr>
        <w:t>Saskaņā ar EM prognozēm, turpmākajos gados vislielākās problēmas atrast darbu būs iedzīvotājiem bez izglītības kādā no profesijām. Šādi iedzīvotāji nākotnē varētu veidot pusi no kopēja bezdarbnieku skaita.</w:t>
      </w:r>
    </w:p>
    <w:p w:rsidR="00A908C3" w:rsidRPr="00516342" w:rsidRDefault="00A908C3" w:rsidP="00A908C3">
      <w:pPr>
        <w:spacing w:after="0" w:line="240" w:lineRule="auto"/>
        <w:jc w:val="both"/>
        <w:rPr>
          <w:bCs/>
          <w:iCs/>
          <w:sz w:val="20"/>
          <w:szCs w:val="26"/>
        </w:rPr>
      </w:pPr>
    </w:p>
    <w:p w:rsidR="00A908C3" w:rsidRPr="00483A9D" w:rsidRDefault="00A908C3" w:rsidP="00A908C3">
      <w:pPr>
        <w:spacing w:after="0" w:line="240" w:lineRule="auto"/>
        <w:jc w:val="both"/>
        <w:rPr>
          <w:b/>
          <w:bCs/>
          <w:iCs/>
          <w:sz w:val="26"/>
          <w:szCs w:val="26"/>
        </w:rPr>
      </w:pPr>
      <w:r w:rsidRPr="00E81934">
        <w:rPr>
          <w:b/>
          <w:bCs/>
          <w:iCs/>
          <w:sz w:val="26"/>
          <w:szCs w:val="26"/>
        </w:rPr>
        <w:t>Atbilstība pa profesiju grupām</w:t>
      </w:r>
    </w:p>
    <w:p w:rsidR="00FE3BE2" w:rsidRPr="00FE3BE2" w:rsidRDefault="00FE3BE2" w:rsidP="00FE3BE2">
      <w:pPr>
        <w:spacing w:after="0" w:line="240" w:lineRule="auto"/>
        <w:jc w:val="both"/>
        <w:rPr>
          <w:bCs/>
          <w:iCs/>
          <w:sz w:val="8"/>
          <w:szCs w:val="26"/>
        </w:rPr>
      </w:pPr>
    </w:p>
    <w:p w:rsidR="00A908C3" w:rsidRPr="00FE3BE2" w:rsidRDefault="00A908C3" w:rsidP="00A908C3">
      <w:pPr>
        <w:spacing w:after="0" w:line="240" w:lineRule="auto"/>
        <w:ind w:firstLine="426"/>
        <w:jc w:val="both"/>
        <w:rPr>
          <w:bCs/>
          <w:color w:val="000000" w:themeColor="text1"/>
          <w:sz w:val="26"/>
          <w:szCs w:val="26"/>
        </w:rPr>
      </w:pPr>
      <w:r w:rsidRPr="00FE3BE2">
        <w:rPr>
          <w:bCs/>
          <w:iCs/>
          <w:color w:val="000000" w:themeColor="text1"/>
          <w:sz w:val="26"/>
          <w:szCs w:val="26"/>
        </w:rPr>
        <w:t xml:space="preserve">Prognozes liecina, ka </w:t>
      </w:r>
      <w:r w:rsidRPr="00FE3BE2">
        <w:rPr>
          <w:b/>
          <w:bCs/>
          <w:iCs/>
          <w:color w:val="000000" w:themeColor="text1"/>
          <w:sz w:val="26"/>
          <w:szCs w:val="26"/>
        </w:rPr>
        <w:t>vidējā termiņā</w:t>
      </w:r>
      <w:r w:rsidRPr="00FE3BE2">
        <w:rPr>
          <w:bCs/>
          <w:iCs/>
          <w:color w:val="000000" w:themeColor="text1"/>
          <w:sz w:val="26"/>
          <w:szCs w:val="26"/>
        </w:rPr>
        <w:t xml:space="preserve"> darbaspēka piedāvājums pārsniegs pieprasījumu gan augstākās kvalifikācijas, gan zemākās kvalifikācijas profesiju grupās. Savukārt vairākās vidējās kvalifikācijas profesiju </w:t>
      </w:r>
      <w:proofErr w:type="spellStart"/>
      <w:r w:rsidRPr="00FE3BE2">
        <w:rPr>
          <w:bCs/>
          <w:iCs/>
          <w:color w:val="000000" w:themeColor="text1"/>
          <w:sz w:val="26"/>
          <w:szCs w:val="26"/>
        </w:rPr>
        <w:t>pamatgrupās</w:t>
      </w:r>
      <w:proofErr w:type="spellEnd"/>
      <w:r w:rsidRPr="00FE3BE2">
        <w:rPr>
          <w:bCs/>
          <w:iCs/>
          <w:color w:val="000000" w:themeColor="text1"/>
          <w:sz w:val="26"/>
          <w:szCs w:val="26"/>
        </w:rPr>
        <w:t xml:space="preserve"> būs vērojams iztrūkums, piemēram, k</w:t>
      </w:r>
      <w:r w:rsidRPr="00FE3BE2">
        <w:rPr>
          <w:bCs/>
          <w:color w:val="000000" w:themeColor="text1"/>
          <w:sz w:val="26"/>
          <w:szCs w:val="26"/>
        </w:rPr>
        <w:t>valificētu lauksaimniecības, mežsaimniecības un zivsaim</w:t>
      </w:r>
      <w:r w:rsidR="00FE3BE2">
        <w:rPr>
          <w:bCs/>
          <w:color w:val="000000" w:themeColor="text1"/>
          <w:sz w:val="26"/>
          <w:szCs w:val="26"/>
        </w:rPr>
        <w:softHyphen/>
      </w:r>
      <w:r w:rsidRPr="00FE3BE2">
        <w:rPr>
          <w:bCs/>
          <w:color w:val="000000" w:themeColor="text1"/>
          <w:sz w:val="26"/>
          <w:szCs w:val="26"/>
        </w:rPr>
        <w:t xml:space="preserve">niecības darbinieku, iekārtu un mašīnu operatoru un izstrādājumu montieru kā arī kvalificētu strādnieku un amatnieku profesiju </w:t>
      </w:r>
      <w:proofErr w:type="spellStart"/>
      <w:r w:rsidRPr="00FE3BE2">
        <w:rPr>
          <w:bCs/>
          <w:color w:val="000000" w:themeColor="text1"/>
          <w:sz w:val="26"/>
          <w:szCs w:val="26"/>
        </w:rPr>
        <w:t>pamatgrupās</w:t>
      </w:r>
      <w:proofErr w:type="spellEnd"/>
      <w:r w:rsidRPr="00FE3BE2">
        <w:rPr>
          <w:bCs/>
          <w:color w:val="000000" w:themeColor="text1"/>
          <w:sz w:val="26"/>
          <w:szCs w:val="26"/>
        </w:rPr>
        <w:t>.</w:t>
      </w:r>
    </w:p>
    <w:p w:rsidR="00A908C3" w:rsidRPr="00CD7B6E" w:rsidRDefault="00A908C3" w:rsidP="00516342">
      <w:pPr>
        <w:spacing w:after="0" w:line="240" w:lineRule="auto"/>
        <w:jc w:val="right"/>
        <w:rPr>
          <w:sz w:val="26"/>
          <w:szCs w:val="26"/>
        </w:rPr>
      </w:pPr>
      <w:r w:rsidRPr="00CD7B6E">
        <w:rPr>
          <w:sz w:val="26"/>
          <w:szCs w:val="26"/>
        </w:rPr>
        <w:t>3.1</w:t>
      </w:r>
      <w:r w:rsidR="00F6144C">
        <w:rPr>
          <w:sz w:val="26"/>
          <w:szCs w:val="26"/>
        </w:rPr>
        <w:t>2</w:t>
      </w:r>
      <w:r w:rsidRPr="00CD7B6E">
        <w:rPr>
          <w:sz w:val="26"/>
          <w:szCs w:val="26"/>
        </w:rPr>
        <w:t>. attēls</w:t>
      </w:r>
    </w:p>
    <w:p w:rsidR="00A908C3" w:rsidRPr="00CD7B6E" w:rsidRDefault="00A908C3" w:rsidP="00A908C3">
      <w:pPr>
        <w:spacing w:after="0" w:line="240" w:lineRule="auto"/>
        <w:jc w:val="center"/>
        <w:rPr>
          <w:b/>
          <w:bCs/>
          <w:color w:val="000000"/>
          <w:sz w:val="26"/>
          <w:szCs w:val="26"/>
        </w:rPr>
      </w:pPr>
      <w:r w:rsidRPr="00CD7B6E">
        <w:rPr>
          <w:b/>
          <w:sz w:val="26"/>
          <w:szCs w:val="26"/>
        </w:rPr>
        <w:t xml:space="preserve">Darbaspēka piedāvājuma un pieprasījuma prognozes </w:t>
      </w:r>
      <w:r w:rsidR="00FE3BE2">
        <w:rPr>
          <w:b/>
          <w:sz w:val="26"/>
          <w:szCs w:val="26"/>
        </w:rPr>
        <w:br/>
      </w:r>
      <w:r w:rsidRPr="00CD7B6E">
        <w:rPr>
          <w:b/>
          <w:bCs/>
          <w:color w:val="000000"/>
          <w:sz w:val="26"/>
          <w:szCs w:val="26"/>
        </w:rPr>
        <w:t xml:space="preserve">sadalījumā pa profesiju grupām </w:t>
      </w:r>
      <w:r w:rsidRPr="00CD7B6E">
        <w:rPr>
          <w:bCs/>
          <w:color w:val="000000"/>
          <w:sz w:val="24"/>
          <w:szCs w:val="24"/>
        </w:rPr>
        <w:t>(</w:t>
      </w:r>
      <w:proofErr w:type="spellStart"/>
      <w:r w:rsidRPr="00CD7B6E">
        <w:rPr>
          <w:bCs/>
          <w:color w:val="000000"/>
          <w:sz w:val="24"/>
          <w:szCs w:val="24"/>
        </w:rPr>
        <w:t>tūkst</w:t>
      </w:r>
      <w:proofErr w:type="spellEnd"/>
      <w:r w:rsidRPr="00CD7B6E">
        <w:rPr>
          <w:bCs/>
          <w:color w:val="000000"/>
          <w:sz w:val="24"/>
          <w:szCs w:val="24"/>
        </w:rPr>
        <w:t>.)</w:t>
      </w:r>
    </w:p>
    <w:p w:rsidR="00A908C3" w:rsidRPr="00516342" w:rsidRDefault="00A908C3" w:rsidP="00A908C3">
      <w:pPr>
        <w:spacing w:after="0" w:line="240" w:lineRule="auto"/>
        <w:jc w:val="center"/>
        <w:rPr>
          <w:b/>
          <w:sz w:val="8"/>
          <w:szCs w:val="12"/>
        </w:rPr>
      </w:pPr>
    </w:p>
    <w:tbl>
      <w:tblPr>
        <w:tblW w:w="5000" w:type="pct"/>
        <w:tblLook w:val="04A0" w:firstRow="1" w:lastRow="0" w:firstColumn="1" w:lastColumn="0" w:noHBand="0" w:noVBand="1"/>
      </w:tblPr>
      <w:tblGrid>
        <w:gridCol w:w="3198"/>
        <w:gridCol w:w="3197"/>
        <w:gridCol w:w="2892"/>
      </w:tblGrid>
      <w:tr w:rsidR="00A908C3" w:rsidRPr="00CD7B6E" w:rsidTr="005546B4">
        <w:tc>
          <w:tcPr>
            <w:tcW w:w="1722" w:type="pct"/>
            <w:vAlign w:val="bottom"/>
          </w:tcPr>
          <w:p w:rsidR="00A908C3" w:rsidRPr="00CD7B6E" w:rsidRDefault="00A908C3" w:rsidP="005546B4">
            <w:pPr>
              <w:spacing w:after="0" w:line="240" w:lineRule="auto"/>
              <w:jc w:val="center"/>
              <w:rPr>
                <w:b/>
                <w:bCs/>
                <w:sz w:val="20"/>
                <w:szCs w:val="20"/>
              </w:rPr>
            </w:pPr>
            <w:r w:rsidRPr="00CD7B6E">
              <w:rPr>
                <w:b/>
                <w:bCs/>
              </w:rPr>
              <w:t>Vadītāji</w:t>
            </w:r>
          </w:p>
        </w:tc>
        <w:tc>
          <w:tcPr>
            <w:tcW w:w="1721" w:type="pct"/>
            <w:vAlign w:val="bottom"/>
          </w:tcPr>
          <w:p w:rsidR="00A908C3" w:rsidRPr="00CD7B6E" w:rsidRDefault="00A908C3" w:rsidP="005546B4">
            <w:pPr>
              <w:spacing w:after="0" w:line="240" w:lineRule="auto"/>
              <w:jc w:val="center"/>
              <w:rPr>
                <w:b/>
                <w:bCs/>
              </w:rPr>
            </w:pPr>
            <w:r w:rsidRPr="00CD7B6E">
              <w:rPr>
                <w:b/>
                <w:bCs/>
              </w:rPr>
              <w:t>Vecākie speciālisti</w:t>
            </w:r>
          </w:p>
        </w:tc>
        <w:tc>
          <w:tcPr>
            <w:tcW w:w="1557" w:type="pct"/>
            <w:vAlign w:val="bottom"/>
          </w:tcPr>
          <w:p w:rsidR="00A908C3" w:rsidRPr="00CD7B6E" w:rsidRDefault="00A908C3" w:rsidP="005546B4">
            <w:pPr>
              <w:spacing w:after="0" w:line="240" w:lineRule="auto"/>
              <w:jc w:val="center"/>
              <w:rPr>
                <w:sz w:val="18"/>
                <w:szCs w:val="18"/>
              </w:rPr>
            </w:pPr>
            <w:r w:rsidRPr="00CD7B6E">
              <w:rPr>
                <w:b/>
                <w:bCs/>
              </w:rPr>
              <w:t>Speciālisti</w:t>
            </w:r>
          </w:p>
        </w:tc>
      </w:tr>
      <w:tr w:rsidR="00A908C3" w:rsidRPr="00CD7B6E" w:rsidTr="005546B4">
        <w:tc>
          <w:tcPr>
            <w:tcW w:w="1722"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0217EAE6" wp14:editId="6A9B27C8">
                  <wp:extent cx="2075291" cy="1574358"/>
                  <wp:effectExtent l="0" t="0" r="1270" b="6985"/>
                  <wp:docPr id="127" name="Chart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721"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5D5226A2" wp14:editId="33A0F2D0">
                  <wp:extent cx="2075290" cy="1590261"/>
                  <wp:effectExtent l="0" t="0" r="1270" b="0"/>
                  <wp:docPr id="126" name="Chart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155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408FE6DC" wp14:editId="6B9862D5">
                  <wp:extent cx="2075291" cy="1582309"/>
                  <wp:effectExtent l="0" t="0" r="1270" b="0"/>
                  <wp:docPr id="125" name="Chart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A908C3" w:rsidRPr="00CD7B6E" w:rsidTr="005546B4">
        <w:tc>
          <w:tcPr>
            <w:tcW w:w="1722" w:type="pct"/>
            <w:vAlign w:val="bottom"/>
          </w:tcPr>
          <w:p w:rsidR="00A908C3" w:rsidRPr="00CD7B6E" w:rsidRDefault="00A908C3" w:rsidP="005546B4">
            <w:pPr>
              <w:spacing w:after="0" w:line="240" w:lineRule="auto"/>
              <w:jc w:val="center"/>
              <w:rPr>
                <w:b/>
                <w:bCs/>
              </w:rPr>
            </w:pPr>
            <w:r w:rsidRPr="00CD7B6E">
              <w:rPr>
                <w:b/>
                <w:bCs/>
              </w:rPr>
              <w:t>Kalpotāji</w:t>
            </w:r>
          </w:p>
        </w:tc>
        <w:tc>
          <w:tcPr>
            <w:tcW w:w="1721" w:type="pct"/>
            <w:vAlign w:val="bottom"/>
          </w:tcPr>
          <w:p w:rsidR="00A908C3" w:rsidRPr="00CD7B6E" w:rsidRDefault="00A908C3" w:rsidP="005546B4">
            <w:pPr>
              <w:spacing w:after="0" w:line="240" w:lineRule="auto"/>
              <w:jc w:val="center"/>
              <w:rPr>
                <w:sz w:val="18"/>
                <w:szCs w:val="18"/>
              </w:rPr>
            </w:pPr>
            <w:r w:rsidRPr="00CD7B6E">
              <w:rPr>
                <w:b/>
                <w:bCs/>
              </w:rPr>
              <w:t>Pakalpojumu un tirdzniecības darbinieki</w:t>
            </w:r>
          </w:p>
        </w:tc>
        <w:tc>
          <w:tcPr>
            <w:tcW w:w="1557" w:type="pct"/>
            <w:vAlign w:val="bottom"/>
          </w:tcPr>
          <w:p w:rsidR="00A908C3" w:rsidRPr="00CD7B6E" w:rsidRDefault="00A908C3" w:rsidP="005546B4">
            <w:pPr>
              <w:spacing w:after="0" w:line="240" w:lineRule="auto"/>
              <w:jc w:val="center"/>
              <w:rPr>
                <w:sz w:val="18"/>
                <w:szCs w:val="18"/>
              </w:rPr>
            </w:pPr>
            <w:r w:rsidRPr="00CD7B6E">
              <w:rPr>
                <w:b/>
                <w:bCs/>
              </w:rPr>
              <w:t>Kvalificēti lauksaimniecības, mežsaimniecības darbinieki</w:t>
            </w:r>
          </w:p>
        </w:tc>
      </w:tr>
      <w:tr w:rsidR="00A908C3" w:rsidRPr="00CD7B6E" w:rsidTr="005546B4">
        <w:tc>
          <w:tcPr>
            <w:tcW w:w="1722"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50146835" wp14:editId="39EEA992">
                  <wp:extent cx="2075291" cy="1550504"/>
                  <wp:effectExtent l="0" t="0" r="1270" b="0"/>
                  <wp:docPr id="124" name="Chart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1721"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13EC2A99" wp14:editId="662AD9EA">
                  <wp:extent cx="2075290" cy="1558456"/>
                  <wp:effectExtent l="0" t="0" r="1270" b="3810"/>
                  <wp:docPr id="123" name="Char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155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14F6D7E7" wp14:editId="5CC56FFD">
                  <wp:extent cx="2075291" cy="1550504"/>
                  <wp:effectExtent l="0" t="0" r="1270" b="0"/>
                  <wp:docPr id="122" name="Char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A908C3" w:rsidRPr="00CD7B6E" w:rsidTr="005546B4">
        <w:tc>
          <w:tcPr>
            <w:tcW w:w="1722" w:type="pct"/>
            <w:vAlign w:val="bottom"/>
          </w:tcPr>
          <w:p w:rsidR="00A908C3" w:rsidRPr="00CD7B6E" w:rsidRDefault="00A908C3" w:rsidP="005546B4">
            <w:pPr>
              <w:spacing w:after="0" w:line="240" w:lineRule="auto"/>
              <w:jc w:val="center"/>
              <w:rPr>
                <w:sz w:val="18"/>
                <w:szCs w:val="18"/>
              </w:rPr>
            </w:pPr>
            <w:r w:rsidRPr="00CD7B6E">
              <w:rPr>
                <w:b/>
                <w:bCs/>
              </w:rPr>
              <w:t>Kvalificēti strādnieki un amatnieki</w:t>
            </w:r>
          </w:p>
        </w:tc>
        <w:tc>
          <w:tcPr>
            <w:tcW w:w="1721" w:type="pct"/>
            <w:vAlign w:val="bottom"/>
          </w:tcPr>
          <w:p w:rsidR="00A908C3" w:rsidRPr="00CD7B6E" w:rsidRDefault="00A908C3" w:rsidP="005546B4">
            <w:pPr>
              <w:spacing w:after="0" w:line="240" w:lineRule="auto"/>
              <w:jc w:val="center"/>
              <w:rPr>
                <w:b/>
              </w:rPr>
            </w:pPr>
            <w:r w:rsidRPr="00CD7B6E">
              <w:rPr>
                <w:b/>
                <w:bCs/>
              </w:rPr>
              <w:t>Iekārtu un mašīnu operatori</w:t>
            </w:r>
            <w:r>
              <w:rPr>
                <w:b/>
                <w:bCs/>
              </w:rPr>
              <w:t xml:space="preserve">, </w:t>
            </w:r>
            <w:r w:rsidRPr="00CD7B6E">
              <w:rPr>
                <w:b/>
                <w:bCs/>
              </w:rPr>
              <w:t>izstrādājumu montieri</w:t>
            </w:r>
          </w:p>
        </w:tc>
        <w:tc>
          <w:tcPr>
            <w:tcW w:w="1557" w:type="pct"/>
            <w:vAlign w:val="bottom"/>
          </w:tcPr>
          <w:p w:rsidR="00A908C3" w:rsidRPr="00CD7B6E" w:rsidRDefault="00A908C3" w:rsidP="005546B4">
            <w:pPr>
              <w:spacing w:after="0" w:line="240" w:lineRule="auto"/>
              <w:jc w:val="center"/>
              <w:rPr>
                <w:b/>
              </w:rPr>
            </w:pPr>
            <w:r w:rsidRPr="00CD7B6E">
              <w:rPr>
                <w:b/>
                <w:bCs/>
              </w:rPr>
              <w:t>Vienkāršās profesijas</w:t>
            </w:r>
          </w:p>
        </w:tc>
      </w:tr>
      <w:tr w:rsidR="00A908C3" w:rsidRPr="00CD7B6E" w:rsidTr="005546B4">
        <w:tc>
          <w:tcPr>
            <w:tcW w:w="1722"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1D662A28" wp14:editId="736C13EC">
                  <wp:extent cx="2075291" cy="1558456"/>
                  <wp:effectExtent l="0" t="0" r="1270" b="3810"/>
                  <wp:docPr id="121" name="Chart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1721" w:type="pct"/>
            <w:vAlign w:val="bottom"/>
          </w:tcPr>
          <w:p w:rsidR="00A908C3" w:rsidRPr="00CD7B6E" w:rsidRDefault="00A908C3" w:rsidP="005546B4">
            <w:pPr>
              <w:spacing w:after="0" w:line="240" w:lineRule="auto"/>
              <w:jc w:val="center"/>
            </w:pPr>
            <w:r w:rsidRPr="00CD7B6E">
              <w:rPr>
                <w:noProof/>
                <w:lang w:eastAsia="lv-LV"/>
              </w:rPr>
              <w:drawing>
                <wp:inline distT="0" distB="0" distL="0" distR="0" wp14:anchorId="14454B4F" wp14:editId="4166D1DE">
                  <wp:extent cx="2075290" cy="1566407"/>
                  <wp:effectExtent l="0" t="0" r="1270" b="0"/>
                  <wp:docPr id="120" name="Chart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1557" w:type="pct"/>
            <w:vAlign w:val="bottom"/>
          </w:tcPr>
          <w:p w:rsidR="00A908C3" w:rsidRPr="00CD7B6E" w:rsidRDefault="00A908C3" w:rsidP="005546B4">
            <w:pPr>
              <w:spacing w:after="0" w:line="240" w:lineRule="auto"/>
              <w:ind w:left="-142" w:right="-193"/>
              <w:jc w:val="center"/>
            </w:pPr>
            <w:r w:rsidRPr="00CD7B6E">
              <w:rPr>
                <w:noProof/>
                <w:lang w:eastAsia="lv-LV"/>
              </w:rPr>
              <w:drawing>
                <wp:inline distT="0" distB="0" distL="0" distR="0" wp14:anchorId="208E0605" wp14:editId="0389B587">
                  <wp:extent cx="2075291" cy="1550504"/>
                  <wp:effectExtent l="0" t="0" r="1270" b="0"/>
                  <wp:docPr id="119" name="Chart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rsidR="00A908C3" w:rsidRPr="00516342" w:rsidRDefault="00A908C3" w:rsidP="00516342">
      <w:pPr>
        <w:spacing w:after="0" w:line="240" w:lineRule="auto"/>
        <w:ind w:firstLine="567"/>
        <w:jc w:val="both"/>
        <w:rPr>
          <w:bCs/>
          <w:color w:val="000000" w:themeColor="text1"/>
          <w:sz w:val="26"/>
          <w:szCs w:val="26"/>
        </w:rPr>
      </w:pPr>
      <w:r w:rsidRPr="00516342">
        <w:rPr>
          <w:bCs/>
          <w:color w:val="000000" w:themeColor="text1"/>
          <w:sz w:val="26"/>
          <w:szCs w:val="26"/>
        </w:rPr>
        <w:lastRenderedPageBreak/>
        <w:t xml:space="preserve">Darbaspēka pieprasījums līdz 2020.gadam palielināsies gandrīz visās profesiju </w:t>
      </w:r>
      <w:proofErr w:type="spellStart"/>
      <w:r w:rsidRPr="00516342">
        <w:rPr>
          <w:bCs/>
          <w:color w:val="000000" w:themeColor="text1"/>
          <w:sz w:val="26"/>
          <w:szCs w:val="26"/>
        </w:rPr>
        <w:t>pamatgrupās</w:t>
      </w:r>
      <w:proofErr w:type="spellEnd"/>
      <w:r w:rsidRPr="00516342">
        <w:rPr>
          <w:bCs/>
          <w:color w:val="000000" w:themeColor="text1"/>
          <w:sz w:val="26"/>
          <w:szCs w:val="26"/>
        </w:rPr>
        <w:t>, izņemot kvalificētus lauksaimniecības, mežsaimniecības un zivsaim</w:t>
      </w:r>
      <w:r w:rsidR="00516342">
        <w:rPr>
          <w:bCs/>
          <w:color w:val="000000" w:themeColor="text1"/>
          <w:sz w:val="26"/>
          <w:szCs w:val="26"/>
        </w:rPr>
        <w:softHyphen/>
      </w:r>
      <w:r w:rsidRPr="00516342">
        <w:rPr>
          <w:bCs/>
          <w:color w:val="000000" w:themeColor="text1"/>
          <w:sz w:val="26"/>
          <w:szCs w:val="26"/>
        </w:rPr>
        <w:t xml:space="preserve">niecības darbiniekus, kalpotāju profesijas (vidējās kvalifikācijas administratīvais atbalsta dienests un klientu apkalpošanas speciālisti) un </w:t>
      </w:r>
      <w:r w:rsidR="00516342">
        <w:rPr>
          <w:bCs/>
          <w:color w:val="000000" w:themeColor="text1"/>
          <w:sz w:val="26"/>
          <w:szCs w:val="26"/>
        </w:rPr>
        <w:t>vienkāršās profesijas.</w:t>
      </w:r>
    </w:p>
    <w:p w:rsidR="00A908C3" w:rsidRPr="00516342" w:rsidRDefault="00A908C3" w:rsidP="00516342">
      <w:pPr>
        <w:spacing w:after="0" w:line="240" w:lineRule="auto"/>
        <w:ind w:firstLine="567"/>
        <w:jc w:val="both"/>
        <w:rPr>
          <w:bCs/>
          <w:color w:val="000000" w:themeColor="text1"/>
          <w:sz w:val="26"/>
          <w:szCs w:val="26"/>
        </w:rPr>
      </w:pPr>
      <w:r w:rsidRPr="00516342">
        <w:rPr>
          <w:bCs/>
          <w:color w:val="000000" w:themeColor="text1"/>
          <w:sz w:val="26"/>
          <w:szCs w:val="26"/>
        </w:rPr>
        <w:t xml:space="preserve">Vienlaikus darbaspēka piedāvājums pieaugs augstākās kvalifikācijas profesiju grupās, ko nosaka lielais studējošo skaits iepriekšējos gados. Vidējās un zemākās kvalifikācijas profesiju </w:t>
      </w:r>
      <w:proofErr w:type="spellStart"/>
      <w:r w:rsidRPr="00516342">
        <w:rPr>
          <w:bCs/>
          <w:color w:val="000000" w:themeColor="text1"/>
          <w:sz w:val="26"/>
          <w:szCs w:val="26"/>
        </w:rPr>
        <w:t>pamatgrupās</w:t>
      </w:r>
      <w:proofErr w:type="spellEnd"/>
      <w:r w:rsidRPr="00516342">
        <w:rPr>
          <w:bCs/>
          <w:color w:val="000000" w:themeColor="text1"/>
          <w:sz w:val="26"/>
          <w:szCs w:val="26"/>
        </w:rPr>
        <w:t xml:space="preserve"> darbinieku piedāvājums samazināsies.</w:t>
      </w:r>
    </w:p>
    <w:p w:rsidR="00A908C3" w:rsidRPr="00516342" w:rsidRDefault="00A908C3" w:rsidP="00516342">
      <w:pPr>
        <w:spacing w:after="0" w:line="240" w:lineRule="auto"/>
        <w:ind w:firstLine="567"/>
        <w:jc w:val="both"/>
        <w:rPr>
          <w:b/>
          <w:bCs/>
          <w:iCs/>
          <w:color w:val="000000" w:themeColor="text1"/>
          <w:sz w:val="12"/>
          <w:szCs w:val="12"/>
        </w:rPr>
      </w:pPr>
    </w:p>
    <w:p w:rsidR="00A908C3" w:rsidRPr="00516342" w:rsidRDefault="00A908C3" w:rsidP="00516342">
      <w:pPr>
        <w:spacing w:after="0" w:line="240" w:lineRule="auto"/>
        <w:ind w:firstLine="567"/>
        <w:jc w:val="both"/>
        <w:rPr>
          <w:bCs/>
          <w:iCs/>
          <w:color w:val="000000" w:themeColor="text1"/>
          <w:sz w:val="26"/>
          <w:szCs w:val="28"/>
        </w:rPr>
      </w:pPr>
      <w:r w:rsidRPr="00516342">
        <w:rPr>
          <w:b/>
          <w:bCs/>
          <w:iCs/>
          <w:color w:val="000000" w:themeColor="text1"/>
          <w:sz w:val="26"/>
          <w:szCs w:val="28"/>
        </w:rPr>
        <w:t>Ilgtermiņā,</w:t>
      </w:r>
      <w:r w:rsidRPr="00516342">
        <w:rPr>
          <w:bCs/>
          <w:iCs/>
          <w:color w:val="000000" w:themeColor="text1"/>
          <w:sz w:val="26"/>
          <w:szCs w:val="28"/>
        </w:rPr>
        <w:t xml:space="preserve"> saglabājoties līdzšinējai darbaspēka sagatavošanas struktūrai, disproporcijas padziļināsies jau iepriekš minētajās vidējās kvalifikācijas profesijās – iekārtu un mašīnu operatoru, kā arī kvalificētu strādnieku un amatnieku profesijās piedāvājums būs ievērojami mazāks nekā pieprasījums. Pieprasījums pārsniegs piedāvājumu arī kvalificētu lauksaimniecības, mežsaimniecības un zivsaimniecības darbinieku profesiju grupā, jo šajā profesiju grupā ir samērā augsts gados veco cilvēku skaits, bet vienlaikus relatīvi mazs </w:t>
      </w:r>
      <w:proofErr w:type="spellStart"/>
      <w:r w:rsidRPr="00516342">
        <w:rPr>
          <w:bCs/>
          <w:iCs/>
          <w:color w:val="000000" w:themeColor="text1"/>
          <w:sz w:val="26"/>
          <w:szCs w:val="28"/>
        </w:rPr>
        <w:t>jaunpienācēju</w:t>
      </w:r>
      <w:proofErr w:type="spellEnd"/>
      <w:r w:rsidRPr="00516342">
        <w:rPr>
          <w:bCs/>
          <w:iCs/>
          <w:color w:val="000000" w:themeColor="text1"/>
          <w:sz w:val="26"/>
          <w:szCs w:val="28"/>
        </w:rPr>
        <w:t xml:space="preserve"> </w:t>
      </w:r>
      <w:r w:rsidR="00516342">
        <w:rPr>
          <w:bCs/>
          <w:iCs/>
          <w:color w:val="000000" w:themeColor="text1"/>
          <w:sz w:val="26"/>
          <w:szCs w:val="28"/>
        </w:rPr>
        <w:t>skaits no izglītības sistēmas.</w:t>
      </w:r>
    </w:p>
    <w:p w:rsidR="00A908C3" w:rsidRPr="00DB1D7E" w:rsidRDefault="00A908C3" w:rsidP="00A908C3">
      <w:pPr>
        <w:spacing w:after="120" w:line="240" w:lineRule="auto"/>
        <w:jc w:val="right"/>
        <w:rPr>
          <w:sz w:val="14"/>
          <w:szCs w:val="14"/>
        </w:rPr>
      </w:pPr>
    </w:p>
    <w:p w:rsidR="00A908C3" w:rsidRPr="00CD7B6E" w:rsidRDefault="00A908C3" w:rsidP="00A908C3">
      <w:pPr>
        <w:spacing w:after="120" w:line="240" w:lineRule="auto"/>
        <w:jc w:val="right"/>
        <w:rPr>
          <w:sz w:val="26"/>
          <w:szCs w:val="26"/>
        </w:rPr>
      </w:pPr>
      <w:r w:rsidRPr="00CD7B6E">
        <w:rPr>
          <w:sz w:val="26"/>
          <w:szCs w:val="26"/>
        </w:rPr>
        <w:t>3.1</w:t>
      </w:r>
      <w:r w:rsidR="00F6144C">
        <w:rPr>
          <w:sz w:val="26"/>
          <w:szCs w:val="26"/>
        </w:rPr>
        <w:t>3</w:t>
      </w:r>
      <w:r w:rsidRPr="00CD7B6E">
        <w:rPr>
          <w:sz w:val="26"/>
          <w:szCs w:val="26"/>
        </w:rPr>
        <w:t>. attēls</w:t>
      </w:r>
    </w:p>
    <w:p w:rsidR="00A908C3" w:rsidRPr="00CD7B6E" w:rsidRDefault="00A908C3" w:rsidP="00A908C3">
      <w:pPr>
        <w:spacing w:after="60" w:line="240" w:lineRule="auto"/>
        <w:jc w:val="center"/>
        <w:rPr>
          <w:sz w:val="24"/>
          <w:szCs w:val="26"/>
        </w:rPr>
      </w:pPr>
      <w:r w:rsidRPr="00CD7B6E">
        <w:rPr>
          <w:b/>
          <w:sz w:val="26"/>
          <w:szCs w:val="26"/>
        </w:rPr>
        <w:t>Darbaspēka pieprasījuma</w:t>
      </w:r>
      <w:r w:rsidR="002C6B26">
        <w:rPr>
          <w:b/>
          <w:sz w:val="26"/>
          <w:szCs w:val="26"/>
        </w:rPr>
        <w:t xml:space="preserve"> un piedāvājuma attiecība 2030.</w:t>
      </w:r>
      <w:r w:rsidRPr="00CD7B6E">
        <w:rPr>
          <w:b/>
          <w:sz w:val="26"/>
          <w:szCs w:val="26"/>
        </w:rPr>
        <w:t>gadā</w:t>
      </w:r>
      <w:r w:rsidRPr="00CD7B6E">
        <w:rPr>
          <w:b/>
          <w:sz w:val="26"/>
          <w:szCs w:val="26"/>
        </w:rPr>
        <w:br/>
        <w:t>pa profesiju grupām</w:t>
      </w:r>
      <w:r>
        <w:rPr>
          <w:b/>
          <w:sz w:val="26"/>
          <w:szCs w:val="26"/>
        </w:rPr>
        <w:t xml:space="preserve"> </w:t>
      </w:r>
      <w:r>
        <w:rPr>
          <w:sz w:val="24"/>
          <w:szCs w:val="26"/>
        </w:rPr>
        <w:t>(%, pieprasījums</w:t>
      </w:r>
      <w:r w:rsidRPr="00CD7B6E">
        <w:rPr>
          <w:sz w:val="24"/>
          <w:szCs w:val="26"/>
        </w:rPr>
        <w:t xml:space="preserve"> pret piedāvājumu)</w:t>
      </w:r>
    </w:p>
    <w:p w:rsidR="00A908C3" w:rsidRPr="00CD7B6E" w:rsidRDefault="00A908C3" w:rsidP="00A908C3">
      <w:pPr>
        <w:spacing w:after="0" w:line="240" w:lineRule="auto"/>
        <w:ind w:firstLine="567"/>
        <w:jc w:val="both"/>
        <w:rPr>
          <w:sz w:val="26"/>
          <w:szCs w:val="26"/>
        </w:rPr>
      </w:pPr>
      <w:r w:rsidRPr="00CD7B6E">
        <w:rPr>
          <w:noProof/>
          <w:sz w:val="26"/>
          <w:szCs w:val="26"/>
          <w:lang w:eastAsia="lv-LV"/>
        </w:rPr>
        <w:drawing>
          <wp:inline distT="0" distB="0" distL="0" distR="0" wp14:anchorId="5505A900" wp14:editId="55313E3D">
            <wp:extent cx="5271715" cy="3299791"/>
            <wp:effectExtent l="0" t="0" r="571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908C3" w:rsidRDefault="00A908C3" w:rsidP="00516342">
      <w:pPr>
        <w:spacing w:after="0" w:line="240" w:lineRule="auto"/>
        <w:ind w:firstLine="567"/>
        <w:jc w:val="both"/>
        <w:rPr>
          <w:bCs/>
          <w:iCs/>
          <w:sz w:val="26"/>
          <w:szCs w:val="28"/>
        </w:rPr>
      </w:pPr>
    </w:p>
    <w:p w:rsidR="00A908C3" w:rsidRPr="00516342" w:rsidRDefault="00A908C3" w:rsidP="00516342">
      <w:pPr>
        <w:spacing w:after="0" w:line="240" w:lineRule="auto"/>
        <w:ind w:firstLine="567"/>
        <w:jc w:val="both"/>
        <w:rPr>
          <w:bCs/>
          <w:iCs/>
          <w:color w:val="000000" w:themeColor="text1"/>
          <w:sz w:val="26"/>
          <w:szCs w:val="28"/>
        </w:rPr>
      </w:pPr>
      <w:r w:rsidRPr="00516342">
        <w:rPr>
          <w:bCs/>
          <w:iCs/>
          <w:color w:val="000000" w:themeColor="text1"/>
          <w:sz w:val="26"/>
          <w:szCs w:val="28"/>
        </w:rPr>
        <w:t>Pieprasījums būs zemāks nekā piedāvājums pēc vadītājiem un vecākajiem speciālistiem (galvenokārt pēc juridisko, sociālo un kultūras lietu vecākajiem speciālistiem, izglītības jomas vecākiem speciālistiem, kā arī komercdarbības un pārvaldes (administrācijas) vecākajiem speciālistiem). Vienlaikus darbaspēka iztrūkums sagaidāms pēc zinātnes un inženierzinātņu jomas vecākajiem speciālistiem un informācijas un komunikācijas tehnoloģiju jomas vecākajiem speciālistiem.</w:t>
      </w:r>
    </w:p>
    <w:p w:rsidR="00687CB9" w:rsidRDefault="004B7CE9" w:rsidP="0077399B">
      <w:pPr>
        <w:spacing w:after="0" w:line="240" w:lineRule="auto"/>
        <w:rPr>
          <w:rFonts w:ascii="Times New Roman Bold" w:hAnsi="Times New Roman Bold"/>
          <w:b/>
          <w:smallCaps/>
          <w:sz w:val="32"/>
        </w:rPr>
      </w:pPr>
      <w:r>
        <w:br w:type="page"/>
      </w:r>
    </w:p>
    <w:p w:rsidR="00687CB9" w:rsidRDefault="00885969" w:rsidP="0077399B">
      <w:pPr>
        <w:pStyle w:val="Heading2"/>
        <w:pBdr>
          <w:bottom w:val="thinThickSmallGap" w:sz="18" w:space="1" w:color="8064A2" w:themeColor="accent4"/>
        </w:pBdr>
        <w:spacing w:before="0" w:after="0" w:line="240" w:lineRule="auto"/>
        <w:rPr>
          <w:szCs w:val="28"/>
        </w:rPr>
      </w:pPr>
      <w:bookmarkStart w:id="59" w:name="_Toc357503124"/>
      <w:r w:rsidRPr="003559F3">
        <w:rPr>
          <w:szCs w:val="28"/>
        </w:rPr>
        <w:lastRenderedPageBreak/>
        <w:t>3.6. Prasmju pieprasījuma un piedāvājuma izmaiņas ES</w:t>
      </w:r>
      <w:bookmarkEnd w:id="59"/>
    </w:p>
    <w:p w:rsidR="00687CB9" w:rsidRDefault="00687CB9" w:rsidP="0077399B">
      <w:pPr>
        <w:spacing w:after="0" w:line="240" w:lineRule="auto"/>
        <w:jc w:val="both"/>
        <w:rPr>
          <w:sz w:val="26"/>
          <w:szCs w:val="28"/>
        </w:rPr>
      </w:pPr>
    </w:p>
    <w:p w:rsidR="00687CB9" w:rsidRPr="0064633F" w:rsidRDefault="00885969" w:rsidP="0064633F">
      <w:pPr>
        <w:pStyle w:val="Heading3"/>
        <w:pBdr>
          <w:bottom w:val="single" w:sz="8" w:space="1" w:color="8064A2" w:themeColor="accent4"/>
        </w:pBdr>
        <w:spacing w:before="0" w:line="240" w:lineRule="auto"/>
        <w:rPr>
          <w:rFonts w:ascii="Times New Roman" w:hAnsi="Times New Roman" w:cs="Times New Roman"/>
          <w:color w:val="000000" w:themeColor="text1"/>
          <w:sz w:val="26"/>
        </w:rPr>
      </w:pPr>
      <w:bookmarkStart w:id="60" w:name="_Toc357503125"/>
      <w:r w:rsidRPr="0064633F">
        <w:rPr>
          <w:rFonts w:ascii="Times New Roman" w:hAnsi="Times New Roman" w:cs="Times New Roman"/>
          <w:color w:val="000000" w:themeColor="text1"/>
          <w:sz w:val="26"/>
        </w:rPr>
        <w:t>3.6.1 Vispārējās darba tirgus attīstības tendences ES</w:t>
      </w:r>
      <w:bookmarkEnd w:id="60"/>
    </w:p>
    <w:p w:rsidR="00687CB9" w:rsidRDefault="00687CB9" w:rsidP="0077399B">
      <w:pPr>
        <w:spacing w:after="0" w:line="240" w:lineRule="auto"/>
        <w:jc w:val="both"/>
        <w:rPr>
          <w:sz w:val="26"/>
          <w:szCs w:val="28"/>
        </w:rPr>
      </w:pPr>
    </w:p>
    <w:p w:rsidR="00687CB9" w:rsidRDefault="00885969" w:rsidP="0077399B">
      <w:pPr>
        <w:spacing w:after="0" w:line="240" w:lineRule="auto"/>
        <w:ind w:firstLine="567"/>
        <w:jc w:val="both"/>
        <w:rPr>
          <w:sz w:val="26"/>
          <w:szCs w:val="28"/>
        </w:rPr>
      </w:pPr>
      <w:r w:rsidRPr="0065058C">
        <w:rPr>
          <w:sz w:val="26"/>
          <w:szCs w:val="28"/>
        </w:rPr>
        <w:t xml:space="preserve">Saskaņā ar CEDEFOP </w:t>
      </w:r>
      <w:r w:rsidRPr="00537D37">
        <w:rPr>
          <w:sz w:val="26"/>
          <w:szCs w:val="28"/>
        </w:rPr>
        <w:t>(Eiropas profesionālās izglītības attīstības centrs)</w:t>
      </w:r>
      <w:r w:rsidRPr="0065058C">
        <w:rPr>
          <w:sz w:val="26"/>
          <w:szCs w:val="26"/>
        </w:rPr>
        <w:t xml:space="preserve"> </w:t>
      </w:r>
      <w:r w:rsidRPr="0065058C">
        <w:rPr>
          <w:sz w:val="26"/>
          <w:szCs w:val="28"/>
        </w:rPr>
        <w:t xml:space="preserve">prognozēm, līdz 2020.gadam </w:t>
      </w:r>
      <w:r w:rsidR="002C6B26">
        <w:rPr>
          <w:sz w:val="26"/>
          <w:szCs w:val="28"/>
        </w:rPr>
        <w:t>ES</w:t>
      </w:r>
      <w:r w:rsidRPr="0065058C">
        <w:rPr>
          <w:sz w:val="26"/>
          <w:szCs w:val="28"/>
        </w:rPr>
        <w:t xml:space="preserve"> tiek prognozēta pakāpeniska un mērena ekonomikas un darba tirgus izaugsme. Prognoze paredz darba vietu</w:t>
      </w:r>
      <w:r>
        <w:rPr>
          <w:sz w:val="26"/>
          <w:szCs w:val="28"/>
        </w:rPr>
        <w:t xml:space="preserve"> pieaugumu visās dalībvalstīs, kaut gan jaunas darba vietas veidosies galvenokārt</w:t>
      </w:r>
      <w:r w:rsidR="00EA231B">
        <w:rPr>
          <w:sz w:val="26"/>
          <w:szCs w:val="28"/>
        </w:rPr>
        <w:t xml:space="preserve"> dēļ aizvietojošā pieprasījuma.</w:t>
      </w:r>
    </w:p>
    <w:p w:rsidR="00687CB9" w:rsidRPr="002C6B26" w:rsidRDefault="00885969" w:rsidP="0077399B">
      <w:pPr>
        <w:spacing w:after="0" w:line="240" w:lineRule="auto"/>
        <w:ind w:firstLine="567"/>
        <w:jc w:val="both"/>
        <w:rPr>
          <w:spacing w:val="2"/>
          <w:sz w:val="26"/>
          <w:szCs w:val="26"/>
        </w:rPr>
      </w:pPr>
      <w:r w:rsidRPr="002C6B26">
        <w:rPr>
          <w:spacing w:val="2"/>
          <w:sz w:val="26"/>
          <w:szCs w:val="26"/>
        </w:rPr>
        <w:t>Globalizācija un tehnoloģiju attīstība turpinās ekonomikas maiņu uz zināšanām vērstu ekonomiku, l</w:t>
      </w:r>
      <w:r w:rsidR="00886C81" w:rsidRPr="002C6B26">
        <w:rPr>
          <w:spacing w:val="2"/>
          <w:sz w:val="26"/>
          <w:szCs w:val="26"/>
        </w:rPr>
        <w:t>īdz ar to augs pieprasījums pēc</w:t>
      </w:r>
      <w:r w:rsidRPr="002C6B26">
        <w:rPr>
          <w:spacing w:val="2"/>
          <w:sz w:val="26"/>
          <w:szCs w:val="26"/>
        </w:rPr>
        <w:t xml:space="preserve"> zināšanu ietilpīgām profesijām. Līdz 2020.gadam paredzams, ka ES darbaspēks būs augstāk kvalificēts kā jebkad, kas nozīmē</w:t>
      </w:r>
      <w:r w:rsidR="00C17198" w:rsidRPr="002C6B26">
        <w:rPr>
          <w:spacing w:val="2"/>
          <w:sz w:val="26"/>
          <w:szCs w:val="26"/>
        </w:rPr>
        <w:t xml:space="preserve">, ka svarīgi būs jaunu zināšanu </w:t>
      </w:r>
      <w:r w:rsidRPr="002C6B26">
        <w:rPr>
          <w:spacing w:val="2"/>
          <w:sz w:val="26"/>
          <w:szCs w:val="26"/>
        </w:rPr>
        <w:t>ietilpīgu darba vietu izveide, lai augsta līmeņa prasmes tiktu pilnībā izmantotas, jo augsti kvalificēts un apmācīts darbaspēks tiek uzskatīts par vienu no svarīgākajiem Eiropas konkurēts</w:t>
      </w:r>
      <w:r w:rsidR="00EA231B" w:rsidRPr="002C6B26">
        <w:rPr>
          <w:spacing w:val="2"/>
          <w:sz w:val="26"/>
          <w:szCs w:val="26"/>
        </w:rPr>
        <w:t>pējas nodrošinošiem faktoriem.</w:t>
      </w:r>
    </w:p>
    <w:p w:rsidR="00687CB9" w:rsidRPr="00C903BE" w:rsidRDefault="00885969" w:rsidP="0077399B">
      <w:pPr>
        <w:spacing w:after="0" w:line="240" w:lineRule="auto"/>
        <w:ind w:firstLine="567"/>
        <w:jc w:val="both"/>
        <w:rPr>
          <w:sz w:val="26"/>
          <w:szCs w:val="26"/>
        </w:rPr>
      </w:pPr>
      <w:r w:rsidRPr="00C903BE">
        <w:rPr>
          <w:sz w:val="26"/>
          <w:szCs w:val="26"/>
        </w:rPr>
        <w:t>Nākotnē ES darba tirgu sagaida vairāki izaicinājumi – sabiedrības novecošanās, valsts budžetu konsolidācijas pasākumi, izglītības un apmācības sistēmas finansiālās problēmas un fakts, ka ražošanas procesi kļūst zināšanu ietilpīgāki. Tie lielā mērā ietekmēs arī turpmākās attīstības tendences ES un situāci</w:t>
      </w:r>
      <w:r w:rsidR="00886C81" w:rsidRPr="00C903BE">
        <w:rPr>
          <w:sz w:val="26"/>
          <w:szCs w:val="26"/>
        </w:rPr>
        <w:t>ju darba tirgū. CEDEFOP</w:t>
      </w:r>
      <w:r w:rsidRPr="00C903BE">
        <w:rPr>
          <w:sz w:val="26"/>
          <w:szCs w:val="26"/>
        </w:rPr>
        <w:t xml:space="preserve"> prognozētās prasmju pieprasījuma un piedāvājuma galvenās tendences līdz 2020.gadam ir šādas</w:t>
      </w:r>
      <w:r w:rsidRPr="00C903BE">
        <w:rPr>
          <w:rStyle w:val="FootnoteReference"/>
          <w:sz w:val="26"/>
          <w:szCs w:val="26"/>
        </w:rPr>
        <w:footnoteReference w:id="8"/>
      </w:r>
      <w:r w:rsidR="00EA231B" w:rsidRPr="00C903BE">
        <w:rPr>
          <w:sz w:val="26"/>
          <w:szCs w:val="26"/>
        </w:rPr>
        <w:t>:</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l</w:t>
      </w:r>
      <w:r w:rsidR="00885969" w:rsidRPr="00C903BE">
        <w:rPr>
          <w:sz w:val="26"/>
          <w:szCs w:val="26"/>
        </w:rPr>
        <w:t>ēnākas strukturālās izmaiņas starp nozarēm nekā iepriekšējā desmitgadē;</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a</w:t>
      </w:r>
      <w:r w:rsidR="00885969" w:rsidRPr="00C903BE">
        <w:rPr>
          <w:sz w:val="26"/>
          <w:szCs w:val="26"/>
        </w:rPr>
        <w:t>pstrādes rūpniecība un primārais sektors saglabās nozīmīgu vietu ES ekonomikā, tomēr nodarbināto skaits šajās nozarēs saruks;</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t</w:t>
      </w:r>
      <w:r w:rsidR="00885969" w:rsidRPr="00C903BE">
        <w:rPr>
          <w:sz w:val="26"/>
          <w:szCs w:val="26"/>
        </w:rPr>
        <w:t>urpināsies orientācija uz pakalpojumiem un zināšanām vērstu ekonomiku;</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j</w:t>
      </w:r>
      <w:r w:rsidR="00885969" w:rsidRPr="00C903BE">
        <w:rPr>
          <w:sz w:val="26"/>
          <w:szCs w:val="26"/>
        </w:rPr>
        <w:t>aunas darba vietas veidosies galvenokārt dēļ aizvietojošā pieprasījuma;</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a</w:t>
      </w:r>
      <w:r w:rsidR="00C17198">
        <w:rPr>
          <w:sz w:val="26"/>
          <w:szCs w:val="26"/>
        </w:rPr>
        <w:t xml:space="preserve">ugs pieprasījums pēc zināšanu </w:t>
      </w:r>
      <w:r w:rsidR="00885969" w:rsidRPr="00C903BE">
        <w:rPr>
          <w:sz w:val="26"/>
          <w:szCs w:val="26"/>
        </w:rPr>
        <w:t>ietilpīgām profesijām;</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j</w:t>
      </w:r>
      <w:r w:rsidR="00885969" w:rsidRPr="00C903BE">
        <w:rPr>
          <w:sz w:val="26"/>
          <w:szCs w:val="26"/>
        </w:rPr>
        <w:t>aunas darba iespējas būs galvenokārt augstākās un zemākās kvalifikācijas darbos, tād</w:t>
      </w:r>
      <w:r w:rsidR="00C903BE" w:rsidRPr="00C903BE">
        <w:rPr>
          <w:sz w:val="26"/>
          <w:szCs w:val="26"/>
        </w:rPr>
        <w:t>ē</w:t>
      </w:r>
      <w:r w:rsidR="00885969" w:rsidRPr="00C903BE">
        <w:rPr>
          <w:sz w:val="26"/>
          <w:szCs w:val="26"/>
        </w:rPr>
        <w:t>jādi radot darba vietu polarizāciju;</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a</w:t>
      </w:r>
      <w:r w:rsidR="00885969" w:rsidRPr="00C903BE">
        <w:rPr>
          <w:sz w:val="26"/>
          <w:szCs w:val="26"/>
        </w:rPr>
        <w:t>ugstākās kvalifikācijas piedāvājums augs straujāk nekā pieprasījums;</w:t>
      </w:r>
    </w:p>
    <w:p w:rsidR="00687CB9" w:rsidRPr="00C903BE" w:rsidRDefault="002C6B26" w:rsidP="0077399B">
      <w:pPr>
        <w:pStyle w:val="ListParagraph"/>
        <w:numPr>
          <w:ilvl w:val="0"/>
          <w:numId w:val="4"/>
        </w:numPr>
        <w:spacing w:after="0" w:line="240" w:lineRule="auto"/>
        <w:ind w:left="924" w:hanging="357"/>
        <w:jc w:val="both"/>
        <w:rPr>
          <w:sz w:val="26"/>
          <w:szCs w:val="26"/>
        </w:rPr>
      </w:pPr>
      <w:r>
        <w:rPr>
          <w:sz w:val="26"/>
          <w:szCs w:val="26"/>
        </w:rPr>
        <w:t>l</w:t>
      </w:r>
      <w:r w:rsidR="00885969" w:rsidRPr="00C903BE">
        <w:rPr>
          <w:sz w:val="26"/>
          <w:szCs w:val="26"/>
        </w:rPr>
        <w:t>ielākais darbaspēka iztrūkums paredzams profesijās, kurās nepieciešamas specifiskas zināšanas.</w:t>
      </w:r>
    </w:p>
    <w:p w:rsidR="00687CB9" w:rsidRPr="00886C81" w:rsidRDefault="00687CB9" w:rsidP="0077399B">
      <w:pPr>
        <w:pStyle w:val="ListParagraph"/>
        <w:spacing w:after="0" w:line="240" w:lineRule="auto"/>
        <w:ind w:left="924"/>
        <w:jc w:val="both"/>
        <w:rPr>
          <w:sz w:val="8"/>
          <w:szCs w:val="8"/>
        </w:rPr>
      </w:pPr>
    </w:p>
    <w:p w:rsidR="00687CB9" w:rsidRDefault="00885969" w:rsidP="0077399B">
      <w:pPr>
        <w:spacing w:after="0" w:line="240" w:lineRule="auto"/>
        <w:ind w:firstLine="567"/>
        <w:jc w:val="both"/>
        <w:rPr>
          <w:sz w:val="26"/>
          <w:szCs w:val="26"/>
        </w:rPr>
      </w:pPr>
      <w:r w:rsidRPr="0065058C">
        <w:rPr>
          <w:sz w:val="26"/>
          <w:szCs w:val="26"/>
        </w:rPr>
        <w:t xml:space="preserve">Salīdzinot ES un Latvijas prasmju pieprasījuma un piedāvājuma izmaiņas, </w:t>
      </w:r>
      <w:r>
        <w:rPr>
          <w:sz w:val="26"/>
          <w:szCs w:val="26"/>
        </w:rPr>
        <w:t xml:space="preserve">turpmāk tekstā </w:t>
      </w:r>
      <w:r w:rsidRPr="0065058C">
        <w:rPr>
          <w:sz w:val="26"/>
          <w:szCs w:val="26"/>
        </w:rPr>
        <w:t>ir izmantota</w:t>
      </w:r>
      <w:r>
        <w:rPr>
          <w:sz w:val="26"/>
          <w:szCs w:val="26"/>
        </w:rPr>
        <w:t>s</w:t>
      </w:r>
      <w:r w:rsidRPr="0065058C">
        <w:rPr>
          <w:sz w:val="26"/>
          <w:szCs w:val="26"/>
        </w:rPr>
        <w:t xml:space="preserve"> CEDEFOP </w:t>
      </w:r>
      <w:r>
        <w:rPr>
          <w:sz w:val="26"/>
          <w:szCs w:val="26"/>
        </w:rPr>
        <w:t>prognozes.</w:t>
      </w:r>
      <w:r w:rsidRPr="0065058C">
        <w:rPr>
          <w:sz w:val="26"/>
          <w:szCs w:val="26"/>
        </w:rPr>
        <w:t xml:space="preserve"> </w:t>
      </w:r>
      <w:r>
        <w:rPr>
          <w:sz w:val="26"/>
          <w:szCs w:val="26"/>
        </w:rPr>
        <w:t>Tās</w:t>
      </w:r>
      <w:r w:rsidRPr="00537D37">
        <w:rPr>
          <w:sz w:val="26"/>
          <w:szCs w:val="26"/>
        </w:rPr>
        <w:t xml:space="preserve"> ir balstītas uz kvantitatīvu metodoloģiju, izmantojot Nacionālo kontu, Eiropas darbaspēka apsekojuma datus</w:t>
      </w:r>
      <w:r>
        <w:rPr>
          <w:sz w:val="26"/>
          <w:szCs w:val="26"/>
        </w:rPr>
        <w:t>,</w:t>
      </w:r>
      <w:r w:rsidRPr="00537D37">
        <w:rPr>
          <w:sz w:val="26"/>
          <w:szCs w:val="26"/>
        </w:rPr>
        <w:t xml:space="preserve"> </w:t>
      </w:r>
      <w:r>
        <w:rPr>
          <w:sz w:val="26"/>
          <w:szCs w:val="26"/>
        </w:rPr>
        <w:t>daudznozaru makroekonomisko modeli, kas apvieno ikgadējā ekonometriskā modeļa un vidēja termiņa nozaru modeļa</w:t>
      </w:r>
      <w:r w:rsidRPr="00F674D6">
        <w:rPr>
          <w:sz w:val="26"/>
          <w:szCs w:val="26"/>
        </w:rPr>
        <w:t xml:space="preserve"> </w:t>
      </w:r>
      <w:r>
        <w:rPr>
          <w:sz w:val="26"/>
          <w:szCs w:val="26"/>
        </w:rPr>
        <w:t xml:space="preserve">elementus, kā arī </w:t>
      </w:r>
      <w:r w:rsidRPr="00537D37">
        <w:rPr>
          <w:sz w:val="26"/>
          <w:szCs w:val="26"/>
        </w:rPr>
        <w:t>katras ES dalībvalsts ekspertu novērtējumu</w:t>
      </w:r>
      <w:r>
        <w:rPr>
          <w:sz w:val="26"/>
          <w:szCs w:val="26"/>
        </w:rPr>
        <w:t>.</w:t>
      </w:r>
      <w:r w:rsidRPr="00537D37">
        <w:rPr>
          <w:sz w:val="26"/>
          <w:szCs w:val="26"/>
        </w:rPr>
        <w:t xml:space="preserve"> </w:t>
      </w:r>
      <w:r>
        <w:rPr>
          <w:sz w:val="26"/>
          <w:szCs w:val="26"/>
        </w:rPr>
        <w:t>CEDEFOP pārstāv arī eksperts no EM.</w:t>
      </w:r>
    </w:p>
    <w:p w:rsidR="00687CB9" w:rsidRDefault="00885969" w:rsidP="0077399B">
      <w:pPr>
        <w:spacing w:after="0" w:line="240" w:lineRule="auto"/>
        <w:ind w:firstLine="567"/>
        <w:jc w:val="both"/>
        <w:rPr>
          <w:sz w:val="26"/>
          <w:szCs w:val="26"/>
        </w:rPr>
      </w:pPr>
      <w:r w:rsidRPr="00537D37">
        <w:rPr>
          <w:sz w:val="26"/>
          <w:szCs w:val="26"/>
        </w:rPr>
        <w:t>Prognožu mērķis ir nodrošināt informāciju par nākotnes darba tirgus attīstības tendencēm nevis precīzus datus</w:t>
      </w:r>
      <w:r>
        <w:rPr>
          <w:sz w:val="26"/>
          <w:szCs w:val="26"/>
        </w:rPr>
        <w:t xml:space="preserve"> par plānotajām darba iespējām.</w:t>
      </w:r>
      <w:r w:rsidRPr="00537D37">
        <w:rPr>
          <w:sz w:val="26"/>
          <w:szCs w:val="26"/>
        </w:rPr>
        <w:t xml:space="preserve"> CEDEFOP mērķis ir informē</w:t>
      </w:r>
      <w:r>
        <w:rPr>
          <w:sz w:val="26"/>
          <w:szCs w:val="26"/>
        </w:rPr>
        <w:t>t</w:t>
      </w:r>
      <w:r w:rsidRPr="00537D37">
        <w:rPr>
          <w:sz w:val="26"/>
          <w:szCs w:val="26"/>
        </w:rPr>
        <w:t xml:space="preserve"> par pārmaiņām profesionālajā izglītībā un sekmē</w:t>
      </w:r>
      <w:r>
        <w:rPr>
          <w:sz w:val="26"/>
          <w:szCs w:val="26"/>
        </w:rPr>
        <w:t>t</w:t>
      </w:r>
      <w:r w:rsidRPr="00537D37">
        <w:rPr>
          <w:sz w:val="26"/>
          <w:szCs w:val="26"/>
        </w:rPr>
        <w:t xml:space="preserve"> diskusiju par politiku šajā jomā. </w:t>
      </w:r>
      <w:r>
        <w:rPr>
          <w:sz w:val="26"/>
          <w:szCs w:val="26"/>
        </w:rPr>
        <w:t>CEDEFOP</w:t>
      </w:r>
      <w:r w:rsidRPr="00537D37">
        <w:rPr>
          <w:sz w:val="26"/>
          <w:szCs w:val="26"/>
        </w:rPr>
        <w:t xml:space="preserve"> sadarbojas ar Eiropas Komisiju, valstu valdību, darba devēju un arodbiedrību pārstāvjiem, zinātniekiem un speciālistiem.</w:t>
      </w:r>
    </w:p>
    <w:p w:rsidR="009838F9" w:rsidRDefault="009838F9">
      <w:pPr>
        <w:spacing w:after="0" w:line="240" w:lineRule="auto"/>
        <w:rPr>
          <w:b/>
          <w:sz w:val="26"/>
          <w:szCs w:val="28"/>
          <w:u w:val="single" w:color="5F497A" w:themeColor="accent4" w:themeShade="BF"/>
        </w:rPr>
      </w:pPr>
      <w:r>
        <w:rPr>
          <w:b/>
          <w:sz w:val="26"/>
          <w:szCs w:val="28"/>
          <w:u w:val="single" w:color="5F497A" w:themeColor="accent4" w:themeShade="BF"/>
        </w:rPr>
        <w:br w:type="page"/>
      </w:r>
    </w:p>
    <w:p w:rsidR="00687CB9" w:rsidRPr="0064633F" w:rsidRDefault="00885969" w:rsidP="0064633F">
      <w:pPr>
        <w:pStyle w:val="Heading3"/>
        <w:pBdr>
          <w:bottom w:val="single" w:sz="8" w:space="1" w:color="8064A2" w:themeColor="accent4"/>
        </w:pBdr>
        <w:spacing w:before="0" w:line="240" w:lineRule="auto"/>
        <w:rPr>
          <w:rFonts w:ascii="Times New Roman" w:hAnsi="Times New Roman" w:cs="Times New Roman"/>
          <w:color w:val="000000" w:themeColor="text1"/>
          <w:sz w:val="26"/>
        </w:rPr>
      </w:pPr>
      <w:bookmarkStart w:id="61" w:name="_Toc357503126"/>
      <w:r w:rsidRPr="0064633F">
        <w:rPr>
          <w:rFonts w:ascii="Times New Roman" w:hAnsi="Times New Roman" w:cs="Times New Roman"/>
          <w:color w:val="000000" w:themeColor="text1"/>
          <w:sz w:val="26"/>
        </w:rPr>
        <w:lastRenderedPageBreak/>
        <w:t>3.6.2. Prasmju pieprasījuma tendences ES</w:t>
      </w:r>
      <w:bookmarkEnd w:id="61"/>
    </w:p>
    <w:p w:rsidR="00687CB9" w:rsidRPr="00886C81" w:rsidRDefault="00687CB9" w:rsidP="0077399B">
      <w:pPr>
        <w:spacing w:after="0" w:line="240" w:lineRule="auto"/>
        <w:jc w:val="both"/>
        <w:rPr>
          <w:sz w:val="26"/>
          <w:szCs w:val="26"/>
        </w:rPr>
      </w:pPr>
    </w:p>
    <w:p w:rsidR="00687CB9" w:rsidRPr="0090109A" w:rsidRDefault="00885969" w:rsidP="009838F9">
      <w:pPr>
        <w:spacing w:after="0" w:line="240" w:lineRule="auto"/>
        <w:ind w:firstLine="567"/>
        <w:jc w:val="both"/>
        <w:rPr>
          <w:sz w:val="26"/>
          <w:szCs w:val="26"/>
        </w:rPr>
      </w:pPr>
      <w:r w:rsidRPr="0090109A">
        <w:rPr>
          <w:sz w:val="26"/>
          <w:szCs w:val="26"/>
        </w:rPr>
        <w:t>Kopumā darba tirgus attīstības tendences līdz 2020.gadam ES un Latvijā ir līdzīgas. Galvenā atšķirība ir vērojama apstrādes rūpniecībā, kur ES ir paredzams nodarbināto skaita samazinājums, savukārt Latvijā šajā nozarē paredzams viens no lielākajiem nodarbināto skaita pieaugumiem, kas skaidrojams ar zemāku rūpniecības tehnoloģiju attīstības līmeni. Lai arī apstrādes rūpniecības pieaugumā liela loma būs produktivitātei, tomēr darbaspēka pieprasījums saglabāsies augsts.</w:t>
      </w:r>
    </w:p>
    <w:p w:rsidR="00687CB9" w:rsidRPr="0090109A" w:rsidRDefault="00885969" w:rsidP="009838F9">
      <w:pPr>
        <w:spacing w:after="0" w:line="240" w:lineRule="auto"/>
        <w:ind w:firstLine="567"/>
        <w:jc w:val="both"/>
        <w:rPr>
          <w:sz w:val="26"/>
          <w:szCs w:val="26"/>
        </w:rPr>
      </w:pPr>
      <w:r w:rsidRPr="0090109A">
        <w:rPr>
          <w:sz w:val="26"/>
          <w:szCs w:val="26"/>
        </w:rPr>
        <w:t>Galvenās pieprasījuma tendences līdz 2020.gadam pa nozarēm un profesiju grupām ir šādas:</w:t>
      </w:r>
    </w:p>
    <w:p w:rsidR="00687CB9" w:rsidRPr="0090109A" w:rsidRDefault="00687CB9" w:rsidP="009838F9">
      <w:pPr>
        <w:spacing w:after="0" w:line="240" w:lineRule="auto"/>
        <w:ind w:firstLine="567"/>
        <w:jc w:val="both"/>
        <w:rPr>
          <w:sz w:val="26"/>
          <w:szCs w:val="26"/>
        </w:rPr>
      </w:pPr>
    </w:p>
    <w:p w:rsidR="00687CB9" w:rsidRPr="0090109A" w:rsidRDefault="00885969" w:rsidP="009838F9">
      <w:pPr>
        <w:pStyle w:val="ListParagraph"/>
        <w:numPr>
          <w:ilvl w:val="0"/>
          <w:numId w:val="3"/>
        </w:numPr>
        <w:spacing w:after="0" w:line="240" w:lineRule="auto"/>
        <w:ind w:left="993" w:hanging="426"/>
        <w:jc w:val="both"/>
        <w:rPr>
          <w:b/>
          <w:sz w:val="26"/>
          <w:szCs w:val="26"/>
        </w:rPr>
      </w:pPr>
      <w:r w:rsidRPr="0090109A">
        <w:rPr>
          <w:b/>
          <w:sz w:val="26"/>
          <w:szCs w:val="26"/>
        </w:rPr>
        <w:t>Latvijā visās nozarēs, izņemot primāro sektoru un sabiedriskos pakalpojumus, nodarbināto skaits pieaugs straujāk nekā ES</w:t>
      </w:r>
    </w:p>
    <w:p w:rsidR="009838F9" w:rsidRPr="0090109A" w:rsidRDefault="009838F9" w:rsidP="0077399B">
      <w:pPr>
        <w:spacing w:after="0" w:line="240" w:lineRule="auto"/>
        <w:ind w:firstLine="567"/>
        <w:jc w:val="both"/>
        <w:rPr>
          <w:sz w:val="8"/>
          <w:szCs w:val="26"/>
        </w:rPr>
      </w:pPr>
    </w:p>
    <w:p w:rsidR="00687CB9" w:rsidRPr="0090109A" w:rsidRDefault="001B7234" w:rsidP="0077399B">
      <w:pPr>
        <w:spacing w:after="0" w:line="240" w:lineRule="auto"/>
        <w:ind w:firstLine="567"/>
        <w:jc w:val="both"/>
        <w:rPr>
          <w:sz w:val="26"/>
          <w:szCs w:val="26"/>
        </w:rPr>
      </w:pPr>
      <w:r>
        <w:rPr>
          <w:sz w:val="26"/>
          <w:szCs w:val="26"/>
        </w:rPr>
        <w:t>Nodarbināto skaits ES 2020.gadā</w:t>
      </w:r>
      <w:r w:rsidR="00885969" w:rsidRPr="0090109A">
        <w:rPr>
          <w:sz w:val="26"/>
          <w:szCs w:val="26"/>
        </w:rPr>
        <w:t xml:space="preserve"> salīdzinājumā ar 2010</w:t>
      </w:r>
      <w:r>
        <w:rPr>
          <w:sz w:val="26"/>
          <w:szCs w:val="26"/>
        </w:rPr>
        <w:t>.gadu</w:t>
      </w:r>
      <w:r w:rsidR="00885969" w:rsidRPr="0090109A">
        <w:rPr>
          <w:sz w:val="26"/>
          <w:szCs w:val="26"/>
        </w:rPr>
        <w:t xml:space="preserve"> pieaugs par 3,4%. Latvijā nodarbināto skaits šajā periodā pieaugs straujāk (par 8,7%) nekā ES. Straujāku nodarbināto pieaugumu Latvijā nosaka dziļais kritums krīzes laikā. Galvenās atšķirības starp ES un Latviju ir vērojamas nodarbināto skaita izmaiņās apstrādes rūpniecībā, būvniecībā un sabiedriskajos pakalpojumos. Pārējās nozarēs nodarbināto izmaiņu tendence tiek prognozētas līdzīgas.</w:t>
      </w:r>
    </w:p>
    <w:p w:rsidR="00885969" w:rsidRPr="0090109A" w:rsidRDefault="0090109A" w:rsidP="0077399B">
      <w:pPr>
        <w:spacing w:after="0" w:line="240" w:lineRule="auto"/>
        <w:ind w:firstLine="567"/>
        <w:jc w:val="right"/>
        <w:rPr>
          <w:sz w:val="26"/>
          <w:szCs w:val="26"/>
        </w:rPr>
      </w:pPr>
      <w:r w:rsidRPr="0090109A">
        <w:rPr>
          <w:sz w:val="26"/>
          <w:szCs w:val="26"/>
        </w:rPr>
        <w:t>3.1</w:t>
      </w:r>
      <w:r w:rsidR="00F6144C">
        <w:rPr>
          <w:sz w:val="26"/>
          <w:szCs w:val="26"/>
        </w:rPr>
        <w:t>4</w:t>
      </w:r>
      <w:r w:rsidR="00885969" w:rsidRPr="0090109A">
        <w:rPr>
          <w:sz w:val="26"/>
          <w:szCs w:val="26"/>
        </w:rPr>
        <w:t>. attēls</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59"/>
      </w:tblGrid>
      <w:tr w:rsidR="00885969" w:rsidRPr="0090109A" w:rsidTr="004B7CE9">
        <w:trPr>
          <w:trHeight w:val="3270"/>
        </w:trPr>
        <w:tc>
          <w:tcPr>
            <w:tcW w:w="9259" w:type="dxa"/>
          </w:tcPr>
          <w:p w:rsidR="00885969" w:rsidRPr="0090109A" w:rsidRDefault="00885969" w:rsidP="0077399B">
            <w:pPr>
              <w:spacing w:after="0" w:line="240" w:lineRule="auto"/>
              <w:jc w:val="right"/>
              <w:rPr>
                <w:sz w:val="26"/>
                <w:szCs w:val="26"/>
              </w:rPr>
            </w:pPr>
            <w:r w:rsidRPr="0090109A">
              <w:rPr>
                <w:noProof/>
                <w:lang w:eastAsia="lv-LV"/>
              </w:rPr>
              <w:drawing>
                <wp:inline distT="0" distB="0" distL="0" distR="0" wp14:anchorId="42D377D1" wp14:editId="45A861F8">
                  <wp:extent cx="5975350" cy="23876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687CB9" w:rsidRPr="0090109A" w:rsidRDefault="00687CB9" w:rsidP="0077399B">
      <w:pPr>
        <w:spacing w:after="0" w:line="240" w:lineRule="auto"/>
        <w:jc w:val="both"/>
        <w:rPr>
          <w:sz w:val="8"/>
          <w:szCs w:val="26"/>
        </w:rPr>
      </w:pPr>
    </w:p>
    <w:p w:rsidR="00687CB9" w:rsidRPr="005546B4" w:rsidRDefault="00885969" w:rsidP="0077399B">
      <w:pPr>
        <w:spacing w:after="0" w:line="240" w:lineRule="auto"/>
        <w:jc w:val="both"/>
        <w:rPr>
          <w:szCs w:val="26"/>
        </w:rPr>
      </w:pPr>
      <w:r w:rsidRPr="005546B4">
        <w:rPr>
          <w:szCs w:val="26"/>
        </w:rPr>
        <w:t>Avots: CEDEFOP</w:t>
      </w:r>
    </w:p>
    <w:p w:rsidR="00687CB9" w:rsidRPr="0090109A" w:rsidRDefault="00687CB9" w:rsidP="0077399B">
      <w:pPr>
        <w:spacing w:after="0" w:line="240" w:lineRule="auto"/>
        <w:jc w:val="both"/>
        <w:rPr>
          <w:sz w:val="26"/>
          <w:szCs w:val="26"/>
        </w:rPr>
      </w:pPr>
    </w:p>
    <w:p w:rsidR="00687CB9" w:rsidRPr="0090109A" w:rsidRDefault="00885969" w:rsidP="009838F9">
      <w:pPr>
        <w:pStyle w:val="ListParagraph"/>
        <w:numPr>
          <w:ilvl w:val="0"/>
          <w:numId w:val="3"/>
        </w:numPr>
        <w:spacing w:after="0" w:line="240" w:lineRule="auto"/>
        <w:ind w:left="993" w:hanging="426"/>
        <w:jc w:val="both"/>
        <w:rPr>
          <w:b/>
          <w:sz w:val="26"/>
          <w:szCs w:val="26"/>
        </w:rPr>
      </w:pPr>
      <w:r w:rsidRPr="0090109A">
        <w:rPr>
          <w:b/>
          <w:sz w:val="26"/>
          <w:szCs w:val="26"/>
        </w:rPr>
        <w:t>Kopumā ES līdz 2020.gadam tiek prognozētas lēnākas strukturālās izmaiņas starp nozarēm nekā iepriekšējā desmitgadē</w:t>
      </w:r>
    </w:p>
    <w:p w:rsidR="009838F9" w:rsidRPr="0090109A" w:rsidRDefault="009838F9" w:rsidP="0077399B">
      <w:pPr>
        <w:spacing w:after="0" w:line="240" w:lineRule="auto"/>
        <w:ind w:firstLine="567"/>
        <w:jc w:val="both"/>
        <w:rPr>
          <w:sz w:val="8"/>
          <w:szCs w:val="26"/>
        </w:rPr>
      </w:pPr>
    </w:p>
    <w:p w:rsidR="00687CB9" w:rsidRPr="0090109A" w:rsidRDefault="00885969" w:rsidP="0077399B">
      <w:pPr>
        <w:spacing w:after="0" w:line="240" w:lineRule="auto"/>
        <w:ind w:firstLine="567"/>
        <w:jc w:val="both"/>
        <w:rPr>
          <w:sz w:val="26"/>
          <w:szCs w:val="26"/>
        </w:rPr>
      </w:pPr>
      <w:r w:rsidRPr="0090109A">
        <w:rPr>
          <w:sz w:val="26"/>
          <w:szCs w:val="26"/>
        </w:rPr>
        <w:t>Nozares, kurām līdz 2020.gadam tiek prognozēta strauja izaugsme ir, piemēram, mazumtirdzniecība, ūdens apgāde un dažādas pakalpojumu nozares, savukārt tādu nozaru izaugsme kā būvniecība, mašīnbūve, viesnīcas un ēdināšana ir paredzama augstāka par vidējo, tomēr šo nozaru izaugsmi lielā mērā var ietekmēt dažādi ārējie ekonomiskie faktori. Tādas nozares kā lauksaimniecība un tekstilrūpniecība un metālu ražošana, kas piedzīvo lēnāku attīstību, saglabās tādu attīstības tendenci pat tad, ja ekonomika kopumā piedzīvos strauju izaugsmi. Vairāku rūpniecības nozaru (piemēram, nafta un gāze, ķīmiskā rūpniecība, poligrāfija) izaugsme, salīdzinoši ar citām nozarēm, būs lēna, tomēr vienlaikus, ekonomikas izrāviena gadījumā, pieprasījums pēc šo nozaru produkcijas pieaugs.</w:t>
      </w:r>
    </w:p>
    <w:p w:rsidR="00687CB9" w:rsidRPr="0090109A" w:rsidRDefault="0090109A" w:rsidP="0077399B">
      <w:pPr>
        <w:spacing w:after="0" w:line="240" w:lineRule="auto"/>
        <w:ind w:firstLine="567"/>
        <w:jc w:val="right"/>
        <w:rPr>
          <w:sz w:val="26"/>
          <w:szCs w:val="26"/>
        </w:rPr>
      </w:pPr>
      <w:r w:rsidRPr="0090109A">
        <w:rPr>
          <w:sz w:val="26"/>
          <w:szCs w:val="26"/>
        </w:rPr>
        <w:lastRenderedPageBreak/>
        <w:t>3.</w:t>
      </w:r>
      <w:r w:rsidR="00885969" w:rsidRPr="0090109A">
        <w:rPr>
          <w:sz w:val="26"/>
          <w:szCs w:val="26"/>
        </w:rPr>
        <w:t>1</w:t>
      </w:r>
      <w:r w:rsidR="00F6144C">
        <w:rPr>
          <w:sz w:val="26"/>
          <w:szCs w:val="26"/>
        </w:rPr>
        <w:t>5</w:t>
      </w:r>
      <w:r w:rsidR="00885969" w:rsidRPr="0090109A">
        <w:rPr>
          <w:sz w:val="26"/>
          <w:szCs w:val="26"/>
        </w:rPr>
        <w:t>. attēls</w:t>
      </w:r>
    </w:p>
    <w:p w:rsidR="00687CB9" w:rsidRPr="0090109A" w:rsidRDefault="00885969" w:rsidP="0077399B">
      <w:pPr>
        <w:spacing w:after="0" w:line="240" w:lineRule="auto"/>
        <w:jc w:val="center"/>
        <w:rPr>
          <w:b/>
          <w:sz w:val="26"/>
          <w:szCs w:val="26"/>
        </w:rPr>
      </w:pPr>
      <w:r w:rsidRPr="0090109A">
        <w:rPr>
          <w:b/>
          <w:sz w:val="26"/>
          <w:szCs w:val="26"/>
        </w:rPr>
        <w:t>ES nozaru izaugsme no 2010</w:t>
      </w:r>
      <w:r w:rsidR="001B7234">
        <w:rPr>
          <w:b/>
          <w:sz w:val="26"/>
          <w:szCs w:val="26"/>
        </w:rPr>
        <w:t>.</w:t>
      </w:r>
      <w:r w:rsidRPr="0090109A">
        <w:rPr>
          <w:b/>
          <w:sz w:val="26"/>
          <w:szCs w:val="26"/>
        </w:rPr>
        <w:t xml:space="preserve"> līdz 2020</w:t>
      </w:r>
      <w:r w:rsidR="001B7234">
        <w:rPr>
          <w:b/>
          <w:sz w:val="26"/>
          <w:szCs w:val="26"/>
        </w:rPr>
        <w:t>.</w:t>
      </w:r>
      <w:r w:rsidRPr="0090109A">
        <w:rPr>
          <w:b/>
          <w:sz w:val="26"/>
          <w:szCs w:val="26"/>
        </w:rPr>
        <w:t>gadam</w:t>
      </w:r>
    </w:p>
    <w:p w:rsidR="00885969" w:rsidRPr="00295D7D" w:rsidRDefault="00885969" w:rsidP="0077399B">
      <w:pPr>
        <w:spacing w:after="0" w:line="240" w:lineRule="auto"/>
        <w:jc w:val="center"/>
        <w:rPr>
          <w:sz w:val="8"/>
          <w:szCs w:val="8"/>
        </w:rPr>
      </w:pPr>
    </w:p>
    <w:tbl>
      <w:tblPr>
        <w:tblStyle w:val="TableGrid"/>
        <w:tblW w:w="0" w:type="auto"/>
        <w:jc w:val="center"/>
        <w:tblInd w:w="-318" w:type="dxa"/>
        <w:tblLayout w:type="fixed"/>
        <w:tblLook w:val="04A0" w:firstRow="1" w:lastRow="0" w:firstColumn="1" w:lastColumn="0" w:noHBand="0" w:noVBand="1"/>
      </w:tblPr>
      <w:tblGrid>
        <w:gridCol w:w="426"/>
        <w:gridCol w:w="426"/>
        <w:gridCol w:w="4110"/>
        <w:gridCol w:w="4253"/>
      </w:tblGrid>
      <w:tr w:rsidR="00885969" w:rsidRPr="0090109A" w:rsidTr="00295D7D">
        <w:trPr>
          <w:jc w:val="center"/>
        </w:trPr>
        <w:tc>
          <w:tcPr>
            <w:tcW w:w="426" w:type="dxa"/>
          </w:tcPr>
          <w:p w:rsidR="00885969" w:rsidRPr="0090109A" w:rsidRDefault="00885969" w:rsidP="0077399B">
            <w:pPr>
              <w:spacing w:after="0" w:line="240" w:lineRule="auto"/>
              <w:jc w:val="both"/>
              <w:rPr>
                <w:sz w:val="26"/>
                <w:szCs w:val="26"/>
              </w:rPr>
            </w:pPr>
          </w:p>
        </w:tc>
        <w:tc>
          <w:tcPr>
            <w:tcW w:w="426" w:type="dxa"/>
          </w:tcPr>
          <w:p w:rsidR="00885969" w:rsidRPr="0090109A" w:rsidRDefault="00885969" w:rsidP="0077399B">
            <w:pPr>
              <w:spacing w:after="0" w:line="240" w:lineRule="auto"/>
              <w:jc w:val="both"/>
              <w:rPr>
                <w:sz w:val="26"/>
                <w:szCs w:val="26"/>
              </w:rPr>
            </w:pPr>
          </w:p>
        </w:tc>
        <w:tc>
          <w:tcPr>
            <w:tcW w:w="8363" w:type="dxa"/>
            <w:gridSpan w:val="2"/>
            <w:vAlign w:val="center"/>
          </w:tcPr>
          <w:p w:rsidR="00885969" w:rsidRPr="0090109A" w:rsidRDefault="00885969" w:rsidP="00295D7D">
            <w:pPr>
              <w:spacing w:after="0" w:line="240" w:lineRule="auto"/>
              <w:ind w:left="113" w:right="113"/>
              <w:jc w:val="center"/>
              <w:rPr>
                <w:b/>
                <w:sz w:val="20"/>
                <w:szCs w:val="20"/>
              </w:rPr>
            </w:pPr>
            <w:r w:rsidRPr="0090109A">
              <w:rPr>
                <w:b/>
                <w:sz w:val="20"/>
                <w:szCs w:val="20"/>
              </w:rPr>
              <w:t>Nenoteiktība par izaugsmes tendencēm</w:t>
            </w:r>
          </w:p>
        </w:tc>
      </w:tr>
      <w:tr w:rsidR="00885969" w:rsidRPr="0090109A" w:rsidTr="00295D7D">
        <w:trPr>
          <w:jc w:val="center"/>
        </w:trPr>
        <w:tc>
          <w:tcPr>
            <w:tcW w:w="426" w:type="dxa"/>
          </w:tcPr>
          <w:p w:rsidR="00885969" w:rsidRPr="0090109A" w:rsidRDefault="00885969" w:rsidP="0077399B">
            <w:pPr>
              <w:spacing w:after="0" w:line="240" w:lineRule="auto"/>
              <w:jc w:val="both"/>
              <w:rPr>
                <w:b/>
                <w:sz w:val="24"/>
              </w:rPr>
            </w:pPr>
          </w:p>
        </w:tc>
        <w:tc>
          <w:tcPr>
            <w:tcW w:w="426" w:type="dxa"/>
          </w:tcPr>
          <w:p w:rsidR="00885969" w:rsidRPr="0090109A" w:rsidRDefault="00885969" w:rsidP="0077399B">
            <w:pPr>
              <w:spacing w:after="0" w:line="240" w:lineRule="auto"/>
              <w:jc w:val="both"/>
              <w:rPr>
                <w:sz w:val="26"/>
                <w:szCs w:val="26"/>
              </w:rPr>
            </w:pPr>
          </w:p>
        </w:tc>
        <w:tc>
          <w:tcPr>
            <w:tcW w:w="4110" w:type="dxa"/>
            <w:vAlign w:val="center"/>
          </w:tcPr>
          <w:p w:rsidR="00885969" w:rsidRPr="0090109A" w:rsidRDefault="00885969" w:rsidP="00295D7D">
            <w:pPr>
              <w:spacing w:after="0" w:line="240" w:lineRule="auto"/>
              <w:ind w:left="113" w:right="113"/>
              <w:jc w:val="center"/>
              <w:rPr>
                <w:b/>
                <w:sz w:val="20"/>
                <w:szCs w:val="20"/>
              </w:rPr>
            </w:pPr>
            <w:r w:rsidRPr="0090109A">
              <w:rPr>
                <w:b/>
                <w:sz w:val="20"/>
                <w:szCs w:val="20"/>
              </w:rPr>
              <w:t>Augsta</w:t>
            </w:r>
          </w:p>
        </w:tc>
        <w:tc>
          <w:tcPr>
            <w:tcW w:w="4253" w:type="dxa"/>
            <w:vAlign w:val="center"/>
          </w:tcPr>
          <w:p w:rsidR="00885969" w:rsidRPr="0090109A" w:rsidRDefault="00885969" w:rsidP="00295D7D">
            <w:pPr>
              <w:spacing w:after="0" w:line="240" w:lineRule="auto"/>
              <w:ind w:left="113" w:right="113"/>
              <w:jc w:val="center"/>
              <w:rPr>
                <w:b/>
                <w:sz w:val="20"/>
                <w:szCs w:val="20"/>
              </w:rPr>
            </w:pPr>
            <w:r w:rsidRPr="0090109A">
              <w:rPr>
                <w:b/>
                <w:sz w:val="20"/>
                <w:szCs w:val="20"/>
              </w:rPr>
              <w:t>Zema</w:t>
            </w:r>
          </w:p>
        </w:tc>
      </w:tr>
      <w:tr w:rsidR="00885969" w:rsidRPr="00466AA5" w:rsidTr="0090109A">
        <w:trPr>
          <w:cantSplit/>
          <w:trHeight w:val="1940"/>
          <w:jc w:val="center"/>
        </w:trPr>
        <w:tc>
          <w:tcPr>
            <w:tcW w:w="426" w:type="dxa"/>
            <w:vMerge w:val="restart"/>
            <w:textDirection w:val="btLr"/>
          </w:tcPr>
          <w:p w:rsidR="00885969" w:rsidRPr="0090109A" w:rsidRDefault="00885969" w:rsidP="0077399B">
            <w:pPr>
              <w:spacing w:after="0" w:line="240" w:lineRule="auto"/>
              <w:ind w:left="113" w:right="113"/>
              <w:jc w:val="center"/>
              <w:rPr>
                <w:b/>
                <w:sz w:val="20"/>
                <w:szCs w:val="20"/>
              </w:rPr>
            </w:pPr>
            <w:r w:rsidRPr="0090109A">
              <w:rPr>
                <w:b/>
                <w:sz w:val="20"/>
                <w:szCs w:val="20"/>
              </w:rPr>
              <w:t>Izaugsme 2010-2020</w:t>
            </w:r>
          </w:p>
        </w:tc>
        <w:tc>
          <w:tcPr>
            <w:tcW w:w="426" w:type="dxa"/>
            <w:textDirection w:val="btLr"/>
          </w:tcPr>
          <w:p w:rsidR="00885969" w:rsidRPr="0090109A" w:rsidRDefault="00885969" w:rsidP="0077399B">
            <w:pPr>
              <w:spacing w:after="0" w:line="240" w:lineRule="auto"/>
              <w:ind w:left="113" w:right="113"/>
              <w:jc w:val="center"/>
              <w:rPr>
                <w:b/>
                <w:sz w:val="20"/>
                <w:szCs w:val="20"/>
              </w:rPr>
            </w:pPr>
            <w:r w:rsidRPr="0090109A">
              <w:rPr>
                <w:b/>
                <w:sz w:val="20"/>
                <w:szCs w:val="20"/>
              </w:rPr>
              <w:t>Strauja</w:t>
            </w:r>
          </w:p>
        </w:tc>
        <w:tc>
          <w:tcPr>
            <w:tcW w:w="4110" w:type="dxa"/>
            <w:shd w:val="clear" w:color="auto" w:fill="auto"/>
          </w:tcPr>
          <w:p w:rsidR="00687CB9" w:rsidRPr="0090109A" w:rsidRDefault="00885969" w:rsidP="00295D7D">
            <w:pPr>
              <w:spacing w:after="0" w:line="240" w:lineRule="auto"/>
              <w:rPr>
                <w:b/>
                <w:sz w:val="20"/>
                <w:szCs w:val="20"/>
              </w:rPr>
            </w:pPr>
            <w:r w:rsidRPr="0090109A">
              <w:rPr>
                <w:b/>
                <w:sz w:val="20"/>
                <w:szCs w:val="20"/>
              </w:rPr>
              <w:t>Nozares, kas ir visjūtīgākās pret biznesa cikliem un ārējiem faktoriem:</w:t>
            </w:r>
          </w:p>
          <w:p w:rsidR="00687CB9" w:rsidRPr="0090109A" w:rsidRDefault="00687CB9" w:rsidP="00295D7D">
            <w:pPr>
              <w:spacing w:after="0" w:line="240" w:lineRule="auto"/>
              <w:rPr>
                <w:b/>
                <w:sz w:val="20"/>
                <w:szCs w:val="20"/>
              </w:rPr>
            </w:pP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 xml:space="preserve">Apstrādes rūpniecība </w:t>
            </w:r>
            <w:r w:rsidRPr="0090109A">
              <w:rPr>
                <w:sz w:val="18"/>
                <w:szCs w:val="18"/>
              </w:rPr>
              <w:t>(farmācija, mašīnbūve)</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Būvniecība</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Viesnīcas un sabiedriskā ēdināšana</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Transports (sauszemes un gaisa)</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Sabiedriskie pakalpojumi</w:t>
            </w:r>
          </w:p>
          <w:p w:rsidR="0088596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Citi komercpakalpojumi (apdrošināšana)</w:t>
            </w:r>
          </w:p>
        </w:tc>
        <w:tc>
          <w:tcPr>
            <w:tcW w:w="4253" w:type="dxa"/>
            <w:shd w:val="clear" w:color="auto" w:fill="auto"/>
          </w:tcPr>
          <w:p w:rsidR="00687CB9" w:rsidRPr="0090109A" w:rsidRDefault="00885969" w:rsidP="00295D7D">
            <w:pPr>
              <w:spacing w:after="0" w:line="240" w:lineRule="auto"/>
              <w:rPr>
                <w:b/>
                <w:sz w:val="20"/>
                <w:szCs w:val="20"/>
              </w:rPr>
            </w:pPr>
            <w:r w:rsidRPr="0090109A">
              <w:rPr>
                <w:b/>
                <w:sz w:val="20"/>
                <w:szCs w:val="20"/>
              </w:rPr>
              <w:t>Nozares, kas paplašināsies neskatoties uz ekonomikas izaugsmes tempu un pieprasījumu:</w:t>
            </w:r>
          </w:p>
          <w:p w:rsidR="00687CB9" w:rsidRPr="0090109A" w:rsidRDefault="00687CB9" w:rsidP="00295D7D">
            <w:pPr>
              <w:spacing w:after="0" w:line="240" w:lineRule="auto"/>
              <w:rPr>
                <w:b/>
                <w:sz w:val="20"/>
                <w:szCs w:val="20"/>
              </w:rPr>
            </w:pP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Mazumtirdzniecība</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Pārējā rūpniecība (ūdens apgāde)</w:t>
            </w:r>
          </w:p>
          <w:p w:rsidR="00687CB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Transports (ūdens transports)</w:t>
            </w:r>
          </w:p>
          <w:p w:rsidR="00885969" w:rsidRPr="0090109A" w:rsidRDefault="00885969" w:rsidP="00295D7D">
            <w:pPr>
              <w:pStyle w:val="ListParagraph"/>
              <w:numPr>
                <w:ilvl w:val="0"/>
                <w:numId w:val="2"/>
              </w:numPr>
              <w:spacing w:after="0" w:line="240" w:lineRule="auto"/>
              <w:ind w:left="357" w:hanging="357"/>
              <w:rPr>
                <w:sz w:val="20"/>
                <w:szCs w:val="20"/>
              </w:rPr>
            </w:pPr>
            <w:r w:rsidRPr="0090109A">
              <w:rPr>
                <w:sz w:val="20"/>
                <w:szCs w:val="20"/>
              </w:rPr>
              <w:t>Citi komercpakalpojumi (profesionālie pakalpojumi, komunikācijas, IT pakalpojumi, bankas un finanses)</w:t>
            </w:r>
          </w:p>
        </w:tc>
      </w:tr>
      <w:tr w:rsidR="00885969" w:rsidRPr="00466AA5" w:rsidTr="0090109A">
        <w:trPr>
          <w:cantSplit/>
          <w:trHeight w:val="1219"/>
          <w:jc w:val="center"/>
        </w:trPr>
        <w:tc>
          <w:tcPr>
            <w:tcW w:w="426" w:type="dxa"/>
            <w:vMerge/>
          </w:tcPr>
          <w:p w:rsidR="00885969" w:rsidRPr="00466AA5" w:rsidRDefault="00885969" w:rsidP="0077399B">
            <w:pPr>
              <w:spacing w:after="0" w:line="240" w:lineRule="auto"/>
              <w:jc w:val="both"/>
              <w:rPr>
                <w:sz w:val="20"/>
                <w:szCs w:val="20"/>
              </w:rPr>
            </w:pPr>
          </w:p>
        </w:tc>
        <w:tc>
          <w:tcPr>
            <w:tcW w:w="426" w:type="dxa"/>
            <w:textDirection w:val="btLr"/>
          </w:tcPr>
          <w:p w:rsidR="00885969" w:rsidRPr="00466AA5" w:rsidRDefault="00885969" w:rsidP="0077399B">
            <w:pPr>
              <w:spacing w:after="0" w:line="240" w:lineRule="auto"/>
              <w:ind w:left="113" w:right="113"/>
              <w:jc w:val="center"/>
              <w:rPr>
                <w:b/>
                <w:sz w:val="20"/>
                <w:szCs w:val="20"/>
              </w:rPr>
            </w:pPr>
            <w:r>
              <w:rPr>
                <w:b/>
                <w:sz w:val="20"/>
                <w:szCs w:val="20"/>
              </w:rPr>
              <w:t>Lēna</w:t>
            </w:r>
          </w:p>
        </w:tc>
        <w:tc>
          <w:tcPr>
            <w:tcW w:w="4110" w:type="dxa"/>
            <w:shd w:val="clear" w:color="auto" w:fill="auto"/>
          </w:tcPr>
          <w:p w:rsidR="00687CB9" w:rsidRDefault="00885969" w:rsidP="00295D7D">
            <w:pPr>
              <w:pStyle w:val="ListParagraph"/>
              <w:numPr>
                <w:ilvl w:val="0"/>
                <w:numId w:val="2"/>
              </w:numPr>
              <w:spacing w:after="0" w:line="240" w:lineRule="auto"/>
              <w:ind w:left="357" w:hanging="357"/>
              <w:rPr>
                <w:sz w:val="20"/>
                <w:szCs w:val="20"/>
              </w:rPr>
            </w:pPr>
            <w:r>
              <w:rPr>
                <w:sz w:val="20"/>
                <w:szCs w:val="20"/>
              </w:rPr>
              <w:t>Apstrādes rūpniecība (n</w:t>
            </w:r>
            <w:r w:rsidRPr="00466AA5">
              <w:rPr>
                <w:sz w:val="20"/>
                <w:szCs w:val="20"/>
              </w:rPr>
              <w:t>afta un gāze</w:t>
            </w:r>
            <w:r>
              <w:rPr>
                <w:sz w:val="20"/>
                <w:szCs w:val="20"/>
              </w:rPr>
              <w:t>, p</w:t>
            </w:r>
            <w:r w:rsidRPr="00820AD5">
              <w:rPr>
                <w:sz w:val="20"/>
                <w:szCs w:val="20"/>
              </w:rPr>
              <w:t>ārtika</w:t>
            </w:r>
            <w:r>
              <w:rPr>
                <w:sz w:val="20"/>
                <w:szCs w:val="20"/>
              </w:rPr>
              <w:t>s ražošana, koka un papīra ražošana</w:t>
            </w:r>
            <w:r w:rsidRPr="00BC1396">
              <w:rPr>
                <w:sz w:val="20"/>
                <w:szCs w:val="20"/>
              </w:rPr>
              <w:t>, poligrāfija, ķ</w:t>
            </w:r>
            <w:r>
              <w:rPr>
                <w:sz w:val="20"/>
                <w:szCs w:val="20"/>
              </w:rPr>
              <w:t>īmiskā rūpniecība</w:t>
            </w:r>
            <w:r w:rsidRPr="00BC1396">
              <w:rPr>
                <w:sz w:val="20"/>
                <w:szCs w:val="20"/>
              </w:rPr>
              <w:t xml:space="preserve">, metāli, ne-metāliskie </w:t>
            </w:r>
            <w:proofErr w:type="spellStart"/>
            <w:r w:rsidRPr="00BC1396">
              <w:rPr>
                <w:sz w:val="20"/>
                <w:szCs w:val="20"/>
              </w:rPr>
              <w:t>min</w:t>
            </w:r>
            <w:r>
              <w:rPr>
                <w:sz w:val="20"/>
                <w:szCs w:val="20"/>
              </w:rPr>
              <w:t>erāl</w:t>
            </w:r>
            <w:r w:rsidRPr="00BC1396">
              <w:rPr>
                <w:sz w:val="20"/>
                <w:szCs w:val="20"/>
              </w:rPr>
              <w:t>produkti</w:t>
            </w:r>
            <w:proofErr w:type="spellEnd"/>
            <w:r>
              <w:rPr>
                <w:sz w:val="20"/>
                <w:szCs w:val="20"/>
              </w:rPr>
              <w:t>)</w:t>
            </w:r>
          </w:p>
          <w:p w:rsidR="00885969" w:rsidRPr="00187613" w:rsidRDefault="00885969" w:rsidP="00295D7D">
            <w:pPr>
              <w:pStyle w:val="ListParagraph"/>
              <w:numPr>
                <w:ilvl w:val="0"/>
                <w:numId w:val="2"/>
              </w:numPr>
              <w:spacing w:after="0" w:line="240" w:lineRule="auto"/>
              <w:ind w:left="357" w:hanging="357"/>
              <w:rPr>
                <w:sz w:val="20"/>
                <w:szCs w:val="20"/>
              </w:rPr>
            </w:pPr>
            <w:r>
              <w:rPr>
                <w:sz w:val="20"/>
                <w:szCs w:val="20"/>
              </w:rPr>
              <w:t>Cita rūpniecība (elektroenerģijas apgāde)</w:t>
            </w:r>
          </w:p>
        </w:tc>
        <w:tc>
          <w:tcPr>
            <w:tcW w:w="4253" w:type="dxa"/>
            <w:shd w:val="clear" w:color="auto" w:fill="auto"/>
          </w:tcPr>
          <w:p w:rsidR="00687CB9" w:rsidRDefault="00885969" w:rsidP="00295D7D">
            <w:pPr>
              <w:pStyle w:val="ListParagraph"/>
              <w:numPr>
                <w:ilvl w:val="0"/>
                <w:numId w:val="2"/>
              </w:numPr>
              <w:spacing w:after="0" w:line="240" w:lineRule="auto"/>
              <w:ind w:left="357" w:hanging="357"/>
              <w:rPr>
                <w:sz w:val="20"/>
                <w:szCs w:val="20"/>
              </w:rPr>
            </w:pPr>
            <w:r w:rsidRPr="00820AD5">
              <w:rPr>
                <w:sz w:val="20"/>
                <w:szCs w:val="20"/>
              </w:rPr>
              <w:t>Lauksaimniecība</w:t>
            </w:r>
          </w:p>
          <w:p w:rsidR="00687CB9" w:rsidRDefault="0090109A" w:rsidP="00295D7D">
            <w:pPr>
              <w:pStyle w:val="ListParagraph"/>
              <w:numPr>
                <w:ilvl w:val="0"/>
                <w:numId w:val="2"/>
              </w:numPr>
              <w:spacing w:after="0" w:line="240" w:lineRule="auto"/>
              <w:ind w:left="357" w:hanging="357"/>
              <w:rPr>
                <w:sz w:val="20"/>
                <w:szCs w:val="20"/>
              </w:rPr>
            </w:pPr>
            <w:r>
              <w:rPr>
                <w:sz w:val="20"/>
                <w:szCs w:val="20"/>
              </w:rPr>
              <w:t>Apstrādes rūpniecība</w:t>
            </w:r>
            <w:r w:rsidR="00885969">
              <w:rPr>
                <w:sz w:val="20"/>
                <w:szCs w:val="20"/>
              </w:rPr>
              <w:t xml:space="preserve"> (t</w:t>
            </w:r>
            <w:r w:rsidR="00885969" w:rsidRPr="00466AA5">
              <w:rPr>
                <w:sz w:val="20"/>
                <w:szCs w:val="20"/>
              </w:rPr>
              <w:t>ekstilrūpniecība</w:t>
            </w:r>
            <w:r w:rsidR="00885969">
              <w:rPr>
                <w:sz w:val="20"/>
                <w:szCs w:val="20"/>
              </w:rPr>
              <w:t>, elek</w:t>
            </w:r>
            <w:r>
              <w:rPr>
                <w:sz w:val="20"/>
                <w:szCs w:val="20"/>
              </w:rPr>
              <w:softHyphen/>
            </w:r>
            <w:r w:rsidR="00885969">
              <w:rPr>
                <w:sz w:val="20"/>
                <w:szCs w:val="20"/>
              </w:rPr>
              <w:t>tronika)</w:t>
            </w:r>
          </w:p>
          <w:p w:rsidR="00687CB9" w:rsidRDefault="00885969" w:rsidP="00295D7D">
            <w:pPr>
              <w:pStyle w:val="ListParagraph"/>
              <w:numPr>
                <w:ilvl w:val="0"/>
                <w:numId w:val="2"/>
              </w:numPr>
              <w:spacing w:after="0" w:line="240" w:lineRule="auto"/>
              <w:ind w:left="357" w:hanging="357"/>
              <w:rPr>
                <w:sz w:val="20"/>
                <w:szCs w:val="20"/>
              </w:rPr>
            </w:pPr>
            <w:r>
              <w:rPr>
                <w:sz w:val="20"/>
                <w:szCs w:val="20"/>
              </w:rPr>
              <w:t>Cita rūpniecība (o</w:t>
            </w:r>
            <w:r w:rsidRPr="00466AA5">
              <w:rPr>
                <w:sz w:val="20"/>
                <w:szCs w:val="20"/>
              </w:rPr>
              <w:t>gļrūpniecība</w:t>
            </w:r>
            <w:r>
              <w:rPr>
                <w:sz w:val="20"/>
                <w:szCs w:val="20"/>
              </w:rPr>
              <w:t xml:space="preserve"> un c</w:t>
            </w:r>
            <w:r w:rsidRPr="00187613">
              <w:rPr>
                <w:sz w:val="20"/>
                <w:szCs w:val="20"/>
              </w:rPr>
              <w:t>ita ieguves rūpniecība</w:t>
            </w:r>
            <w:r>
              <w:rPr>
                <w:sz w:val="20"/>
                <w:szCs w:val="20"/>
              </w:rPr>
              <w:t>, gāzes apgāde)</w:t>
            </w:r>
          </w:p>
          <w:p w:rsidR="00885969" w:rsidRPr="00466AA5" w:rsidRDefault="00885969" w:rsidP="00295D7D">
            <w:pPr>
              <w:pStyle w:val="ListParagraph"/>
              <w:numPr>
                <w:ilvl w:val="0"/>
                <w:numId w:val="2"/>
              </w:numPr>
              <w:spacing w:after="0" w:line="240" w:lineRule="auto"/>
              <w:ind w:left="357" w:hanging="357"/>
              <w:rPr>
                <w:sz w:val="20"/>
                <w:szCs w:val="20"/>
              </w:rPr>
            </w:pPr>
            <w:r w:rsidRPr="00466AA5">
              <w:rPr>
                <w:sz w:val="20"/>
                <w:szCs w:val="20"/>
              </w:rPr>
              <w:t>Valsts pārvalde un aizsardzība</w:t>
            </w:r>
          </w:p>
        </w:tc>
      </w:tr>
    </w:tbl>
    <w:p w:rsidR="00687CB9" w:rsidRDefault="00687CB9" w:rsidP="0077399B">
      <w:pPr>
        <w:spacing w:after="0" w:line="240" w:lineRule="auto"/>
        <w:jc w:val="both"/>
        <w:rPr>
          <w:sz w:val="8"/>
          <w:szCs w:val="24"/>
        </w:rPr>
      </w:pPr>
    </w:p>
    <w:p w:rsidR="00687CB9" w:rsidRPr="005546B4" w:rsidRDefault="00885969" w:rsidP="0077399B">
      <w:pPr>
        <w:spacing w:after="0" w:line="240" w:lineRule="auto"/>
        <w:jc w:val="both"/>
        <w:rPr>
          <w:szCs w:val="24"/>
        </w:rPr>
      </w:pPr>
      <w:r w:rsidRPr="005546B4">
        <w:rPr>
          <w:szCs w:val="24"/>
        </w:rPr>
        <w:t>Avots: CEDEFOP</w:t>
      </w:r>
    </w:p>
    <w:p w:rsidR="00687CB9" w:rsidRDefault="00687CB9" w:rsidP="0077399B">
      <w:pPr>
        <w:spacing w:after="0" w:line="240" w:lineRule="auto"/>
        <w:jc w:val="both"/>
        <w:rPr>
          <w:sz w:val="26"/>
          <w:szCs w:val="26"/>
        </w:rPr>
      </w:pPr>
    </w:p>
    <w:p w:rsidR="00687CB9" w:rsidRDefault="00885969" w:rsidP="0090109A">
      <w:pPr>
        <w:pStyle w:val="ListParagraph"/>
        <w:numPr>
          <w:ilvl w:val="0"/>
          <w:numId w:val="3"/>
        </w:numPr>
        <w:spacing w:after="0" w:line="240" w:lineRule="auto"/>
        <w:ind w:left="993" w:hanging="426"/>
        <w:jc w:val="both"/>
        <w:rPr>
          <w:b/>
          <w:sz w:val="26"/>
          <w:szCs w:val="26"/>
        </w:rPr>
      </w:pPr>
      <w:r w:rsidRPr="00C65795">
        <w:rPr>
          <w:b/>
          <w:sz w:val="26"/>
          <w:szCs w:val="26"/>
        </w:rPr>
        <w:t>Apstrādes rūpniecība un primār</w:t>
      </w:r>
      <w:r>
        <w:rPr>
          <w:b/>
          <w:sz w:val="26"/>
          <w:szCs w:val="26"/>
        </w:rPr>
        <w:t>ais</w:t>
      </w:r>
      <w:r w:rsidRPr="00C65795">
        <w:rPr>
          <w:b/>
          <w:sz w:val="26"/>
          <w:szCs w:val="26"/>
        </w:rPr>
        <w:t xml:space="preserve"> sektor</w:t>
      </w:r>
      <w:r>
        <w:rPr>
          <w:b/>
          <w:sz w:val="26"/>
          <w:szCs w:val="26"/>
        </w:rPr>
        <w:t>s</w:t>
      </w:r>
      <w:r w:rsidRPr="00C65795">
        <w:rPr>
          <w:b/>
          <w:sz w:val="26"/>
          <w:szCs w:val="26"/>
        </w:rPr>
        <w:t xml:space="preserve"> saglabās nozīmīgu vietu ES ekonomikā</w:t>
      </w:r>
      <w:r>
        <w:rPr>
          <w:b/>
          <w:sz w:val="26"/>
          <w:szCs w:val="26"/>
        </w:rPr>
        <w:t>, tomēr nodarbināto skaits šajās nozarēs saruks</w:t>
      </w:r>
    </w:p>
    <w:p w:rsidR="0090109A" w:rsidRPr="0090109A" w:rsidRDefault="0090109A"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C65795">
        <w:rPr>
          <w:sz w:val="26"/>
          <w:szCs w:val="26"/>
        </w:rPr>
        <w:t xml:space="preserve">Salīdzinoši augsti kvalificēts darbaspēks, zemākas darbaspēka izmaksas un infrastruktūras uzlabojumi ir nodrošinājuši atsevišķu dalībvalstu konkurētspēju vairākās apstrādes rūpniecības jomās. Arī Latvijā </w:t>
      </w:r>
      <w:r>
        <w:rPr>
          <w:sz w:val="26"/>
          <w:szCs w:val="26"/>
        </w:rPr>
        <w:t xml:space="preserve">viens no </w:t>
      </w:r>
      <w:r w:rsidRPr="00C65795">
        <w:rPr>
          <w:sz w:val="26"/>
          <w:szCs w:val="26"/>
        </w:rPr>
        <w:t>straujāka</w:t>
      </w:r>
      <w:r>
        <w:rPr>
          <w:sz w:val="26"/>
          <w:szCs w:val="26"/>
        </w:rPr>
        <w:t>jiem</w:t>
      </w:r>
      <w:r w:rsidRPr="00C65795">
        <w:rPr>
          <w:sz w:val="26"/>
          <w:szCs w:val="26"/>
        </w:rPr>
        <w:t xml:space="preserve"> nodarbināto skaita pieaugum</w:t>
      </w:r>
      <w:r>
        <w:rPr>
          <w:sz w:val="26"/>
          <w:szCs w:val="26"/>
        </w:rPr>
        <w:t>iem</w:t>
      </w:r>
      <w:r w:rsidRPr="00C65795">
        <w:rPr>
          <w:sz w:val="26"/>
          <w:szCs w:val="26"/>
        </w:rPr>
        <w:t xml:space="preserve"> ir sagaidāms tieši apstrādes rūpniecībā, kas pašreiz ir galvenais tautsaimniecības izaugsmes virzītājs. Savukārt </w:t>
      </w:r>
      <w:r>
        <w:rPr>
          <w:sz w:val="26"/>
          <w:szCs w:val="26"/>
        </w:rPr>
        <w:t xml:space="preserve"> ES</w:t>
      </w:r>
      <w:r w:rsidRPr="00C65795">
        <w:rPr>
          <w:sz w:val="26"/>
          <w:szCs w:val="26"/>
        </w:rPr>
        <w:t xml:space="preserve"> sagaidāms, ka nodarbināto skaits apstrādes rūpniecībā pat nedaudz saruks. </w:t>
      </w:r>
      <w:r>
        <w:rPr>
          <w:sz w:val="26"/>
          <w:szCs w:val="26"/>
        </w:rPr>
        <w:t xml:space="preserve">ES nodarbināto skaita samazināšanos šajā nozarē nosaka augstais tehnoloģiskais līmenis un ieguldījumi izpētei un attīstībai. </w:t>
      </w:r>
      <w:r w:rsidRPr="00C65795">
        <w:rPr>
          <w:sz w:val="26"/>
          <w:szCs w:val="26"/>
        </w:rPr>
        <w:t>Atšķirībā no ES, Latvijā no visām jaunajām darba vietām</w:t>
      </w:r>
      <w:r>
        <w:rPr>
          <w:sz w:val="26"/>
          <w:szCs w:val="26"/>
        </w:rPr>
        <w:t xml:space="preserve"> (paplašinošais pieprasījums)</w:t>
      </w:r>
      <w:r w:rsidRPr="00C65795">
        <w:rPr>
          <w:sz w:val="26"/>
          <w:szCs w:val="26"/>
        </w:rPr>
        <w:t>, apmēram 24% tiks izveidotas apstrādes rūpniecībā.</w:t>
      </w:r>
    </w:p>
    <w:p w:rsidR="00687CB9" w:rsidRDefault="00885969" w:rsidP="0077399B">
      <w:pPr>
        <w:spacing w:after="0" w:line="240" w:lineRule="auto"/>
        <w:ind w:firstLine="567"/>
        <w:jc w:val="both"/>
        <w:rPr>
          <w:sz w:val="26"/>
          <w:szCs w:val="26"/>
        </w:rPr>
      </w:pPr>
      <w:r>
        <w:rPr>
          <w:sz w:val="26"/>
          <w:szCs w:val="26"/>
        </w:rPr>
        <w:t>A</w:t>
      </w:r>
      <w:r w:rsidRPr="00C65795">
        <w:rPr>
          <w:sz w:val="26"/>
          <w:szCs w:val="26"/>
        </w:rPr>
        <w:t>pstrādes rūpniecība un primārie sektori saglabās nozīmīgu vietu ES ekonomikā un nodrošinās nozīmīgu daudzumu darba vietas pateicot</w:t>
      </w:r>
      <w:r>
        <w:rPr>
          <w:sz w:val="26"/>
          <w:szCs w:val="26"/>
        </w:rPr>
        <w:t>ies aizvietojošam pieprasījumam,</w:t>
      </w:r>
      <w:r w:rsidRPr="00C65795">
        <w:rPr>
          <w:sz w:val="26"/>
          <w:szCs w:val="26"/>
        </w:rPr>
        <w:t xml:space="preserve"> tomēr no 2010</w:t>
      </w:r>
      <w:r>
        <w:rPr>
          <w:sz w:val="26"/>
          <w:szCs w:val="26"/>
        </w:rPr>
        <w:t>.gada</w:t>
      </w:r>
      <w:r w:rsidRPr="00C65795">
        <w:rPr>
          <w:sz w:val="26"/>
          <w:szCs w:val="26"/>
        </w:rPr>
        <w:t xml:space="preserve"> līdz 2020.gadam nodarbināto īpatsvars primārajos sektoros samazināsies. Tas lielā mērā saistīts ar pi</w:t>
      </w:r>
      <w:r>
        <w:rPr>
          <w:sz w:val="26"/>
          <w:szCs w:val="26"/>
        </w:rPr>
        <w:t>eaugošu konkurenci ārpus ES.</w:t>
      </w:r>
      <w:r w:rsidRPr="00C65795">
        <w:rPr>
          <w:sz w:val="26"/>
          <w:szCs w:val="26"/>
        </w:rPr>
        <w:t xml:space="preserve"> </w:t>
      </w:r>
      <w:r>
        <w:rPr>
          <w:sz w:val="26"/>
          <w:szCs w:val="26"/>
        </w:rPr>
        <w:t>Tās ES valstis (piemēram, Čehija, Ungārija, Polija, Slovākija, Latvija), kuras joprojām var piedāvāt salīdzinoši lētu, bet tajā pašā laikā augsti kvalificētu darbaspēku, arī turpmāk var sagaidīt stabilitāti vai pat nodarbinātības piea</w:t>
      </w:r>
      <w:r w:rsidR="00DA6889">
        <w:rPr>
          <w:sz w:val="26"/>
          <w:szCs w:val="26"/>
        </w:rPr>
        <w:t>ugumu apstrādes rūpniecībā.</w:t>
      </w:r>
    </w:p>
    <w:p w:rsidR="00687CB9" w:rsidRDefault="00687CB9" w:rsidP="0077399B">
      <w:pPr>
        <w:spacing w:after="0" w:line="240" w:lineRule="auto"/>
        <w:jc w:val="both"/>
        <w:rPr>
          <w:sz w:val="26"/>
          <w:szCs w:val="26"/>
        </w:rPr>
      </w:pPr>
    </w:p>
    <w:p w:rsidR="00687CB9" w:rsidRDefault="00885969" w:rsidP="0077399B">
      <w:pPr>
        <w:pStyle w:val="ListParagraph"/>
        <w:numPr>
          <w:ilvl w:val="0"/>
          <w:numId w:val="3"/>
        </w:numPr>
        <w:spacing w:after="0" w:line="240" w:lineRule="auto"/>
        <w:ind w:left="993" w:hanging="426"/>
        <w:jc w:val="both"/>
        <w:rPr>
          <w:b/>
          <w:sz w:val="26"/>
          <w:szCs w:val="26"/>
        </w:rPr>
      </w:pPr>
      <w:r w:rsidRPr="00C76001">
        <w:rPr>
          <w:b/>
          <w:sz w:val="26"/>
          <w:szCs w:val="26"/>
        </w:rPr>
        <w:t>Turpināsies orientācija uz pakalpojumiem un zināšanām v</w:t>
      </w:r>
      <w:r w:rsidR="00C12DD4">
        <w:rPr>
          <w:b/>
          <w:sz w:val="26"/>
          <w:szCs w:val="26"/>
        </w:rPr>
        <w:t>ērstu ekonomiku</w:t>
      </w:r>
    </w:p>
    <w:p w:rsidR="0090109A" w:rsidRPr="0090109A" w:rsidRDefault="0090109A"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C76001">
        <w:rPr>
          <w:sz w:val="26"/>
          <w:szCs w:val="26"/>
        </w:rPr>
        <w:t>Globalizācijas un tehnoloģiju attīstības rezultātā, turpināsies orientācija uz pakalpojumiem un zināšanām vērstu ekonomiku.</w:t>
      </w:r>
      <w:r w:rsidRPr="006D0023">
        <w:rPr>
          <w:sz w:val="26"/>
          <w:szCs w:val="26"/>
        </w:rPr>
        <w:t xml:space="preserve"> </w:t>
      </w:r>
      <w:r w:rsidRPr="00FB0A16">
        <w:rPr>
          <w:sz w:val="26"/>
          <w:szCs w:val="26"/>
        </w:rPr>
        <w:t xml:space="preserve">Paredzams, ka tādas pakalpojumu nozares kā tūrisms, veselības aprūpe un IT joprojām nodrošinās lielāko darbavietu pieaugumu </w:t>
      </w:r>
      <w:r>
        <w:rPr>
          <w:sz w:val="26"/>
          <w:szCs w:val="26"/>
        </w:rPr>
        <w:t xml:space="preserve">ES </w:t>
      </w:r>
      <w:r w:rsidRPr="00FB0A16">
        <w:rPr>
          <w:sz w:val="26"/>
          <w:szCs w:val="26"/>
        </w:rPr>
        <w:t>līdz 2020.gadam</w:t>
      </w:r>
      <w:r>
        <w:rPr>
          <w:sz w:val="26"/>
          <w:szCs w:val="26"/>
        </w:rPr>
        <w:t>. Gan Latvijā, gan ES vairāk kā 50% no visām darba iespējām, būs komercpakalpojumu un transporta un sakaru nozarē. Sabiedrisko pakalpojumu nozarē E</w:t>
      </w:r>
      <w:r w:rsidR="00C204DE">
        <w:rPr>
          <w:sz w:val="26"/>
          <w:szCs w:val="26"/>
        </w:rPr>
        <w:t>S līdz 2020.gadam būs pieejamas</w:t>
      </w:r>
      <w:r>
        <w:rPr>
          <w:sz w:val="26"/>
          <w:szCs w:val="26"/>
        </w:rPr>
        <w:t xml:space="preserve"> 22% no visām darba iespējām, </w:t>
      </w:r>
      <w:r>
        <w:rPr>
          <w:sz w:val="26"/>
          <w:szCs w:val="26"/>
        </w:rPr>
        <w:lastRenderedPageBreak/>
        <w:t>savukārt Latvijā tikai 14%, kas lielā mērā skaidrojams ar ievērojamiem nodarbināto skaita samazinājumiem krīzes laikā.</w:t>
      </w:r>
    </w:p>
    <w:p w:rsidR="00687CB9" w:rsidRDefault="0090109A" w:rsidP="0077399B">
      <w:pPr>
        <w:spacing w:after="0" w:line="240" w:lineRule="auto"/>
        <w:ind w:firstLine="567"/>
        <w:jc w:val="right"/>
        <w:rPr>
          <w:sz w:val="26"/>
          <w:szCs w:val="26"/>
        </w:rPr>
      </w:pPr>
      <w:r w:rsidRPr="0090109A">
        <w:rPr>
          <w:sz w:val="26"/>
          <w:szCs w:val="26"/>
        </w:rPr>
        <w:t>3.</w:t>
      </w:r>
      <w:r w:rsidR="00F6144C">
        <w:rPr>
          <w:sz w:val="26"/>
          <w:szCs w:val="26"/>
        </w:rPr>
        <w:t>16</w:t>
      </w:r>
      <w:r w:rsidR="00885969" w:rsidRPr="0090109A">
        <w:rPr>
          <w:sz w:val="26"/>
          <w:szCs w:val="26"/>
        </w:rPr>
        <w:t>.</w:t>
      </w:r>
      <w:r w:rsidRPr="0090109A">
        <w:rPr>
          <w:sz w:val="26"/>
          <w:szCs w:val="26"/>
        </w:rPr>
        <w:t> </w:t>
      </w:r>
      <w:r w:rsidR="00885969" w:rsidRPr="0090109A">
        <w:rPr>
          <w:sz w:val="26"/>
          <w:szCs w:val="26"/>
        </w:rPr>
        <w:t>attēls</w:t>
      </w:r>
    </w:p>
    <w:p w:rsidR="00885969" w:rsidRPr="006E1304" w:rsidRDefault="00885969" w:rsidP="0064633F">
      <w:pPr>
        <w:spacing w:after="60" w:line="240" w:lineRule="auto"/>
        <w:jc w:val="center"/>
        <w:rPr>
          <w:b/>
          <w:sz w:val="26"/>
          <w:szCs w:val="26"/>
        </w:rPr>
      </w:pPr>
      <w:r w:rsidRPr="006E1304">
        <w:rPr>
          <w:b/>
          <w:sz w:val="26"/>
          <w:szCs w:val="26"/>
        </w:rPr>
        <w:t>Kopējās darba iespējas</w:t>
      </w:r>
      <w:r>
        <w:rPr>
          <w:b/>
          <w:sz w:val="26"/>
          <w:szCs w:val="26"/>
        </w:rPr>
        <w:t>*</w:t>
      </w:r>
      <w:r w:rsidRPr="006E1304">
        <w:rPr>
          <w:b/>
          <w:sz w:val="26"/>
          <w:szCs w:val="26"/>
        </w:rPr>
        <w:t xml:space="preserve"> ES un Latvijā pa nozarēm līdz 2020.gadam, %</w:t>
      </w:r>
    </w:p>
    <w:tbl>
      <w:tblPr>
        <w:tblStyle w:val="TableGrid"/>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633"/>
      </w:tblGrid>
      <w:tr w:rsidR="00885969" w:rsidTr="0090109A">
        <w:trPr>
          <w:trHeight w:val="3006"/>
          <w:jc w:val="center"/>
        </w:trPr>
        <w:tc>
          <w:tcPr>
            <w:tcW w:w="4754" w:type="dxa"/>
          </w:tcPr>
          <w:p w:rsidR="00885969" w:rsidRDefault="00885969" w:rsidP="0077399B">
            <w:pPr>
              <w:spacing w:after="0" w:line="240" w:lineRule="auto"/>
              <w:jc w:val="right"/>
              <w:rPr>
                <w:sz w:val="26"/>
                <w:szCs w:val="26"/>
              </w:rPr>
            </w:pPr>
            <w:r>
              <w:rPr>
                <w:noProof/>
                <w:sz w:val="26"/>
                <w:szCs w:val="26"/>
                <w:lang w:eastAsia="lv-LV"/>
              </w:rPr>
              <w:drawing>
                <wp:inline distT="0" distB="0" distL="0" distR="0" wp14:anchorId="78395DD9" wp14:editId="4BD23768">
                  <wp:extent cx="2838616" cy="185265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633" w:type="dxa"/>
          </w:tcPr>
          <w:p w:rsidR="00885969" w:rsidRDefault="00885969" w:rsidP="0077399B">
            <w:pPr>
              <w:spacing w:after="0" w:line="240" w:lineRule="auto"/>
              <w:jc w:val="right"/>
              <w:rPr>
                <w:sz w:val="26"/>
                <w:szCs w:val="26"/>
              </w:rPr>
            </w:pPr>
            <w:r>
              <w:rPr>
                <w:noProof/>
                <w:sz w:val="26"/>
                <w:szCs w:val="26"/>
                <w:lang w:eastAsia="lv-LV"/>
              </w:rPr>
              <w:drawing>
                <wp:inline distT="0" distB="0" distL="0" distR="0" wp14:anchorId="5AA46812" wp14:editId="70396BD4">
                  <wp:extent cx="2767054" cy="1852654"/>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687CB9" w:rsidRDefault="00687CB9" w:rsidP="0077399B">
      <w:pPr>
        <w:spacing w:after="0" w:line="240" w:lineRule="auto"/>
        <w:jc w:val="both"/>
        <w:rPr>
          <w:sz w:val="8"/>
          <w:szCs w:val="24"/>
        </w:rPr>
      </w:pPr>
    </w:p>
    <w:p w:rsidR="00687CB9" w:rsidRDefault="00885969" w:rsidP="0077399B">
      <w:pPr>
        <w:pStyle w:val="ListParagraph"/>
        <w:spacing w:after="0" w:line="240" w:lineRule="auto"/>
        <w:ind w:left="284" w:hanging="284"/>
        <w:jc w:val="both"/>
        <w:rPr>
          <w:sz w:val="20"/>
          <w:szCs w:val="20"/>
        </w:rPr>
      </w:pPr>
      <w:r>
        <w:rPr>
          <w:sz w:val="20"/>
          <w:szCs w:val="20"/>
        </w:rPr>
        <w:t>*</w:t>
      </w:r>
      <w:r w:rsidR="00DA6889">
        <w:rPr>
          <w:sz w:val="20"/>
          <w:szCs w:val="20"/>
        </w:rPr>
        <w:tab/>
      </w:r>
      <w:r w:rsidRPr="00407777">
        <w:rPr>
          <w:sz w:val="20"/>
          <w:szCs w:val="20"/>
        </w:rPr>
        <w:t>Kopējās darba iespējas = paplašinošais pieprasījums</w:t>
      </w:r>
      <w:r>
        <w:rPr>
          <w:sz w:val="20"/>
          <w:szCs w:val="20"/>
        </w:rPr>
        <w:t xml:space="preserve"> (tiek izveidotas jaunas darba vietas) </w:t>
      </w:r>
      <w:r w:rsidRPr="00407777">
        <w:rPr>
          <w:sz w:val="20"/>
          <w:szCs w:val="20"/>
        </w:rPr>
        <w:t>+</w:t>
      </w:r>
      <w:r>
        <w:rPr>
          <w:sz w:val="20"/>
          <w:szCs w:val="20"/>
        </w:rPr>
        <w:t xml:space="preserve"> </w:t>
      </w:r>
      <w:r w:rsidRPr="00407777">
        <w:rPr>
          <w:sz w:val="20"/>
          <w:szCs w:val="20"/>
        </w:rPr>
        <w:t>aizvietojošais pieprasījums</w:t>
      </w:r>
      <w:r>
        <w:rPr>
          <w:sz w:val="20"/>
          <w:szCs w:val="20"/>
        </w:rPr>
        <w:t xml:space="preserve"> (darba vietas atbrīvojas dēļ tā, ka cilvēki pensionējas vai pamet darba tirgu citu iemeslu dēļ)</w:t>
      </w:r>
    </w:p>
    <w:p w:rsidR="0090109A" w:rsidRPr="0090109A" w:rsidRDefault="0090109A" w:rsidP="0090109A">
      <w:pPr>
        <w:spacing w:after="0" w:line="240" w:lineRule="auto"/>
        <w:jc w:val="both"/>
        <w:rPr>
          <w:sz w:val="8"/>
          <w:szCs w:val="24"/>
        </w:rPr>
      </w:pPr>
    </w:p>
    <w:p w:rsidR="0090109A" w:rsidRPr="005777D9" w:rsidRDefault="0090109A" w:rsidP="0090109A">
      <w:pPr>
        <w:spacing w:after="0" w:line="240" w:lineRule="auto"/>
        <w:jc w:val="both"/>
        <w:rPr>
          <w:szCs w:val="24"/>
        </w:rPr>
      </w:pPr>
      <w:r w:rsidRPr="005777D9">
        <w:rPr>
          <w:szCs w:val="24"/>
        </w:rPr>
        <w:t>Avots: CEDEFOP</w:t>
      </w:r>
    </w:p>
    <w:p w:rsidR="00687CB9" w:rsidRDefault="00687CB9" w:rsidP="0077399B">
      <w:pPr>
        <w:spacing w:after="0" w:line="240" w:lineRule="auto"/>
        <w:ind w:firstLine="567"/>
        <w:jc w:val="both"/>
        <w:rPr>
          <w:sz w:val="26"/>
          <w:szCs w:val="26"/>
        </w:rPr>
      </w:pPr>
    </w:p>
    <w:p w:rsidR="00687CB9" w:rsidRDefault="00885969" w:rsidP="0077399B">
      <w:pPr>
        <w:spacing w:after="0" w:line="240" w:lineRule="auto"/>
        <w:ind w:firstLine="567"/>
        <w:jc w:val="both"/>
        <w:rPr>
          <w:sz w:val="26"/>
          <w:szCs w:val="26"/>
        </w:rPr>
      </w:pPr>
      <w:r>
        <w:rPr>
          <w:sz w:val="26"/>
          <w:szCs w:val="26"/>
        </w:rPr>
        <w:t xml:space="preserve">No kopējām darba iespējām gan ES, gan Latvijā apmēram 6-7% būs pieejamas būvniecībā, tomēr atšķirībā no Latvijas, kur no </w:t>
      </w:r>
      <w:r w:rsidRPr="00466AA5">
        <w:rPr>
          <w:sz w:val="26"/>
          <w:szCs w:val="26"/>
        </w:rPr>
        <w:t xml:space="preserve">visām jaunajām darbavietām </w:t>
      </w:r>
      <w:r>
        <w:rPr>
          <w:sz w:val="26"/>
          <w:szCs w:val="26"/>
        </w:rPr>
        <w:t xml:space="preserve">14% izveidosies būvniecībā, ES šajā nozarē darba vietas būs pieejamas tikai dēļ aizvietojošā pieprasījuma </w:t>
      </w:r>
      <w:r w:rsidRPr="00466AA5">
        <w:rPr>
          <w:sz w:val="26"/>
          <w:szCs w:val="26"/>
        </w:rPr>
        <w:t>– nepieciešamība</w:t>
      </w:r>
      <w:r>
        <w:rPr>
          <w:sz w:val="26"/>
          <w:szCs w:val="26"/>
        </w:rPr>
        <w:t>s</w:t>
      </w:r>
      <w:r w:rsidRPr="00466AA5">
        <w:rPr>
          <w:sz w:val="26"/>
          <w:szCs w:val="26"/>
        </w:rPr>
        <w:t xml:space="preserve"> aizvietot cilvēkus, kas pametīs darba tirgu, galvenokārt dēļ pensionēšanās</w:t>
      </w:r>
      <w:r>
        <w:rPr>
          <w:sz w:val="26"/>
          <w:szCs w:val="26"/>
        </w:rPr>
        <w:t>. Līdz ar to ES  jaunas darba vietas šajā nozarē netiks izveidotas, savukārt Latvijā tik liels jaunu darba vietu skaits būvniecībā ir skaidrojams ar apjomīgo samazinājumu krīzes laikā.</w:t>
      </w:r>
    </w:p>
    <w:p w:rsidR="00687CB9" w:rsidRDefault="00687CB9" w:rsidP="0090109A">
      <w:pPr>
        <w:pStyle w:val="ListParagraph"/>
        <w:spacing w:after="0" w:line="240" w:lineRule="auto"/>
        <w:ind w:left="567"/>
        <w:jc w:val="both"/>
        <w:rPr>
          <w:sz w:val="26"/>
          <w:szCs w:val="26"/>
        </w:rPr>
      </w:pPr>
    </w:p>
    <w:p w:rsidR="00687CB9" w:rsidRDefault="00885969" w:rsidP="0090109A">
      <w:pPr>
        <w:pStyle w:val="ListParagraph"/>
        <w:numPr>
          <w:ilvl w:val="0"/>
          <w:numId w:val="3"/>
        </w:numPr>
        <w:spacing w:after="0" w:line="240" w:lineRule="auto"/>
        <w:ind w:left="993" w:hanging="426"/>
        <w:jc w:val="both"/>
        <w:rPr>
          <w:b/>
          <w:sz w:val="26"/>
          <w:szCs w:val="26"/>
        </w:rPr>
      </w:pPr>
      <w:r w:rsidRPr="00802D3D">
        <w:rPr>
          <w:b/>
          <w:sz w:val="26"/>
          <w:szCs w:val="26"/>
        </w:rPr>
        <w:t>Jaunas darba vietas veidosies galvenokārt dēļ aizvietojošā pieprasījuma</w:t>
      </w:r>
    </w:p>
    <w:p w:rsidR="0090109A" w:rsidRPr="0090109A" w:rsidRDefault="0090109A"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Pr>
          <w:sz w:val="26"/>
          <w:szCs w:val="26"/>
        </w:rPr>
        <w:t xml:space="preserve">Lai gan krīzes laikā </w:t>
      </w:r>
      <w:r w:rsidRPr="00466AA5">
        <w:rPr>
          <w:sz w:val="26"/>
          <w:szCs w:val="26"/>
        </w:rPr>
        <w:t>Eiropa zaud</w:t>
      </w:r>
      <w:r>
        <w:rPr>
          <w:sz w:val="26"/>
          <w:szCs w:val="26"/>
        </w:rPr>
        <w:t xml:space="preserve">ēja 5,5 </w:t>
      </w:r>
      <w:proofErr w:type="spellStart"/>
      <w:r>
        <w:rPr>
          <w:sz w:val="26"/>
          <w:szCs w:val="26"/>
        </w:rPr>
        <w:t>milj</w:t>
      </w:r>
      <w:proofErr w:type="spellEnd"/>
      <w:r w:rsidR="001B7234">
        <w:rPr>
          <w:sz w:val="26"/>
          <w:szCs w:val="26"/>
        </w:rPr>
        <w:t>.</w:t>
      </w:r>
      <w:r>
        <w:rPr>
          <w:sz w:val="26"/>
          <w:szCs w:val="26"/>
        </w:rPr>
        <w:t xml:space="preserve"> darba vietas, t</w:t>
      </w:r>
      <w:r w:rsidRPr="00466AA5">
        <w:rPr>
          <w:sz w:val="26"/>
          <w:szCs w:val="26"/>
        </w:rPr>
        <w:t>iek progn</w:t>
      </w:r>
      <w:r>
        <w:rPr>
          <w:sz w:val="26"/>
          <w:szCs w:val="26"/>
        </w:rPr>
        <w:t>ozēts, ka līdz 2020.gadam, ES</w:t>
      </w:r>
      <w:r w:rsidRPr="00466AA5">
        <w:rPr>
          <w:sz w:val="26"/>
          <w:szCs w:val="26"/>
        </w:rPr>
        <w:t xml:space="preserve"> būs apmēram 83 </w:t>
      </w:r>
      <w:proofErr w:type="spellStart"/>
      <w:r w:rsidRPr="00466AA5">
        <w:rPr>
          <w:sz w:val="26"/>
          <w:szCs w:val="26"/>
        </w:rPr>
        <w:t>milj</w:t>
      </w:r>
      <w:proofErr w:type="spellEnd"/>
      <w:r w:rsidR="001B7234">
        <w:rPr>
          <w:sz w:val="26"/>
          <w:szCs w:val="26"/>
        </w:rPr>
        <w:t>.</w:t>
      </w:r>
      <w:r w:rsidRPr="00466AA5">
        <w:rPr>
          <w:sz w:val="26"/>
          <w:szCs w:val="26"/>
        </w:rPr>
        <w:t xml:space="preserve"> da</w:t>
      </w:r>
      <w:r w:rsidR="001E4BA5">
        <w:rPr>
          <w:sz w:val="26"/>
          <w:szCs w:val="26"/>
        </w:rPr>
        <w:t>rba iespēju, no kurām apmēram 8 </w:t>
      </w:r>
      <w:proofErr w:type="spellStart"/>
      <w:r w:rsidRPr="00466AA5">
        <w:rPr>
          <w:sz w:val="26"/>
          <w:szCs w:val="26"/>
        </w:rPr>
        <w:t>milj</w:t>
      </w:r>
      <w:proofErr w:type="spellEnd"/>
      <w:r w:rsidR="001B7234">
        <w:rPr>
          <w:sz w:val="26"/>
          <w:szCs w:val="26"/>
        </w:rPr>
        <w:t>.</w:t>
      </w:r>
      <w:r w:rsidRPr="00466AA5">
        <w:rPr>
          <w:sz w:val="26"/>
          <w:szCs w:val="26"/>
        </w:rPr>
        <w:t xml:space="preserve"> jeb 10% būs no jauna radītas darba vietas (paplašinošais pieprasījums), savukārt 7</w:t>
      </w:r>
      <w:r w:rsidR="001B7234">
        <w:rPr>
          <w:sz w:val="26"/>
          <w:szCs w:val="26"/>
        </w:rPr>
        <w:t>5 </w:t>
      </w:r>
      <w:proofErr w:type="spellStart"/>
      <w:r w:rsidRPr="00466AA5">
        <w:rPr>
          <w:sz w:val="26"/>
          <w:szCs w:val="26"/>
        </w:rPr>
        <w:t>milj</w:t>
      </w:r>
      <w:proofErr w:type="spellEnd"/>
      <w:r w:rsidR="001B7234">
        <w:rPr>
          <w:sz w:val="26"/>
          <w:szCs w:val="26"/>
        </w:rPr>
        <w:t>.</w:t>
      </w:r>
      <w:r w:rsidRPr="00466AA5">
        <w:rPr>
          <w:sz w:val="26"/>
          <w:szCs w:val="26"/>
        </w:rPr>
        <w:t xml:space="preserve"> jeb 90% darba vietas izveidosies dēļ tā, ka cilvēki atstās darba tirgu vai pensionēsies (aizvietojošais pieprasījums). </w:t>
      </w:r>
      <w:r w:rsidRPr="00AF26DF">
        <w:rPr>
          <w:sz w:val="26"/>
          <w:szCs w:val="26"/>
        </w:rPr>
        <w:t>Pensijā dosies pēckara „bērnu buma” paaudze un visās nozarēs un visās profesijās pavērsies jaunas darba iespējas</w:t>
      </w:r>
      <w:r>
        <w:rPr>
          <w:rStyle w:val="FootnoteReference"/>
          <w:sz w:val="26"/>
          <w:szCs w:val="26"/>
        </w:rPr>
        <w:footnoteReference w:id="9"/>
      </w:r>
      <w:r w:rsidRPr="00AF26DF">
        <w:rPr>
          <w:sz w:val="26"/>
          <w:szCs w:val="26"/>
        </w:rPr>
        <w:t>.</w:t>
      </w:r>
    </w:p>
    <w:p w:rsidR="00687CB9" w:rsidRPr="00FE333B" w:rsidRDefault="00687CB9" w:rsidP="0077399B">
      <w:pPr>
        <w:spacing w:after="0" w:line="240" w:lineRule="auto"/>
        <w:ind w:firstLine="567"/>
        <w:jc w:val="right"/>
        <w:rPr>
          <w:sz w:val="16"/>
          <w:szCs w:val="26"/>
          <w:highlight w:val="yellow"/>
        </w:rPr>
      </w:pPr>
    </w:p>
    <w:p w:rsidR="00687CB9" w:rsidRDefault="0090109A" w:rsidP="0077399B">
      <w:pPr>
        <w:spacing w:after="0" w:line="240" w:lineRule="auto"/>
        <w:ind w:firstLine="567"/>
        <w:jc w:val="right"/>
        <w:rPr>
          <w:sz w:val="26"/>
          <w:szCs w:val="26"/>
        </w:rPr>
      </w:pPr>
      <w:r w:rsidRPr="0090109A">
        <w:rPr>
          <w:sz w:val="26"/>
          <w:szCs w:val="26"/>
        </w:rPr>
        <w:t>3.</w:t>
      </w:r>
      <w:r w:rsidR="00F6144C">
        <w:rPr>
          <w:sz w:val="26"/>
          <w:szCs w:val="26"/>
        </w:rPr>
        <w:t>17</w:t>
      </w:r>
      <w:r w:rsidR="00885969" w:rsidRPr="0090109A">
        <w:rPr>
          <w:sz w:val="26"/>
          <w:szCs w:val="26"/>
        </w:rPr>
        <w:t>.</w:t>
      </w:r>
      <w:r w:rsidRPr="0090109A">
        <w:rPr>
          <w:sz w:val="26"/>
          <w:szCs w:val="26"/>
        </w:rPr>
        <w:t> </w:t>
      </w:r>
      <w:r w:rsidR="00885969" w:rsidRPr="0090109A">
        <w:rPr>
          <w:sz w:val="26"/>
          <w:szCs w:val="26"/>
        </w:rPr>
        <w:t>attēls</w:t>
      </w:r>
    </w:p>
    <w:p w:rsidR="00885969" w:rsidRPr="003A62B3" w:rsidRDefault="00885969" w:rsidP="0064633F">
      <w:pPr>
        <w:spacing w:after="60" w:line="240" w:lineRule="auto"/>
        <w:ind w:firstLine="567"/>
        <w:jc w:val="center"/>
        <w:rPr>
          <w:b/>
          <w:sz w:val="24"/>
          <w:szCs w:val="24"/>
        </w:rPr>
      </w:pPr>
      <w:r w:rsidRPr="003A62B3">
        <w:rPr>
          <w:b/>
          <w:sz w:val="24"/>
          <w:szCs w:val="24"/>
        </w:rPr>
        <w:t>Darba iespējas ES un Latvijā līdz 2020.gadam</w:t>
      </w:r>
    </w:p>
    <w:tbl>
      <w:tblPr>
        <w:tblStyle w:val="TableGrid"/>
        <w:tblW w:w="8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54"/>
      </w:tblGrid>
      <w:tr w:rsidR="00885969" w:rsidTr="004B7CE9">
        <w:trPr>
          <w:trHeight w:val="1930"/>
        </w:trPr>
        <w:tc>
          <w:tcPr>
            <w:tcW w:w="4357" w:type="dxa"/>
          </w:tcPr>
          <w:p w:rsidR="00885969" w:rsidRDefault="00885969" w:rsidP="0077399B">
            <w:pPr>
              <w:spacing w:after="0" w:line="240" w:lineRule="auto"/>
              <w:jc w:val="right"/>
              <w:rPr>
                <w:sz w:val="26"/>
                <w:szCs w:val="26"/>
              </w:rPr>
            </w:pPr>
            <w:r w:rsidRPr="00466AA5">
              <w:rPr>
                <w:noProof/>
                <w:sz w:val="26"/>
                <w:szCs w:val="26"/>
                <w:lang w:eastAsia="lv-LV"/>
              </w:rPr>
              <w:drawing>
                <wp:inline distT="0" distB="0" distL="0" distR="0" wp14:anchorId="0CF4CC8A" wp14:editId="265780C3">
                  <wp:extent cx="2708694" cy="161314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444" w:type="dxa"/>
          </w:tcPr>
          <w:p w:rsidR="00885969" w:rsidRDefault="00885969" w:rsidP="0077399B">
            <w:pPr>
              <w:spacing w:after="0" w:line="240" w:lineRule="auto"/>
              <w:jc w:val="right"/>
              <w:rPr>
                <w:sz w:val="26"/>
                <w:szCs w:val="26"/>
              </w:rPr>
            </w:pPr>
            <w:r w:rsidRPr="00466AA5">
              <w:rPr>
                <w:noProof/>
                <w:lang w:eastAsia="lv-LV"/>
              </w:rPr>
              <w:drawing>
                <wp:inline distT="0" distB="0" distL="0" distR="0" wp14:anchorId="05F36CE9" wp14:editId="66A5D416">
                  <wp:extent cx="2691441" cy="1613139"/>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rsidR="00687CB9" w:rsidRDefault="00687CB9" w:rsidP="0077399B">
      <w:pPr>
        <w:spacing w:after="0" w:line="240" w:lineRule="auto"/>
        <w:jc w:val="both"/>
        <w:rPr>
          <w:sz w:val="8"/>
          <w:szCs w:val="24"/>
        </w:rPr>
      </w:pPr>
    </w:p>
    <w:p w:rsidR="00687CB9" w:rsidRPr="005546B4" w:rsidRDefault="00885969" w:rsidP="0077399B">
      <w:pPr>
        <w:spacing w:after="0" w:line="240" w:lineRule="auto"/>
        <w:jc w:val="both"/>
        <w:rPr>
          <w:szCs w:val="24"/>
        </w:rPr>
      </w:pPr>
      <w:r w:rsidRPr="005546B4">
        <w:rPr>
          <w:szCs w:val="24"/>
        </w:rPr>
        <w:t>Avots: CEDEFOP</w:t>
      </w:r>
    </w:p>
    <w:p w:rsidR="00687CB9" w:rsidRDefault="00885969" w:rsidP="0090109A">
      <w:pPr>
        <w:spacing w:after="0" w:line="240" w:lineRule="auto"/>
        <w:ind w:firstLine="567"/>
        <w:jc w:val="both"/>
        <w:rPr>
          <w:sz w:val="26"/>
          <w:szCs w:val="26"/>
        </w:rPr>
      </w:pPr>
      <w:r w:rsidRPr="00466AA5">
        <w:rPr>
          <w:sz w:val="26"/>
          <w:szCs w:val="26"/>
        </w:rPr>
        <w:lastRenderedPageBreak/>
        <w:t xml:space="preserve">Latvijā šajā periodā no visām darba iespējām (347 </w:t>
      </w:r>
      <w:proofErr w:type="spellStart"/>
      <w:r w:rsidRPr="00466AA5">
        <w:rPr>
          <w:sz w:val="26"/>
          <w:szCs w:val="26"/>
        </w:rPr>
        <w:t>tūkst</w:t>
      </w:r>
      <w:proofErr w:type="spellEnd"/>
      <w:r w:rsidRPr="00466AA5">
        <w:rPr>
          <w:sz w:val="26"/>
          <w:szCs w:val="26"/>
        </w:rPr>
        <w:t>.) 23% veidosies dēļ paplašinošā pieprasījuma un 77% dēļ aizvietojošā pieprasījuma.</w:t>
      </w:r>
    </w:p>
    <w:p w:rsidR="00687CB9" w:rsidRDefault="00687CB9" w:rsidP="0077399B">
      <w:pPr>
        <w:spacing w:after="0" w:line="240" w:lineRule="auto"/>
        <w:jc w:val="both"/>
        <w:rPr>
          <w:sz w:val="26"/>
          <w:szCs w:val="26"/>
        </w:rPr>
      </w:pPr>
    </w:p>
    <w:p w:rsidR="00687CB9" w:rsidRDefault="00C17198" w:rsidP="0090109A">
      <w:pPr>
        <w:pStyle w:val="ListParagraph"/>
        <w:numPr>
          <w:ilvl w:val="0"/>
          <w:numId w:val="3"/>
        </w:numPr>
        <w:spacing w:after="0" w:line="240" w:lineRule="auto"/>
        <w:ind w:left="993" w:hanging="426"/>
        <w:jc w:val="both"/>
        <w:rPr>
          <w:b/>
          <w:sz w:val="26"/>
          <w:szCs w:val="26"/>
        </w:rPr>
      </w:pPr>
      <w:r>
        <w:rPr>
          <w:b/>
          <w:sz w:val="26"/>
          <w:szCs w:val="26"/>
        </w:rPr>
        <w:t xml:space="preserve">Augs pieprasījums pēc zināšanu </w:t>
      </w:r>
      <w:r w:rsidR="00885969">
        <w:rPr>
          <w:b/>
          <w:sz w:val="26"/>
          <w:szCs w:val="26"/>
        </w:rPr>
        <w:t>ietilpīgām profesijām</w:t>
      </w:r>
    </w:p>
    <w:p w:rsidR="0090109A" w:rsidRPr="0090109A" w:rsidRDefault="0090109A"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466AA5">
        <w:rPr>
          <w:sz w:val="26"/>
          <w:szCs w:val="26"/>
        </w:rPr>
        <w:t xml:space="preserve">Nozaru attīstība atspoguļosies </w:t>
      </w:r>
      <w:r w:rsidRPr="006C069E">
        <w:rPr>
          <w:sz w:val="26"/>
          <w:szCs w:val="26"/>
        </w:rPr>
        <w:t xml:space="preserve">profesiju </w:t>
      </w:r>
      <w:r w:rsidRPr="00466AA5">
        <w:rPr>
          <w:sz w:val="26"/>
          <w:szCs w:val="26"/>
        </w:rPr>
        <w:t>struktūras izm</w:t>
      </w:r>
      <w:r w:rsidR="001E4BA5">
        <w:rPr>
          <w:sz w:val="26"/>
          <w:szCs w:val="26"/>
        </w:rPr>
        <w:t xml:space="preserve">aiņās. Saskaņā ar pieprasījuma </w:t>
      </w:r>
      <w:r w:rsidRPr="00466AA5">
        <w:rPr>
          <w:sz w:val="26"/>
          <w:szCs w:val="26"/>
        </w:rPr>
        <w:t xml:space="preserve">prognozi, jaunas darba vietas izveidosies visās profesijās, pat tajās kurās nodarbināto īpatsvars ir ilgstoši </w:t>
      </w:r>
      <w:r>
        <w:rPr>
          <w:sz w:val="26"/>
          <w:szCs w:val="26"/>
        </w:rPr>
        <w:t>samazinājies</w:t>
      </w:r>
      <w:r w:rsidRPr="00466AA5">
        <w:rPr>
          <w:sz w:val="26"/>
          <w:szCs w:val="26"/>
        </w:rPr>
        <w:t>. To galvenokārt notei</w:t>
      </w:r>
      <w:r>
        <w:rPr>
          <w:sz w:val="26"/>
          <w:szCs w:val="26"/>
        </w:rPr>
        <w:t xml:space="preserve">ks aizvietojošais pieprasījums. </w:t>
      </w:r>
      <w:r w:rsidR="00C17198">
        <w:rPr>
          <w:sz w:val="26"/>
          <w:szCs w:val="26"/>
        </w:rPr>
        <w:t xml:space="preserve">Vairāk pieprasītas būs zināšanu </w:t>
      </w:r>
      <w:r w:rsidRPr="00466AA5">
        <w:rPr>
          <w:sz w:val="26"/>
          <w:szCs w:val="26"/>
        </w:rPr>
        <w:t>ietilpīgās profesijas, savukārt piepra</w:t>
      </w:r>
      <w:r w:rsidR="001E4BA5">
        <w:rPr>
          <w:sz w:val="26"/>
          <w:szCs w:val="26"/>
        </w:rPr>
        <w:softHyphen/>
      </w:r>
      <w:r w:rsidRPr="00466AA5">
        <w:rPr>
          <w:sz w:val="26"/>
          <w:szCs w:val="26"/>
        </w:rPr>
        <w:t xml:space="preserve">sījums pēc roku darba un rutīnas darba </w:t>
      </w:r>
      <w:r>
        <w:rPr>
          <w:sz w:val="26"/>
          <w:szCs w:val="26"/>
        </w:rPr>
        <w:t>veicējiem</w:t>
      </w:r>
      <w:r w:rsidR="001E4BA5">
        <w:rPr>
          <w:sz w:val="26"/>
          <w:szCs w:val="26"/>
        </w:rPr>
        <w:t xml:space="preserve"> samazināsies. </w:t>
      </w:r>
      <w:r>
        <w:rPr>
          <w:sz w:val="26"/>
          <w:szCs w:val="26"/>
        </w:rPr>
        <w:t>Gan ES</w:t>
      </w:r>
      <w:r w:rsidRPr="00466AA5">
        <w:rPr>
          <w:sz w:val="26"/>
          <w:szCs w:val="26"/>
        </w:rPr>
        <w:t>, gan Latvijā vispieprasītākās profesijas līdz 2020.gadam būs dažādi speciālisti</w:t>
      </w:r>
      <w:r>
        <w:rPr>
          <w:sz w:val="26"/>
          <w:szCs w:val="26"/>
        </w:rPr>
        <w:t xml:space="preserve"> (fizikas, matemātikas, IT jomas, inženierzinātņu un citu jomu speciālisti).</w:t>
      </w:r>
      <w:r w:rsidRPr="00466AA5">
        <w:rPr>
          <w:sz w:val="26"/>
          <w:szCs w:val="26"/>
        </w:rPr>
        <w:t xml:space="preserve"> Tiek prognozēts, ka š</w:t>
      </w:r>
      <w:r>
        <w:rPr>
          <w:sz w:val="26"/>
          <w:szCs w:val="26"/>
        </w:rPr>
        <w:t>ajās grupā</w:t>
      </w:r>
      <w:r w:rsidRPr="00466AA5">
        <w:rPr>
          <w:sz w:val="26"/>
          <w:szCs w:val="26"/>
        </w:rPr>
        <w:t>s veid</w:t>
      </w:r>
      <w:r>
        <w:rPr>
          <w:sz w:val="26"/>
          <w:szCs w:val="26"/>
        </w:rPr>
        <w:t>osie</w:t>
      </w:r>
      <w:r w:rsidRPr="00466AA5">
        <w:rPr>
          <w:sz w:val="26"/>
          <w:szCs w:val="26"/>
        </w:rPr>
        <w:t xml:space="preserve">s apmēram </w:t>
      </w:r>
      <w:r>
        <w:rPr>
          <w:sz w:val="26"/>
          <w:szCs w:val="26"/>
        </w:rPr>
        <w:t>75</w:t>
      </w:r>
      <w:r w:rsidRPr="00466AA5">
        <w:rPr>
          <w:sz w:val="26"/>
          <w:szCs w:val="26"/>
        </w:rPr>
        <w:t>% no kopējām darba iespējām.</w:t>
      </w:r>
    </w:p>
    <w:p w:rsidR="00687CB9" w:rsidRDefault="00DB2CA4" w:rsidP="0077399B">
      <w:pPr>
        <w:spacing w:after="0" w:line="240" w:lineRule="auto"/>
        <w:ind w:firstLine="567"/>
        <w:jc w:val="right"/>
        <w:rPr>
          <w:sz w:val="26"/>
          <w:szCs w:val="26"/>
        </w:rPr>
      </w:pPr>
      <w:r w:rsidRPr="00DB2CA4">
        <w:rPr>
          <w:sz w:val="26"/>
          <w:szCs w:val="26"/>
        </w:rPr>
        <w:t>3.</w:t>
      </w:r>
      <w:r w:rsidR="00F6144C">
        <w:rPr>
          <w:sz w:val="26"/>
          <w:szCs w:val="26"/>
        </w:rPr>
        <w:t>18</w:t>
      </w:r>
      <w:r w:rsidR="00885969" w:rsidRPr="00DB2CA4">
        <w:rPr>
          <w:sz w:val="26"/>
          <w:szCs w:val="26"/>
        </w:rPr>
        <w:t>. attēls</w:t>
      </w:r>
    </w:p>
    <w:p w:rsidR="00687CB9" w:rsidRDefault="00885969" w:rsidP="0077399B">
      <w:pPr>
        <w:spacing w:after="0" w:line="240" w:lineRule="auto"/>
        <w:jc w:val="center"/>
        <w:rPr>
          <w:b/>
          <w:sz w:val="26"/>
          <w:szCs w:val="26"/>
        </w:rPr>
      </w:pPr>
      <w:r w:rsidRPr="00466AA5">
        <w:rPr>
          <w:b/>
          <w:sz w:val="26"/>
          <w:szCs w:val="26"/>
        </w:rPr>
        <w:t>V</w:t>
      </w:r>
      <w:r>
        <w:rPr>
          <w:b/>
          <w:sz w:val="26"/>
          <w:szCs w:val="26"/>
        </w:rPr>
        <w:t>ispieprasītākās profesiju grupas ES</w:t>
      </w:r>
      <w:r w:rsidRPr="00466AA5">
        <w:rPr>
          <w:b/>
          <w:sz w:val="26"/>
          <w:szCs w:val="26"/>
        </w:rPr>
        <w:t xml:space="preserve"> līdz 2020.gadam </w:t>
      </w:r>
      <w:r w:rsidRPr="00F6144C">
        <w:rPr>
          <w:sz w:val="26"/>
          <w:szCs w:val="26"/>
        </w:rPr>
        <w:t>(</w:t>
      </w:r>
      <w:proofErr w:type="spellStart"/>
      <w:r w:rsidRPr="00F6144C">
        <w:rPr>
          <w:sz w:val="26"/>
          <w:szCs w:val="26"/>
        </w:rPr>
        <w:t>milj</w:t>
      </w:r>
      <w:proofErr w:type="spellEnd"/>
      <w:r w:rsidRPr="00F6144C">
        <w:rPr>
          <w:sz w:val="26"/>
          <w:szCs w:val="26"/>
        </w:rPr>
        <w:t>.)</w:t>
      </w:r>
    </w:p>
    <w:p w:rsidR="00885969" w:rsidRPr="00DA6889" w:rsidRDefault="00885969" w:rsidP="0077399B">
      <w:pPr>
        <w:spacing w:after="0" w:line="240" w:lineRule="auto"/>
        <w:jc w:val="center"/>
        <w:rPr>
          <w:sz w:val="8"/>
          <w:szCs w:val="8"/>
        </w:rPr>
      </w:pPr>
    </w:p>
    <w:tbl>
      <w:tblPr>
        <w:tblStyle w:val="LightShading-Accent4"/>
        <w:tblW w:w="9305" w:type="dxa"/>
        <w:tblLayout w:type="fixed"/>
        <w:tblLook w:val="04A0" w:firstRow="1" w:lastRow="0" w:firstColumn="1" w:lastColumn="0" w:noHBand="0" w:noVBand="1"/>
      </w:tblPr>
      <w:tblGrid>
        <w:gridCol w:w="5202"/>
        <w:gridCol w:w="1367"/>
        <w:gridCol w:w="1368"/>
        <w:gridCol w:w="1368"/>
      </w:tblGrid>
      <w:tr w:rsidR="0090109A" w:rsidRPr="0090109A" w:rsidTr="001E4BA5">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02" w:type="dxa"/>
            <w:vMerge w:val="restart"/>
            <w:shd w:val="clear" w:color="auto" w:fill="E5DFEC" w:themeFill="accent4" w:themeFillTint="33"/>
          </w:tcPr>
          <w:p w:rsidR="00885969" w:rsidRPr="0090109A" w:rsidRDefault="00885969" w:rsidP="0090109A">
            <w:pPr>
              <w:numPr>
                <w:ilvl w:val="12"/>
                <w:numId w:val="0"/>
              </w:numPr>
              <w:spacing w:before="40" w:after="40" w:line="240" w:lineRule="auto"/>
              <w:ind w:firstLine="142"/>
              <w:jc w:val="center"/>
              <w:rPr>
                <w:b w:val="0"/>
                <w:color w:val="000000" w:themeColor="text1"/>
                <w:sz w:val="20"/>
                <w:szCs w:val="20"/>
              </w:rPr>
            </w:pPr>
          </w:p>
        </w:tc>
        <w:tc>
          <w:tcPr>
            <w:tcW w:w="1367" w:type="dxa"/>
            <w:vMerge w:val="restart"/>
            <w:shd w:val="clear" w:color="auto" w:fill="E5DFEC" w:themeFill="accent4" w:themeFillTint="33"/>
            <w:vAlign w:val="center"/>
          </w:tcPr>
          <w:p w:rsidR="00885969" w:rsidRPr="0090109A" w:rsidRDefault="00885969" w:rsidP="00DB2CA4">
            <w:pPr>
              <w:numPr>
                <w:ilvl w:val="12"/>
                <w:numId w:val="0"/>
              </w:num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Paplašinošais pieprasījums</w:t>
            </w:r>
          </w:p>
        </w:tc>
        <w:tc>
          <w:tcPr>
            <w:tcW w:w="1368" w:type="dxa"/>
            <w:vMerge w:val="restart"/>
            <w:shd w:val="clear" w:color="auto" w:fill="E5DFEC" w:themeFill="accent4" w:themeFillTint="33"/>
            <w:vAlign w:val="center"/>
          </w:tcPr>
          <w:p w:rsidR="00885969" w:rsidRPr="0090109A" w:rsidRDefault="00885969" w:rsidP="00DB2CA4">
            <w:pPr>
              <w:numPr>
                <w:ilvl w:val="12"/>
                <w:numId w:val="0"/>
              </w:num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Aizvieto</w:t>
            </w:r>
            <w:r w:rsidR="00DA6889" w:rsidRPr="0090109A">
              <w:rPr>
                <w:color w:val="000000" w:themeColor="text1"/>
                <w:sz w:val="20"/>
              </w:rPr>
              <w:softHyphen/>
            </w:r>
            <w:r w:rsidRPr="0090109A">
              <w:rPr>
                <w:color w:val="000000" w:themeColor="text1"/>
                <w:sz w:val="20"/>
              </w:rPr>
              <w:t>jošais pie</w:t>
            </w:r>
            <w:r w:rsidR="00DA6889" w:rsidRPr="0090109A">
              <w:rPr>
                <w:color w:val="000000" w:themeColor="text1"/>
                <w:sz w:val="20"/>
              </w:rPr>
              <w:softHyphen/>
            </w:r>
            <w:r w:rsidRPr="0090109A">
              <w:rPr>
                <w:color w:val="000000" w:themeColor="text1"/>
                <w:sz w:val="20"/>
              </w:rPr>
              <w:t>prasījums</w:t>
            </w:r>
          </w:p>
        </w:tc>
        <w:tc>
          <w:tcPr>
            <w:tcW w:w="1368" w:type="dxa"/>
            <w:vMerge w:val="restart"/>
            <w:shd w:val="clear" w:color="auto" w:fill="E5DFEC" w:themeFill="accent4" w:themeFillTint="33"/>
            <w:vAlign w:val="center"/>
          </w:tcPr>
          <w:p w:rsidR="00885969" w:rsidRPr="0090109A" w:rsidRDefault="00885969" w:rsidP="00DB2CA4">
            <w:pPr>
              <w:numPr>
                <w:ilvl w:val="12"/>
                <w:numId w:val="0"/>
              </w:num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Kopējās darba iespējas</w:t>
            </w:r>
          </w:p>
        </w:tc>
      </w:tr>
      <w:tr w:rsidR="0090109A" w:rsidRPr="0090109A" w:rsidTr="001E4B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02" w:type="dxa"/>
            <w:vMerge/>
            <w:tcBorders>
              <w:top w:val="nil"/>
              <w:bottom w:val="single" w:sz="8" w:space="0" w:color="8064A2" w:themeColor="accent4"/>
            </w:tcBorders>
            <w:shd w:val="clear" w:color="auto" w:fill="E5DFEC" w:themeFill="accent4" w:themeFillTint="33"/>
          </w:tcPr>
          <w:p w:rsidR="00885969" w:rsidRPr="0090109A" w:rsidRDefault="00885969" w:rsidP="0090109A">
            <w:pPr>
              <w:spacing w:before="40" w:after="40" w:line="240" w:lineRule="auto"/>
              <w:jc w:val="both"/>
              <w:rPr>
                <w:color w:val="000000" w:themeColor="text1"/>
                <w:sz w:val="20"/>
                <w:szCs w:val="26"/>
              </w:rPr>
            </w:pPr>
          </w:p>
        </w:tc>
        <w:tc>
          <w:tcPr>
            <w:tcW w:w="1367" w:type="dxa"/>
            <w:vMerge/>
            <w:tcBorders>
              <w:top w:val="nil"/>
              <w:bottom w:val="single" w:sz="8" w:space="0" w:color="8064A2" w:themeColor="accent4"/>
            </w:tcBorders>
            <w:shd w:val="clear" w:color="auto" w:fill="E5DFEC" w:themeFill="accent4" w:themeFillTint="33"/>
          </w:tcPr>
          <w:p w:rsidR="00885969" w:rsidRPr="0090109A" w:rsidRDefault="00885969" w:rsidP="009010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6"/>
              </w:rPr>
            </w:pPr>
          </w:p>
        </w:tc>
        <w:tc>
          <w:tcPr>
            <w:tcW w:w="1368" w:type="dxa"/>
            <w:vMerge/>
            <w:tcBorders>
              <w:top w:val="nil"/>
              <w:bottom w:val="single" w:sz="8" w:space="0" w:color="8064A2" w:themeColor="accent4"/>
            </w:tcBorders>
            <w:shd w:val="clear" w:color="auto" w:fill="E5DFEC" w:themeFill="accent4" w:themeFillTint="33"/>
          </w:tcPr>
          <w:p w:rsidR="00885969" w:rsidRPr="0090109A" w:rsidRDefault="00885969" w:rsidP="009010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6"/>
              </w:rPr>
            </w:pPr>
          </w:p>
        </w:tc>
        <w:tc>
          <w:tcPr>
            <w:tcW w:w="1368" w:type="dxa"/>
            <w:vMerge/>
            <w:tcBorders>
              <w:top w:val="nil"/>
              <w:bottom w:val="single" w:sz="8" w:space="0" w:color="8064A2" w:themeColor="accent4"/>
            </w:tcBorders>
            <w:shd w:val="clear" w:color="auto" w:fill="E5DFEC" w:themeFill="accent4" w:themeFillTint="33"/>
          </w:tcPr>
          <w:p w:rsidR="00885969" w:rsidRPr="0090109A" w:rsidRDefault="00885969" w:rsidP="009010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6"/>
              </w:rPr>
            </w:pPr>
          </w:p>
        </w:tc>
      </w:tr>
      <w:tr w:rsidR="0090109A" w:rsidRPr="0090109A" w:rsidTr="001E4BA5">
        <w:trPr>
          <w:trHeight w:val="44"/>
        </w:trPr>
        <w:tc>
          <w:tcPr>
            <w:cnfStyle w:val="001000000000" w:firstRow="0" w:lastRow="0" w:firstColumn="1" w:lastColumn="0" w:oddVBand="0" w:evenVBand="0" w:oddHBand="0" w:evenHBand="0" w:firstRowFirstColumn="0" w:firstRowLastColumn="0" w:lastRowFirstColumn="0" w:lastRowLastColumn="0"/>
            <w:tcW w:w="5202" w:type="dxa"/>
            <w:tcBorders>
              <w:top w:val="single" w:sz="8" w:space="0" w:color="8064A2" w:themeColor="accent4"/>
            </w:tcBorders>
          </w:tcPr>
          <w:p w:rsidR="00885969" w:rsidRPr="0090109A" w:rsidRDefault="00885969" w:rsidP="0090109A">
            <w:pPr>
              <w:pStyle w:val="NoSpacing"/>
              <w:spacing w:before="40" w:after="40"/>
              <w:rPr>
                <w:b w:val="0"/>
                <w:color w:val="000000" w:themeColor="text1"/>
                <w:sz w:val="20"/>
                <w:lang w:eastAsia="lv-LV"/>
              </w:rPr>
            </w:pPr>
            <w:r w:rsidRPr="0090109A">
              <w:rPr>
                <w:b w:val="0"/>
                <w:color w:val="000000" w:themeColor="text1"/>
                <w:sz w:val="20"/>
                <w:lang w:eastAsia="lv-LV"/>
              </w:rPr>
              <w:t>Likumd</w:t>
            </w:r>
            <w:r w:rsidR="005546B4">
              <w:rPr>
                <w:b w:val="0"/>
                <w:color w:val="000000" w:themeColor="text1"/>
                <w:sz w:val="20"/>
                <w:lang w:eastAsia="lv-LV"/>
              </w:rPr>
              <w:t>evēji, amatpersonas un vadītāji</w:t>
            </w:r>
            <w:r w:rsidRPr="0090109A">
              <w:rPr>
                <w:b w:val="0"/>
                <w:color w:val="000000" w:themeColor="text1"/>
                <w:sz w:val="20"/>
                <w:lang w:eastAsia="lv-LV"/>
              </w:rPr>
              <w:t xml:space="preserve"> (struktūrvienību vadītāji)</w:t>
            </w:r>
          </w:p>
        </w:tc>
        <w:tc>
          <w:tcPr>
            <w:tcW w:w="1367" w:type="dxa"/>
            <w:tcBorders>
              <w:top w:val="single" w:sz="8" w:space="0" w:color="8064A2" w:themeColor="accent4"/>
            </w:tcBorders>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1,6</w:t>
            </w:r>
          </w:p>
        </w:tc>
        <w:tc>
          <w:tcPr>
            <w:tcW w:w="1368" w:type="dxa"/>
            <w:tcBorders>
              <w:top w:val="single" w:sz="8" w:space="0" w:color="8064A2" w:themeColor="accent4"/>
            </w:tcBorders>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8,5</w:t>
            </w:r>
          </w:p>
        </w:tc>
        <w:tc>
          <w:tcPr>
            <w:tcW w:w="1368" w:type="dxa"/>
            <w:tcBorders>
              <w:top w:val="single" w:sz="8" w:space="0" w:color="8064A2" w:themeColor="accent4"/>
            </w:tcBorders>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lang w:eastAsia="lv-LV"/>
              </w:rPr>
              <w:t>10,1</w:t>
            </w:r>
          </w:p>
        </w:tc>
      </w:tr>
      <w:tr w:rsidR="0090109A" w:rsidRPr="0090109A" w:rsidTr="0090109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202" w:type="dxa"/>
            <w:shd w:val="clear" w:color="auto" w:fill="E5DFEC" w:themeFill="accent4" w:themeFillTint="33"/>
          </w:tcPr>
          <w:p w:rsidR="00885969" w:rsidRPr="0090109A" w:rsidRDefault="00885969" w:rsidP="0090109A">
            <w:pPr>
              <w:pStyle w:val="NoSpacing"/>
              <w:spacing w:before="40" w:after="40"/>
              <w:rPr>
                <w:b w:val="0"/>
                <w:color w:val="000000" w:themeColor="text1"/>
                <w:sz w:val="20"/>
              </w:rPr>
            </w:pPr>
            <w:r w:rsidRPr="0090109A">
              <w:rPr>
                <w:b w:val="0"/>
                <w:color w:val="000000" w:themeColor="text1"/>
                <w:sz w:val="20"/>
                <w:lang w:eastAsia="lv-LV"/>
              </w:rPr>
              <w:t xml:space="preserve">Vecākie speciālisti (fizikas, matemātikas, inženierzinātņu </w:t>
            </w:r>
            <w:r w:rsidR="001E4BA5">
              <w:rPr>
                <w:b w:val="0"/>
                <w:color w:val="000000" w:themeColor="text1"/>
                <w:sz w:val="20"/>
                <w:lang w:eastAsia="lv-LV"/>
              </w:rPr>
              <w:br/>
            </w:r>
            <w:r w:rsidRPr="0090109A">
              <w:rPr>
                <w:b w:val="0"/>
                <w:color w:val="000000" w:themeColor="text1"/>
                <w:sz w:val="20"/>
                <w:lang w:eastAsia="lv-LV"/>
              </w:rPr>
              <w:t>un citi speciālisti)</w:t>
            </w:r>
          </w:p>
        </w:tc>
        <w:tc>
          <w:tcPr>
            <w:tcW w:w="1367"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rPr>
              <w:t>2,5</w:t>
            </w:r>
          </w:p>
        </w:tc>
        <w:tc>
          <w:tcPr>
            <w:tcW w:w="1368"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rPr>
              <w:t>11,6</w:t>
            </w:r>
          </w:p>
        </w:tc>
        <w:tc>
          <w:tcPr>
            <w:tcW w:w="1368"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lang w:eastAsia="lv-LV"/>
              </w:rPr>
              <w:t>14,1</w:t>
            </w:r>
          </w:p>
        </w:tc>
      </w:tr>
      <w:tr w:rsidR="0090109A" w:rsidRPr="0090109A" w:rsidTr="0090109A">
        <w:trPr>
          <w:trHeight w:val="44"/>
        </w:trPr>
        <w:tc>
          <w:tcPr>
            <w:cnfStyle w:val="001000000000" w:firstRow="0" w:lastRow="0" w:firstColumn="1" w:lastColumn="0" w:oddVBand="0" w:evenVBand="0" w:oddHBand="0" w:evenHBand="0" w:firstRowFirstColumn="0" w:firstRowLastColumn="0" w:lastRowFirstColumn="0" w:lastRowLastColumn="0"/>
            <w:tcW w:w="5202" w:type="dxa"/>
          </w:tcPr>
          <w:p w:rsidR="00885969" w:rsidRPr="0090109A" w:rsidRDefault="00885969" w:rsidP="0090109A">
            <w:pPr>
              <w:pStyle w:val="NoSpacing"/>
              <w:spacing w:before="40" w:after="40"/>
              <w:rPr>
                <w:b w:val="0"/>
                <w:color w:val="000000" w:themeColor="text1"/>
                <w:sz w:val="20"/>
              </w:rPr>
            </w:pPr>
            <w:r w:rsidRPr="0090109A">
              <w:rPr>
                <w:b w:val="0"/>
                <w:color w:val="000000" w:themeColor="text1"/>
                <w:sz w:val="20"/>
                <w:lang w:eastAsia="lv-LV"/>
              </w:rPr>
              <w:t xml:space="preserve">Speciālisti (zinātnes un inženierzinātņu speciālisti, </w:t>
            </w:r>
            <w:r w:rsidR="001E4BA5">
              <w:rPr>
                <w:b w:val="0"/>
                <w:color w:val="000000" w:themeColor="text1"/>
                <w:sz w:val="20"/>
                <w:lang w:eastAsia="lv-LV"/>
              </w:rPr>
              <w:br/>
            </w:r>
            <w:r w:rsidRPr="0090109A">
              <w:rPr>
                <w:b w:val="0"/>
                <w:color w:val="000000" w:themeColor="text1"/>
                <w:sz w:val="20"/>
                <w:lang w:eastAsia="lv-LV"/>
              </w:rPr>
              <w:t>veselības aprūpes speciālisti, IT speciālisti)</w:t>
            </w:r>
          </w:p>
        </w:tc>
        <w:tc>
          <w:tcPr>
            <w:tcW w:w="1367"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4,8</w:t>
            </w:r>
          </w:p>
        </w:tc>
        <w:tc>
          <w:tcPr>
            <w:tcW w:w="1368"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10,6</w:t>
            </w:r>
          </w:p>
        </w:tc>
        <w:tc>
          <w:tcPr>
            <w:tcW w:w="1368"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lang w:eastAsia="lv-LV"/>
              </w:rPr>
              <w:t>15,4</w:t>
            </w:r>
          </w:p>
        </w:tc>
      </w:tr>
      <w:tr w:rsidR="0090109A" w:rsidRPr="0090109A" w:rsidTr="0090109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202" w:type="dxa"/>
            <w:shd w:val="clear" w:color="auto" w:fill="E5DFEC" w:themeFill="accent4" w:themeFillTint="33"/>
          </w:tcPr>
          <w:p w:rsidR="00885969" w:rsidRPr="0090109A" w:rsidRDefault="00885969" w:rsidP="0090109A">
            <w:pPr>
              <w:pStyle w:val="NoSpacing"/>
              <w:spacing w:before="40" w:after="40"/>
              <w:rPr>
                <w:b w:val="0"/>
                <w:color w:val="000000" w:themeColor="text1"/>
                <w:sz w:val="20"/>
              </w:rPr>
            </w:pPr>
            <w:r w:rsidRPr="0090109A">
              <w:rPr>
                <w:b w:val="0"/>
                <w:color w:val="000000" w:themeColor="text1"/>
                <w:sz w:val="20"/>
                <w:lang w:eastAsia="lv-LV"/>
              </w:rPr>
              <w:t>Pakalpojumu un tirdzniecības jomu darbinieki</w:t>
            </w:r>
          </w:p>
        </w:tc>
        <w:tc>
          <w:tcPr>
            <w:tcW w:w="1367"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rPr>
              <w:t>1,0</w:t>
            </w:r>
          </w:p>
        </w:tc>
        <w:tc>
          <w:tcPr>
            <w:tcW w:w="1368"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rPr>
              <w:t>8,2</w:t>
            </w:r>
          </w:p>
        </w:tc>
        <w:tc>
          <w:tcPr>
            <w:tcW w:w="1368" w:type="dxa"/>
            <w:shd w:val="clear" w:color="auto" w:fill="E5DFEC" w:themeFill="accent4" w:themeFillTint="33"/>
          </w:tcPr>
          <w:p w:rsidR="00885969" w:rsidRPr="0090109A" w:rsidRDefault="00885969" w:rsidP="0090109A">
            <w:pPr>
              <w:pStyle w:val="NoSpacing"/>
              <w:tabs>
                <w:tab w:val="decimal" w:pos="610"/>
              </w:tabs>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0109A">
              <w:rPr>
                <w:color w:val="000000" w:themeColor="text1"/>
                <w:sz w:val="20"/>
                <w:lang w:eastAsia="lv-LV"/>
              </w:rPr>
              <w:t>9,2</w:t>
            </w:r>
          </w:p>
        </w:tc>
      </w:tr>
      <w:tr w:rsidR="0090109A" w:rsidRPr="0090109A" w:rsidTr="0090109A">
        <w:trPr>
          <w:trHeight w:val="178"/>
        </w:trPr>
        <w:tc>
          <w:tcPr>
            <w:cnfStyle w:val="001000000000" w:firstRow="0" w:lastRow="0" w:firstColumn="1" w:lastColumn="0" w:oddVBand="0" w:evenVBand="0" w:oddHBand="0" w:evenHBand="0" w:firstRowFirstColumn="0" w:firstRowLastColumn="0" w:lastRowFirstColumn="0" w:lastRowLastColumn="0"/>
            <w:tcW w:w="5202" w:type="dxa"/>
          </w:tcPr>
          <w:p w:rsidR="00885969" w:rsidRPr="0090109A" w:rsidRDefault="00885969" w:rsidP="0090109A">
            <w:pPr>
              <w:pStyle w:val="NoSpacing"/>
              <w:spacing w:before="40" w:after="40"/>
              <w:rPr>
                <w:b w:val="0"/>
                <w:color w:val="000000" w:themeColor="text1"/>
                <w:sz w:val="20"/>
              </w:rPr>
            </w:pPr>
            <w:r w:rsidRPr="0090109A">
              <w:rPr>
                <w:b w:val="0"/>
                <w:color w:val="000000" w:themeColor="text1"/>
                <w:sz w:val="20"/>
                <w:lang w:eastAsia="lv-LV"/>
              </w:rPr>
              <w:t>Vienkāršās profesijas</w:t>
            </w:r>
          </w:p>
        </w:tc>
        <w:tc>
          <w:tcPr>
            <w:tcW w:w="1367"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2,5</w:t>
            </w:r>
          </w:p>
        </w:tc>
        <w:tc>
          <w:tcPr>
            <w:tcW w:w="1368"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rPr>
              <w:t>8,5</w:t>
            </w:r>
          </w:p>
        </w:tc>
        <w:tc>
          <w:tcPr>
            <w:tcW w:w="1368" w:type="dxa"/>
          </w:tcPr>
          <w:p w:rsidR="00885969" w:rsidRPr="0090109A" w:rsidRDefault="00885969" w:rsidP="0090109A">
            <w:pPr>
              <w:pStyle w:val="NoSpacing"/>
              <w:tabs>
                <w:tab w:val="decimal" w:pos="610"/>
              </w:tabs>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0109A">
              <w:rPr>
                <w:color w:val="000000" w:themeColor="text1"/>
                <w:sz w:val="20"/>
                <w:lang w:eastAsia="lv-LV"/>
              </w:rPr>
              <w:t>11</w:t>
            </w:r>
            <w:r w:rsidR="00DA6889" w:rsidRPr="0090109A">
              <w:rPr>
                <w:color w:val="000000" w:themeColor="text1"/>
                <w:sz w:val="20"/>
                <w:lang w:eastAsia="lv-LV"/>
              </w:rPr>
              <w:t>,0</w:t>
            </w:r>
          </w:p>
        </w:tc>
      </w:tr>
    </w:tbl>
    <w:p w:rsidR="00687CB9" w:rsidRDefault="00687CB9" w:rsidP="0077399B">
      <w:pPr>
        <w:spacing w:after="0" w:line="240" w:lineRule="auto"/>
        <w:jc w:val="both"/>
        <w:rPr>
          <w:sz w:val="8"/>
          <w:szCs w:val="24"/>
        </w:rPr>
      </w:pPr>
    </w:p>
    <w:p w:rsidR="00687CB9" w:rsidRPr="005546B4" w:rsidRDefault="00885969" w:rsidP="0077399B">
      <w:pPr>
        <w:spacing w:after="0" w:line="240" w:lineRule="auto"/>
        <w:jc w:val="both"/>
        <w:rPr>
          <w:szCs w:val="24"/>
        </w:rPr>
      </w:pPr>
      <w:r w:rsidRPr="005546B4">
        <w:rPr>
          <w:szCs w:val="24"/>
        </w:rPr>
        <w:t>Avots: CEDEFOP</w:t>
      </w:r>
    </w:p>
    <w:p w:rsidR="00687CB9" w:rsidRDefault="00687CB9" w:rsidP="0077399B">
      <w:pPr>
        <w:spacing w:after="0" w:line="240" w:lineRule="auto"/>
        <w:jc w:val="both"/>
        <w:rPr>
          <w:sz w:val="24"/>
          <w:szCs w:val="24"/>
        </w:rPr>
      </w:pPr>
    </w:p>
    <w:p w:rsidR="00687CB9" w:rsidRDefault="00885969" w:rsidP="0077399B">
      <w:pPr>
        <w:pStyle w:val="ListParagraph"/>
        <w:numPr>
          <w:ilvl w:val="0"/>
          <w:numId w:val="3"/>
        </w:numPr>
        <w:spacing w:after="0" w:line="240" w:lineRule="auto"/>
        <w:ind w:left="993" w:hanging="426"/>
        <w:jc w:val="both"/>
        <w:rPr>
          <w:rFonts w:ascii="Times New Roman Bold" w:hAnsi="Times New Roman Bold"/>
          <w:b/>
          <w:spacing w:val="-4"/>
          <w:sz w:val="26"/>
          <w:szCs w:val="26"/>
        </w:rPr>
      </w:pPr>
      <w:r w:rsidRPr="00687CB9">
        <w:rPr>
          <w:rFonts w:ascii="Times New Roman Bold" w:hAnsi="Times New Roman Bold"/>
          <w:b/>
          <w:spacing w:val="-4"/>
          <w:sz w:val="26"/>
          <w:szCs w:val="26"/>
        </w:rPr>
        <w:t xml:space="preserve">Jauns darbs būs pieejams galvenokārt augstākās un </w:t>
      </w:r>
      <w:r w:rsidR="00687CB9" w:rsidRPr="00687CB9">
        <w:rPr>
          <w:rFonts w:ascii="Times New Roman Bold" w:hAnsi="Times New Roman Bold"/>
          <w:b/>
          <w:spacing w:val="-4"/>
          <w:sz w:val="26"/>
          <w:szCs w:val="26"/>
        </w:rPr>
        <w:t>zemākās kvalifikācijas darbos</w:t>
      </w:r>
    </w:p>
    <w:p w:rsidR="0090109A" w:rsidRPr="0090109A" w:rsidRDefault="0090109A"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Pr>
          <w:sz w:val="26"/>
          <w:szCs w:val="26"/>
        </w:rPr>
        <w:t>P</w:t>
      </w:r>
      <w:r w:rsidRPr="00466AA5">
        <w:rPr>
          <w:sz w:val="26"/>
          <w:szCs w:val="26"/>
        </w:rPr>
        <w:t xml:space="preserve">astāv risks, ka jaunās darba vietas neveidosies vienmērīgi un būs vērojama darbu </w:t>
      </w:r>
      <w:r w:rsidRPr="007A3582">
        <w:rPr>
          <w:sz w:val="26"/>
          <w:szCs w:val="26"/>
        </w:rPr>
        <w:t>polarizācija –</w:t>
      </w:r>
      <w:r w:rsidRPr="00466AA5">
        <w:rPr>
          <w:sz w:val="26"/>
          <w:szCs w:val="26"/>
        </w:rPr>
        <w:t xml:space="preserve"> jauns darbs būs pieejams galvenokārt augstākās </w:t>
      </w:r>
      <w:r>
        <w:rPr>
          <w:sz w:val="26"/>
          <w:szCs w:val="26"/>
        </w:rPr>
        <w:t xml:space="preserve">(dažādi speciālisti) </w:t>
      </w:r>
      <w:r w:rsidRPr="00466AA5">
        <w:rPr>
          <w:sz w:val="26"/>
          <w:szCs w:val="26"/>
        </w:rPr>
        <w:t>u</w:t>
      </w:r>
      <w:r>
        <w:rPr>
          <w:sz w:val="26"/>
          <w:szCs w:val="26"/>
        </w:rPr>
        <w:t>n zemākās kvalifikācijas darbos (piemēram, pakalpojumu un tirdzniecības jomā un vienkāršajās profesijās).</w:t>
      </w:r>
      <w:r w:rsidR="00886C81">
        <w:rPr>
          <w:sz w:val="26"/>
          <w:szCs w:val="26"/>
        </w:rPr>
        <w:t xml:space="preserve"> </w:t>
      </w:r>
      <w:r>
        <w:rPr>
          <w:sz w:val="26"/>
          <w:szCs w:val="26"/>
        </w:rPr>
        <w:t>N</w:t>
      </w:r>
      <w:r w:rsidRPr="00466AA5">
        <w:rPr>
          <w:sz w:val="26"/>
          <w:szCs w:val="26"/>
        </w:rPr>
        <w:t xml:space="preserve">eskatoties uz pieaugošo polarizāciju, </w:t>
      </w:r>
      <w:r>
        <w:rPr>
          <w:sz w:val="26"/>
          <w:szCs w:val="26"/>
        </w:rPr>
        <w:t>ES</w:t>
      </w:r>
      <w:r w:rsidRPr="00466AA5">
        <w:rPr>
          <w:sz w:val="26"/>
          <w:szCs w:val="26"/>
        </w:rPr>
        <w:t xml:space="preserve"> lielākajai daļai </w:t>
      </w:r>
      <w:r>
        <w:rPr>
          <w:sz w:val="26"/>
          <w:szCs w:val="26"/>
        </w:rPr>
        <w:t xml:space="preserve">jauno darbu (gandrīz puse) </w:t>
      </w:r>
      <w:r w:rsidRPr="00466AA5">
        <w:rPr>
          <w:sz w:val="26"/>
          <w:szCs w:val="26"/>
        </w:rPr>
        <w:t>būs nepieciešama vidēja kvalifikā</w:t>
      </w:r>
      <w:r>
        <w:rPr>
          <w:sz w:val="26"/>
          <w:szCs w:val="26"/>
        </w:rPr>
        <w:t>cija, savukārt Latvijā augstākā</w:t>
      </w:r>
      <w:r w:rsidRPr="00466AA5">
        <w:rPr>
          <w:sz w:val="26"/>
          <w:szCs w:val="26"/>
        </w:rPr>
        <w:t xml:space="preserve"> k</w:t>
      </w:r>
      <w:r>
        <w:rPr>
          <w:sz w:val="26"/>
          <w:szCs w:val="26"/>
        </w:rPr>
        <w:t>valifikācija. Atšķirībā no ES</w:t>
      </w:r>
      <w:r w:rsidRPr="00466AA5">
        <w:rPr>
          <w:sz w:val="26"/>
          <w:szCs w:val="26"/>
        </w:rPr>
        <w:t>, Latvijā lielākas darba iespējas būs cilvēkiem ar zemu kvalifikāciju, tomēr jāņem vērā, ka cilvēki ar augstāku kvalifikāciju izstums no darba tirgus cilvēkus ar zem</w:t>
      </w:r>
      <w:r>
        <w:rPr>
          <w:sz w:val="26"/>
          <w:szCs w:val="26"/>
        </w:rPr>
        <w:t>u</w:t>
      </w:r>
      <w:r w:rsidRPr="00466AA5">
        <w:rPr>
          <w:sz w:val="26"/>
          <w:szCs w:val="26"/>
        </w:rPr>
        <w:t xml:space="preserve"> kvalifikāciju.</w:t>
      </w:r>
    </w:p>
    <w:p w:rsidR="00687CB9" w:rsidRDefault="00687CB9" w:rsidP="0077399B">
      <w:pPr>
        <w:spacing w:after="0" w:line="240" w:lineRule="auto"/>
        <w:jc w:val="both"/>
        <w:rPr>
          <w:sz w:val="26"/>
          <w:szCs w:val="26"/>
        </w:rPr>
      </w:pPr>
    </w:p>
    <w:p w:rsidR="00687CB9" w:rsidRPr="0064633F" w:rsidRDefault="00885969" w:rsidP="0064633F">
      <w:pPr>
        <w:pStyle w:val="Heading3"/>
        <w:pBdr>
          <w:bottom w:val="single" w:sz="8" w:space="1" w:color="8064A2" w:themeColor="accent4"/>
        </w:pBdr>
        <w:spacing w:before="0" w:line="240" w:lineRule="auto"/>
        <w:rPr>
          <w:rFonts w:ascii="Times New Roman" w:hAnsi="Times New Roman" w:cs="Times New Roman"/>
          <w:color w:val="000000" w:themeColor="text1"/>
          <w:sz w:val="26"/>
        </w:rPr>
      </w:pPr>
      <w:bookmarkStart w:id="62" w:name="_Toc357503127"/>
      <w:r w:rsidRPr="0064633F">
        <w:rPr>
          <w:rFonts w:ascii="Times New Roman" w:hAnsi="Times New Roman" w:cs="Times New Roman"/>
          <w:color w:val="000000" w:themeColor="text1"/>
          <w:sz w:val="26"/>
        </w:rPr>
        <w:t xml:space="preserve">3.6.3. </w:t>
      </w:r>
      <w:r w:rsidR="005546B4" w:rsidRPr="0064633F">
        <w:rPr>
          <w:rFonts w:ascii="Times New Roman" w:hAnsi="Times New Roman" w:cs="Times New Roman"/>
          <w:color w:val="000000" w:themeColor="text1"/>
          <w:sz w:val="26"/>
        </w:rPr>
        <w:t>Prasmju piedāvājuma tendences ES</w:t>
      </w:r>
      <w:bookmarkEnd w:id="62"/>
    </w:p>
    <w:p w:rsidR="00687CB9" w:rsidRDefault="00687CB9" w:rsidP="0077399B">
      <w:pPr>
        <w:spacing w:after="0" w:line="240" w:lineRule="auto"/>
        <w:jc w:val="both"/>
        <w:rPr>
          <w:sz w:val="26"/>
          <w:szCs w:val="26"/>
        </w:rPr>
      </w:pPr>
    </w:p>
    <w:p w:rsidR="00687CB9" w:rsidRDefault="00885969" w:rsidP="00DB2CA4">
      <w:pPr>
        <w:spacing w:after="0" w:line="240" w:lineRule="auto"/>
        <w:ind w:firstLine="567"/>
        <w:jc w:val="both"/>
        <w:rPr>
          <w:sz w:val="26"/>
          <w:szCs w:val="26"/>
        </w:rPr>
      </w:pPr>
      <w:r>
        <w:rPr>
          <w:sz w:val="26"/>
          <w:szCs w:val="26"/>
        </w:rPr>
        <w:t>Ņemot vērā, ka gan Latvijā, gan ES pieaugs cilvēku skaits ar augstāko kvalifikāciju, viens no galvenajiem nākotnes izaicinājumiem</w:t>
      </w:r>
      <w:r w:rsidRPr="00466AA5">
        <w:rPr>
          <w:sz w:val="26"/>
          <w:szCs w:val="26"/>
        </w:rPr>
        <w:t xml:space="preserve"> </w:t>
      </w:r>
      <w:r>
        <w:rPr>
          <w:sz w:val="26"/>
          <w:szCs w:val="26"/>
        </w:rPr>
        <w:t>būs</w:t>
      </w:r>
      <w:r w:rsidRPr="00466AA5">
        <w:rPr>
          <w:sz w:val="26"/>
          <w:szCs w:val="26"/>
        </w:rPr>
        <w:t xml:space="preserve"> nodrošināt, lai augsta līmeņa prasmes tiek pilnībā izmantotas, jo augsti kvalificēts un apmācīts darbaspēks tiek uzskatīts par vienu no svarīgākajiem Eiropas konkurētspējas nodrošinošiem faktoriem.</w:t>
      </w:r>
      <w:r>
        <w:rPr>
          <w:sz w:val="26"/>
          <w:szCs w:val="26"/>
        </w:rPr>
        <w:t xml:space="preserve"> Apmēram 1/3 ES nodarbināto prasmes ir augstākas nekā nepieciešams </w:t>
      </w:r>
      <w:r>
        <w:rPr>
          <w:sz w:val="26"/>
          <w:szCs w:val="26"/>
        </w:rPr>
        <w:lastRenderedPageBreak/>
        <w:t>darba tirgū.</w:t>
      </w:r>
      <w:r>
        <w:rPr>
          <w:rStyle w:val="FootnoteReference"/>
          <w:sz w:val="26"/>
          <w:szCs w:val="26"/>
        </w:rPr>
        <w:footnoteReference w:id="10"/>
      </w:r>
      <w:r>
        <w:rPr>
          <w:sz w:val="26"/>
          <w:szCs w:val="26"/>
        </w:rPr>
        <w:t xml:space="preserve"> Tas savukārt ietekmē ekonomikas produktivitāti un izaugsmi, paaugstina strukturālo bezdarbu un rada būtiskas ekonomiskās un sociālās izmaksas.</w:t>
      </w:r>
    </w:p>
    <w:p w:rsidR="00687CB9" w:rsidRDefault="00885969" w:rsidP="00DB2CA4">
      <w:pPr>
        <w:spacing w:after="0" w:line="240" w:lineRule="auto"/>
        <w:ind w:firstLine="567"/>
        <w:jc w:val="both"/>
        <w:rPr>
          <w:sz w:val="26"/>
          <w:szCs w:val="26"/>
        </w:rPr>
      </w:pPr>
      <w:r>
        <w:rPr>
          <w:sz w:val="26"/>
          <w:szCs w:val="26"/>
        </w:rPr>
        <w:t>Galvenās darba tirgus piedāvājuma tendences līdz 2020.gadam ir šādas:</w:t>
      </w:r>
    </w:p>
    <w:p w:rsidR="00687CB9" w:rsidRDefault="00687CB9" w:rsidP="00DB2CA4">
      <w:pPr>
        <w:spacing w:after="0" w:line="240" w:lineRule="auto"/>
        <w:ind w:firstLine="567"/>
        <w:jc w:val="both"/>
        <w:rPr>
          <w:sz w:val="26"/>
          <w:szCs w:val="26"/>
        </w:rPr>
      </w:pPr>
    </w:p>
    <w:p w:rsidR="00687CB9" w:rsidRDefault="00885969" w:rsidP="00DB2CA4">
      <w:pPr>
        <w:pStyle w:val="ListParagraph"/>
        <w:numPr>
          <w:ilvl w:val="0"/>
          <w:numId w:val="3"/>
        </w:numPr>
        <w:spacing w:after="0" w:line="240" w:lineRule="auto"/>
        <w:ind w:left="993" w:hanging="426"/>
        <w:jc w:val="both"/>
        <w:rPr>
          <w:b/>
          <w:sz w:val="26"/>
          <w:szCs w:val="26"/>
        </w:rPr>
      </w:pPr>
      <w:r w:rsidRPr="001533CB">
        <w:rPr>
          <w:b/>
          <w:sz w:val="26"/>
          <w:szCs w:val="26"/>
        </w:rPr>
        <w:t>Iedzīvotāju skaits pieaugs straujāk nekā darbasp</w:t>
      </w:r>
      <w:r>
        <w:rPr>
          <w:b/>
          <w:sz w:val="26"/>
          <w:szCs w:val="26"/>
        </w:rPr>
        <w:t>ēks</w:t>
      </w:r>
    </w:p>
    <w:p w:rsidR="00DB2CA4" w:rsidRPr="00DB2CA4" w:rsidRDefault="00DB2CA4"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466AA5">
        <w:rPr>
          <w:sz w:val="26"/>
          <w:szCs w:val="26"/>
        </w:rPr>
        <w:t>Laika posmā no 2010.gada līdz 202</w:t>
      </w:r>
      <w:r>
        <w:rPr>
          <w:sz w:val="26"/>
          <w:szCs w:val="26"/>
        </w:rPr>
        <w:t>0.gadam ES iedzīvotāju skaits, kas vecāki par 15 gadiem pieaugs par 12,6</w:t>
      </w:r>
      <w:r w:rsidRPr="00466AA5">
        <w:rPr>
          <w:sz w:val="26"/>
          <w:szCs w:val="26"/>
        </w:rPr>
        <w:t xml:space="preserve"> </w:t>
      </w:r>
      <w:proofErr w:type="spellStart"/>
      <w:r>
        <w:rPr>
          <w:sz w:val="26"/>
          <w:szCs w:val="26"/>
        </w:rPr>
        <w:t>milj</w:t>
      </w:r>
      <w:proofErr w:type="spellEnd"/>
      <w:r>
        <w:rPr>
          <w:sz w:val="26"/>
          <w:szCs w:val="26"/>
        </w:rPr>
        <w:t>.</w:t>
      </w:r>
      <w:r w:rsidRPr="00466AA5">
        <w:rPr>
          <w:sz w:val="26"/>
          <w:szCs w:val="26"/>
        </w:rPr>
        <w:t xml:space="preserve">, tomēr </w:t>
      </w:r>
      <w:r>
        <w:rPr>
          <w:sz w:val="26"/>
          <w:szCs w:val="26"/>
        </w:rPr>
        <w:t xml:space="preserve">iedzīvotāju skaits darbaspējas vecumā pieaugs tikai par 5,2 </w:t>
      </w:r>
      <w:proofErr w:type="spellStart"/>
      <w:r>
        <w:rPr>
          <w:sz w:val="26"/>
          <w:szCs w:val="26"/>
        </w:rPr>
        <w:t>milj</w:t>
      </w:r>
      <w:proofErr w:type="spellEnd"/>
      <w:r w:rsidRPr="00466AA5">
        <w:rPr>
          <w:sz w:val="26"/>
          <w:szCs w:val="26"/>
        </w:rPr>
        <w:t>. Darbaspēks novecojas un pieaug cilvēku īpatsvars, kas ir vecāki par 45 gadiem</w:t>
      </w:r>
      <w:r>
        <w:rPr>
          <w:rStyle w:val="FootnoteReference"/>
          <w:sz w:val="26"/>
          <w:szCs w:val="26"/>
        </w:rPr>
        <w:footnoteReference w:id="11"/>
      </w:r>
      <w:r w:rsidRPr="00466AA5">
        <w:rPr>
          <w:sz w:val="26"/>
          <w:szCs w:val="26"/>
        </w:rPr>
        <w:t>.</w:t>
      </w:r>
    </w:p>
    <w:p w:rsidR="00687CB9" w:rsidRDefault="00687CB9" w:rsidP="0077399B">
      <w:pPr>
        <w:spacing w:after="0" w:line="240" w:lineRule="auto"/>
        <w:ind w:firstLine="567"/>
        <w:jc w:val="both"/>
        <w:rPr>
          <w:sz w:val="26"/>
          <w:szCs w:val="26"/>
        </w:rPr>
      </w:pPr>
    </w:p>
    <w:p w:rsidR="00687CB9" w:rsidRDefault="00885969" w:rsidP="00DB2CA4">
      <w:pPr>
        <w:pStyle w:val="ListParagraph"/>
        <w:numPr>
          <w:ilvl w:val="0"/>
          <w:numId w:val="3"/>
        </w:numPr>
        <w:spacing w:after="0" w:line="240" w:lineRule="auto"/>
        <w:ind w:left="993" w:hanging="426"/>
        <w:jc w:val="both"/>
        <w:rPr>
          <w:b/>
          <w:sz w:val="26"/>
          <w:szCs w:val="26"/>
        </w:rPr>
      </w:pPr>
      <w:r w:rsidRPr="004B7433">
        <w:rPr>
          <w:b/>
          <w:sz w:val="26"/>
          <w:szCs w:val="26"/>
        </w:rPr>
        <w:t xml:space="preserve">Augstākās kvalifikācijas piedāvājums </w:t>
      </w:r>
      <w:r>
        <w:rPr>
          <w:b/>
          <w:sz w:val="26"/>
          <w:szCs w:val="26"/>
        </w:rPr>
        <w:t>augs straujāk nekā pieprasījums</w:t>
      </w:r>
    </w:p>
    <w:p w:rsidR="00DB2CA4" w:rsidRPr="00DB2CA4" w:rsidRDefault="00DB2CA4"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FD11E0">
        <w:rPr>
          <w:sz w:val="26"/>
          <w:szCs w:val="26"/>
        </w:rPr>
        <w:t>Ņemot vērā, ka pieaugs darbaspēks ar aug</w:t>
      </w:r>
      <w:r>
        <w:rPr>
          <w:sz w:val="26"/>
          <w:szCs w:val="26"/>
        </w:rPr>
        <w:t>stāko izglītību, 2020.gadā ES</w:t>
      </w:r>
      <w:r w:rsidRPr="00FD11E0">
        <w:rPr>
          <w:sz w:val="26"/>
          <w:szCs w:val="26"/>
        </w:rPr>
        <w:t xml:space="preserve"> būs būtisks atbilstošās kvalifikācijas darbaspēka pārpalikums</w:t>
      </w:r>
      <w:r>
        <w:rPr>
          <w:sz w:val="26"/>
          <w:szCs w:val="26"/>
        </w:rPr>
        <w:t>. Nodarbinātie</w:t>
      </w:r>
      <w:r w:rsidRPr="00466AA5">
        <w:rPr>
          <w:sz w:val="26"/>
          <w:szCs w:val="26"/>
        </w:rPr>
        <w:t xml:space="preserve"> ar vidējo </w:t>
      </w:r>
      <w:r>
        <w:rPr>
          <w:sz w:val="26"/>
          <w:szCs w:val="26"/>
        </w:rPr>
        <w:t>kvalifikāciju</w:t>
      </w:r>
      <w:r w:rsidRPr="00466AA5">
        <w:rPr>
          <w:sz w:val="26"/>
          <w:szCs w:val="26"/>
        </w:rPr>
        <w:t xml:space="preserve"> veidos apmēram pus</w:t>
      </w:r>
      <w:r>
        <w:rPr>
          <w:sz w:val="26"/>
          <w:szCs w:val="26"/>
        </w:rPr>
        <w:t>i no visa darbaspēka. Vidējas kvalifikācijas darbaspēka pārpalikums ES būs daudz mazāks nekā Latvijā.</w:t>
      </w:r>
      <w:r w:rsidRPr="00466AA5">
        <w:rPr>
          <w:sz w:val="26"/>
          <w:szCs w:val="26"/>
        </w:rPr>
        <w:t xml:space="preserve"> </w:t>
      </w:r>
      <w:r w:rsidR="001B7234">
        <w:rPr>
          <w:sz w:val="26"/>
          <w:szCs w:val="26"/>
        </w:rPr>
        <w:t>2020.gadā gan ES, gan Latvijā</w:t>
      </w:r>
      <w:r>
        <w:rPr>
          <w:sz w:val="26"/>
          <w:szCs w:val="26"/>
        </w:rPr>
        <w:t xml:space="preserve"> nodarbināto</w:t>
      </w:r>
      <w:r w:rsidRPr="00466AA5">
        <w:rPr>
          <w:sz w:val="26"/>
          <w:szCs w:val="26"/>
        </w:rPr>
        <w:t xml:space="preserve"> īpatsvars ar zem</w:t>
      </w:r>
      <w:r>
        <w:rPr>
          <w:sz w:val="26"/>
          <w:szCs w:val="26"/>
        </w:rPr>
        <w:t xml:space="preserve">u </w:t>
      </w:r>
      <w:r w:rsidRPr="00466AA5">
        <w:rPr>
          <w:sz w:val="26"/>
          <w:szCs w:val="26"/>
        </w:rPr>
        <w:t>k</w:t>
      </w:r>
      <w:r>
        <w:rPr>
          <w:sz w:val="26"/>
          <w:szCs w:val="26"/>
        </w:rPr>
        <w:t>valifikāciju veidos apmēram 17% no visiem nodarbinātajiem. Lai gan pieprasījums pēc šīs kvalifikācijas darbiniekiem pārsniegs piedāvājumu, tomēr</w:t>
      </w:r>
      <w:r w:rsidRPr="00AC383D">
        <w:rPr>
          <w:sz w:val="26"/>
          <w:szCs w:val="26"/>
        </w:rPr>
        <w:t xml:space="preserve"> </w:t>
      </w:r>
      <w:r>
        <w:rPr>
          <w:sz w:val="26"/>
          <w:szCs w:val="26"/>
        </w:rPr>
        <w:t>j</w:t>
      </w:r>
      <w:r w:rsidRPr="00801DF9">
        <w:rPr>
          <w:sz w:val="26"/>
          <w:szCs w:val="26"/>
        </w:rPr>
        <w:t>auniem cilvēkiem ar pamatizglītību vai bez izglītības būs arvien grūtāk atrast labu darbu</w:t>
      </w:r>
      <w:r w:rsidR="00687CB9">
        <w:rPr>
          <w:sz w:val="26"/>
          <w:szCs w:val="26"/>
        </w:rPr>
        <w:t>.</w:t>
      </w:r>
    </w:p>
    <w:p w:rsidR="00687CB9" w:rsidRDefault="00DB2CA4" w:rsidP="0077399B">
      <w:pPr>
        <w:spacing w:after="0" w:line="240" w:lineRule="auto"/>
        <w:ind w:firstLine="567"/>
        <w:jc w:val="right"/>
        <w:rPr>
          <w:sz w:val="26"/>
          <w:szCs w:val="26"/>
        </w:rPr>
      </w:pPr>
      <w:r w:rsidRPr="00DB2CA4">
        <w:rPr>
          <w:sz w:val="26"/>
          <w:szCs w:val="26"/>
        </w:rPr>
        <w:t>3.</w:t>
      </w:r>
      <w:r w:rsidR="00F6144C">
        <w:rPr>
          <w:sz w:val="26"/>
          <w:szCs w:val="26"/>
        </w:rPr>
        <w:t>19</w:t>
      </w:r>
      <w:r w:rsidR="00885969" w:rsidRPr="00DB2CA4">
        <w:rPr>
          <w:sz w:val="26"/>
          <w:szCs w:val="26"/>
        </w:rPr>
        <w:t>.</w:t>
      </w:r>
      <w:r w:rsidRPr="00DB2CA4">
        <w:rPr>
          <w:sz w:val="26"/>
          <w:szCs w:val="26"/>
        </w:rPr>
        <w:t> </w:t>
      </w:r>
      <w:r w:rsidR="00885969" w:rsidRPr="00DB2CA4">
        <w:rPr>
          <w:sz w:val="26"/>
          <w:szCs w:val="26"/>
        </w:rPr>
        <w:t>attēls</w:t>
      </w:r>
    </w:p>
    <w:p w:rsidR="00687CB9" w:rsidRDefault="00885969" w:rsidP="0077399B">
      <w:pPr>
        <w:spacing w:after="0" w:line="240" w:lineRule="auto"/>
        <w:jc w:val="center"/>
        <w:rPr>
          <w:b/>
          <w:sz w:val="26"/>
          <w:szCs w:val="26"/>
        </w:rPr>
      </w:pPr>
      <w:r w:rsidRPr="00FD11E0">
        <w:rPr>
          <w:b/>
          <w:sz w:val="26"/>
          <w:szCs w:val="26"/>
        </w:rPr>
        <w:t>ES</w:t>
      </w:r>
      <w:r>
        <w:rPr>
          <w:b/>
          <w:sz w:val="26"/>
          <w:szCs w:val="26"/>
        </w:rPr>
        <w:t xml:space="preserve"> d</w:t>
      </w:r>
      <w:r w:rsidRPr="00FD11E0">
        <w:rPr>
          <w:b/>
          <w:sz w:val="26"/>
          <w:szCs w:val="26"/>
        </w:rPr>
        <w:t>arbaspēka pieprasījuma un piedāvājuma attiecība 2020.gadā</w:t>
      </w:r>
    </w:p>
    <w:p w:rsidR="00885969" w:rsidRPr="0015209E" w:rsidRDefault="00885969" w:rsidP="0077399B">
      <w:pPr>
        <w:spacing w:after="0" w:line="240" w:lineRule="auto"/>
        <w:jc w:val="center"/>
        <w:rPr>
          <w:szCs w:val="26"/>
        </w:rPr>
      </w:pPr>
      <w:r w:rsidRPr="00234AC5">
        <w:rPr>
          <w:szCs w:val="26"/>
        </w:rPr>
        <w:t>(%, pieprasījums</w:t>
      </w:r>
      <w:r>
        <w:rPr>
          <w:szCs w:val="26"/>
        </w:rPr>
        <w:t xml:space="preserve"> pret piedāvājumu)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885969" w:rsidTr="00DB2CA4">
        <w:trPr>
          <w:jc w:val="center"/>
        </w:trPr>
        <w:tc>
          <w:tcPr>
            <w:tcW w:w="8897" w:type="dxa"/>
          </w:tcPr>
          <w:p w:rsidR="00885969" w:rsidRDefault="00885969" w:rsidP="0077399B">
            <w:pPr>
              <w:spacing w:after="0" w:line="240" w:lineRule="auto"/>
              <w:jc w:val="both"/>
              <w:rPr>
                <w:sz w:val="26"/>
                <w:szCs w:val="26"/>
              </w:rPr>
            </w:pPr>
            <w:r>
              <w:rPr>
                <w:noProof/>
                <w:lang w:eastAsia="lv-LV"/>
              </w:rPr>
              <w:drawing>
                <wp:inline distT="0" distB="0" distL="0" distR="0" wp14:anchorId="0ACA765E" wp14:editId="142BAF0C">
                  <wp:extent cx="5510254" cy="1804946"/>
                  <wp:effectExtent l="0" t="0" r="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DB2CA4" w:rsidRPr="00DB2CA4" w:rsidRDefault="00DB2CA4" w:rsidP="00DB2CA4">
      <w:pPr>
        <w:spacing w:after="0" w:line="240" w:lineRule="auto"/>
        <w:ind w:firstLine="1358"/>
        <w:jc w:val="both"/>
        <w:rPr>
          <w:sz w:val="8"/>
          <w:szCs w:val="26"/>
        </w:rPr>
      </w:pPr>
    </w:p>
    <w:p w:rsidR="00687CB9" w:rsidRPr="005546B4" w:rsidRDefault="00885969" w:rsidP="00DB2CA4">
      <w:pPr>
        <w:spacing w:after="0" w:line="240" w:lineRule="auto"/>
        <w:ind w:firstLine="1358"/>
        <w:jc w:val="both"/>
        <w:rPr>
          <w:szCs w:val="26"/>
        </w:rPr>
      </w:pPr>
      <w:r w:rsidRPr="005546B4">
        <w:rPr>
          <w:szCs w:val="26"/>
        </w:rPr>
        <w:t>Avots: CEDEFOP</w:t>
      </w:r>
    </w:p>
    <w:p w:rsidR="00687CB9" w:rsidRDefault="00687CB9" w:rsidP="0077399B">
      <w:pPr>
        <w:spacing w:after="0" w:line="240" w:lineRule="auto"/>
        <w:ind w:firstLine="567"/>
        <w:jc w:val="both"/>
        <w:rPr>
          <w:sz w:val="26"/>
          <w:szCs w:val="26"/>
        </w:rPr>
      </w:pPr>
    </w:p>
    <w:p w:rsidR="00687CB9" w:rsidRDefault="00885969" w:rsidP="00DB2CA4">
      <w:pPr>
        <w:pStyle w:val="ListParagraph"/>
        <w:numPr>
          <w:ilvl w:val="0"/>
          <w:numId w:val="3"/>
        </w:numPr>
        <w:spacing w:after="0" w:line="240" w:lineRule="auto"/>
        <w:ind w:left="993" w:hanging="426"/>
        <w:jc w:val="both"/>
        <w:rPr>
          <w:b/>
          <w:sz w:val="26"/>
          <w:szCs w:val="26"/>
        </w:rPr>
      </w:pPr>
      <w:r>
        <w:rPr>
          <w:b/>
          <w:sz w:val="26"/>
          <w:szCs w:val="26"/>
        </w:rPr>
        <w:t>Paredzams prasmju</w:t>
      </w:r>
      <w:r w:rsidRPr="001533CB">
        <w:rPr>
          <w:b/>
          <w:sz w:val="26"/>
          <w:szCs w:val="26"/>
        </w:rPr>
        <w:t xml:space="preserve"> pieprasījuma </w:t>
      </w:r>
      <w:r>
        <w:rPr>
          <w:b/>
          <w:sz w:val="26"/>
          <w:szCs w:val="26"/>
        </w:rPr>
        <w:t xml:space="preserve">un piedāvājuma </w:t>
      </w:r>
      <w:r w:rsidRPr="001533CB">
        <w:rPr>
          <w:b/>
          <w:sz w:val="26"/>
          <w:szCs w:val="26"/>
        </w:rPr>
        <w:t>neatbilstības pieaugums</w:t>
      </w:r>
    </w:p>
    <w:p w:rsidR="00DB2CA4" w:rsidRPr="00DB2CA4" w:rsidRDefault="00DB2CA4" w:rsidP="0077399B">
      <w:pPr>
        <w:spacing w:after="0" w:line="240" w:lineRule="auto"/>
        <w:ind w:firstLine="567"/>
        <w:jc w:val="both"/>
        <w:rPr>
          <w:sz w:val="8"/>
          <w:szCs w:val="26"/>
        </w:rPr>
      </w:pPr>
    </w:p>
    <w:p w:rsidR="00687CB9" w:rsidRDefault="00885969" w:rsidP="0077399B">
      <w:pPr>
        <w:spacing w:after="0" w:line="240" w:lineRule="auto"/>
        <w:ind w:firstLine="567"/>
        <w:jc w:val="both"/>
        <w:rPr>
          <w:sz w:val="26"/>
          <w:szCs w:val="26"/>
        </w:rPr>
      </w:pPr>
      <w:r w:rsidRPr="00466AA5">
        <w:rPr>
          <w:sz w:val="26"/>
          <w:szCs w:val="26"/>
        </w:rPr>
        <w:t xml:space="preserve">Darba tirgus nav statisks un darba tirgū nepieciešamās prasmes mainās. To ietekmē straujais tehnoloģiju progress un izglītības sistēmas nespēja tik strauji pielāgoties mainīgajiem apstākļiem. Prasmju pieprasījuma un piedāvājuma </w:t>
      </w:r>
      <w:proofErr w:type="spellStart"/>
      <w:r w:rsidRPr="00466AA5">
        <w:rPr>
          <w:sz w:val="26"/>
          <w:szCs w:val="26"/>
        </w:rPr>
        <w:t>nesabalansētība</w:t>
      </w:r>
      <w:proofErr w:type="spellEnd"/>
      <w:r w:rsidRPr="00466AA5">
        <w:rPr>
          <w:sz w:val="26"/>
          <w:szCs w:val="26"/>
        </w:rPr>
        <w:t xml:space="preserve"> veidojas dēļ darba tirgū</w:t>
      </w:r>
      <w:r>
        <w:rPr>
          <w:sz w:val="26"/>
          <w:szCs w:val="26"/>
        </w:rPr>
        <w:t xml:space="preserve"> pieprasītajām prasmēm un to, kādu profesiju</w:t>
      </w:r>
      <w:r w:rsidRPr="00466AA5">
        <w:rPr>
          <w:sz w:val="26"/>
          <w:szCs w:val="26"/>
        </w:rPr>
        <w:t xml:space="preserve"> cilvēki izvēlas </w:t>
      </w:r>
      <w:r>
        <w:rPr>
          <w:sz w:val="26"/>
          <w:szCs w:val="26"/>
        </w:rPr>
        <w:t>apgū</w:t>
      </w:r>
      <w:r w:rsidRPr="00466AA5">
        <w:rPr>
          <w:sz w:val="26"/>
          <w:szCs w:val="26"/>
        </w:rPr>
        <w:t>t</w:t>
      </w:r>
      <w:r>
        <w:rPr>
          <w:sz w:val="26"/>
          <w:szCs w:val="26"/>
        </w:rPr>
        <w:t>.</w:t>
      </w:r>
      <w:r w:rsidRPr="00466AA5">
        <w:rPr>
          <w:sz w:val="26"/>
          <w:szCs w:val="26"/>
        </w:rPr>
        <w:t xml:space="preserve"> </w:t>
      </w:r>
      <w:r>
        <w:rPr>
          <w:sz w:val="26"/>
          <w:szCs w:val="26"/>
        </w:rPr>
        <w:t xml:space="preserve">No katriem 3 nodarbinātajiem, 1 ir vai nu ar pārāk augstu kvalifikāciju vai pārāk zemu kvalifikāciju nekā nepieciešams noteiktā darba izpildei. Valstīs, kurās ir identificētas lielākās prasmju pieprasījuma un piedāvājuma </w:t>
      </w:r>
      <w:r>
        <w:rPr>
          <w:sz w:val="26"/>
          <w:szCs w:val="26"/>
        </w:rPr>
        <w:lastRenderedPageBreak/>
        <w:t>neatbilstības ir galvenokārt tās, kurās ir zemākās valsts investīcijas izglītībā un apmācībā.</w:t>
      </w:r>
    </w:p>
    <w:p w:rsidR="001E4BA5" w:rsidRDefault="001E4BA5" w:rsidP="0077399B">
      <w:pPr>
        <w:spacing w:after="0" w:line="240" w:lineRule="auto"/>
        <w:ind w:firstLine="567"/>
        <w:jc w:val="both"/>
        <w:rPr>
          <w:sz w:val="26"/>
          <w:szCs w:val="26"/>
        </w:rPr>
      </w:pPr>
    </w:p>
    <w:p w:rsidR="00687CB9" w:rsidRDefault="00885969" w:rsidP="00DB2CA4">
      <w:pPr>
        <w:pStyle w:val="ListParagraph"/>
        <w:numPr>
          <w:ilvl w:val="0"/>
          <w:numId w:val="3"/>
        </w:numPr>
        <w:spacing w:after="0" w:line="240" w:lineRule="auto"/>
        <w:ind w:left="993" w:hanging="426"/>
        <w:jc w:val="both"/>
        <w:rPr>
          <w:b/>
          <w:sz w:val="26"/>
          <w:szCs w:val="26"/>
        </w:rPr>
      </w:pPr>
      <w:r w:rsidRPr="004B7433">
        <w:rPr>
          <w:b/>
          <w:sz w:val="26"/>
          <w:szCs w:val="26"/>
        </w:rPr>
        <w:t>Lielākais darbaspēka iztrūkums paredzams profesijās, kurās nepieciešamas specifiskas zināšanas</w:t>
      </w:r>
    </w:p>
    <w:p w:rsidR="00DB2CA4" w:rsidRPr="00DB2CA4" w:rsidRDefault="00DB2CA4" w:rsidP="00DB2CA4">
      <w:pPr>
        <w:spacing w:after="0" w:line="240" w:lineRule="auto"/>
        <w:ind w:firstLine="567"/>
        <w:jc w:val="both"/>
        <w:rPr>
          <w:sz w:val="8"/>
          <w:szCs w:val="26"/>
        </w:rPr>
      </w:pPr>
    </w:p>
    <w:p w:rsidR="00687CB9" w:rsidRDefault="00885969" w:rsidP="00DB2CA4">
      <w:pPr>
        <w:spacing w:after="0" w:line="240" w:lineRule="auto"/>
        <w:ind w:firstLine="567"/>
        <w:jc w:val="both"/>
        <w:rPr>
          <w:sz w:val="26"/>
          <w:szCs w:val="26"/>
        </w:rPr>
      </w:pPr>
      <w:r w:rsidRPr="004B7433">
        <w:rPr>
          <w:sz w:val="26"/>
          <w:szCs w:val="26"/>
        </w:rPr>
        <w:t>Darbu izpildei būs nepieciešamas arvien specifiskākas prasmes. Par spīti</w:t>
      </w:r>
      <w:r w:rsidRPr="00466AA5">
        <w:rPr>
          <w:sz w:val="26"/>
          <w:szCs w:val="26"/>
        </w:rPr>
        <w:t xml:space="preserve"> augstajiem bezdarba rādītājiem, joprojām pastāv vairākas pazīmes par prasmju iztrūkumu. Visaugstākais iztrūkums </w:t>
      </w:r>
      <w:r>
        <w:rPr>
          <w:sz w:val="26"/>
          <w:szCs w:val="26"/>
        </w:rPr>
        <w:t>būs</w:t>
      </w:r>
      <w:r w:rsidRPr="00466AA5">
        <w:rPr>
          <w:sz w:val="26"/>
          <w:szCs w:val="26"/>
        </w:rPr>
        <w:t xml:space="preserve"> novērojams profesijās, kurās darbiniekiem tiek pieprasītas specifiskas kvalifikācijas</w:t>
      </w:r>
      <w:r>
        <w:rPr>
          <w:sz w:val="26"/>
          <w:szCs w:val="26"/>
        </w:rPr>
        <w:t>, piemēram,</w:t>
      </w:r>
      <w:r w:rsidRPr="00466AA5">
        <w:rPr>
          <w:sz w:val="26"/>
          <w:szCs w:val="26"/>
        </w:rPr>
        <w:t xml:space="preserve"> </w:t>
      </w:r>
      <w:r>
        <w:rPr>
          <w:sz w:val="26"/>
          <w:szCs w:val="26"/>
        </w:rPr>
        <w:t>dabaszinātņu un veselības aprūpes speciālisti</w:t>
      </w:r>
      <w:r w:rsidRPr="00466AA5">
        <w:rPr>
          <w:sz w:val="26"/>
          <w:szCs w:val="26"/>
        </w:rPr>
        <w:t xml:space="preserve"> </w:t>
      </w:r>
      <w:r>
        <w:rPr>
          <w:sz w:val="26"/>
          <w:szCs w:val="26"/>
        </w:rPr>
        <w:t>un</w:t>
      </w:r>
      <w:r w:rsidRPr="00466AA5">
        <w:rPr>
          <w:sz w:val="26"/>
          <w:szCs w:val="26"/>
        </w:rPr>
        <w:t xml:space="preserve"> </w:t>
      </w:r>
      <w:r>
        <w:rPr>
          <w:sz w:val="26"/>
          <w:szCs w:val="26"/>
        </w:rPr>
        <w:t xml:space="preserve">izglītības iestāžu speciālisti un IT speciālisti (līdz 2015.gadam ir paredzams 700 </w:t>
      </w:r>
      <w:proofErr w:type="spellStart"/>
      <w:r>
        <w:rPr>
          <w:sz w:val="26"/>
          <w:szCs w:val="26"/>
        </w:rPr>
        <w:t>tūkst</w:t>
      </w:r>
      <w:proofErr w:type="spellEnd"/>
      <w:r>
        <w:rPr>
          <w:sz w:val="26"/>
          <w:szCs w:val="26"/>
        </w:rPr>
        <w:t>. IT speciālistu iztrūkums</w:t>
      </w:r>
      <w:r>
        <w:rPr>
          <w:rStyle w:val="FootnoteReference"/>
          <w:sz w:val="26"/>
          <w:szCs w:val="26"/>
        </w:rPr>
        <w:footnoteReference w:id="12"/>
      </w:r>
      <w:r>
        <w:rPr>
          <w:sz w:val="26"/>
          <w:szCs w:val="26"/>
        </w:rPr>
        <w:t>).</w:t>
      </w:r>
      <w:r w:rsidRPr="00466AA5">
        <w:rPr>
          <w:sz w:val="26"/>
          <w:szCs w:val="26"/>
        </w:rPr>
        <w:t xml:space="preserve"> Tomēr iztrūkums tiek paredzēts arī tirdzniecības, pakalpojumu un dažās vienkāršajās profesijās.</w:t>
      </w:r>
    </w:p>
    <w:p w:rsidR="00687CB9" w:rsidRPr="00DB2CA4" w:rsidRDefault="00687CB9" w:rsidP="00DB2CA4">
      <w:pPr>
        <w:spacing w:after="0" w:line="240" w:lineRule="auto"/>
        <w:ind w:firstLine="567"/>
        <w:jc w:val="both"/>
        <w:rPr>
          <w:sz w:val="8"/>
          <w:szCs w:val="26"/>
        </w:rPr>
      </w:pPr>
    </w:p>
    <w:p w:rsidR="00687CB9" w:rsidRDefault="00885969" w:rsidP="00DB2CA4">
      <w:pPr>
        <w:spacing w:after="0" w:line="240" w:lineRule="auto"/>
        <w:ind w:firstLine="567"/>
        <w:jc w:val="both"/>
        <w:rPr>
          <w:sz w:val="26"/>
          <w:szCs w:val="26"/>
        </w:rPr>
      </w:pPr>
      <w:r>
        <w:rPr>
          <w:sz w:val="26"/>
          <w:szCs w:val="26"/>
        </w:rPr>
        <w:t>Ņemot vērā CEDEFOP prognozes līdz 2020.gadam, galvenais prognožu vēstījums turpmākās politikas izstrādei ir nepieciešamība pievērst uzmanību ES darbaspēka prasmju potenciāla pilnīgai izmantošanai. Mērķis ir novērst augstas kvalifikācijas darbaspēka izniekošanu, nodrošinot šos cilvēkus ar zināšanu intensīvu darbu. Tātad viens no svarīgiem nākotnes izaicinājumiem būs ne tikai jaunu darba vietu izveide, bet arī darbaspēka prasmju adekvāta izmantošana. Lai pielāgotos mainīgajiem darba tirgus apstākļiem un prasmju pieprasījuma tendencēm, nepieciešams nodrošināt darbinieku apmācības</w:t>
      </w:r>
      <w:r w:rsidR="001B7234">
        <w:rPr>
          <w:sz w:val="26"/>
          <w:szCs w:val="26"/>
        </w:rPr>
        <w:t xml:space="preserve">, lai </w:t>
      </w:r>
      <w:r>
        <w:rPr>
          <w:sz w:val="26"/>
          <w:szCs w:val="26"/>
        </w:rPr>
        <w:t>attīstīt</w:t>
      </w:r>
      <w:r w:rsidR="001B7234">
        <w:rPr>
          <w:sz w:val="26"/>
          <w:szCs w:val="26"/>
        </w:rPr>
        <w:t>u</w:t>
      </w:r>
      <w:r>
        <w:rPr>
          <w:sz w:val="26"/>
          <w:szCs w:val="26"/>
        </w:rPr>
        <w:t xml:space="preserve"> jaunas prasmes (piemēram, IT, zaļās prasmes, </w:t>
      </w:r>
      <w:proofErr w:type="spellStart"/>
      <w:r>
        <w:rPr>
          <w:sz w:val="26"/>
          <w:szCs w:val="26"/>
        </w:rPr>
        <w:t>u.c</w:t>
      </w:r>
      <w:proofErr w:type="spellEnd"/>
      <w:r>
        <w:rPr>
          <w:sz w:val="26"/>
          <w:szCs w:val="26"/>
        </w:rPr>
        <w:t>.). Šīs iniciatīvas galvenokārt nepieciešamas, lai darba tirgū noturētu gados vecākus darbiniekus, nodrošinot iesaisti mūžizglītības pasākumos. Ja šajā jomā nekas netiks darīts, tad šodienas bezdarbnieki līdz 2020.gadam kļūs par ES ilgstošajiem bezdarbniekiem.</w:t>
      </w:r>
    </w:p>
    <w:p w:rsidR="00B40358" w:rsidRDefault="00B40358" w:rsidP="00DB2CA4">
      <w:pPr>
        <w:spacing w:after="0" w:line="240" w:lineRule="auto"/>
        <w:ind w:firstLine="567"/>
        <w:jc w:val="both"/>
        <w:rPr>
          <w:sz w:val="26"/>
          <w:szCs w:val="26"/>
        </w:rPr>
      </w:pPr>
    </w:p>
    <w:p w:rsidR="00B40358" w:rsidRDefault="00B40358">
      <w:pPr>
        <w:spacing w:after="0" w:line="240" w:lineRule="auto"/>
        <w:rPr>
          <w:rFonts w:ascii="Times New Roman Bold" w:hAnsi="Times New Roman Bold"/>
          <w:b/>
          <w:smallCaps/>
          <w:sz w:val="32"/>
        </w:rPr>
      </w:pPr>
      <w:bookmarkStart w:id="63" w:name="_Toc328419623"/>
      <w:r>
        <w:br w:type="page"/>
      </w:r>
    </w:p>
    <w:p w:rsidR="00B40358" w:rsidRPr="00B40358" w:rsidRDefault="00B40358" w:rsidP="00B40358">
      <w:pPr>
        <w:pStyle w:val="Heading1"/>
        <w:pBdr>
          <w:bottom w:val="thinThickThinSmallGap" w:sz="24" w:space="1" w:color="8064A2" w:themeColor="accent4"/>
        </w:pBdr>
        <w:rPr>
          <w:sz w:val="36"/>
          <w:szCs w:val="36"/>
        </w:rPr>
      </w:pPr>
      <w:bookmarkStart w:id="64" w:name="_Toc357503128"/>
      <w:r w:rsidRPr="00B40358">
        <w:rPr>
          <w:sz w:val="36"/>
          <w:szCs w:val="36"/>
        </w:rPr>
        <w:lastRenderedPageBreak/>
        <w:t>4. Darba tirgus apsteidzošo pārkārtojumu sistēma</w:t>
      </w:r>
      <w:bookmarkEnd w:id="63"/>
      <w:bookmarkEnd w:id="64"/>
    </w:p>
    <w:p w:rsidR="00B40358" w:rsidRPr="00CD7B6E" w:rsidRDefault="00B40358" w:rsidP="00B40358">
      <w:pPr>
        <w:spacing w:after="0" w:line="240" w:lineRule="auto"/>
        <w:jc w:val="both"/>
        <w:rPr>
          <w:sz w:val="26"/>
          <w:szCs w:val="28"/>
        </w:rPr>
      </w:pPr>
    </w:p>
    <w:p w:rsidR="00340CA7" w:rsidRDefault="00340CA7" w:rsidP="00340CA7">
      <w:pPr>
        <w:spacing w:after="0" w:line="240" w:lineRule="auto"/>
        <w:ind w:firstLine="567"/>
        <w:jc w:val="both"/>
        <w:rPr>
          <w:sz w:val="26"/>
          <w:szCs w:val="26"/>
        </w:rPr>
      </w:pPr>
      <w:r w:rsidRPr="00CE34BC">
        <w:rPr>
          <w:sz w:val="26"/>
          <w:szCs w:val="26"/>
        </w:rPr>
        <w:t>Latvijas tautsaimniecība nākamajās dekādēs saskarsies ar būtiskām strukturālajām izmaiņām. Lai sagatavotos un pielāgotos šīm izmaiņām, ir nepieciešams veikt apsteidz</w:t>
      </w:r>
      <w:r>
        <w:rPr>
          <w:sz w:val="26"/>
          <w:szCs w:val="26"/>
        </w:rPr>
        <w:t>ošus pārkārtojumus darba tirgū.</w:t>
      </w:r>
    </w:p>
    <w:p w:rsidR="00340CA7" w:rsidRPr="00340CA7" w:rsidRDefault="00340CA7" w:rsidP="00340CA7">
      <w:pPr>
        <w:spacing w:after="0" w:line="240" w:lineRule="auto"/>
        <w:ind w:firstLine="567"/>
        <w:jc w:val="both"/>
        <w:rPr>
          <w:sz w:val="8"/>
          <w:szCs w:val="26"/>
        </w:rPr>
      </w:pPr>
    </w:p>
    <w:p w:rsidR="00340CA7" w:rsidRPr="00CE34BC" w:rsidRDefault="00340CA7" w:rsidP="00340CA7">
      <w:pPr>
        <w:spacing w:after="0" w:line="240" w:lineRule="auto"/>
        <w:ind w:firstLine="567"/>
        <w:jc w:val="both"/>
        <w:rPr>
          <w:i/>
          <w:sz w:val="26"/>
          <w:szCs w:val="26"/>
        </w:rPr>
      </w:pPr>
      <w:r w:rsidRPr="00CE34BC">
        <w:rPr>
          <w:sz w:val="26"/>
          <w:szCs w:val="26"/>
        </w:rPr>
        <w:t>Kā atzīmē Eiropas Komisija, tad „</w:t>
      </w:r>
      <w:r w:rsidRPr="00CE34BC">
        <w:rPr>
          <w:i/>
          <w:sz w:val="26"/>
          <w:szCs w:val="26"/>
        </w:rPr>
        <w:t xml:space="preserve">līdzīgi kā citās jaunajās ES dalībvalstīs, arī Latvijā darba tirgus pārmaiņas apsteidzošos pasākumus ir grūti identificēt, tie biežāk ir </w:t>
      </w:r>
      <w:r w:rsidRPr="00CE34BC">
        <w:rPr>
          <w:i/>
          <w:iCs/>
          <w:sz w:val="26"/>
          <w:szCs w:val="26"/>
        </w:rPr>
        <w:t>„</w:t>
      </w:r>
      <w:proofErr w:type="spellStart"/>
      <w:r w:rsidRPr="00CE34BC">
        <w:rPr>
          <w:i/>
          <w:iCs/>
          <w:sz w:val="26"/>
          <w:szCs w:val="26"/>
        </w:rPr>
        <w:t>ad</w:t>
      </w:r>
      <w:proofErr w:type="spellEnd"/>
      <w:r w:rsidRPr="00CE34BC">
        <w:rPr>
          <w:i/>
          <w:iCs/>
          <w:sz w:val="26"/>
          <w:szCs w:val="26"/>
        </w:rPr>
        <w:t xml:space="preserve"> </w:t>
      </w:r>
      <w:proofErr w:type="spellStart"/>
      <w:r w:rsidRPr="00CE34BC">
        <w:rPr>
          <w:i/>
          <w:iCs/>
          <w:sz w:val="26"/>
          <w:szCs w:val="26"/>
        </w:rPr>
        <w:t>hoc</w:t>
      </w:r>
      <w:proofErr w:type="spellEnd"/>
      <w:r w:rsidRPr="00CE34BC">
        <w:rPr>
          <w:i/>
          <w:iCs/>
          <w:sz w:val="26"/>
          <w:szCs w:val="26"/>
        </w:rPr>
        <w:t xml:space="preserve">” </w:t>
      </w:r>
      <w:r w:rsidR="001B7234">
        <w:rPr>
          <w:i/>
          <w:sz w:val="26"/>
          <w:szCs w:val="26"/>
        </w:rPr>
        <w:t>ieviesti pasākumi</w:t>
      </w:r>
      <w:r w:rsidRPr="00CE34BC">
        <w:rPr>
          <w:i/>
          <w:sz w:val="26"/>
          <w:szCs w:val="26"/>
        </w:rPr>
        <w:t xml:space="preserve"> nevis st</w:t>
      </w:r>
      <w:r w:rsidR="001B7234">
        <w:rPr>
          <w:i/>
          <w:sz w:val="26"/>
          <w:szCs w:val="26"/>
        </w:rPr>
        <w:t>rukturēti pārkārtojumi. Diemžēl</w:t>
      </w:r>
      <w:r w:rsidRPr="00CE34BC">
        <w:rPr>
          <w:i/>
          <w:sz w:val="26"/>
          <w:szCs w:val="26"/>
        </w:rPr>
        <w:t xml:space="preserve"> tie nav sistēmiski, ar skaidru struktūru, rezultātā dažādas to sastāvdaļas kalpo atšķirīgiem mērķiem, pārklājas un var būt pat savstarpēji pretrunīgas. Citiem vārdiem sakot, pārmaiņas apsteidzošie pārkārtojumi Latvijas darba tirgū vēl joprojām ir nepilnīgi un nepietiekami mērķtiecīgi.”</w:t>
      </w:r>
      <w:r w:rsidRPr="00CE34BC">
        <w:rPr>
          <w:sz w:val="26"/>
          <w:szCs w:val="26"/>
          <w:vertAlign w:val="superscript"/>
        </w:rPr>
        <w:footnoteReference w:id="13"/>
      </w:r>
    </w:p>
    <w:p w:rsidR="00340CA7" w:rsidRPr="00CE34BC" w:rsidRDefault="00340CA7" w:rsidP="00340CA7">
      <w:pPr>
        <w:autoSpaceDE w:val="0"/>
        <w:autoSpaceDN w:val="0"/>
        <w:adjustRightInd w:val="0"/>
        <w:spacing w:after="0" w:line="240" w:lineRule="auto"/>
        <w:ind w:firstLine="567"/>
        <w:jc w:val="both"/>
        <w:rPr>
          <w:i/>
          <w:sz w:val="26"/>
          <w:szCs w:val="26"/>
        </w:rPr>
      </w:pPr>
      <w:r w:rsidRPr="00CE34BC">
        <w:rPr>
          <w:sz w:val="26"/>
          <w:szCs w:val="26"/>
        </w:rPr>
        <w:t xml:space="preserve">Šajā pašā Eiropas Komisijas ziņojumā ir norādīts, ka </w:t>
      </w:r>
      <w:r w:rsidRPr="00CE34BC">
        <w:rPr>
          <w:i/>
          <w:sz w:val="26"/>
          <w:szCs w:val="26"/>
        </w:rPr>
        <w:t>„komentētāji un kritiķi parasti uzsver, ka prognozēšana un apsteidzošie pasākumi ir samērā maz noderīgi, kad jānovērtē, piemēram, pieprasījums pēc darbaspēka un apmācības vajadzības 2020.gadā. Tomēr galvenais prognozēšanas noderīgums, tāpat kā apsteidzošajiem pasākumiem, ir mazāk saistīts ar rezultātu, bet gan ar procesu, kurā nākotne tiek kopīgi apsvērta. Dialogs ir nepieciešams, lai īstenotu apsteidzošos pārkārtojumus, un sociālam dialogam jābūt vērstam uz prognozēšanu un apste</w:t>
      </w:r>
      <w:r>
        <w:rPr>
          <w:i/>
          <w:sz w:val="26"/>
          <w:szCs w:val="26"/>
        </w:rPr>
        <w:t>idzošo pārkārtojumu īstenošanu.</w:t>
      </w:r>
    </w:p>
    <w:p w:rsidR="00340CA7" w:rsidRPr="00CE34BC" w:rsidRDefault="00340CA7" w:rsidP="00340CA7">
      <w:pPr>
        <w:autoSpaceDE w:val="0"/>
        <w:autoSpaceDN w:val="0"/>
        <w:adjustRightInd w:val="0"/>
        <w:spacing w:after="0" w:line="240" w:lineRule="auto"/>
        <w:ind w:firstLine="567"/>
        <w:jc w:val="both"/>
        <w:rPr>
          <w:i/>
          <w:sz w:val="26"/>
          <w:szCs w:val="26"/>
        </w:rPr>
      </w:pPr>
      <w:r w:rsidRPr="00CE34BC">
        <w:rPr>
          <w:i/>
          <w:sz w:val="26"/>
          <w:szCs w:val="26"/>
        </w:rPr>
        <w:t>Īpaši jāuzsver divi jautājumi saistībā ar prognozēšanu un apsteidzošajiem pasākumiem:</w:t>
      </w:r>
    </w:p>
    <w:p w:rsidR="00340CA7" w:rsidRPr="00340CA7" w:rsidRDefault="00340CA7" w:rsidP="00340CA7">
      <w:pPr>
        <w:pStyle w:val="ListParagraph"/>
        <w:numPr>
          <w:ilvl w:val="0"/>
          <w:numId w:val="18"/>
        </w:numPr>
        <w:autoSpaceDE w:val="0"/>
        <w:autoSpaceDN w:val="0"/>
        <w:adjustRightInd w:val="0"/>
        <w:spacing w:after="0" w:line="240" w:lineRule="auto"/>
        <w:ind w:left="993" w:hanging="426"/>
        <w:jc w:val="both"/>
        <w:rPr>
          <w:i/>
          <w:sz w:val="26"/>
          <w:szCs w:val="26"/>
        </w:rPr>
      </w:pPr>
      <w:r w:rsidRPr="00340CA7">
        <w:rPr>
          <w:i/>
          <w:sz w:val="26"/>
          <w:szCs w:val="26"/>
        </w:rPr>
        <w:t>pasākumi, kas nepieciešami, lai identificētu iespējamos riskus, lai tiktu galā ar negaidītiem notikumiem un nodrošinātu, ka visi nepieciešamie sagatavošanas darbi ir veikti, lai tiktu galā ar restrukturizācijas sekām, ir jāīsteno saskaņoti;</w:t>
      </w:r>
    </w:p>
    <w:p w:rsidR="00340CA7" w:rsidRPr="00340CA7" w:rsidRDefault="00340CA7" w:rsidP="00340CA7">
      <w:pPr>
        <w:pStyle w:val="ListParagraph"/>
        <w:numPr>
          <w:ilvl w:val="0"/>
          <w:numId w:val="18"/>
        </w:numPr>
        <w:autoSpaceDE w:val="0"/>
        <w:autoSpaceDN w:val="0"/>
        <w:adjustRightInd w:val="0"/>
        <w:spacing w:after="0" w:line="240" w:lineRule="auto"/>
        <w:ind w:left="993" w:hanging="426"/>
        <w:jc w:val="both"/>
        <w:rPr>
          <w:i/>
          <w:sz w:val="26"/>
          <w:szCs w:val="26"/>
        </w:rPr>
      </w:pPr>
      <w:r w:rsidRPr="00340CA7">
        <w:rPr>
          <w:i/>
          <w:sz w:val="26"/>
          <w:szCs w:val="26"/>
        </w:rPr>
        <w:t>aģenti mācās no pieredzes un daloties pieredzē. Viņu spējas rīkoties efektīvi restrukturizācijas gadījumos ir atkarīgas no tā, vai un cik lielā mērā viņi ir mācījušies no iegūtās pieredzes, tajā skaitā arī ārvalstīs iegūtās pieredzes (vai nu neveiksmīgas, vai arī veiksmīgas).”</w:t>
      </w:r>
    </w:p>
    <w:p w:rsidR="00340CA7" w:rsidRPr="00340CA7" w:rsidRDefault="00340CA7" w:rsidP="00340CA7">
      <w:pPr>
        <w:spacing w:after="0" w:line="240" w:lineRule="auto"/>
        <w:ind w:firstLine="567"/>
        <w:jc w:val="both"/>
        <w:rPr>
          <w:sz w:val="8"/>
          <w:szCs w:val="26"/>
        </w:rPr>
      </w:pPr>
    </w:p>
    <w:p w:rsidR="00340CA7" w:rsidRPr="00CE34BC" w:rsidRDefault="00340CA7" w:rsidP="00340CA7">
      <w:pPr>
        <w:spacing w:after="0" w:line="240" w:lineRule="auto"/>
        <w:ind w:firstLine="567"/>
        <w:jc w:val="both"/>
        <w:rPr>
          <w:sz w:val="26"/>
        </w:rPr>
      </w:pPr>
      <w:r w:rsidRPr="00CE34BC">
        <w:rPr>
          <w:sz w:val="26"/>
          <w:szCs w:val="26"/>
        </w:rPr>
        <w:t xml:space="preserve">Tātad, kā redzams no augstāk minētā, tad darba tirgus apsteidzošo pārkārtojumu īstenošanā būtisks elements ir diskusijas gan pašu politikas veidotāju starpā, gan ar sociālajiem partneriem. </w:t>
      </w:r>
      <w:r w:rsidRPr="00CE34BC">
        <w:rPr>
          <w:sz w:val="26"/>
        </w:rPr>
        <w:t>Šādai pieejai – konkrēta informācija un diskusijas – jākļūst par s</w:t>
      </w:r>
      <w:r w:rsidR="001B7234">
        <w:rPr>
          <w:sz w:val="26"/>
        </w:rPr>
        <w:t>istēmu politikas veidošanā.</w:t>
      </w:r>
    </w:p>
    <w:p w:rsidR="00340CA7" w:rsidRPr="00CE34BC" w:rsidRDefault="001B7234" w:rsidP="00340CA7">
      <w:pPr>
        <w:spacing w:after="0" w:line="240" w:lineRule="auto"/>
        <w:ind w:firstLine="567"/>
        <w:jc w:val="both"/>
        <w:rPr>
          <w:sz w:val="26"/>
          <w:szCs w:val="26"/>
        </w:rPr>
      </w:pPr>
      <w:r>
        <w:rPr>
          <w:sz w:val="26"/>
        </w:rPr>
        <w:t>EM</w:t>
      </w:r>
      <w:r w:rsidR="00340CA7" w:rsidRPr="00CE34BC">
        <w:rPr>
          <w:sz w:val="26"/>
        </w:rPr>
        <w:t xml:space="preserve"> izstrādātās darba tirgus prognozes ir tikai viens no posmiem darbaspēka piedāvājuma pielāgošanas procesā. Tā ir kvantitatīva bāze tālākām diskusijām starp nodarbinātības, izglītības un struktūrpolitikas veidotājiem, sociālajiem partneriem, zinātniekiem </w:t>
      </w:r>
      <w:proofErr w:type="spellStart"/>
      <w:r w:rsidR="00340CA7" w:rsidRPr="00CE34BC">
        <w:rPr>
          <w:sz w:val="26"/>
        </w:rPr>
        <w:t>u.tml</w:t>
      </w:r>
      <w:proofErr w:type="spellEnd"/>
      <w:r w:rsidR="00340CA7" w:rsidRPr="00CE34BC">
        <w:rPr>
          <w:sz w:val="26"/>
        </w:rPr>
        <w:t>., lai izkristalizētos konkrētās rīcības virzieni (skatīt 4.1.</w:t>
      </w:r>
      <w:r w:rsidR="00340CA7">
        <w:rPr>
          <w:sz w:val="26"/>
        </w:rPr>
        <w:t> </w:t>
      </w:r>
      <w:r w:rsidR="00340CA7" w:rsidRPr="00CE34BC">
        <w:rPr>
          <w:sz w:val="26"/>
        </w:rPr>
        <w:t>attēlu).</w:t>
      </w:r>
    </w:p>
    <w:p w:rsidR="00340CA7" w:rsidRDefault="00340CA7">
      <w:pPr>
        <w:spacing w:after="0" w:line="240" w:lineRule="auto"/>
        <w:rPr>
          <w:sz w:val="26"/>
          <w:szCs w:val="26"/>
        </w:rPr>
      </w:pPr>
      <w:r>
        <w:rPr>
          <w:sz w:val="26"/>
          <w:szCs w:val="26"/>
        </w:rPr>
        <w:br w:type="page"/>
      </w:r>
    </w:p>
    <w:p w:rsidR="00340CA7" w:rsidRPr="00CE34BC" w:rsidRDefault="00340CA7" w:rsidP="00340CA7">
      <w:pPr>
        <w:spacing w:after="120" w:line="240" w:lineRule="auto"/>
        <w:ind w:firstLine="567"/>
        <w:jc w:val="right"/>
        <w:rPr>
          <w:sz w:val="26"/>
          <w:szCs w:val="26"/>
        </w:rPr>
      </w:pPr>
      <w:r w:rsidRPr="00CE34BC">
        <w:rPr>
          <w:sz w:val="26"/>
          <w:szCs w:val="26"/>
        </w:rPr>
        <w:lastRenderedPageBreak/>
        <w:t>4.1. attēls</w:t>
      </w:r>
    </w:p>
    <w:p w:rsidR="00340CA7" w:rsidRPr="00CE34BC" w:rsidRDefault="00340CA7" w:rsidP="002432EC">
      <w:pPr>
        <w:spacing w:after="120" w:line="240" w:lineRule="auto"/>
        <w:ind w:firstLine="567"/>
        <w:jc w:val="center"/>
        <w:rPr>
          <w:b/>
          <w:sz w:val="26"/>
          <w:szCs w:val="26"/>
        </w:rPr>
      </w:pPr>
      <w:r w:rsidRPr="00CE34BC">
        <w:rPr>
          <w:b/>
          <w:sz w:val="26"/>
          <w:szCs w:val="26"/>
        </w:rPr>
        <w:t>Darba tirgus apsteidzošo pārkārtojumu sistēmas galvenie elementi Latvijā</w:t>
      </w:r>
    </w:p>
    <w:p w:rsidR="00340CA7" w:rsidRPr="00CE34BC" w:rsidRDefault="002432EC" w:rsidP="00340CA7">
      <w:pPr>
        <w:spacing w:after="0" w:line="240" w:lineRule="auto"/>
        <w:jc w:val="center"/>
      </w:pPr>
      <w:r>
        <w:object w:dxaOrig="11013" w:dyaOrig="5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4pt;height:201.05pt" o:ole="">
            <v:imagedata r:id="rId90" o:title=""/>
          </v:shape>
          <o:OLEObject Type="Embed" ProgID="Visio.Drawing.11" ShapeID="_x0000_i1025" DrawAspect="Content" ObjectID="_1433309303" r:id="rId91"/>
        </w:object>
      </w:r>
    </w:p>
    <w:p w:rsidR="00340CA7" w:rsidRPr="00CE34BC" w:rsidRDefault="00340CA7" w:rsidP="00340CA7">
      <w:pPr>
        <w:spacing w:after="0" w:line="240" w:lineRule="auto"/>
        <w:ind w:firstLine="567"/>
        <w:rPr>
          <w:sz w:val="26"/>
        </w:rPr>
      </w:pPr>
    </w:p>
    <w:p w:rsidR="00340CA7" w:rsidRPr="00340CA7" w:rsidRDefault="00340CA7" w:rsidP="00340CA7">
      <w:pPr>
        <w:spacing w:after="0" w:line="240" w:lineRule="auto"/>
        <w:ind w:firstLine="567"/>
        <w:jc w:val="both"/>
        <w:rPr>
          <w:sz w:val="26"/>
          <w:szCs w:val="26"/>
        </w:rPr>
      </w:pPr>
      <w:r w:rsidRPr="00CE34BC">
        <w:rPr>
          <w:sz w:val="26"/>
          <w:szCs w:val="26"/>
        </w:rPr>
        <w:t xml:space="preserve">Kā uzlabot Latvijā darba tirgus </w:t>
      </w:r>
      <w:r w:rsidRPr="00340CA7">
        <w:rPr>
          <w:sz w:val="26"/>
          <w:szCs w:val="26"/>
        </w:rPr>
        <w:t xml:space="preserve">pārmaiņas apsteidzošos pasākumus? Šajā sakarā noderīga varētu </w:t>
      </w:r>
      <w:r w:rsidR="00A228C1">
        <w:rPr>
          <w:sz w:val="26"/>
          <w:szCs w:val="26"/>
        </w:rPr>
        <w:t xml:space="preserve">būt Somijas pieredze (skatīt </w:t>
      </w:r>
      <w:r w:rsidRPr="00340CA7">
        <w:rPr>
          <w:sz w:val="26"/>
          <w:szCs w:val="26"/>
        </w:rPr>
        <w:t>ielikumu).</w:t>
      </w:r>
    </w:p>
    <w:p w:rsidR="00340CA7" w:rsidRPr="00340CA7" w:rsidRDefault="00340CA7" w:rsidP="00340CA7">
      <w:pPr>
        <w:spacing w:after="0" w:line="240" w:lineRule="auto"/>
        <w:jc w:val="both"/>
        <w:rPr>
          <w:sz w:val="26"/>
          <w:szCs w:val="26"/>
        </w:rPr>
      </w:pPr>
    </w:p>
    <w:p w:rsidR="00340CA7" w:rsidRPr="001E4BA5"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rPr>
          <w:bCs/>
          <w:iCs/>
          <w:sz w:val="12"/>
          <w:szCs w:val="8"/>
        </w:rPr>
      </w:pPr>
    </w:p>
    <w:p w:rsidR="00340CA7" w:rsidRPr="00340CA7" w:rsidRDefault="00A228C1"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rPr>
          <w:b/>
          <w:bCs/>
          <w:iCs/>
        </w:rPr>
      </w:pPr>
      <w:r>
        <w:rPr>
          <w:b/>
          <w:bCs/>
          <w:iCs/>
        </w:rPr>
        <w:t>I</w:t>
      </w:r>
      <w:r w:rsidR="00340CA7" w:rsidRPr="00340CA7">
        <w:rPr>
          <w:b/>
          <w:bCs/>
          <w:iCs/>
        </w:rPr>
        <w:t>elikums</w:t>
      </w:r>
    </w:p>
    <w:p w:rsidR="00340CA7" w:rsidRPr="001E4BA5"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rPr>
          <w:bCs/>
          <w:iCs/>
          <w:sz w:val="12"/>
          <w:szCs w:val="8"/>
        </w:rPr>
      </w:pP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rPr>
          <w:b/>
          <w:bCs/>
          <w:iCs/>
        </w:rPr>
      </w:pPr>
      <w:r w:rsidRPr="00340CA7">
        <w:rPr>
          <w:b/>
          <w:bCs/>
          <w:iCs/>
        </w:rPr>
        <w:t>Darba tirgus apsteidzošo pārkārtojumu sistēma</w:t>
      </w:r>
      <w:r w:rsidRPr="00CE34BC">
        <w:rPr>
          <w:b/>
          <w:bCs/>
          <w:iCs/>
        </w:rPr>
        <w:t xml:space="preserve"> Somijā</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bCs/>
          <w:iCs/>
        </w:rPr>
      </w:pPr>
      <w:r w:rsidRPr="00CE34BC">
        <w:t>Somijai ir bagātīga un visaptveroša prognozēšanas un paredzēšanas „sistēma” ar daudziem dalībniekiem un metodēm centrālajā, reģionālajā un vietējā līmenī. Tā nav vienota sistēma ar noteiktiem noteikumiem, likumdošanu un robežām, bet gan atvērta, lielā mērā neformāla „sistēma”, kas balstās uz plašu un intensīvu sadarbību, caurspīdīgumu un uzticēšanos.</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bCs/>
          <w:iCs/>
        </w:rPr>
      </w:pPr>
      <w:r w:rsidRPr="00CE34BC">
        <w:t>Lai šāda atvērta sistēma atbilstoši funkcionētu, ir jābūt prakšu un institūciju evolūcijai, un tai ir nepieciešams laiks. Somijā sociālo partnerību saprot plašā veidā, un tai ir ilgstoša un auglīga tradīcija, neskatoties uz politiskajiem strīdiem, kas ir normāla demokrātiskas sabiedrības daļa. Atvērtas un neformālas struktūras nefunkcionē, ja nav augsts uzticēšanās līmenis, un uzticēšanās rodas vai nerodas laika gaitā savstarpēji auglīgās uzvarētājs – uzvarētājs attiecībās.</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t xml:space="preserve">Parlamenta Nākotnes komiteja veido visa prognozēšanas un paredzēšanas „mezglu” Somijā. Augšpusē ir arī ministriju prognozēšanas tīklojums, pašu ministriju (un to aģentūru) paredzēšanas darbs, kā arī dažādas zinātniskās kopienas, sociālo partneru </w:t>
      </w:r>
      <w:proofErr w:type="spellStart"/>
      <w:r w:rsidRPr="00CE34BC">
        <w:t>u.c</w:t>
      </w:r>
      <w:proofErr w:type="spellEnd"/>
      <w:r w:rsidRPr="00CE34BC">
        <w:t xml:space="preserve">. aktivitātes, scenāriju veidošana </w:t>
      </w:r>
      <w:proofErr w:type="spellStart"/>
      <w:r w:rsidRPr="00CE34BC">
        <w:t>u.c</w:t>
      </w:r>
      <w:proofErr w:type="spellEnd"/>
      <w:r w:rsidRPr="00CE34BC">
        <w:t>.</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t>Četras ministrijas – Nodarbinātības un ekonomikas ministrija, Finanšu, Izglītības un kultūras, kā arī Veselības un sociālo lietu ministrija veido VATT – ilgtermiņa prognozi, kas kalpo par pamatu izglītības plānošanai, un kas ietver arī informāciju no reģioniem, izglītības kopienas un citām iesaistītajām pusēm.</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t>Reģionālajā un vietējā līmenī darbu veic reģionālās padomes un pašvaldības</w:t>
      </w:r>
      <w:r w:rsidR="001B7234">
        <w:t xml:space="preserve"> (un to aģentūras) un īstermiņa un</w:t>
      </w:r>
      <w:r w:rsidRPr="00CE34BC">
        <w:t xml:space="preserve"> vidēja termiņa prognozēšanas un</w:t>
      </w:r>
      <w:r w:rsidR="001B7234">
        <w:t xml:space="preserve"> paredzēšanas ELY-centri un TE-</w:t>
      </w:r>
      <w:r w:rsidRPr="00CE34BC">
        <w:t>biroji (PES).</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t>Visos līmeņos, un daudzkārt tos savienojoši, ir nacionālie un reģionālie forumi un darbsemināri (tāpat kā process, kas ietverts PATKET VATTAGE), kurā līdzdarbojas dažādas iesaistītās puses.</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t>Somijas „sistēma” ir pieredzējusi daudzas izmaiņas, un pašlaik ir pārejas periodā, kura laikā daži no galvenajiem elementiem, piemēram, jaunais PATKET – VATTAGE process, ilgtermiņa prognozēšanas procesa pamats, tiecas iegūt lielāku caurspīdīgumu, precizējot dažādu procesu dalībnieku lomas. Tas viss atspoguļo izmaiņas sabiedrībā, kurā izplatītākas kļūst līgumattiecības un vadītāja – darītāja lomu un aktivitāšu atdalīšana. Šīs izmaiņas liek atjaunot un atdzīvināt partnerību un tīklojumu veidošanu, arī Somijā.</w:t>
      </w:r>
    </w:p>
    <w:p w:rsidR="001B7234" w:rsidRPr="001B7234" w:rsidRDefault="001B7234"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sz w:val="12"/>
        </w:rPr>
      </w:pPr>
    </w:p>
    <w:p w:rsidR="001B7234" w:rsidRDefault="001B7234">
      <w:pPr>
        <w:spacing w:after="0" w:line="240" w:lineRule="auto"/>
      </w:pPr>
      <w:r>
        <w:br w:type="page"/>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pPr>
      <w:r w:rsidRPr="00CE34BC">
        <w:lastRenderedPageBreak/>
        <w:t xml:space="preserve">Sistēma veiksmīgi darbojas, bet joprojām ir plašas pilnveidošanās iespējas. Atvērtai un neformālai sistēmai ir tendence fragmentēties, zaudēt koordināciju un dublēties. Somijas „sistēmai” ir šādas problēmas, bet ne pārmērīgas. Atvērtās sistēmās vienmēr ir nepieciešama dublēšanās, un kontaktu intensitāte laika gaitā veido </w:t>
      </w:r>
      <w:proofErr w:type="spellStart"/>
      <w:r w:rsidRPr="00CE34BC">
        <w:t>paškoriģējošu</w:t>
      </w:r>
      <w:proofErr w:type="spellEnd"/>
      <w:r w:rsidRPr="00CE34BC">
        <w:t xml:space="preserve"> „sistēmu”.</w:t>
      </w:r>
    </w:p>
    <w:p w:rsidR="00340CA7" w:rsidRPr="00CE34BC"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bCs/>
          <w:iCs/>
        </w:rPr>
      </w:pPr>
      <w:r w:rsidRPr="00CE34BC">
        <w:t xml:space="preserve">Somijas sistēma, iespējams, ir arī „smaga datu veidošanai” pretstatā spējai visu šo informāciju reāli izmantot. Lai apgūtu informāciju un pārtulkotu to lēmumos un darbībā, ir nepieciešama tālāka izpēte un uzmanība. Prognozēšanas procesi netiek – vai tiem nevajadzētu tikt – veidotiem </w:t>
      </w:r>
      <w:proofErr w:type="spellStart"/>
      <w:r w:rsidRPr="00CE34BC">
        <w:t>pašmērķīgi</w:t>
      </w:r>
      <w:proofErr w:type="spellEnd"/>
      <w:r w:rsidRPr="00CE34BC">
        <w:t>, bet gan lai atbalstītu gudru lēmumu pieņemšanu.</w:t>
      </w:r>
    </w:p>
    <w:p w:rsidR="00340CA7" w:rsidRPr="00340CA7"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bCs/>
          <w:iCs/>
        </w:rPr>
      </w:pPr>
    </w:p>
    <w:p w:rsidR="00340CA7" w:rsidRDefault="00340CA7"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color w:val="000000" w:themeColor="text1"/>
        </w:rPr>
      </w:pPr>
      <w:r w:rsidRPr="00340CA7">
        <w:rPr>
          <w:b/>
          <w:bCs/>
          <w:iCs/>
          <w:color w:val="000000" w:themeColor="text1"/>
        </w:rPr>
        <w:t>Avots:</w:t>
      </w:r>
      <w:r w:rsidRPr="00340CA7">
        <w:rPr>
          <w:bCs/>
          <w:iCs/>
          <w:color w:val="000000" w:themeColor="text1"/>
        </w:rPr>
        <w:t xml:space="preserve"> Eiropas Komisija</w:t>
      </w:r>
      <w:r>
        <w:rPr>
          <w:bCs/>
          <w:iCs/>
          <w:color w:val="000000" w:themeColor="text1"/>
        </w:rPr>
        <w:t>.</w:t>
      </w:r>
      <w:r w:rsidRPr="00340CA7">
        <w:rPr>
          <w:bCs/>
          <w:iCs/>
          <w:color w:val="000000" w:themeColor="text1"/>
        </w:rPr>
        <w:t xml:space="preserve"> </w:t>
      </w:r>
      <w:r w:rsidRPr="00340CA7">
        <w:rPr>
          <w:bCs/>
          <w:color w:val="000000" w:themeColor="text1"/>
          <w:lang w:eastAsia="lv-LV"/>
        </w:rPr>
        <w:t>Sintēzes ziņojums</w:t>
      </w:r>
      <w:r w:rsidRPr="00340CA7">
        <w:rPr>
          <w:color w:val="000000" w:themeColor="text1"/>
          <w:lang w:eastAsia="lv-LV"/>
        </w:rPr>
        <w:t xml:space="preserve">. </w:t>
      </w:r>
      <w:r w:rsidRPr="00340CA7">
        <w:rPr>
          <w:bCs/>
          <w:color w:val="000000" w:themeColor="text1"/>
          <w:lang w:eastAsia="lv-LV"/>
        </w:rPr>
        <w:t>Sociālā partnerība</w:t>
      </w:r>
      <w:r w:rsidRPr="00340CA7">
        <w:rPr>
          <w:color w:val="000000" w:themeColor="text1"/>
          <w:lang w:eastAsia="lv-LV"/>
        </w:rPr>
        <w:t xml:space="preserve"> pārmaiņu apsteidzošo pārkārtojumu un restrukturizācijas īstenošanai. Savstarpējā mācīšanās: Somijas un Baltijas valstis</w:t>
      </w:r>
      <w:r w:rsidRPr="00340CA7">
        <w:rPr>
          <w:color w:val="000000" w:themeColor="text1"/>
        </w:rPr>
        <w:t>. 2011</w:t>
      </w:r>
      <w:r>
        <w:rPr>
          <w:color w:val="000000" w:themeColor="text1"/>
        </w:rPr>
        <w:t>.</w:t>
      </w:r>
      <w:r w:rsidRPr="00340CA7">
        <w:rPr>
          <w:color w:val="000000" w:themeColor="text1"/>
        </w:rPr>
        <w:t>gada novembris.</w:t>
      </w:r>
    </w:p>
    <w:p w:rsidR="001E4BA5" w:rsidRPr="001E4BA5" w:rsidRDefault="001E4BA5" w:rsidP="00340CA7">
      <w:pPr>
        <w:pBdr>
          <w:top w:val="single" w:sz="4" w:space="1" w:color="auto" w:shadow="1"/>
          <w:left w:val="single" w:sz="4" w:space="4" w:color="auto" w:shadow="1"/>
          <w:bottom w:val="single" w:sz="4" w:space="1" w:color="auto" w:shadow="1"/>
          <w:right w:val="single" w:sz="4" w:space="4" w:color="auto" w:shadow="1"/>
        </w:pBdr>
        <w:shd w:val="clear" w:color="auto" w:fill="E5DFEC" w:themeFill="accent4" w:themeFillTint="33"/>
        <w:spacing w:after="0" w:line="240" w:lineRule="auto"/>
        <w:ind w:right="170" w:firstLine="284"/>
        <w:jc w:val="both"/>
        <w:rPr>
          <w:color w:val="000000" w:themeColor="text1"/>
          <w:sz w:val="12"/>
        </w:rPr>
      </w:pPr>
    </w:p>
    <w:p w:rsidR="00340CA7" w:rsidRPr="00CE34BC" w:rsidRDefault="00340CA7" w:rsidP="00340CA7">
      <w:pPr>
        <w:spacing w:after="0" w:line="240" w:lineRule="auto"/>
        <w:ind w:firstLine="567"/>
        <w:jc w:val="both"/>
        <w:rPr>
          <w:sz w:val="26"/>
          <w:szCs w:val="26"/>
        </w:rPr>
      </w:pPr>
    </w:p>
    <w:p w:rsidR="00340CA7" w:rsidRPr="00CE34BC" w:rsidRDefault="00340CA7" w:rsidP="00340CA7">
      <w:pPr>
        <w:autoSpaceDE w:val="0"/>
        <w:autoSpaceDN w:val="0"/>
        <w:adjustRightInd w:val="0"/>
        <w:spacing w:after="0" w:line="240" w:lineRule="auto"/>
        <w:ind w:firstLine="567"/>
        <w:jc w:val="both"/>
        <w:rPr>
          <w:sz w:val="26"/>
          <w:szCs w:val="26"/>
        </w:rPr>
      </w:pPr>
      <w:r w:rsidRPr="00CE34BC">
        <w:rPr>
          <w:sz w:val="26"/>
          <w:szCs w:val="26"/>
        </w:rPr>
        <w:t>Eiropas Komisija augstāk minētajā ziņojumā par iespējām p</w:t>
      </w:r>
      <w:r>
        <w:rPr>
          <w:sz w:val="26"/>
          <w:szCs w:val="26"/>
        </w:rPr>
        <w:t>ārņemt Somijas pieredzi atzīmē:</w:t>
      </w:r>
    </w:p>
    <w:p w:rsidR="00340CA7" w:rsidRPr="00CE34BC" w:rsidRDefault="00340CA7" w:rsidP="00340CA7">
      <w:pPr>
        <w:autoSpaceDE w:val="0"/>
        <w:autoSpaceDN w:val="0"/>
        <w:adjustRightInd w:val="0"/>
        <w:spacing w:after="0" w:line="240" w:lineRule="auto"/>
        <w:ind w:firstLine="567"/>
        <w:jc w:val="both"/>
        <w:rPr>
          <w:i/>
          <w:sz w:val="26"/>
          <w:szCs w:val="26"/>
        </w:rPr>
      </w:pPr>
      <w:r w:rsidRPr="00CE34BC">
        <w:rPr>
          <w:sz w:val="26"/>
          <w:szCs w:val="26"/>
        </w:rPr>
        <w:t>„</w:t>
      </w:r>
      <w:r w:rsidRPr="00CE34BC">
        <w:rPr>
          <w:i/>
          <w:sz w:val="26"/>
          <w:szCs w:val="26"/>
        </w:rPr>
        <w:t>Nodošanas iespēja ir vērtējama skalā no vienkāršāk nododamiem „tehniskiem” mērījumu aspektiem līdz sarežģītām praksēm, kas ir dziļi iesakņotas nacionālajās struktūrās, kultūrās un ierastajos darbības veidos. Piemēram, VATTAGE, TKTT un Nodarbinātības Barometrs – iespējams, ir salīdzinoši viegli nododami instrumenti, ja ir pieejama nepieciešamā statistika, dinamiskā rinda un citas tehniskās prasības. Tomēr spēlētāju sadarbību un tīklojumu veidošanu nav viegli nodot. Tā ir jāpielāgo ap</w:t>
      </w:r>
      <w:r>
        <w:rPr>
          <w:i/>
          <w:sz w:val="26"/>
          <w:szCs w:val="26"/>
        </w:rPr>
        <w:t>stākļiem, kultūrām un iespējām.</w:t>
      </w:r>
    </w:p>
    <w:p w:rsidR="00340CA7" w:rsidRPr="00CE34BC" w:rsidRDefault="00340CA7" w:rsidP="00340CA7">
      <w:pPr>
        <w:autoSpaceDE w:val="0"/>
        <w:autoSpaceDN w:val="0"/>
        <w:adjustRightInd w:val="0"/>
        <w:spacing w:after="0" w:line="240" w:lineRule="auto"/>
        <w:ind w:firstLine="567"/>
        <w:jc w:val="both"/>
        <w:rPr>
          <w:i/>
          <w:sz w:val="26"/>
          <w:szCs w:val="26"/>
        </w:rPr>
      </w:pPr>
      <w:r w:rsidRPr="00CE34BC">
        <w:rPr>
          <w:i/>
          <w:sz w:val="26"/>
          <w:szCs w:val="26"/>
        </w:rPr>
        <w:t>Iespējams, ir nepieciešams noteikts daudzums spēlētāju ietverošs darbsemināru veids, kas novērtē iespējas, spēcīgās un vājās puses, nosaka tēmas un mācīšanās iespējas, kam seko fokusēti mācīšanās procesi, kuru laikā tiek izmēģinātas un praksē pilnveidotas dažādas metodes un sadarbības veidi. Iespējams, ka nozīmīgu lomu varētu ieņemt mācīšanās citam no cita, kā arī, piemēram, ES Savstarpējās Mācīšanās programmas un Mācīšanās citam no cita pārskatīšanas procesa elementi un procedūras.</w:t>
      </w:r>
    </w:p>
    <w:p w:rsidR="00340CA7" w:rsidRPr="00CE34BC" w:rsidRDefault="00340CA7" w:rsidP="00340CA7">
      <w:pPr>
        <w:autoSpaceDE w:val="0"/>
        <w:autoSpaceDN w:val="0"/>
        <w:adjustRightInd w:val="0"/>
        <w:spacing w:after="0" w:line="240" w:lineRule="auto"/>
        <w:ind w:firstLine="567"/>
        <w:jc w:val="both"/>
        <w:rPr>
          <w:i/>
          <w:sz w:val="26"/>
          <w:szCs w:val="26"/>
        </w:rPr>
      </w:pPr>
      <w:r w:rsidRPr="00CE34BC">
        <w:rPr>
          <w:i/>
          <w:sz w:val="26"/>
          <w:szCs w:val="26"/>
        </w:rPr>
        <w:t>Tomēr, iespējams, ka Somijai nozīmīgākā mācību stunda, ir tas, ka sadarbības palielināšana starp spēlētājiem, saskaroties ar sarežģītajiem prognozēšanas un paredzēšanas uzdevumiem, ir saistoša jebkuram kontekstam un valstij, un tā ir bijusi veiksmīga un auglīga Somijā. Sagaidot jaunus izaicinājumus, šī sadarbība ir pastāvīgi jāatjauno un jāatdzīvina.”</w:t>
      </w:r>
    </w:p>
    <w:p w:rsidR="00340CA7" w:rsidRPr="00CE34BC" w:rsidRDefault="00340CA7" w:rsidP="00340CA7">
      <w:pPr>
        <w:autoSpaceDE w:val="0"/>
        <w:autoSpaceDN w:val="0"/>
        <w:adjustRightInd w:val="0"/>
        <w:spacing w:after="0" w:line="240" w:lineRule="auto"/>
        <w:ind w:firstLine="567"/>
        <w:jc w:val="both"/>
        <w:rPr>
          <w:sz w:val="26"/>
          <w:szCs w:val="26"/>
        </w:rPr>
      </w:pPr>
    </w:p>
    <w:p w:rsidR="00340CA7" w:rsidRPr="00340CA7" w:rsidRDefault="00340CA7" w:rsidP="00340CA7">
      <w:pPr>
        <w:autoSpaceDE w:val="0"/>
        <w:autoSpaceDN w:val="0"/>
        <w:adjustRightInd w:val="0"/>
        <w:spacing w:after="0" w:line="240" w:lineRule="auto"/>
        <w:ind w:firstLine="567"/>
        <w:jc w:val="both"/>
        <w:rPr>
          <w:sz w:val="26"/>
          <w:szCs w:val="26"/>
        </w:rPr>
      </w:pPr>
      <w:r w:rsidRPr="00340CA7">
        <w:rPr>
          <w:sz w:val="26"/>
          <w:szCs w:val="26"/>
        </w:rPr>
        <w:t xml:space="preserve">Tādējādi, lai Latvija varētu jau laikus pielāgoties </w:t>
      </w:r>
      <w:r w:rsidRPr="00340CA7">
        <w:rPr>
          <w:i/>
          <w:sz w:val="26"/>
          <w:szCs w:val="26"/>
        </w:rPr>
        <w:t>Latvijas ilgtspējīgas attīstības stratēģijā „Latvija 2030”</w:t>
      </w:r>
      <w:r w:rsidRPr="00340CA7">
        <w:rPr>
          <w:sz w:val="26"/>
          <w:szCs w:val="26"/>
        </w:rPr>
        <w:t xml:space="preserve">, </w:t>
      </w:r>
      <w:r w:rsidRPr="00340CA7">
        <w:rPr>
          <w:i/>
          <w:sz w:val="26"/>
          <w:szCs w:val="26"/>
        </w:rPr>
        <w:t>Latvijas Nacionālajā attīstības plānā 2014.-2020.gadam</w:t>
      </w:r>
      <w:r w:rsidRPr="00340CA7">
        <w:rPr>
          <w:sz w:val="26"/>
          <w:szCs w:val="26"/>
        </w:rPr>
        <w:t xml:space="preserve"> un </w:t>
      </w:r>
      <w:r w:rsidRPr="00340CA7">
        <w:rPr>
          <w:i/>
          <w:sz w:val="26"/>
          <w:szCs w:val="26"/>
        </w:rPr>
        <w:t>Latvijas nacionālā reformu programmā „ES 2020” stratēģijas īstenošanai</w:t>
      </w:r>
      <w:r w:rsidRPr="00340CA7">
        <w:rPr>
          <w:sz w:val="26"/>
          <w:szCs w:val="26"/>
        </w:rPr>
        <w:t xml:space="preserve"> noteiktajām strukturālajām izmaiņām, ir nepieciešams būtiski uzlabot dažādu institūciju sadarbību darba tirgus apstei</w:t>
      </w:r>
      <w:r>
        <w:rPr>
          <w:sz w:val="26"/>
          <w:szCs w:val="26"/>
        </w:rPr>
        <w:t>dzošo pārkārtojumu īstenošanai.</w:t>
      </w:r>
    </w:p>
    <w:p w:rsidR="00340CA7" w:rsidRPr="00340CA7" w:rsidRDefault="00340CA7" w:rsidP="00340CA7">
      <w:pPr>
        <w:autoSpaceDE w:val="0"/>
        <w:autoSpaceDN w:val="0"/>
        <w:adjustRightInd w:val="0"/>
        <w:spacing w:after="0" w:line="240" w:lineRule="auto"/>
        <w:ind w:firstLine="567"/>
        <w:jc w:val="both"/>
        <w:rPr>
          <w:sz w:val="8"/>
          <w:szCs w:val="26"/>
        </w:rPr>
      </w:pPr>
    </w:p>
    <w:p w:rsidR="00340CA7" w:rsidRPr="00340CA7" w:rsidRDefault="00340CA7" w:rsidP="00340CA7">
      <w:pPr>
        <w:autoSpaceDE w:val="0"/>
        <w:autoSpaceDN w:val="0"/>
        <w:adjustRightInd w:val="0"/>
        <w:spacing w:after="0" w:line="240" w:lineRule="auto"/>
        <w:ind w:firstLine="567"/>
        <w:jc w:val="both"/>
        <w:rPr>
          <w:sz w:val="26"/>
          <w:szCs w:val="26"/>
        </w:rPr>
      </w:pPr>
      <w:r w:rsidRPr="00340CA7">
        <w:rPr>
          <w:sz w:val="26"/>
          <w:szCs w:val="26"/>
        </w:rPr>
        <w:t xml:space="preserve">EM ir iecerējusi izveidot mehānismu un sadarbības ietvaru, kurā kopīgi visas iesaistītās puses apsvērtu nākotni, kā rezultātā tiktu pieņemti pamatoti lēmumi par nepieciešamajiem </w:t>
      </w:r>
      <w:r w:rsidR="00C23BFB">
        <w:rPr>
          <w:sz w:val="26"/>
          <w:szCs w:val="26"/>
        </w:rPr>
        <w:t xml:space="preserve">politikas pasākumiem, it īpaši </w:t>
      </w:r>
      <w:r w:rsidRPr="00340CA7">
        <w:rPr>
          <w:sz w:val="26"/>
          <w:szCs w:val="26"/>
        </w:rPr>
        <w:t>izglītības jomā, lai nodrošinātu sabalansētu darba tirgus attīstību ilgtermiņā.</w:t>
      </w:r>
    </w:p>
    <w:p w:rsidR="00340CA7" w:rsidRPr="00340CA7" w:rsidRDefault="00340CA7" w:rsidP="00340CA7">
      <w:pPr>
        <w:spacing w:after="0" w:line="240" w:lineRule="auto"/>
        <w:ind w:firstLine="567"/>
        <w:jc w:val="both"/>
        <w:rPr>
          <w:sz w:val="26"/>
          <w:szCs w:val="26"/>
        </w:rPr>
      </w:pPr>
      <w:r w:rsidRPr="00340CA7">
        <w:rPr>
          <w:sz w:val="26"/>
          <w:szCs w:val="26"/>
        </w:rPr>
        <w:t xml:space="preserve">Lai pilnveidotu esošo darba tirgus vidēja un ilgtermiņa prognožu izplatīšanas sistēmu, ir paredzēts to papildināt ar </w:t>
      </w:r>
      <w:r w:rsidRPr="00C23BFB">
        <w:rPr>
          <w:i/>
          <w:sz w:val="26"/>
          <w:szCs w:val="26"/>
        </w:rPr>
        <w:t>Web</w:t>
      </w:r>
      <w:r w:rsidRPr="00340CA7">
        <w:rPr>
          <w:sz w:val="26"/>
          <w:szCs w:val="26"/>
        </w:rPr>
        <w:t xml:space="preserve"> bāzētu darba tirgus prognožu analīzes un karjeras plānošanas instrumentu. Tas ļautu politikas veidotājiem, izglītības iestādēm, karjeras plānošanas un profesionālās pilnveides centriem, absolventiem, kas plāno </w:t>
      </w:r>
      <w:r w:rsidRPr="00340CA7">
        <w:rPr>
          <w:sz w:val="26"/>
          <w:szCs w:val="26"/>
        </w:rPr>
        <w:lastRenderedPageBreak/>
        <w:t xml:space="preserve">turpināt mācības </w:t>
      </w:r>
      <w:proofErr w:type="spellStart"/>
      <w:r w:rsidRPr="00340CA7">
        <w:rPr>
          <w:sz w:val="26"/>
          <w:szCs w:val="26"/>
        </w:rPr>
        <w:t>u.c</w:t>
      </w:r>
      <w:proofErr w:type="spellEnd"/>
      <w:r w:rsidRPr="00340CA7">
        <w:rPr>
          <w:sz w:val="26"/>
          <w:szCs w:val="26"/>
        </w:rPr>
        <w:t>. interaktīvā veidā iepazīties un analizēt nākotnes darba tirgus tendences, tād</w:t>
      </w:r>
      <w:r w:rsidR="00C23BFB">
        <w:rPr>
          <w:sz w:val="26"/>
          <w:szCs w:val="26"/>
        </w:rPr>
        <w:t>ē</w:t>
      </w:r>
      <w:r w:rsidRPr="00340CA7">
        <w:rPr>
          <w:sz w:val="26"/>
          <w:szCs w:val="26"/>
        </w:rPr>
        <w:t>jādi gūstot plašāku ieskatu par perspektīviem profesionālās pilnveides virzieniem nākotnē. Pašlaik plašākai auditorijai vienīgā iespēja iepazīties ar EM gatavotām vidēja ter</w:t>
      </w:r>
      <w:r w:rsidR="00C23BFB">
        <w:rPr>
          <w:sz w:val="26"/>
          <w:szCs w:val="26"/>
        </w:rPr>
        <w:t xml:space="preserve">miņa darba tirgus prognozēm ir </w:t>
      </w:r>
      <w:r w:rsidRPr="00340CA7">
        <w:rPr>
          <w:i/>
          <w:sz w:val="26"/>
          <w:szCs w:val="26"/>
        </w:rPr>
        <w:t>Informatīvais ziņojums par darba tirgus vidēja un ilgtermiņa prognozēm</w:t>
      </w:r>
      <w:r w:rsidRPr="00340CA7">
        <w:rPr>
          <w:sz w:val="26"/>
          <w:szCs w:val="26"/>
        </w:rPr>
        <w:t>, kas tiek sagatavots reizi gadā un ir pieejams EM un MK mājas lapās.</w:t>
      </w:r>
    </w:p>
    <w:p w:rsidR="00340CA7" w:rsidRPr="00340CA7" w:rsidRDefault="00340CA7" w:rsidP="00340CA7">
      <w:pPr>
        <w:spacing w:after="0" w:line="240" w:lineRule="auto"/>
        <w:ind w:firstLine="567"/>
        <w:jc w:val="both"/>
        <w:rPr>
          <w:sz w:val="8"/>
          <w:szCs w:val="16"/>
        </w:rPr>
      </w:pPr>
    </w:p>
    <w:p w:rsidR="00340CA7" w:rsidRPr="00340CA7" w:rsidRDefault="00340CA7" w:rsidP="00340CA7">
      <w:pPr>
        <w:spacing w:after="0" w:line="240" w:lineRule="auto"/>
        <w:ind w:firstLine="567"/>
        <w:jc w:val="both"/>
        <w:rPr>
          <w:sz w:val="26"/>
          <w:szCs w:val="26"/>
        </w:rPr>
      </w:pPr>
      <w:r w:rsidRPr="00340CA7">
        <w:rPr>
          <w:sz w:val="26"/>
          <w:szCs w:val="26"/>
        </w:rPr>
        <w:t xml:space="preserve">Pasākuma </w:t>
      </w:r>
      <w:r w:rsidRPr="00340CA7">
        <w:rPr>
          <w:i/>
          <w:sz w:val="26"/>
          <w:szCs w:val="26"/>
        </w:rPr>
        <w:t>Darba tirgus apsteidzošo pārkārtojumu sistēmas ieviešana</w:t>
      </w:r>
      <w:r w:rsidRPr="00340CA7">
        <w:rPr>
          <w:sz w:val="26"/>
          <w:szCs w:val="26"/>
        </w:rPr>
        <w:t>, kuru EM plāno īstenot nākamajā ES fondu plānošanas periodā, mērķis ir izveidot organizatorisko sistēmu un tai pakārtoto tehnisko infrastruktūru, kas nodrošinātu savlaicīgu un saskaņotu valsts institūciju un nevalstisko organizāciju savstarpējo sadarbību darba tirgus pārmaiņu paredzēšanā un nepieciešamo pārkārtojumu ieviešanā.</w:t>
      </w:r>
    </w:p>
    <w:p w:rsidR="00340CA7" w:rsidRPr="00340CA7" w:rsidRDefault="00340CA7" w:rsidP="00340CA7">
      <w:pPr>
        <w:spacing w:after="0" w:line="240" w:lineRule="auto"/>
        <w:ind w:firstLine="567"/>
        <w:jc w:val="both"/>
        <w:rPr>
          <w:sz w:val="26"/>
          <w:szCs w:val="26"/>
        </w:rPr>
      </w:pPr>
      <w:r w:rsidRPr="00340CA7">
        <w:rPr>
          <w:sz w:val="26"/>
          <w:szCs w:val="26"/>
        </w:rPr>
        <w:t xml:space="preserve">Pasākuma ietvaros paredzēts veikt apsteidzošo pārkārtojumu sistēmas organizatoriskā ietvara un sadarbības modeļa apzināšanu un izveidi, </w:t>
      </w:r>
      <w:proofErr w:type="spellStart"/>
      <w:r w:rsidRPr="00340CA7">
        <w:rPr>
          <w:sz w:val="26"/>
          <w:szCs w:val="26"/>
        </w:rPr>
        <w:t>t.sk</w:t>
      </w:r>
      <w:proofErr w:type="spellEnd"/>
      <w:r w:rsidRPr="00340CA7">
        <w:rPr>
          <w:sz w:val="26"/>
          <w:szCs w:val="26"/>
        </w:rPr>
        <w:t>.:</w:t>
      </w:r>
    </w:p>
    <w:p w:rsidR="00340CA7" w:rsidRPr="00340CA7" w:rsidRDefault="00340CA7" w:rsidP="00340CA7">
      <w:pPr>
        <w:pStyle w:val="ListParagraph"/>
        <w:numPr>
          <w:ilvl w:val="0"/>
          <w:numId w:val="19"/>
        </w:numPr>
        <w:spacing w:after="0" w:line="240" w:lineRule="auto"/>
        <w:ind w:left="993" w:hanging="426"/>
        <w:jc w:val="both"/>
        <w:rPr>
          <w:sz w:val="26"/>
          <w:szCs w:val="26"/>
        </w:rPr>
      </w:pPr>
      <w:r w:rsidRPr="00340CA7">
        <w:rPr>
          <w:sz w:val="26"/>
          <w:szCs w:val="26"/>
        </w:rPr>
        <w:t>citu valstu darba tirgus apsteidzošo pārkārtojumu sistēmu un to organizatorisko modeļu izpēti;</w:t>
      </w:r>
    </w:p>
    <w:p w:rsidR="00340CA7" w:rsidRPr="00340CA7" w:rsidRDefault="00340CA7" w:rsidP="00340CA7">
      <w:pPr>
        <w:pStyle w:val="ListParagraph"/>
        <w:numPr>
          <w:ilvl w:val="0"/>
          <w:numId w:val="19"/>
        </w:numPr>
        <w:spacing w:after="0" w:line="240" w:lineRule="auto"/>
        <w:ind w:left="993" w:hanging="426"/>
        <w:jc w:val="both"/>
        <w:rPr>
          <w:sz w:val="26"/>
          <w:szCs w:val="26"/>
        </w:rPr>
      </w:pPr>
      <w:r w:rsidRPr="00340CA7">
        <w:rPr>
          <w:sz w:val="26"/>
          <w:szCs w:val="26"/>
        </w:rPr>
        <w:t>darba tirgus apsteidzošo pārkārtojumu organizā</w:t>
      </w:r>
      <w:r w:rsidR="001E4BA5">
        <w:rPr>
          <w:sz w:val="26"/>
          <w:szCs w:val="26"/>
        </w:rPr>
        <w:t>ciju un ekspertu tīkla izveidi.</w:t>
      </w:r>
    </w:p>
    <w:p w:rsidR="00340CA7" w:rsidRPr="00340CA7" w:rsidRDefault="00340CA7" w:rsidP="00340CA7">
      <w:pPr>
        <w:spacing w:after="0" w:line="240" w:lineRule="auto"/>
        <w:ind w:firstLine="567"/>
        <w:jc w:val="both"/>
        <w:rPr>
          <w:sz w:val="6"/>
          <w:szCs w:val="26"/>
        </w:rPr>
      </w:pPr>
    </w:p>
    <w:p w:rsidR="00340CA7" w:rsidRPr="001F02EB" w:rsidRDefault="00340CA7" w:rsidP="00340CA7">
      <w:pPr>
        <w:spacing w:after="0" w:line="240" w:lineRule="auto"/>
        <w:ind w:firstLine="567"/>
        <w:jc w:val="both"/>
        <w:rPr>
          <w:sz w:val="26"/>
          <w:szCs w:val="26"/>
        </w:rPr>
      </w:pPr>
      <w:r w:rsidRPr="00340CA7">
        <w:rPr>
          <w:sz w:val="26"/>
          <w:szCs w:val="26"/>
        </w:rPr>
        <w:t xml:space="preserve">Tiek arī plānota infrastruktūras atbalsta elementu ieviešana – IT platformas izveide, darba tirgus apsteidzošo pārkārtojumu sistēmas elementu saskaņotas un koordinētas darbības nodrošināšanai (interaktīva </w:t>
      </w:r>
      <w:r w:rsidRPr="00340CA7">
        <w:rPr>
          <w:i/>
          <w:sz w:val="26"/>
          <w:szCs w:val="26"/>
        </w:rPr>
        <w:t>Darba tirgus vidēja un ilgtermiņa prognožu analīzes un karjeras plānošanas instrumenta</w:t>
      </w:r>
      <w:r w:rsidRPr="00340CA7">
        <w:rPr>
          <w:sz w:val="26"/>
          <w:szCs w:val="26"/>
        </w:rPr>
        <w:t xml:space="preserve"> izveide un sasaiste ar Nodarbinātības valsts aģentūras Nodarbinātības barometru).</w:t>
      </w:r>
    </w:p>
    <w:p w:rsidR="00B40358" w:rsidRDefault="00B40358">
      <w:pPr>
        <w:spacing w:after="0" w:line="240" w:lineRule="auto"/>
        <w:rPr>
          <w:sz w:val="26"/>
          <w:szCs w:val="26"/>
        </w:rPr>
      </w:pPr>
      <w:r>
        <w:rPr>
          <w:sz w:val="26"/>
          <w:szCs w:val="26"/>
        </w:rPr>
        <w:br w:type="page"/>
      </w:r>
    </w:p>
    <w:p w:rsidR="00B40358" w:rsidRPr="00B40358" w:rsidRDefault="00B40358" w:rsidP="00B40358">
      <w:pPr>
        <w:pStyle w:val="Heading1"/>
        <w:pBdr>
          <w:bottom w:val="thinThickThinSmallGap" w:sz="24" w:space="1" w:color="8064A2" w:themeColor="accent4"/>
        </w:pBdr>
        <w:rPr>
          <w:sz w:val="36"/>
          <w:szCs w:val="36"/>
        </w:rPr>
      </w:pPr>
      <w:bookmarkStart w:id="65" w:name="_Toc328419624"/>
      <w:bookmarkStart w:id="66" w:name="_Toc357503129"/>
      <w:r w:rsidRPr="00B40358">
        <w:rPr>
          <w:sz w:val="36"/>
          <w:szCs w:val="36"/>
        </w:rPr>
        <w:lastRenderedPageBreak/>
        <w:t>5. Kopsavilkums un priekšlikumi</w:t>
      </w:r>
      <w:bookmarkEnd w:id="65"/>
      <w:bookmarkEnd w:id="66"/>
    </w:p>
    <w:p w:rsidR="00B40358" w:rsidRPr="00CD5FF0" w:rsidRDefault="00B40358" w:rsidP="00B40358">
      <w:pPr>
        <w:spacing w:after="0" w:line="240" w:lineRule="auto"/>
        <w:jc w:val="both"/>
        <w:rPr>
          <w:color w:val="000000" w:themeColor="text1"/>
          <w:sz w:val="16"/>
          <w:szCs w:val="24"/>
        </w:rPr>
      </w:pPr>
    </w:p>
    <w:p w:rsidR="001E4BA5" w:rsidRPr="00CD7B6E" w:rsidRDefault="001E4BA5" w:rsidP="001E4BA5">
      <w:pPr>
        <w:spacing w:after="20" w:line="240" w:lineRule="auto"/>
        <w:ind w:firstLine="567"/>
        <w:jc w:val="both"/>
        <w:rPr>
          <w:sz w:val="26"/>
          <w:szCs w:val="26"/>
        </w:rPr>
      </w:pPr>
      <w:r w:rsidRPr="00B27038">
        <w:rPr>
          <w:sz w:val="26"/>
          <w:szCs w:val="28"/>
        </w:rPr>
        <w:t>Ziņojumā ir</w:t>
      </w:r>
      <w:r>
        <w:rPr>
          <w:sz w:val="26"/>
          <w:szCs w:val="28"/>
        </w:rPr>
        <w:t xml:space="preserve"> raksturota esošā situācija darba tirgū, kā arī iekļautas aktualizētās </w:t>
      </w:r>
      <w:r w:rsidRPr="00B27038">
        <w:rPr>
          <w:sz w:val="26"/>
          <w:szCs w:val="28"/>
        </w:rPr>
        <w:t>darba tirgus vidēja</w:t>
      </w:r>
      <w:r>
        <w:rPr>
          <w:sz w:val="26"/>
          <w:szCs w:val="28"/>
        </w:rPr>
        <w:t xml:space="preserve"> un</w:t>
      </w:r>
      <w:r w:rsidRPr="00B27038">
        <w:rPr>
          <w:sz w:val="26"/>
          <w:szCs w:val="28"/>
        </w:rPr>
        <w:t xml:space="preserve"> </w:t>
      </w:r>
      <w:r>
        <w:rPr>
          <w:sz w:val="26"/>
          <w:szCs w:val="28"/>
        </w:rPr>
        <w:t>ilg</w:t>
      </w:r>
      <w:r w:rsidRPr="00B27038">
        <w:rPr>
          <w:sz w:val="26"/>
          <w:szCs w:val="28"/>
        </w:rPr>
        <w:t>termiņa progn</w:t>
      </w:r>
      <w:r>
        <w:rPr>
          <w:sz w:val="26"/>
          <w:szCs w:val="28"/>
        </w:rPr>
        <w:t xml:space="preserve">ozes, kas </w:t>
      </w:r>
      <w:r w:rsidRPr="00CD7B6E">
        <w:rPr>
          <w:sz w:val="26"/>
        </w:rPr>
        <w:t>ir viens no posmiem darbaspēka piedāvājuma pielāgošanas procesā. Tā ir kvantitatīva bāze tālākām diskusijām starp nodarbinātības, izglītības</w:t>
      </w:r>
      <w:r>
        <w:rPr>
          <w:sz w:val="26"/>
        </w:rPr>
        <w:t xml:space="preserve">, </w:t>
      </w:r>
      <w:r w:rsidRPr="00CD7B6E">
        <w:rPr>
          <w:sz w:val="26"/>
        </w:rPr>
        <w:t xml:space="preserve">struktūrpolitikas veidotājiem, sociālajiem partneriem, zinātniekiem </w:t>
      </w:r>
      <w:proofErr w:type="spellStart"/>
      <w:r w:rsidRPr="00CD7B6E">
        <w:rPr>
          <w:sz w:val="26"/>
        </w:rPr>
        <w:t>u.tml</w:t>
      </w:r>
      <w:proofErr w:type="spellEnd"/>
      <w:r w:rsidRPr="00CD7B6E">
        <w:rPr>
          <w:sz w:val="26"/>
        </w:rPr>
        <w:t>., lai izkristalizētos konkrētās rīcības virzieni</w:t>
      </w:r>
      <w:r>
        <w:rPr>
          <w:sz w:val="26"/>
        </w:rPr>
        <w:t>.</w:t>
      </w:r>
    </w:p>
    <w:p w:rsidR="001E4BA5" w:rsidRDefault="001E4BA5" w:rsidP="001E4BA5">
      <w:pPr>
        <w:spacing w:after="20" w:line="240" w:lineRule="auto"/>
        <w:ind w:firstLine="567"/>
        <w:jc w:val="both"/>
        <w:rPr>
          <w:spacing w:val="-4"/>
          <w:sz w:val="26"/>
          <w:szCs w:val="26"/>
          <w:lang w:eastAsia="lv-LV"/>
        </w:rPr>
      </w:pPr>
      <w:r>
        <w:rPr>
          <w:sz w:val="26"/>
          <w:szCs w:val="26"/>
        </w:rPr>
        <w:t>Darba tirgus p</w:t>
      </w:r>
      <w:r w:rsidRPr="00CD7B6E">
        <w:rPr>
          <w:sz w:val="26"/>
          <w:szCs w:val="26"/>
        </w:rPr>
        <w:t xml:space="preserve">rognozes sagatavotas atbilstoši ekonomiskās attīstības </w:t>
      </w:r>
      <w:r>
        <w:rPr>
          <w:sz w:val="26"/>
          <w:szCs w:val="26"/>
        </w:rPr>
        <w:t xml:space="preserve">makroekonomiskajam scenārijam, kurā tiek paredzēts, ka </w:t>
      </w:r>
      <w:r w:rsidRPr="00CD7B6E">
        <w:rPr>
          <w:spacing w:val="-4"/>
          <w:sz w:val="26"/>
          <w:szCs w:val="26"/>
          <w:lang w:eastAsia="lv-LV"/>
        </w:rPr>
        <w:t>Latvija veiksmīgi realizē</w:t>
      </w:r>
      <w:r>
        <w:rPr>
          <w:spacing w:val="-4"/>
          <w:sz w:val="26"/>
          <w:szCs w:val="26"/>
          <w:lang w:eastAsia="lv-LV"/>
        </w:rPr>
        <w:t xml:space="preserve"> </w:t>
      </w:r>
      <w:r w:rsidRPr="00CD7B6E">
        <w:rPr>
          <w:spacing w:val="-4"/>
          <w:sz w:val="26"/>
          <w:szCs w:val="26"/>
          <w:lang w:eastAsia="lv-LV"/>
        </w:rPr>
        <w:t>izaugsmes potenciāla stiprināšanas</w:t>
      </w:r>
      <w:r>
        <w:rPr>
          <w:spacing w:val="-4"/>
          <w:sz w:val="26"/>
          <w:szCs w:val="26"/>
          <w:lang w:eastAsia="lv-LV"/>
        </w:rPr>
        <w:t xml:space="preserve"> </w:t>
      </w:r>
      <w:r w:rsidRPr="00CD7B6E">
        <w:rPr>
          <w:spacing w:val="-4"/>
          <w:sz w:val="26"/>
          <w:szCs w:val="26"/>
          <w:lang w:eastAsia="lv-LV"/>
        </w:rPr>
        <w:t>struktūrpolitiku</w:t>
      </w:r>
      <w:r>
        <w:rPr>
          <w:spacing w:val="-4"/>
          <w:sz w:val="26"/>
          <w:szCs w:val="26"/>
          <w:lang w:eastAsia="lv-LV"/>
        </w:rPr>
        <w:t xml:space="preserve">, kā arī </w:t>
      </w:r>
      <w:r w:rsidRPr="00CD7B6E">
        <w:rPr>
          <w:spacing w:val="-4"/>
          <w:sz w:val="26"/>
          <w:szCs w:val="26"/>
          <w:lang w:eastAsia="lv-LV"/>
        </w:rPr>
        <w:t>globālās ekonomikas un ES attīstība</w:t>
      </w:r>
      <w:r>
        <w:rPr>
          <w:spacing w:val="-4"/>
          <w:sz w:val="26"/>
          <w:szCs w:val="26"/>
          <w:lang w:eastAsia="lv-LV"/>
        </w:rPr>
        <w:t xml:space="preserve"> vidējā un ilgtermiņā </w:t>
      </w:r>
      <w:r w:rsidRPr="00CD7B6E">
        <w:rPr>
          <w:spacing w:val="-4"/>
          <w:sz w:val="26"/>
          <w:szCs w:val="26"/>
          <w:lang w:eastAsia="lv-LV"/>
        </w:rPr>
        <w:t>ir stabila</w:t>
      </w:r>
      <w:r>
        <w:rPr>
          <w:spacing w:val="-4"/>
          <w:sz w:val="26"/>
          <w:szCs w:val="26"/>
          <w:lang w:eastAsia="lv-LV"/>
        </w:rPr>
        <w:t>. L</w:t>
      </w:r>
      <w:r w:rsidRPr="00CD7B6E">
        <w:rPr>
          <w:spacing w:val="-4"/>
          <w:sz w:val="26"/>
          <w:szCs w:val="26"/>
          <w:lang w:eastAsia="lv-LV"/>
        </w:rPr>
        <w:t>atvija</w:t>
      </w:r>
      <w:r>
        <w:rPr>
          <w:spacing w:val="-4"/>
          <w:sz w:val="26"/>
          <w:szCs w:val="26"/>
          <w:lang w:eastAsia="lv-LV"/>
        </w:rPr>
        <w:t>s IKP</w:t>
      </w:r>
      <w:r w:rsidRPr="00CD7B6E">
        <w:rPr>
          <w:spacing w:val="-4"/>
          <w:sz w:val="26"/>
          <w:szCs w:val="26"/>
          <w:lang w:eastAsia="lv-LV"/>
        </w:rPr>
        <w:t xml:space="preserve"> līdz 2020.gadam </w:t>
      </w:r>
      <w:r>
        <w:rPr>
          <w:spacing w:val="-4"/>
          <w:sz w:val="26"/>
          <w:szCs w:val="26"/>
          <w:lang w:eastAsia="lv-LV"/>
        </w:rPr>
        <w:t>pieaug vismaz par</w:t>
      </w:r>
      <w:r>
        <w:rPr>
          <w:spacing w:val="-4"/>
          <w:sz w:val="26"/>
          <w:szCs w:val="26"/>
          <w:lang w:eastAsia="lv-LV"/>
        </w:rPr>
        <w:br/>
        <w:t>4-</w:t>
      </w:r>
      <w:r w:rsidRPr="00CD7B6E">
        <w:rPr>
          <w:spacing w:val="-4"/>
          <w:sz w:val="26"/>
          <w:szCs w:val="26"/>
          <w:lang w:eastAsia="lv-LV"/>
        </w:rPr>
        <w:t>5%</w:t>
      </w:r>
      <w:r>
        <w:rPr>
          <w:spacing w:val="-4"/>
          <w:sz w:val="26"/>
          <w:szCs w:val="26"/>
          <w:lang w:eastAsia="lv-LV"/>
        </w:rPr>
        <w:t xml:space="preserve"> ik gadu</w:t>
      </w:r>
      <w:r w:rsidRPr="00CD7B6E">
        <w:rPr>
          <w:spacing w:val="-4"/>
          <w:sz w:val="26"/>
          <w:szCs w:val="26"/>
          <w:lang w:eastAsia="lv-LV"/>
        </w:rPr>
        <w:t xml:space="preserve">. </w:t>
      </w:r>
      <w:r>
        <w:rPr>
          <w:spacing w:val="-4"/>
          <w:sz w:val="26"/>
          <w:szCs w:val="26"/>
          <w:lang w:eastAsia="lv-LV"/>
        </w:rPr>
        <w:t xml:space="preserve">Paredzams, ka pēc 2020.gada </w:t>
      </w:r>
      <w:r w:rsidRPr="00CD7B6E">
        <w:rPr>
          <w:spacing w:val="-4"/>
          <w:sz w:val="26"/>
          <w:szCs w:val="26"/>
          <w:lang w:eastAsia="lv-LV"/>
        </w:rPr>
        <w:t xml:space="preserve">izaugsmes tempi </w:t>
      </w:r>
      <w:r>
        <w:rPr>
          <w:spacing w:val="-4"/>
          <w:sz w:val="26"/>
          <w:szCs w:val="26"/>
          <w:lang w:eastAsia="lv-LV"/>
        </w:rPr>
        <w:t>kļūs lēnāki</w:t>
      </w:r>
      <w:r w:rsidRPr="00CD7B6E">
        <w:rPr>
          <w:spacing w:val="-4"/>
          <w:sz w:val="26"/>
          <w:szCs w:val="26"/>
          <w:lang w:eastAsia="lv-LV"/>
        </w:rPr>
        <w:t>, jo</w:t>
      </w:r>
      <w:r w:rsidRPr="005F7EA0">
        <w:rPr>
          <w:spacing w:val="-4"/>
          <w:sz w:val="26"/>
          <w:szCs w:val="26"/>
          <w:lang w:eastAsia="lv-LV"/>
        </w:rPr>
        <w:t xml:space="preserve"> </w:t>
      </w:r>
      <w:r>
        <w:rPr>
          <w:spacing w:val="-4"/>
          <w:sz w:val="26"/>
          <w:szCs w:val="26"/>
          <w:lang w:eastAsia="lv-LV"/>
        </w:rPr>
        <w:t>līdzīgi kā citās attīstītās valstīs,</w:t>
      </w:r>
      <w:r w:rsidRPr="00CD7B6E">
        <w:rPr>
          <w:spacing w:val="-4"/>
          <w:sz w:val="26"/>
          <w:szCs w:val="26"/>
          <w:lang w:eastAsia="lv-LV"/>
        </w:rPr>
        <w:t xml:space="preserve"> sasniedzot augstāku ražošanas līmeni, </w:t>
      </w:r>
      <w:r>
        <w:rPr>
          <w:spacing w:val="-4"/>
          <w:sz w:val="26"/>
          <w:szCs w:val="26"/>
          <w:lang w:eastAsia="lv-LV"/>
        </w:rPr>
        <w:t>izaugsme</w:t>
      </w:r>
      <w:r w:rsidRPr="00CD7B6E">
        <w:rPr>
          <w:spacing w:val="-4"/>
          <w:sz w:val="26"/>
          <w:szCs w:val="26"/>
          <w:lang w:eastAsia="lv-LV"/>
        </w:rPr>
        <w:t xml:space="preserve"> vairs n</w:t>
      </w:r>
      <w:r>
        <w:rPr>
          <w:spacing w:val="-4"/>
          <w:sz w:val="26"/>
          <w:szCs w:val="26"/>
          <w:lang w:eastAsia="lv-LV"/>
        </w:rPr>
        <w:t xml:space="preserve">ebūs </w:t>
      </w:r>
      <w:r w:rsidRPr="00CD7B6E">
        <w:rPr>
          <w:spacing w:val="-4"/>
          <w:sz w:val="26"/>
          <w:szCs w:val="26"/>
          <w:lang w:eastAsia="lv-LV"/>
        </w:rPr>
        <w:t>tik dinamiska.</w:t>
      </w:r>
      <w:r w:rsidRPr="00145065">
        <w:rPr>
          <w:sz w:val="26"/>
          <w:szCs w:val="26"/>
        </w:rPr>
        <w:t xml:space="preserve"> </w:t>
      </w:r>
      <w:r w:rsidRPr="00CD7B6E">
        <w:rPr>
          <w:sz w:val="26"/>
          <w:szCs w:val="26"/>
        </w:rPr>
        <w:t xml:space="preserve">Prognozēs ir noteikti </w:t>
      </w:r>
      <w:r>
        <w:rPr>
          <w:sz w:val="26"/>
          <w:szCs w:val="26"/>
        </w:rPr>
        <w:t xml:space="preserve">tautsaimniecības pamatnozaru </w:t>
      </w:r>
      <w:r w:rsidRPr="00CD7B6E">
        <w:rPr>
          <w:sz w:val="26"/>
          <w:szCs w:val="26"/>
        </w:rPr>
        <w:t>izaugsmes tempi un produktivitātes izmaiņas.</w:t>
      </w:r>
    </w:p>
    <w:p w:rsidR="001E4BA5" w:rsidRPr="00DD1FC6" w:rsidRDefault="001E4BA5" w:rsidP="001E4BA5">
      <w:pPr>
        <w:autoSpaceDE w:val="0"/>
        <w:autoSpaceDN w:val="0"/>
        <w:adjustRightInd w:val="0"/>
        <w:spacing w:after="20" w:line="240" w:lineRule="auto"/>
        <w:ind w:firstLine="567"/>
        <w:jc w:val="both"/>
        <w:rPr>
          <w:sz w:val="26"/>
          <w:szCs w:val="26"/>
        </w:rPr>
      </w:pPr>
      <w:r>
        <w:rPr>
          <w:sz w:val="26"/>
          <w:szCs w:val="26"/>
        </w:rPr>
        <w:t xml:space="preserve">Tajā pašā laikā ir jāņem vērā, ka </w:t>
      </w:r>
      <w:r w:rsidRPr="00DC7491">
        <w:rPr>
          <w:sz w:val="26"/>
          <w:szCs w:val="26"/>
        </w:rPr>
        <w:t xml:space="preserve">Latvijas ekonomiskās priekšrocības </w:t>
      </w:r>
      <w:r>
        <w:rPr>
          <w:sz w:val="26"/>
          <w:szCs w:val="26"/>
        </w:rPr>
        <w:t xml:space="preserve">pašlaik </w:t>
      </w:r>
      <w:r w:rsidRPr="00DC7491">
        <w:rPr>
          <w:sz w:val="26"/>
          <w:szCs w:val="26"/>
        </w:rPr>
        <w:t xml:space="preserve">galvenokārt balstās uz zemām darbaspēka izmaksām un zemo tehnoloģiju nozarēm. </w:t>
      </w:r>
      <w:r>
        <w:rPr>
          <w:sz w:val="26"/>
          <w:szCs w:val="26"/>
        </w:rPr>
        <w:t xml:space="preserve">Savukārt turpmākajos gados </w:t>
      </w:r>
      <w:r w:rsidRPr="00DC7491">
        <w:rPr>
          <w:sz w:val="26"/>
          <w:szCs w:val="26"/>
        </w:rPr>
        <w:t xml:space="preserve">darbaspēka izmaksu pieaugums ir </w:t>
      </w:r>
      <w:r>
        <w:rPr>
          <w:sz w:val="26"/>
          <w:szCs w:val="26"/>
        </w:rPr>
        <w:t xml:space="preserve">neizbēgams izaugsmes un </w:t>
      </w:r>
      <w:r w:rsidRPr="00DC7491">
        <w:rPr>
          <w:sz w:val="26"/>
          <w:szCs w:val="26"/>
        </w:rPr>
        <w:t>atvērtā darba tirgus dēļ. Tas nozīmē, ka Latvija var zaudēt konkurētspēju zemu izmaksu segmentos ātrāk nekā iegūt priekšrocības augstākas pievienotās vērtības produktu ražošanā</w:t>
      </w:r>
      <w:r>
        <w:rPr>
          <w:sz w:val="26"/>
          <w:szCs w:val="26"/>
        </w:rPr>
        <w:t xml:space="preserve">. </w:t>
      </w:r>
      <w:r w:rsidRPr="00DD1FC6">
        <w:rPr>
          <w:sz w:val="26"/>
          <w:szCs w:val="26"/>
        </w:rPr>
        <w:t xml:space="preserve">Lai izvairītos no zemu ienākumu </w:t>
      </w:r>
      <w:r>
        <w:rPr>
          <w:sz w:val="26"/>
          <w:szCs w:val="26"/>
        </w:rPr>
        <w:t>„slazda”</w:t>
      </w:r>
      <w:r w:rsidRPr="00DD1FC6">
        <w:rPr>
          <w:sz w:val="26"/>
          <w:szCs w:val="26"/>
        </w:rPr>
        <w:t xml:space="preserve"> ir nepieciešamas </w:t>
      </w:r>
      <w:r>
        <w:rPr>
          <w:sz w:val="26"/>
          <w:szCs w:val="26"/>
        </w:rPr>
        <w:t>ieviest Nacionālo industriālo politiku</w:t>
      </w:r>
      <w:r w:rsidRPr="00DD1FC6">
        <w:rPr>
          <w:sz w:val="26"/>
          <w:szCs w:val="26"/>
        </w:rPr>
        <w:t xml:space="preserve">, </w:t>
      </w:r>
      <w:r>
        <w:rPr>
          <w:sz w:val="26"/>
          <w:szCs w:val="26"/>
        </w:rPr>
        <w:t>kas</w:t>
      </w:r>
      <w:r w:rsidR="001B7234">
        <w:rPr>
          <w:sz w:val="26"/>
          <w:szCs w:val="26"/>
        </w:rPr>
        <w:t xml:space="preserve"> sekmē</w:t>
      </w:r>
      <w:r>
        <w:rPr>
          <w:sz w:val="26"/>
          <w:szCs w:val="26"/>
        </w:rPr>
        <w:t>s</w:t>
      </w:r>
      <w:r w:rsidRPr="00DD1FC6">
        <w:rPr>
          <w:sz w:val="26"/>
          <w:szCs w:val="26"/>
        </w:rPr>
        <w:t xml:space="preserve"> pāreju no zemas uz vidēju un augstu tehnoloģiju nozarēm</w:t>
      </w:r>
      <w:r>
        <w:rPr>
          <w:sz w:val="26"/>
          <w:szCs w:val="26"/>
        </w:rPr>
        <w:t>.</w:t>
      </w:r>
    </w:p>
    <w:p w:rsidR="001E4BA5" w:rsidRDefault="001E4BA5" w:rsidP="001E4BA5">
      <w:pPr>
        <w:spacing w:after="20" w:line="240" w:lineRule="auto"/>
        <w:ind w:firstLine="567"/>
        <w:jc w:val="both"/>
        <w:rPr>
          <w:sz w:val="26"/>
          <w:szCs w:val="26"/>
        </w:rPr>
      </w:pPr>
      <w:r w:rsidRPr="00CD7B6E">
        <w:rPr>
          <w:sz w:val="26"/>
          <w:szCs w:val="26"/>
        </w:rPr>
        <w:t xml:space="preserve">Darbaspēka pieprasījuma un piedāvājuma prognozēs tiek ņemtas vērā </w:t>
      </w:r>
      <w:r>
        <w:rPr>
          <w:sz w:val="26"/>
          <w:szCs w:val="26"/>
        </w:rPr>
        <w:t xml:space="preserve">arī </w:t>
      </w:r>
      <w:r w:rsidRPr="00CD7B6E">
        <w:rPr>
          <w:sz w:val="26"/>
          <w:szCs w:val="26"/>
        </w:rPr>
        <w:t xml:space="preserve">demogrāfijas izmaiņas, iedzīvotāju ekonomiskās aktivitātes izmaiņas, nodarbināto vecuma struktūra profesiju grupās, izglītības piedāvājums, šī brīža neatbilstību starp nodarbināto izglītības līmeni un profesijai nepieciešamo izglītības līmeni, profesionālā mobilitāte </w:t>
      </w:r>
      <w:proofErr w:type="spellStart"/>
      <w:r w:rsidRPr="00CD7B6E">
        <w:rPr>
          <w:sz w:val="26"/>
          <w:szCs w:val="26"/>
        </w:rPr>
        <w:t>u.c</w:t>
      </w:r>
      <w:proofErr w:type="spellEnd"/>
      <w:r w:rsidRPr="00CD7B6E">
        <w:rPr>
          <w:sz w:val="26"/>
          <w:szCs w:val="26"/>
        </w:rPr>
        <w:t>. faktori.</w:t>
      </w:r>
    </w:p>
    <w:p w:rsidR="001E4BA5" w:rsidRDefault="001E4BA5" w:rsidP="001E4BA5">
      <w:pPr>
        <w:spacing w:after="0" w:line="240" w:lineRule="auto"/>
        <w:ind w:firstLine="567"/>
        <w:jc w:val="both"/>
        <w:rPr>
          <w:color w:val="000000" w:themeColor="text1"/>
          <w:sz w:val="26"/>
          <w:szCs w:val="26"/>
        </w:rPr>
      </w:pPr>
      <w:r w:rsidRPr="00F06D55">
        <w:rPr>
          <w:color w:val="000000" w:themeColor="text1"/>
          <w:sz w:val="26"/>
          <w:szCs w:val="26"/>
        </w:rPr>
        <w:t>Saskaņā ar demogrāfijas prognozēm iedzīvotāju skaits Latvijā vidējā un ilgtermiņā turpinās samazināties, pie tam darbaspējas vecumā iedzīvotāju skaits samazināsies straujāk nekā kopējais iedzīvotāju skaits.</w:t>
      </w:r>
      <w:r>
        <w:rPr>
          <w:color w:val="000000" w:themeColor="text1"/>
          <w:sz w:val="26"/>
          <w:szCs w:val="26"/>
        </w:rPr>
        <w:t xml:space="preserve"> G</w:t>
      </w:r>
      <w:r w:rsidRPr="00F06D55">
        <w:rPr>
          <w:color w:val="000000" w:themeColor="text1"/>
          <w:sz w:val="26"/>
          <w:szCs w:val="26"/>
        </w:rPr>
        <w:t>alvenais iedzīvotāju skaita samazināšanās iemesls gan vidējā, gan ilgtermiņā būs iedzīvotāju novecošanās, kā rezultātā turpināsies palielināties starpība starp dzimstības un mirstības rādītājiem.</w:t>
      </w:r>
      <w:r>
        <w:rPr>
          <w:color w:val="000000" w:themeColor="text1"/>
          <w:sz w:val="26"/>
          <w:szCs w:val="26"/>
        </w:rPr>
        <w:t xml:space="preserve"> Ņemot vērā negatīvās demogrāfijas tendences, </w:t>
      </w:r>
      <w:r w:rsidRPr="00F06D55">
        <w:rPr>
          <w:color w:val="000000" w:themeColor="text1"/>
          <w:sz w:val="26"/>
          <w:szCs w:val="26"/>
        </w:rPr>
        <w:t>darbaspēka trūkums nākotnē var kļūt par vienu no ga</w:t>
      </w:r>
      <w:r>
        <w:rPr>
          <w:color w:val="000000" w:themeColor="text1"/>
          <w:sz w:val="26"/>
          <w:szCs w:val="26"/>
        </w:rPr>
        <w:t>lvenajiem šķēršļiem izaugsmei.</w:t>
      </w:r>
    </w:p>
    <w:p w:rsidR="001E4BA5" w:rsidRPr="00CD7B6E" w:rsidRDefault="001E4BA5" w:rsidP="001E4BA5">
      <w:pPr>
        <w:autoSpaceDE w:val="0"/>
        <w:autoSpaceDN w:val="0"/>
        <w:adjustRightInd w:val="0"/>
        <w:spacing w:after="20" w:line="240" w:lineRule="auto"/>
        <w:ind w:firstLine="567"/>
        <w:jc w:val="both"/>
        <w:rPr>
          <w:sz w:val="26"/>
          <w:szCs w:val="26"/>
        </w:rPr>
      </w:pPr>
      <w:r>
        <w:rPr>
          <w:sz w:val="26"/>
          <w:szCs w:val="26"/>
        </w:rPr>
        <w:t>N</w:t>
      </w:r>
      <w:r w:rsidRPr="004773BF">
        <w:rPr>
          <w:sz w:val="26"/>
          <w:szCs w:val="26"/>
        </w:rPr>
        <w:t>ākamajos gados situācija darba tirgū turpinās pakāpeniski uzlaboties, tomēr vidējā termiņā saglabāsies jūtamas disproporcijas starp darbaspēka pieprasījumu un piedāvājumu.</w:t>
      </w:r>
      <w:r>
        <w:rPr>
          <w:sz w:val="26"/>
          <w:szCs w:val="26"/>
        </w:rPr>
        <w:t xml:space="preserve"> D</w:t>
      </w:r>
      <w:r w:rsidRPr="00F275BA">
        <w:rPr>
          <w:sz w:val="26"/>
          <w:szCs w:val="26"/>
        </w:rPr>
        <w:t>ažās profesijās ja</w:t>
      </w:r>
      <w:r>
        <w:rPr>
          <w:sz w:val="26"/>
          <w:szCs w:val="26"/>
        </w:rPr>
        <w:t>u pašlaik ir vērojams atbilstošas</w:t>
      </w:r>
      <w:r w:rsidRPr="00F275BA">
        <w:rPr>
          <w:sz w:val="26"/>
          <w:szCs w:val="26"/>
        </w:rPr>
        <w:t xml:space="preserve"> kvalifi</w:t>
      </w:r>
      <w:r>
        <w:rPr>
          <w:sz w:val="26"/>
          <w:szCs w:val="26"/>
        </w:rPr>
        <w:t>kācijas darbaspēka trūkums, t</w:t>
      </w:r>
      <w:r w:rsidRPr="00F275BA">
        <w:rPr>
          <w:sz w:val="26"/>
          <w:szCs w:val="26"/>
        </w:rPr>
        <w:t>omēr jāņem vērā, ka darbaspēka pieprasījuma un piedāvājuma atbilstību ietekmē ne tikai attiecīgās pr</w:t>
      </w:r>
      <w:r>
        <w:rPr>
          <w:sz w:val="26"/>
          <w:szCs w:val="26"/>
        </w:rPr>
        <w:t>asmes, bet arī darbaspēka cena. Atsevišķās profesijās</w:t>
      </w:r>
      <w:r w:rsidRPr="00CD7B6E">
        <w:rPr>
          <w:sz w:val="26"/>
          <w:szCs w:val="26"/>
        </w:rPr>
        <w:t xml:space="preserve"> </w:t>
      </w:r>
      <w:r>
        <w:rPr>
          <w:sz w:val="26"/>
          <w:szCs w:val="26"/>
        </w:rPr>
        <w:t>pat p</w:t>
      </w:r>
      <w:r w:rsidRPr="00CD7B6E">
        <w:rPr>
          <w:sz w:val="26"/>
          <w:szCs w:val="26"/>
        </w:rPr>
        <w:t>ie re</w:t>
      </w:r>
      <w:r>
        <w:rPr>
          <w:sz w:val="26"/>
          <w:szCs w:val="26"/>
        </w:rPr>
        <w:t>latīvi augsta atalgojuma līmeņa</w:t>
      </w:r>
      <w:r w:rsidRPr="00CD7B6E">
        <w:rPr>
          <w:sz w:val="26"/>
          <w:szCs w:val="26"/>
        </w:rPr>
        <w:t xml:space="preserve"> jau pašlaik ir grūtības apmierināt pieaugošo pieprasījuma ar atbilstošās kvalifikācijas darbaspēku (piemēr</w:t>
      </w:r>
      <w:r>
        <w:rPr>
          <w:sz w:val="26"/>
          <w:szCs w:val="26"/>
        </w:rPr>
        <w:t>am – IT nozarē, programmētāji), bet v</w:t>
      </w:r>
      <w:r w:rsidRPr="00CD7B6E">
        <w:rPr>
          <w:sz w:val="26"/>
          <w:szCs w:val="26"/>
        </w:rPr>
        <w:t xml:space="preserve">ienlaikus ir jomas, kur pastāv būtisks darbaspēka pārpalikums (dažādu pakalpojumu jomu pārvaldes/administrācijas darbinieki, personāla speciālisti, tirdzniecības aģenti </w:t>
      </w:r>
      <w:proofErr w:type="spellStart"/>
      <w:r w:rsidRPr="00CD7B6E">
        <w:rPr>
          <w:sz w:val="26"/>
          <w:szCs w:val="26"/>
        </w:rPr>
        <w:t>u.tml</w:t>
      </w:r>
      <w:proofErr w:type="spellEnd"/>
      <w:r w:rsidRPr="00CD7B6E">
        <w:rPr>
          <w:sz w:val="26"/>
          <w:szCs w:val="26"/>
        </w:rPr>
        <w:t>.), tād</w:t>
      </w:r>
      <w:r w:rsidR="001B7234">
        <w:rPr>
          <w:sz w:val="26"/>
          <w:szCs w:val="26"/>
        </w:rPr>
        <w:t>ē</w:t>
      </w:r>
      <w:r w:rsidRPr="00CD7B6E">
        <w:rPr>
          <w:sz w:val="26"/>
          <w:szCs w:val="26"/>
        </w:rPr>
        <w:t>jādi iedzīvotāji ar atbilstošo izglītību un pieredzi spies</w:t>
      </w:r>
      <w:r>
        <w:rPr>
          <w:sz w:val="26"/>
          <w:szCs w:val="26"/>
        </w:rPr>
        <w:t>ti strādāt zemāka līmeņa darbos.</w:t>
      </w:r>
    </w:p>
    <w:p w:rsidR="001E4BA5" w:rsidRPr="001E4BA5" w:rsidRDefault="001E4BA5" w:rsidP="001E4BA5">
      <w:pPr>
        <w:autoSpaceDE w:val="0"/>
        <w:autoSpaceDN w:val="0"/>
        <w:adjustRightInd w:val="0"/>
        <w:spacing w:after="20" w:line="240" w:lineRule="auto"/>
        <w:jc w:val="both"/>
        <w:rPr>
          <w:sz w:val="18"/>
          <w:szCs w:val="26"/>
        </w:rPr>
      </w:pPr>
    </w:p>
    <w:p w:rsidR="001E4BA5" w:rsidRPr="002116E4" w:rsidRDefault="001E4BA5" w:rsidP="001E4BA5">
      <w:pPr>
        <w:spacing w:after="0" w:line="240" w:lineRule="auto"/>
        <w:rPr>
          <w:b/>
          <w:bCs/>
          <w:sz w:val="28"/>
          <w:szCs w:val="28"/>
        </w:rPr>
      </w:pPr>
      <w:r w:rsidRPr="002116E4">
        <w:rPr>
          <w:b/>
          <w:bCs/>
          <w:sz w:val="28"/>
          <w:szCs w:val="28"/>
        </w:rPr>
        <w:lastRenderedPageBreak/>
        <w:t>I Darba tirgus disproporcijas</w:t>
      </w:r>
    </w:p>
    <w:p w:rsidR="001E4BA5" w:rsidRPr="00ED5C77" w:rsidRDefault="001E4BA5" w:rsidP="001E4BA5">
      <w:pPr>
        <w:pStyle w:val="ListParagraph"/>
        <w:spacing w:after="20" w:line="240" w:lineRule="auto"/>
        <w:ind w:left="0" w:firstLine="567"/>
        <w:jc w:val="both"/>
        <w:rPr>
          <w:sz w:val="8"/>
          <w:szCs w:val="26"/>
        </w:rPr>
      </w:pPr>
    </w:p>
    <w:p w:rsidR="001E4BA5" w:rsidRDefault="001E4BA5" w:rsidP="001E4BA5">
      <w:pPr>
        <w:pStyle w:val="ListParagraph"/>
        <w:spacing w:after="20" w:line="240" w:lineRule="auto"/>
        <w:ind w:left="0" w:firstLine="567"/>
        <w:jc w:val="both"/>
        <w:rPr>
          <w:sz w:val="26"/>
        </w:rPr>
      </w:pPr>
      <w:r>
        <w:rPr>
          <w:sz w:val="26"/>
          <w:szCs w:val="26"/>
        </w:rPr>
        <w:t xml:space="preserve">Atbilstoši darba tirgus vidēja un ilgtermiņa darba tirgus prognozēm, </w:t>
      </w:r>
      <w:r>
        <w:rPr>
          <w:sz w:val="26"/>
        </w:rPr>
        <w:t>s</w:t>
      </w:r>
      <w:r w:rsidRPr="002116E4">
        <w:rPr>
          <w:sz w:val="26"/>
        </w:rPr>
        <w:t>aglabājoties pašreizējai darbaspēka sagatavošanas struktūrai</w:t>
      </w:r>
      <w:r>
        <w:rPr>
          <w:sz w:val="26"/>
        </w:rPr>
        <w:t>,</w:t>
      </w:r>
      <w:r w:rsidRPr="002116E4">
        <w:rPr>
          <w:sz w:val="26"/>
        </w:rPr>
        <w:t xml:space="preserve"> </w:t>
      </w:r>
      <w:r>
        <w:rPr>
          <w:sz w:val="26"/>
          <w:szCs w:val="26"/>
        </w:rPr>
        <w:t>ir identificētas četras galvenās darba tirgus disproporcijas:</w:t>
      </w:r>
    </w:p>
    <w:p w:rsidR="001E4BA5" w:rsidRPr="002116E4" w:rsidRDefault="001E4BA5" w:rsidP="001E4BA5">
      <w:pPr>
        <w:pStyle w:val="ListParagraph"/>
        <w:numPr>
          <w:ilvl w:val="0"/>
          <w:numId w:val="21"/>
        </w:numPr>
        <w:spacing w:after="20" w:line="240" w:lineRule="auto"/>
        <w:ind w:left="993" w:hanging="426"/>
        <w:jc w:val="both"/>
        <w:rPr>
          <w:sz w:val="26"/>
        </w:rPr>
      </w:pPr>
      <w:r w:rsidRPr="002116E4">
        <w:rPr>
          <w:sz w:val="26"/>
        </w:rPr>
        <w:t>liels sp</w:t>
      </w:r>
      <w:r>
        <w:rPr>
          <w:sz w:val="26"/>
        </w:rPr>
        <w:t>eciālistu pārpalikums humanitāro</w:t>
      </w:r>
      <w:r w:rsidRPr="002116E4">
        <w:rPr>
          <w:sz w:val="26"/>
        </w:rPr>
        <w:t xml:space="preserve"> un sociālo zinātņu jomās. Šajās jomās darbaspēka piedāvājuma pieaugums </w:t>
      </w:r>
      <w:r>
        <w:rPr>
          <w:sz w:val="26"/>
        </w:rPr>
        <w:t xml:space="preserve">līdz 2020.gadam var </w:t>
      </w:r>
      <w:r w:rsidRPr="002116E4">
        <w:rPr>
          <w:sz w:val="26"/>
        </w:rPr>
        <w:t>veido</w:t>
      </w:r>
      <w:r>
        <w:rPr>
          <w:sz w:val="26"/>
        </w:rPr>
        <w:t>t</w:t>
      </w:r>
      <w:r w:rsidRPr="002116E4">
        <w:rPr>
          <w:sz w:val="26"/>
        </w:rPr>
        <w:t xml:space="preserve"> gandrīz pusi no kopējā darbaspēka p</w:t>
      </w:r>
      <w:r>
        <w:rPr>
          <w:sz w:val="26"/>
        </w:rPr>
        <w:t>ieauguma ar augstāko izglītību;</w:t>
      </w:r>
    </w:p>
    <w:p w:rsidR="001E4BA5" w:rsidRPr="002116E4" w:rsidRDefault="001E4BA5" w:rsidP="001E4BA5">
      <w:pPr>
        <w:pStyle w:val="ListParagraph"/>
        <w:numPr>
          <w:ilvl w:val="0"/>
          <w:numId w:val="21"/>
        </w:numPr>
        <w:spacing w:after="20" w:line="240" w:lineRule="auto"/>
        <w:ind w:left="993" w:hanging="426"/>
        <w:jc w:val="both"/>
        <w:rPr>
          <w:sz w:val="26"/>
        </w:rPr>
      </w:pPr>
      <w:r w:rsidRPr="002116E4">
        <w:rPr>
          <w:sz w:val="26"/>
        </w:rPr>
        <w:t>saglabāsies neatbilstība starp formālās izglītības piedāvājumu un darba tirgus pieprasījumu</w:t>
      </w:r>
      <w:r>
        <w:rPr>
          <w:sz w:val="26"/>
        </w:rPr>
        <w:t>. Piemēram, pieprasījums pēc inženierzinātņu speciālistiem būs ievērojami lielāks nekā piedāvājums.;</w:t>
      </w:r>
    </w:p>
    <w:p w:rsidR="001E4BA5" w:rsidRDefault="001E4BA5" w:rsidP="001E4BA5">
      <w:pPr>
        <w:pStyle w:val="ListParagraph"/>
        <w:numPr>
          <w:ilvl w:val="0"/>
          <w:numId w:val="21"/>
        </w:numPr>
        <w:spacing w:after="20" w:line="240" w:lineRule="auto"/>
        <w:ind w:left="993" w:hanging="426"/>
        <w:jc w:val="both"/>
        <w:rPr>
          <w:sz w:val="26"/>
        </w:rPr>
      </w:pPr>
      <w:r w:rsidRPr="002116E4">
        <w:rPr>
          <w:sz w:val="26"/>
        </w:rPr>
        <w:t>liels jauniešu īpatsvars, kas nonāk darba tirgū bez konkrētas specialitātes un prasmēm</w:t>
      </w:r>
      <w:r>
        <w:rPr>
          <w:sz w:val="26"/>
        </w:rPr>
        <w:t>, savukārt pieprasījums pēc šāda darbaspēka samazināsies;</w:t>
      </w:r>
    </w:p>
    <w:p w:rsidR="001E4BA5" w:rsidRPr="00272437" w:rsidRDefault="001E4BA5" w:rsidP="001E4BA5">
      <w:pPr>
        <w:pStyle w:val="ListParagraph"/>
        <w:numPr>
          <w:ilvl w:val="0"/>
          <w:numId w:val="21"/>
        </w:numPr>
        <w:spacing w:after="20" w:line="240" w:lineRule="auto"/>
        <w:ind w:left="993" w:hanging="426"/>
        <w:jc w:val="both"/>
        <w:rPr>
          <w:sz w:val="26"/>
        </w:rPr>
      </w:pPr>
      <w:r w:rsidRPr="00272437">
        <w:rPr>
          <w:sz w:val="26"/>
        </w:rPr>
        <w:t xml:space="preserve">liels mazkvalificēto īpatsvars. </w:t>
      </w:r>
      <w:r w:rsidRPr="00272437">
        <w:rPr>
          <w:color w:val="000000" w:themeColor="text1"/>
          <w:sz w:val="26"/>
          <w:szCs w:val="26"/>
        </w:rPr>
        <w:t xml:space="preserve">Darba tirgū ir salīdzinoši liels iedzīvotāju īpatsvars ar pamatizglītību, </w:t>
      </w:r>
      <w:r>
        <w:rPr>
          <w:color w:val="000000" w:themeColor="text1"/>
          <w:sz w:val="26"/>
          <w:szCs w:val="26"/>
        </w:rPr>
        <w:t>turklāt nav sagaidāms</w:t>
      </w:r>
      <w:r w:rsidRPr="00272437">
        <w:rPr>
          <w:color w:val="000000" w:themeColor="text1"/>
          <w:sz w:val="26"/>
          <w:szCs w:val="26"/>
        </w:rPr>
        <w:t>, ka tuvākā nākotnē to īpatsvars varētu ievērojami sarukt.</w:t>
      </w:r>
    </w:p>
    <w:p w:rsidR="001E4BA5" w:rsidRPr="00ED5C77" w:rsidRDefault="001E4BA5" w:rsidP="001E4BA5">
      <w:pPr>
        <w:autoSpaceDE w:val="0"/>
        <w:autoSpaceDN w:val="0"/>
        <w:adjustRightInd w:val="0"/>
        <w:spacing w:after="20" w:line="240" w:lineRule="auto"/>
        <w:ind w:firstLine="567"/>
        <w:jc w:val="both"/>
        <w:rPr>
          <w:sz w:val="8"/>
          <w:szCs w:val="26"/>
        </w:rPr>
      </w:pPr>
    </w:p>
    <w:p w:rsidR="001E4BA5" w:rsidRDefault="001E4BA5" w:rsidP="001E4BA5">
      <w:pPr>
        <w:autoSpaceDE w:val="0"/>
        <w:autoSpaceDN w:val="0"/>
        <w:adjustRightInd w:val="0"/>
        <w:spacing w:after="20" w:line="240" w:lineRule="auto"/>
        <w:ind w:firstLine="567"/>
        <w:jc w:val="both"/>
        <w:rPr>
          <w:sz w:val="26"/>
          <w:szCs w:val="26"/>
        </w:rPr>
      </w:pPr>
      <w:r>
        <w:rPr>
          <w:sz w:val="26"/>
          <w:szCs w:val="26"/>
        </w:rPr>
        <w:t>Lai nākotnē mazinātu iespējamās darba tirgus disproporcijas, problēmas ir jārisina kompleksi. Piemēram, ir grūti palielināt studējošo skaitu dabas zinātnēs un inženierzinātnēs, ja jau pamatizglītībā un vidējā izglītībā skolēniem ir vājas zināšanas un maza interese par eksaktajiem mācību priekšmetiem. Tāpat jāņem vērā, ka iespējamie risinājumi a</w:t>
      </w:r>
      <w:r w:rsidRPr="00C6565B">
        <w:rPr>
          <w:sz w:val="26"/>
          <w:szCs w:val="26"/>
        </w:rPr>
        <w:t>ugstākā izglītīb</w:t>
      </w:r>
      <w:r>
        <w:rPr>
          <w:sz w:val="26"/>
          <w:szCs w:val="26"/>
        </w:rPr>
        <w:t>ā</w:t>
      </w:r>
      <w:r w:rsidR="001B7234">
        <w:rPr>
          <w:sz w:val="26"/>
          <w:szCs w:val="26"/>
        </w:rPr>
        <w:t>, vidējā</w:t>
      </w:r>
      <w:r w:rsidRPr="00C6565B">
        <w:rPr>
          <w:sz w:val="26"/>
          <w:szCs w:val="26"/>
        </w:rPr>
        <w:t>, vidējā profesionālā izglītīb</w:t>
      </w:r>
      <w:r>
        <w:rPr>
          <w:sz w:val="26"/>
          <w:szCs w:val="26"/>
        </w:rPr>
        <w:t xml:space="preserve">ā un pamatizglītībā jūtamu ietekmi dos vairāk </w:t>
      </w:r>
      <w:r w:rsidRPr="00C6565B">
        <w:rPr>
          <w:sz w:val="26"/>
          <w:szCs w:val="26"/>
        </w:rPr>
        <w:t>ilgtermiņā</w:t>
      </w:r>
      <w:r>
        <w:rPr>
          <w:sz w:val="26"/>
          <w:szCs w:val="26"/>
        </w:rPr>
        <w:t xml:space="preserve">. </w:t>
      </w:r>
      <w:r w:rsidRPr="006D05AC">
        <w:rPr>
          <w:sz w:val="26"/>
          <w:szCs w:val="26"/>
        </w:rPr>
        <w:t xml:space="preserve">Formālā izglītība salīdzinoši lēni spēj pielāgoties mainīgiem apstākļiem darba tirgū. Efektīvāks veids darba tirgus disproporciju mazināšanai </w:t>
      </w:r>
      <w:proofErr w:type="spellStart"/>
      <w:r>
        <w:rPr>
          <w:sz w:val="26"/>
          <w:szCs w:val="26"/>
        </w:rPr>
        <w:t>īstermiņā</w:t>
      </w:r>
      <w:proofErr w:type="spellEnd"/>
      <w:r>
        <w:rPr>
          <w:sz w:val="26"/>
          <w:szCs w:val="26"/>
        </w:rPr>
        <w:t xml:space="preserve"> </w:t>
      </w:r>
      <w:r w:rsidRPr="006D05AC">
        <w:rPr>
          <w:sz w:val="26"/>
          <w:szCs w:val="26"/>
        </w:rPr>
        <w:t xml:space="preserve">ir pieaugošo </w:t>
      </w:r>
      <w:r>
        <w:rPr>
          <w:sz w:val="26"/>
          <w:szCs w:val="26"/>
        </w:rPr>
        <w:t xml:space="preserve">apmācību </w:t>
      </w:r>
      <w:r w:rsidRPr="006D05AC">
        <w:rPr>
          <w:sz w:val="26"/>
          <w:szCs w:val="26"/>
        </w:rPr>
        <w:t>tālākizglītības sistēma</w:t>
      </w:r>
      <w:r>
        <w:rPr>
          <w:sz w:val="26"/>
          <w:szCs w:val="26"/>
        </w:rPr>
        <w:t>.</w:t>
      </w:r>
    </w:p>
    <w:p w:rsidR="001E4BA5" w:rsidRDefault="001E4BA5" w:rsidP="001E4BA5">
      <w:pPr>
        <w:autoSpaceDE w:val="0"/>
        <w:autoSpaceDN w:val="0"/>
        <w:adjustRightInd w:val="0"/>
        <w:spacing w:after="20" w:line="240" w:lineRule="auto"/>
        <w:ind w:firstLine="567"/>
        <w:jc w:val="both"/>
        <w:rPr>
          <w:sz w:val="26"/>
          <w:szCs w:val="26"/>
        </w:rPr>
      </w:pPr>
      <w:r>
        <w:rPr>
          <w:sz w:val="26"/>
          <w:szCs w:val="26"/>
        </w:rPr>
        <w:t>Atsevišķās izglītības jomās ir identificētas šaurās vietas, kam nepieciešams rast risinājumu:</w:t>
      </w:r>
    </w:p>
    <w:p w:rsidR="001E4BA5" w:rsidRPr="00642803" w:rsidRDefault="001B7234" w:rsidP="001E4BA5">
      <w:pPr>
        <w:pStyle w:val="ListParagraph"/>
        <w:numPr>
          <w:ilvl w:val="0"/>
          <w:numId w:val="22"/>
        </w:numPr>
        <w:autoSpaceDE w:val="0"/>
        <w:autoSpaceDN w:val="0"/>
        <w:adjustRightInd w:val="0"/>
        <w:spacing w:after="0" w:line="240" w:lineRule="auto"/>
        <w:ind w:left="993" w:hanging="426"/>
        <w:contextualSpacing w:val="0"/>
        <w:jc w:val="both"/>
        <w:rPr>
          <w:sz w:val="26"/>
          <w:szCs w:val="26"/>
        </w:rPr>
      </w:pPr>
      <w:r>
        <w:rPr>
          <w:sz w:val="26"/>
          <w:szCs w:val="26"/>
        </w:rPr>
        <w:t>p</w:t>
      </w:r>
      <w:r w:rsidR="001E4BA5" w:rsidRPr="00642803">
        <w:rPr>
          <w:sz w:val="26"/>
          <w:szCs w:val="26"/>
        </w:rPr>
        <w:t>amatizglītībā un vidējā vispārējā izglītībā:</w:t>
      </w:r>
    </w:p>
    <w:p w:rsidR="001E4BA5"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liels jauniešu īpatsvars, kas nonāk darba tirgū uzreiz pēc pamatskolas vai vidusskolas bez konkrētām darba tirgum nepieciešamām prasmēm;</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C6565B">
        <w:rPr>
          <w:sz w:val="26"/>
          <w:szCs w:val="26"/>
        </w:rPr>
        <w:t>maza skolēnu interese</w:t>
      </w:r>
      <w:r>
        <w:rPr>
          <w:sz w:val="26"/>
          <w:szCs w:val="26"/>
        </w:rPr>
        <w:t xml:space="preserve"> un</w:t>
      </w:r>
      <w:r w:rsidRPr="00C6565B">
        <w:rPr>
          <w:sz w:val="26"/>
          <w:szCs w:val="26"/>
        </w:rPr>
        <w:t xml:space="preserve"> vājas zināšanas eksak</w:t>
      </w:r>
      <w:r>
        <w:rPr>
          <w:sz w:val="26"/>
          <w:szCs w:val="26"/>
        </w:rPr>
        <w:t>tos un dabas zinību priekšmetos;</w:t>
      </w:r>
    </w:p>
    <w:p w:rsidR="001E4BA5"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C6565B">
        <w:rPr>
          <w:sz w:val="26"/>
          <w:szCs w:val="26"/>
        </w:rPr>
        <w:t>vāja izpratne par karjeras iespējām</w:t>
      </w:r>
      <w:r w:rsidR="001B7234">
        <w:rPr>
          <w:sz w:val="26"/>
          <w:szCs w:val="26"/>
        </w:rPr>
        <w:t>;</w:t>
      </w:r>
    </w:p>
    <w:p w:rsidR="001E4BA5" w:rsidRPr="00642803" w:rsidRDefault="001B7234" w:rsidP="001E4BA5">
      <w:pPr>
        <w:pStyle w:val="ListParagraph"/>
        <w:numPr>
          <w:ilvl w:val="0"/>
          <w:numId w:val="22"/>
        </w:numPr>
        <w:autoSpaceDE w:val="0"/>
        <w:autoSpaceDN w:val="0"/>
        <w:adjustRightInd w:val="0"/>
        <w:spacing w:after="0" w:line="240" w:lineRule="auto"/>
        <w:ind w:left="993" w:hanging="426"/>
        <w:contextualSpacing w:val="0"/>
        <w:jc w:val="both"/>
        <w:rPr>
          <w:sz w:val="26"/>
          <w:szCs w:val="26"/>
        </w:rPr>
      </w:pPr>
      <w:r>
        <w:rPr>
          <w:sz w:val="26"/>
          <w:szCs w:val="26"/>
        </w:rPr>
        <w:t>v</w:t>
      </w:r>
      <w:r w:rsidR="001E4BA5" w:rsidRPr="00642803">
        <w:rPr>
          <w:sz w:val="26"/>
          <w:szCs w:val="26"/>
        </w:rPr>
        <w:t>idējā profesionālā izglītībā:</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C6565B">
        <w:rPr>
          <w:sz w:val="26"/>
          <w:szCs w:val="26"/>
        </w:rPr>
        <w:t>zema vidējās profesionālās izglītības pievilcība un kapacitāt</w:t>
      </w:r>
      <w:r>
        <w:rPr>
          <w:sz w:val="26"/>
          <w:szCs w:val="26"/>
        </w:rPr>
        <w:t xml:space="preserve">e, </w:t>
      </w:r>
      <w:r w:rsidRPr="00C6565B">
        <w:rPr>
          <w:sz w:val="26"/>
          <w:szCs w:val="26"/>
        </w:rPr>
        <w:t>vairums jauniešu priekšroku do</w:t>
      </w:r>
      <w:r>
        <w:rPr>
          <w:sz w:val="26"/>
          <w:szCs w:val="26"/>
        </w:rPr>
        <w:t>d vispārējai vidējai izglītībai;</w:t>
      </w:r>
    </w:p>
    <w:p w:rsidR="001E4BA5"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C6565B">
        <w:rPr>
          <w:sz w:val="26"/>
          <w:szCs w:val="26"/>
        </w:rPr>
        <w:t>maz izplatītas starpdis</w:t>
      </w:r>
      <w:r>
        <w:rPr>
          <w:sz w:val="26"/>
          <w:szCs w:val="26"/>
        </w:rPr>
        <w:t>ciplināras apmācību programmas;</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C6565B">
        <w:rPr>
          <w:sz w:val="26"/>
          <w:szCs w:val="26"/>
        </w:rPr>
        <w:t xml:space="preserve">prakšu </w:t>
      </w:r>
      <w:r>
        <w:rPr>
          <w:sz w:val="26"/>
          <w:szCs w:val="26"/>
        </w:rPr>
        <w:t xml:space="preserve">vietu </w:t>
      </w:r>
      <w:r w:rsidRPr="00C6565B">
        <w:rPr>
          <w:sz w:val="26"/>
          <w:szCs w:val="26"/>
        </w:rPr>
        <w:t>kvalitāte</w:t>
      </w:r>
      <w:r>
        <w:rPr>
          <w:sz w:val="26"/>
          <w:szCs w:val="26"/>
        </w:rPr>
        <w:t>;</w:t>
      </w:r>
    </w:p>
    <w:p w:rsidR="001E4BA5" w:rsidRPr="00A24A5D"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A24A5D">
        <w:rPr>
          <w:sz w:val="26"/>
          <w:szCs w:val="26"/>
        </w:rPr>
        <w:t xml:space="preserve">ierobežotas pieaugušo </w:t>
      </w:r>
      <w:r w:rsidR="00B804D7">
        <w:rPr>
          <w:sz w:val="26"/>
          <w:szCs w:val="26"/>
        </w:rPr>
        <w:t>izglītības</w:t>
      </w:r>
      <w:r w:rsidRPr="00A24A5D">
        <w:rPr>
          <w:sz w:val="26"/>
          <w:szCs w:val="26"/>
        </w:rPr>
        <w:t xml:space="preserve"> iespējas – programmas/kursi pieaugušo apmācībām bez profesionālām zināšanām, jau esošo zināšanu atjaunošanai un padziļināšanai iegūtajā specialitātē</w:t>
      </w:r>
      <w:r>
        <w:rPr>
          <w:sz w:val="26"/>
          <w:szCs w:val="26"/>
        </w:rPr>
        <w:t xml:space="preserve"> vai pārkvalifikācijai</w:t>
      </w:r>
      <w:r w:rsidRPr="00A24A5D">
        <w:rPr>
          <w:sz w:val="26"/>
          <w:szCs w:val="26"/>
        </w:rPr>
        <w:t xml:space="preserve"> cilvēkiem a</w:t>
      </w:r>
      <w:r w:rsidR="001B7234">
        <w:rPr>
          <w:sz w:val="26"/>
          <w:szCs w:val="26"/>
        </w:rPr>
        <w:t>r vidējo profesionālo izglītību;</w:t>
      </w:r>
    </w:p>
    <w:p w:rsidR="001E4BA5" w:rsidRPr="00642803" w:rsidRDefault="001B7234" w:rsidP="001E4BA5">
      <w:pPr>
        <w:pStyle w:val="ListParagraph"/>
        <w:numPr>
          <w:ilvl w:val="0"/>
          <w:numId w:val="22"/>
        </w:numPr>
        <w:autoSpaceDE w:val="0"/>
        <w:autoSpaceDN w:val="0"/>
        <w:adjustRightInd w:val="0"/>
        <w:spacing w:after="0" w:line="240" w:lineRule="auto"/>
        <w:ind w:left="993" w:hanging="426"/>
        <w:contextualSpacing w:val="0"/>
        <w:jc w:val="both"/>
        <w:rPr>
          <w:sz w:val="26"/>
          <w:szCs w:val="26"/>
        </w:rPr>
      </w:pPr>
      <w:r>
        <w:rPr>
          <w:sz w:val="26"/>
          <w:szCs w:val="26"/>
        </w:rPr>
        <w:t>a</w:t>
      </w:r>
      <w:r w:rsidR="001E4BA5" w:rsidRPr="00642803">
        <w:rPr>
          <w:sz w:val="26"/>
          <w:szCs w:val="26"/>
        </w:rPr>
        <w:t>ugstākajā izglītībā:</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b</w:t>
      </w:r>
      <w:r w:rsidRPr="00C6565B">
        <w:rPr>
          <w:sz w:val="26"/>
          <w:szCs w:val="26"/>
        </w:rPr>
        <w:t>udžeta vietu pārdale ir vienīgais līdzeklis studējošo piesaistīšanai dabas, eksaktajiem un inženieru zinātņu virzieniem</w:t>
      </w:r>
      <w:r>
        <w:rPr>
          <w:sz w:val="26"/>
          <w:szCs w:val="26"/>
        </w:rPr>
        <w:t>;</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n</w:t>
      </w:r>
      <w:r w:rsidRPr="00C6565B">
        <w:rPr>
          <w:sz w:val="26"/>
          <w:szCs w:val="26"/>
        </w:rPr>
        <w:t xml:space="preserve">eliels potenciālo studentu skaits </w:t>
      </w:r>
      <w:r>
        <w:rPr>
          <w:sz w:val="26"/>
          <w:szCs w:val="26"/>
        </w:rPr>
        <w:t xml:space="preserve">un </w:t>
      </w:r>
      <w:r w:rsidRPr="00C6565B">
        <w:rPr>
          <w:sz w:val="26"/>
          <w:szCs w:val="26"/>
        </w:rPr>
        <w:t>lie</w:t>
      </w:r>
      <w:r>
        <w:rPr>
          <w:sz w:val="26"/>
          <w:szCs w:val="26"/>
        </w:rPr>
        <w:t xml:space="preserve">ls atbirums </w:t>
      </w:r>
      <w:r w:rsidRPr="00C6565B">
        <w:rPr>
          <w:sz w:val="26"/>
          <w:szCs w:val="26"/>
        </w:rPr>
        <w:t>inženierzinātņu un dabas zinātņu programmās</w:t>
      </w:r>
      <w:r>
        <w:rPr>
          <w:sz w:val="26"/>
          <w:szCs w:val="26"/>
        </w:rPr>
        <w:t>;</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m</w:t>
      </w:r>
      <w:r w:rsidRPr="00C6565B">
        <w:rPr>
          <w:sz w:val="26"/>
          <w:szCs w:val="26"/>
        </w:rPr>
        <w:t>az izplatītas starpdisciplināras apmācību programmas</w:t>
      </w:r>
      <w:r>
        <w:rPr>
          <w:sz w:val="26"/>
          <w:szCs w:val="26"/>
        </w:rPr>
        <w:t>;</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lastRenderedPageBreak/>
        <w:t>p</w:t>
      </w:r>
      <w:r w:rsidRPr="00C6565B">
        <w:rPr>
          <w:sz w:val="26"/>
          <w:szCs w:val="26"/>
        </w:rPr>
        <w:t>ārāk mazs profesionālās augstākās izglītības 1.līmeņa (koledžu) piedāvājums</w:t>
      </w:r>
      <w:r>
        <w:rPr>
          <w:sz w:val="26"/>
          <w:szCs w:val="26"/>
        </w:rPr>
        <w:t>;</w:t>
      </w:r>
    </w:p>
    <w:p w:rsidR="001E4BA5" w:rsidRPr="00A24A5D"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sidRPr="00A24A5D">
        <w:rPr>
          <w:sz w:val="26"/>
          <w:szCs w:val="26"/>
        </w:rPr>
        <w:t xml:space="preserve">ierobežotas pieaugušo </w:t>
      </w:r>
      <w:r w:rsidR="00B804D7">
        <w:rPr>
          <w:sz w:val="26"/>
          <w:szCs w:val="26"/>
        </w:rPr>
        <w:t>izglītības</w:t>
      </w:r>
      <w:r w:rsidRPr="00A24A5D">
        <w:rPr>
          <w:sz w:val="26"/>
          <w:szCs w:val="26"/>
        </w:rPr>
        <w:t xml:space="preserve"> iespējas – programmas/kursi zināšanu atjaunošanai/padziļināšanai iegūtā specialitātē, pārkvalifikācijai cilvēkiem ar augstāko izglītību, kā arī maza augstskolu ieinteresētība a</w:t>
      </w:r>
      <w:r w:rsidR="001B7234">
        <w:rPr>
          <w:sz w:val="26"/>
          <w:szCs w:val="26"/>
        </w:rPr>
        <w:t>tbilstoša piedāvājumu veidošanā;</w:t>
      </w:r>
    </w:p>
    <w:p w:rsidR="001E4BA5" w:rsidRPr="00642803" w:rsidRDefault="001B7234" w:rsidP="001E4BA5">
      <w:pPr>
        <w:pStyle w:val="ListParagraph"/>
        <w:numPr>
          <w:ilvl w:val="0"/>
          <w:numId w:val="22"/>
        </w:numPr>
        <w:autoSpaceDE w:val="0"/>
        <w:autoSpaceDN w:val="0"/>
        <w:adjustRightInd w:val="0"/>
        <w:spacing w:after="0" w:line="240" w:lineRule="auto"/>
        <w:ind w:left="993" w:hanging="426"/>
        <w:contextualSpacing w:val="0"/>
        <w:jc w:val="both"/>
        <w:rPr>
          <w:sz w:val="26"/>
          <w:szCs w:val="26"/>
        </w:rPr>
      </w:pPr>
      <w:r>
        <w:rPr>
          <w:sz w:val="26"/>
          <w:szCs w:val="26"/>
        </w:rPr>
        <w:t>p</w:t>
      </w:r>
      <w:r w:rsidR="001E4BA5" w:rsidRPr="00642803">
        <w:rPr>
          <w:sz w:val="26"/>
          <w:szCs w:val="26"/>
        </w:rPr>
        <w:t>ieaugušo tālākizglītība:</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trūkst sistēma, a</w:t>
      </w:r>
      <w:r w:rsidRPr="00C6565B">
        <w:rPr>
          <w:sz w:val="26"/>
          <w:szCs w:val="26"/>
        </w:rPr>
        <w:t>pmācību piedāvājumam nav strikta sadalījuma pa izglītības līmeņiem un mērķa grupām</w:t>
      </w:r>
      <w:r>
        <w:rPr>
          <w:sz w:val="26"/>
          <w:szCs w:val="26"/>
        </w:rPr>
        <w:t xml:space="preserve"> – </w:t>
      </w:r>
      <w:r w:rsidRPr="00642803">
        <w:rPr>
          <w:sz w:val="26"/>
          <w:szCs w:val="26"/>
        </w:rPr>
        <w:t>pamatprofesijas ieguvei, profesionālās kvalifikācijas celšanai, pārkvalifikācijai;</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m</w:t>
      </w:r>
      <w:r w:rsidRPr="00C6565B">
        <w:rPr>
          <w:sz w:val="26"/>
          <w:szCs w:val="26"/>
        </w:rPr>
        <w:t>aza ieinteresētība no pieprasījuma puses</w:t>
      </w:r>
      <w:r>
        <w:rPr>
          <w:sz w:val="26"/>
          <w:szCs w:val="26"/>
        </w:rPr>
        <w:t>, salīdzinoši mazs uzņēmumu īpatsvars, kas iesaistās dar</w:t>
      </w:r>
      <w:r w:rsidRPr="00C6565B">
        <w:rPr>
          <w:sz w:val="26"/>
          <w:szCs w:val="26"/>
        </w:rPr>
        <w:t>binieku apmācībās</w:t>
      </w:r>
      <w:r>
        <w:rPr>
          <w:sz w:val="26"/>
          <w:szCs w:val="26"/>
        </w:rPr>
        <w:t>;</w:t>
      </w:r>
    </w:p>
    <w:p w:rsidR="001E4BA5" w:rsidRPr="00C6565B" w:rsidRDefault="001E4BA5" w:rsidP="001E4BA5">
      <w:pPr>
        <w:pStyle w:val="ListParagraph"/>
        <w:numPr>
          <w:ilvl w:val="0"/>
          <w:numId w:val="23"/>
        </w:numPr>
        <w:autoSpaceDE w:val="0"/>
        <w:autoSpaceDN w:val="0"/>
        <w:adjustRightInd w:val="0"/>
        <w:spacing w:after="0" w:line="240" w:lineRule="auto"/>
        <w:ind w:left="1418" w:hanging="425"/>
        <w:contextualSpacing w:val="0"/>
        <w:jc w:val="both"/>
        <w:rPr>
          <w:sz w:val="26"/>
          <w:szCs w:val="26"/>
        </w:rPr>
      </w:pPr>
      <w:r>
        <w:rPr>
          <w:sz w:val="26"/>
          <w:szCs w:val="26"/>
        </w:rPr>
        <w:t>n</w:t>
      </w:r>
      <w:r w:rsidRPr="00C6565B">
        <w:rPr>
          <w:sz w:val="26"/>
          <w:szCs w:val="26"/>
        </w:rPr>
        <w:t>eskaidrs un nepietiekošs finansējums</w:t>
      </w:r>
      <w:r>
        <w:rPr>
          <w:sz w:val="26"/>
          <w:szCs w:val="26"/>
        </w:rPr>
        <w:t xml:space="preserve">. </w:t>
      </w:r>
      <w:r w:rsidRPr="00C6565B">
        <w:rPr>
          <w:sz w:val="26"/>
          <w:szCs w:val="26"/>
        </w:rPr>
        <w:t xml:space="preserve">Kam </w:t>
      </w:r>
      <w:r>
        <w:rPr>
          <w:sz w:val="26"/>
          <w:szCs w:val="26"/>
        </w:rPr>
        <w:t xml:space="preserve">būtu </w:t>
      </w:r>
      <w:r w:rsidRPr="00C6565B">
        <w:rPr>
          <w:sz w:val="26"/>
          <w:szCs w:val="26"/>
        </w:rPr>
        <w:t xml:space="preserve">jāsniedz </w:t>
      </w:r>
      <w:r>
        <w:rPr>
          <w:sz w:val="26"/>
          <w:szCs w:val="26"/>
        </w:rPr>
        <w:t xml:space="preserve">valsts atbalsts – </w:t>
      </w:r>
      <w:r w:rsidRPr="00C6565B">
        <w:rPr>
          <w:sz w:val="26"/>
          <w:szCs w:val="26"/>
        </w:rPr>
        <w:t>izglītības iestāde</w:t>
      </w:r>
      <w:r>
        <w:rPr>
          <w:sz w:val="26"/>
          <w:szCs w:val="26"/>
        </w:rPr>
        <w:t>i, indivīdam</w:t>
      </w:r>
      <w:r w:rsidRPr="00C6565B">
        <w:rPr>
          <w:sz w:val="26"/>
          <w:szCs w:val="26"/>
        </w:rPr>
        <w:t>, uzņēmēj</w:t>
      </w:r>
      <w:r>
        <w:rPr>
          <w:sz w:val="26"/>
          <w:szCs w:val="26"/>
        </w:rPr>
        <w:t>am</w:t>
      </w:r>
      <w:r w:rsidRPr="00C6565B">
        <w:rPr>
          <w:sz w:val="26"/>
          <w:szCs w:val="26"/>
        </w:rPr>
        <w:t>?</w:t>
      </w:r>
    </w:p>
    <w:p w:rsidR="001E4BA5" w:rsidRPr="00ED5C77" w:rsidRDefault="001E4BA5" w:rsidP="001E4BA5">
      <w:pPr>
        <w:pStyle w:val="ListParagraph"/>
        <w:autoSpaceDE w:val="0"/>
        <w:autoSpaceDN w:val="0"/>
        <w:adjustRightInd w:val="0"/>
        <w:spacing w:after="20" w:line="240" w:lineRule="auto"/>
        <w:ind w:left="0" w:firstLine="567"/>
        <w:contextualSpacing w:val="0"/>
        <w:jc w:val="both"/>
        <w:rPr>
          <w:sz w:val="8"/>
          <w:szCs w:val="26"/>
        </w:rPr>
      </w:pPr>
    </w:p>
    <w:p w:rsidR="001E4BA5" w:rsidRDefault="001E4BA5" w:rsidP="001E4BA5">
      <w:pPr>
        <w:spacing w:after="0" w:line="240" w:lineRule="auto"/>
        <w:ind w:firstLine="567"/>
        <w:jc w:val="both"/>
        <w:rPr>
          <w:sz w:val="26"/>
          <w:szCs w:val="26"/>
        </w:rPr>
      </w:pPr>
      <w:r w:rsidRPr="00F5785D">
        <w:rPr>
          <w:sz w:val="26"/>
          <w:szCs w:val="26"/>
        </w:rPr>
        <w:t>Latvijas tautsaimniecība nākamajās dekādēs saskarsies ar būtiskām strukturālajām izmaiņām</w:t>
      </w:r>
      <w:r w:rsidR="00CC55AF" w:rsidRPr="00F5785D">
        <w:rPr>
          <w:sz w:val="26"/>
          <w:szCs w:val="26"/>
        </w:rPr>
        <w:t>, kas saistītas ar nelabvēlīgām demogrāfiskām tendencēm un ekonomiskās paradigmas maiņu</w:t>
      </w:r>
      <w:r w:rsidRPr="00F5785D">
        <w:rPr>
          <w:sz w:val="26"/>
          <w:szCs w:val="26"/>
        </w:rPr>
        <w:t xml:space="preserve">. Lai sagatavotos un pielāgotos šīm izmaiņām, ir nepieciešams darba tirgū veikt apsteidzošus pārkārtojumus. Pašlaik Latvijā tie biežāk ir </w:t>
      </w:r>
      <w:proofErr w:type="spellStart"/>
      <w:r w:rsidRPr="00F5785D">
        <w:rPr>
          <w:i/>
          <w:sz w:val="26"/>
          <w:szCs w:val="26"/>
        </w:rPr>
        <w:t>ad</w:t>
      </w:r>
      <w:proofErr w:type="spellEnd"/>
      <w:r w:rsidRPr="00F5785D">
        <w:rPr>
          <w:i/>
          <w:sz w:val="26"/>
          <w:szCs w:val="26"/>
        </w:rPr>
        <w:t xml:space="preserve"> </w:t>
      </w:r>
      <w:proofErr w:type="spellStart"/>
      <w:r w:rsidRPr="00F5785D">
        <w:rPr>
          <w:i/>
          <w:sz w:val="26"/>
          <w:szCs w:val="26"/>
        </w:rPr>
        <w:t>hoc</w:t>
      </w:r>
      <w:proofErr w:type="spellEnd"/>
      <w:r w:rsidRPr="00F5785D">
        <w:rPr>
          <w:sz w:val="26"/>
          <w:szCs w:val="26"/>
        </w:rPr>
        <w:t xml:space="preserve"> ieviesti pasākumi, nevis strukturēti pārkārtojumi.</w:t>
      </w:r>
      <w:r>
        <w:rPr>
          <w:sz w:val="26"/>
          <w:szCs w:val="26"/>
        </w:rPr>
        <w:t xml:space="preserve"> </w:t>
      </w:r>
    </w:p>
    <w:p w:rsidR="001E4BA5" w:rsidRPr="00ED5C77" w:rsidRDefault="001E4BA5" w:rsidP="001E4BA5">
      <w:pPr>
        <w:spacing w:after="0" w:line="240" w:lineRule="auto"/>
        <w:rPr>
          <w:sz w:val="26"/>
          <w:szCs w:val="26"/>
        </w:rPr>
      </w:pPr>
    </w:p>
    <w:p w:rsidR="001E4BA5" w:rsidRPr="00391426" w:rsidRDefault="001E4BA5" w:rsidP="001E4BA5">
      <w:pPr>
        <w:spacing w:after="0" w:line="240" w:lineRule="auto"/>
        <w:rPr>
          <w:b/>
          <w:sz w:val="28"/>
          <w:szCs w:val="28"/>
        </w:rPr>
      </w:pPr>
      <w:r w:rsidRPr="00391426">
        <w:rPr>
          <w:b/>
          <w:bCs/>
          <w:sz w:val="28"/>
          <w:szCs w:val="28"/>
        </w:rPr>
        <w:t>II</w:t>
      </w:r>
      <w:r w:rsidRPr="00391426">
        <w:rPr>
          <w:sz w:val="28"/>
          <w:szCs w:val="28"/>
        </w:rPr>
        <w:t> </w:t>
      </w:r>
      <w:r w:rsidRPr="00391426">
        <w:rPr>
          <w:b/>
          <w:sz w:val="28"/>
          <w:szCs w:val="28"/>
        </w:rPr>
        <w:t>Priekšlikumi darba tirgus piedāvājuma uzlabošanai</w:t>
      </w:r>
    </w:p>
    <w:p w:rsidR="001E4BA5" w:rsidRPr="00ED5C77" w:rsidRDefault="001E4BA5" w:rsidP="001E4BA5">
      <w:pPr>
        <w:spacing w:after="0" w:line="240" w:lineRule="auto"/>
        <w:rPr>
          <w:sz w:val="8"/>
          <w:szCs w:val="26"/>
        </w:rPr>
      </w:pPr>
    </w:p>
    <w:p w:rsidR="001E4BA5" w:rsidRPr="00D547F1" w:rsidRDefault="001E4BA5" w:rsidP="001E4BA5">
      <w:pPr>
        <w:spacing w:after="0" w:line="240" w:lineRule="auto"/>
        <w:rPr>
          <w:sz w:val="26"/>
          <w:szCs w:val="26"/>
        </w:rPr>
      </w:pPr>
      <w:r>
        <w:rPr>
          <w:b/>
          <w:sz w:val="26"/>
          <w:szCs w:val="26"/>
        </w:rPr>
        <w:t>Darbaspēka pieprasījuma un piedāvājuma atbilstības risināšanas virzieni:</w:t>
      </w:r>
    </w:p>
    <w:p w:rsidR="001E4BA5"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palielināt eksakto un dabas zinātņu priekšmetu lomu pamat- un vidējā izglītībā;</w:t>
      </w:r>
    </w:p>
    <w:p w:rsidR="003408DE" w:rsidRDefault="00E4755F" w:rsidP="00E4755F">
      <w:pPr>
        <w:pStyle w:val="ListParagraph"/>
        <w:numPr>
          <w:ilvl w:val="0"/>
          <w:numId w:val="24"/>
        </w:numPr>
        <w:autoSpaceDE w:val="0"/>
        <w:autoSpaceDN w:val="0"/>
        <w:adjustRightInd w:val="0"/>
        <w:spacing w:after="20" w:line="240" w:lineRule="auto"/>
        <w:contextualSpacing w:val="0"/>
        <w:jc w:val="both"/>
        <w:rPr>
          <w:sz w:val="26"/>
          <w:szCs w:val="26"/>
        </w:rPr>
      </w:pPr>
      <w:r>
        <w:rPr>
          <w:sz w:val="26"/>
          <w:szCs w:val="26"/>
        </w:rPr>
        <w:t>pilnveidot</w:t>
      </w:r>
      <w:r w:rsidRPr="00E4755F">
        <w:rPr>
          <w:sz w:val="26"/>
          <w:szCs w:val="26"/>
        </w:rPr>
        <w:t xml:space="preserve"> izglītības procesu</w:t>
      </w:r>
      <w:r>
        <w:rPr>
          <w:sz w:val="26"/>
          <w:szCs w:val="26"/>
        </w:rPr>
        <w:t xml:space="preserve"> visos izglītības līmeņos</w:t>
      </w:r>
      <w:r w:rsidRPr="00E4755F">
        <w:rPr>
          <w:sz w:val="26"/>
          <w:szCs w:val="26"/>
        </w:rPr>
        <w:t xml:space="preserve">, </w:t>
      </w:r>
      <w:r>
        <w:rPr>
          <w:sz w:val="26"/>
          <w:szCs w:val="26"/>
        </w:rPr>
        <w:t xml:space="preserve">nodrošinot </w:t>
      </w:r>
      <w:r w:rsidRPr="00E4755F">
        <w:rPr>
          <w:sz w:val="26"/>
          <w:szCs w:val="26"/>
        </w:rPr>
        <w:t>skolotāj</w:t>
      </w:r>
      <w:r>
        <w:rPr>
          <w:sz w:val="26"/>
          <w:szCs w:val="26"/>
        </w:rPr>
        <w:t>iem un</w:t>
      </w:r>
      <w:r w:rsidRPr="00E4755F">
        <w:rPr>
          <w:sz w:val="26"/>
          <w:szCs w:val="26"/>
        </w:rPr>
        <w:t xml:space="preserve"> pasniedzēj</w:t>
      </w:r>
      <w:r>
        <w:rPr>
          <w:sz w:val="26"/>
          <w:szCs w:val="26"/>
        </w:rPr>
        <w:t>iem</w:t>
      </w:r>
      <w:r w:rsidRPr="00E4755F">
        <w:rPr>
          <w:sz w:val="26"/>
          <w:szCs w:val="26"/>
        </w:rPr>
        <w:t xml:space="preserve"> </w:t>
      </w:r>
      <w:r>
        <w:rPr>
          <w:sz w:val="26"/>
          <w:szCs w:val="26"/>
        </w:rPr>
        <w:t>profesionālās pilnveides iespējas;</w:t>
      </w:r>
    </w:p>
    <w:p w:rsidR="001E4BA5" w:rsidRPr="007379BA"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Pr>
          <w:sz w:val="26"/>
          <w:szCs w:val="26"/>
        </w:rPr>
        <w:t xml:space="preserve">uzlabot </w:t>
      </w:r>
      <w:r w:rsidRPr="007379BA">
        <w:rPr>
          <w:sz w:val="26"/>
          <w:szCs w:val="26"/>
        </w:rPr>
        <w:t>skolēnu</w:t>
      </w:r>
      <w:r>
        <w:rPr>
          <w:sz w:val="26"/>
          <w:szCs w:val="26"/>
        </w:rPr>
        <w:t xml:space="preserve"> informēšanu </w:t>
      </w:r>
      <w:r w:rsidRPr="007379BA">
        <w:rPr>
          <w:sz w:val="26"/>
          <w:szCs w:val="26"/>
        </w:rPr>
        <w:t>par darba</w:t>
      </w:r>
      <w:r>
        <w:rPr>
          <w:sz w:val="26"/>
          <w:szCs w:val="26"/>
        </w:rPr>
        <w:t xml:space="preserve"> tirgus un karjeras jautājumiem;</w:t>
      </w:r>
    </w:p>
    <w:p w:rsidR="001E4BA5" w:rsidRPr="00AF277E"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paaugstināt profesionālās izglītības</w:t>
      </w:r>
      <w:r>
        <w:rPr>
          <w:sz w:val="26"/>
          <w:szCs w:val="26"/>
        </w:rPr>
        <w:t xml:space="preserve"> pievilcību un </w:t>
      </w:r>
      <w:r w:rsidRPr="00AF277E">
        <w:rPr>
          <w:sz w:val="26"/>
          <w:szCs w:val="26"/>
        </w:rPr>
        <w:t>kvalitāti, nodrošinot tās atbilstību darba tirgus</w:t>
      </w:r>
      <w:r>
        <w:rPr>
          <w:sz w:val="26"/>
          <w:szCs w:val="26"/>
        </w:rPr>
        <w:t xml:space="preserve"> prasībām</w:t>
      </w:r>
      <w:r w:rsidRPr="00AF277E">
        <w:rPr>
          <w:sz w:val="26"/>
          <w:szCs w:val="26"/>
        </w:rPr>
        <w:t>;</w:t>
      </w:r>
    </w:p>
    <w:p w:rsidR="001E4BA5" w:rsidRPr="00AF277E"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palielināt profesionālās augstākās izglītības 1.līmeņa (koledžu) piedāvājumu;</w:t>
      </w:r>
    </w:p>
    <w:p w:rsidR="001E4BA5" w:rsidRPr="00AF277E"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uzlabot nodrošinājumu ar mūsdienīgām iekārtām, aprīkojumu un tehnoloģijām tādos prioritāros studiju virzienos kā dabas zinātnes, matemātika un informācijas tehnoloģijas, inženierzinātnes, ražošana un būvniecība, kā arī racionāli izmantot publisko un piesaistīto privāto finansējumu;</w:t>
      </w:r>
    </w:p>
    <w:p w:rsidR="001E4BA5" w:rsidRPr="00AC548A"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C548A">
        <w:rPr>
          <w:sz w:val="26"/>
          <w:szCs w:val="26"/>
        </w:rPr>
        <w:t xml:space="preserve">izveidot vienotu pieaugušo </w:t>
      </w:r>
      <w:r w:rsidR="00B804D7">
        <w:rPr>
          <w:sz w:val="26"/>
          <w:szCs w:val="26"/>
        </w:rPr>
        <w:t>izglītības</w:t>
      </w:r>
      <w:r w:rsidRPr="00AC548A">
        <w:rPr>
          <w:sz w:val="26"/>
          <w:szCs w:val="26"/>
        </w:rPr>
        <w:t xml:space="preserve"> sistēmu konkrētām mērķa grupām – pamatprofesijas ieguvei, profesionālās kvalifikācijas celšanai, pārkvalifikācijai;</w:t>
      </w:r>
    </w:p>
    <w:p w:rsidR="001E4BA5"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 xml:space="preserve">veicināt pieaugušo </w:t>
      </w:r>
      <w:r w:rsidR="00B804D7">
        <w:rPr>
          <w:sz w:val="26"/>
          <w:szCs w:val="26"/>
        </w:rPr>
        <w:t>izglītības</w:t>
      </w:r>
      <w:r w:rsidRPr="00AF277E">
        <w:rPr>
          <w:sz w:val="26"/>
          <w:szCs w:val="26"/>
        </w:rPr>
        <w:t xml:space="preserve"> iespējas vidējās profesionālās un augstākās izglītības iestādēs</w:t>
      </w:r>
      <w:r>
        <w:rPr>
          <w:sz w:val="26"/>
          <w:szCs w:val="26"/>
        </w:rPr>
        <w:t>;</w:t>
      </w:r>
    </w:p>
    <w:p w:rsidR="001E4BA5" w:rsidRPr="00AF277E"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AF277E">
        <w:rPr>
          <w:sz w:val="26"/>
          <w:szCs w:val="26"/>
        </w:rPr>
        <w:t>attīstīt starpdisciplināras apmācību programmas;</w:t>
      </w:r>
    </w:p>
    <w:p w:rsidR="001E4BA5" w:rsidRPr="007379BA"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7379BA">
        <w:rPr>
          <w:sz w:val="26"/>
          <w:szCs w:val="26"/>
        </w:rPr>
        <w:t>atgrie</w:t>
      </w:r>
      <w:r>
        <w:rPr>
          <w:sz w:val="26"/>
          <w:szCs w:val="26"/>
        </w:rPr>
        <w:t xml:space="preserve">zt </w:t>
      </w:r>
      <w:r w:rsidRPr="007379BA">
        <w:rPr>
          <w:sz w:val="26"/>
          <w:szCs w:val="26"/>
        </w:rPr>
        <w:t xml:space="preserve">izglītības sistēmā jauniešus, kuri nav ne apmācībās, ne nodarbinātībā, kvalifikācijas </w:t>
      </w:r>
      <w:r>
        <w:rPr>
          <w:sz w:val="26"/>
          <w:szCs w:val="26"/>
        </w:rPr>
        <w:t>un prakses iegūšanai;</w:t>
      </w:r>
    </w:p>
    <w:p w:rsidR="001E4BA5" w:rsidRDefault="001E4BA5" w:rsidP="001E4BA5">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Pr>
          <w:sz w:val="26"/>
          <w:szCs w:val="26"/>
        </w:rPr>
        <w:t>veicināt</w:t>
      </w:r>
      <w:r w:rsidR="001B7234">
        <w:rPr>
          <w:sz w:val="26"/>
          <w:szCs w:val="26"/>
        </w:rPr>
        <w:t xml:space="preserve"> darba devēju aktīvu līdzdarbošano</w:t>
      </w:r>
      <w:r w:rsidRPr="007379BA">
        <w:rPr>
          <w:sz w:val="26"/>
          <w:szCs w:val="26"/>
        </w:rPr>
        <w:t>s piedāvājuma kvalitātes pilnveidošanā (prakses vietas, līdzdalī</w:t>
      </w:r>
      <w:r>
        <w:rPr>
          <w:sz w:val="26"/>
          <w:szCs w:val="26"/>
        </w:rPr>
        <w:t>ba izglītības programmu izstrādē, iesaistīšanās tālāk apmācībās, aktīvie darba tirgus politikas pasākumi);</w:t>
      </w:r>
    </w:p>
    <w:p w:rsidR="001E4BA5" w:rsidRPr="007500B7" w:rsidRDefault="001E4BA5" w:rsidP="007500B7">
      <w:pPr>
        <w:pStyle w:val="ListParagraph"/>
        <w:numPr>
          <w:ilvl w:val="0"/>
          <w:numId w:val="24"/>
        </w:numPr>
        <w:autoSpaceDE w:val="0"/>
        <w:autoSpaceDN w:val="0"/>
        <w:adjustRightInd w:val="0"/>
        <w:spacing w:after="20" w:line="240" w:lineRule="auto"/>
        <w:ind w:left="426" w:hanging="426"/>
        <w:contextualSpacing w:val="0"/>
        <w:jc w:val="both"/>
        <w:rPr>
          <w:sz w:val="26"/>
          <w:szCs w:val="26"/>
        </w:rPr>
      </w:pPr>
      <w:r w:rsidRPr="007500B7">
        <w:rPr>
          <w:sz w:val="26"/>
          <w:szCs w:val="26"/>
        </w:rPr>
        <w:t>uzlabot dažādu institūciju sadarbību darba tirgus apsteidzošu pārkārtojumu īstenošanā.</w:t>
      </w:r>
    </w:p>
    <w:p w:rsidR="001E4BA5" w:rsidRPr="00391426" w:rsidRDefault="001E4BA5" w:rsidP="001E4BA5">
      <w:pPr>
        <w:spacing w:before="80" w:after="40" w:line="240" w:lineRule="auto"/>
        <w:rPr>
          <w:sz w:val="26"/>
          <w:szCs w:val="26"/>
        </w:rPr>
      </w:pPr>
      <w:r w:rsidRPr="00391426">
        <w:rPr>
          <w:b/>
          <w:sz w:val="26"/>
          <w:szCs w:val="26"/>
        </w:rPr>
        <w:lastRenderedPageBreak/>
        <w:t xml:space="preserve">Darbaspēka piedāvājuma </w:t>
      </w:r>
      <w:r>
        <w:rPr>
          <w:b/>
          <w:sz w:val="26"/>
          <w:szCs w:val="26"/>
        </w:rPr>
        <w:t>pielāgošan</w:t>
      </w:r>
      <w:r w:rsidRPr="00391426">
        <w:rPr>
          <w:b/>
          <w:sz w:val="26"/>
          <w:szCs w:val="26"/>
        </w:rPr>
        <w:t>a</w:t>
      </w:r>
      <w:r>
        <w:rPr>
          <w:b/>
          <w:sz w:val="26"/>
          <w:szCs w:val="26"/>
        </w:rPr>
        <w:t xml:space="preserve"> pieprasījumam</w:t>
      </w:r>
      <w:r w:rsidRPr="00391426">
        <w:rPr>
          <w:b/>
          <w:sz w:val="26"/>
          <w:szCs w:val="26"/>
        </w:rPr>
        <w:t>:</w:t>
      </w:r>
    </w:p>
    <w:p w:rsidR="001E4BA5" w:rsidRDefault="001E4BA5" w:rsidP="001E4BA5">
      <w:pPr>
        <w:pStyle w:val="ListParagraph"/>
        <w:numPr>
          <w:ilvl w:val="0"/>
          <w:numId w:val="25"/>
        </w:numPr>
        <w:autoSpaceDE w:val="0"/>
        <w:autoSpaceDN w:val="0"/>
        <w:adjustRightInd w:val="0"/>
        <w:spacing w:after="20" w:line="240" w:lineRule="auto"/>
        <w:ind w:left="426" w:hanging="426"/>
        <w:contextualSpacing w:val="0"/>
        <w:jc w:val="both"/>
        <w:rPr>
          <w:sz w:val="26"/>
          <w:szCs w:val="26"/>
        </w:rPr>
      </w:pPr>
      <w:r>
        <w:rPr>
          <w:sz w:val="26"/>
          <w:szCs w:val="26"/>
        </w:rPr>
        <w:t>j</w:t>
      </w:r>
      <w:r w:rsidRPr="00AC548A">
        <w:rPr>
          <w:sz w:val="26"/>
          <w:szCs w:val="26"/>
        </w:rPr>
        <w:t>āturpina budžeta studiju vietu pārdale par labu dabas, eksaktajiem un inženieru zinātņu virzieniem. Augstākajā izglītībā jāpalielina piedāvājums inženierzinātnēs, informācijas un komunikācijas tehnoloģijās, veselības aprūpē, sociālā labklājībā, farmācijā, lauksaimniecībā</w:t>
      </w:r>
      <w:r>
        <w:rPr>
          <w:sz w:val="26"/>
          <w:szCs w:val="26"/>
        </w:rPr>
        <w:t>;</w:t>
      </w:r>
    </w:p>
    <w:p w:rsidR="001E4BA5" w:rsidRPr="00AC548A" w:rsidRDefault="001E4BA5" w:rsidP="001E4BA5">
      <w:pPr>
        <w:pStyle w:val="ListParagraph"/>
        <w:numPr>
          <w:ilvl w:val="0"/>
          <w:numId w:val="25"/>
        </w:numPr>
        <w:autoSpaceDE w:val="0"/>
        <w:autoSpaceDN w:val="0"/>
        <w:adjustRightInd w:val="0"/>
        <w:spacing w:after="20" w:line="240" w:lineRule="auto"/>
        <w:ind w:left="426" w:hanging="426"/>
        <w:contextualSpacing w:val="0"/>
        <w:jc w:val="both"/>
        <w:rPr>
          <w:sz w:val="26"/>
          <w:szCs w:val="26"/>
        </w:rPr>
      </w:pPr>
      <w:r w:rsidRPr="00AC548A">
        <w:rPr>
          <w:sz w:val="26"/>
          <w:szCs w:val="26"/>
        </w:rPr>
        <w:t>jāmaina izglītojamo skaita proporciju vidējā izglītībā par labu vidējai profesionālajai izglītībai</w:t>
      </w:r>
      <w:r>
        <w:rPr>
          <w:sz w:val="26"/>
          <w:szCs w:val="26"/>
        </w:rPr>
        <w:t>. V</w:t>
      </w:r>
      <w:r w:rsidRPr="00AC548A">
        <w:rPr>
          <w:sz w:val="26"/>
          <w:szCs w:val="26"/>
        </w:rPr>
        <w:t>idējā profesionālajā izglītībā jāpalielina piedāvājums, metālapstrādes, mašīnbūves un tām radniecīgu jomu speciālistu sagatavošanā, rūpniecisko iekārtu un mašīnu operatori sagatavošanā, atsevišķu pakalpojumu nozaru speciālistu sagatavošanā</w:t>
      </w:r>
      <w:r>
        <w:rPr>
          <w:sz w:val="26"/>
          <w:szCs w:val="26"/>
        </w:rPr>
        <w:t xml:space="preserve"> (</w:t>
      </w:r>
      <w:r w:rsidRPr="00AC548A">
        <w:rPr>
          <w:sz w:val="26"/>
          <w:szCs w:val="26"/>
        </w:rPr>
        <w:t xml:space="preserve">informācijas apstrādē, viesnīcu, restorānu un tūrisma jomā, </w:t>
      </w:r>
      <w:proofErr w:type="spellStart"/>
      <w:r w:rsidRPr="00AC548A">
        <w:rPr>
          <w:sz w:val="26"/>
          <w:szCs w:val="26"/>
        </w:rPr>
        <w:t>u.c</w:t>
      </w:r>
      <w:proofErr w:type="spellEnd"/>
      <w:r>
        <w:rPr>
          <w:sz w:val="26"/>
          <w:szCs w:val="26"/>
        </w:rPr>
        <w:t xml:space="preserve">.), </w:t>
      </w:r>
      <w:r w:rsidRPr="00AC548A">
        <w:rPr>
          <w:sz w:val="26"/>
          <w:szCs w:val="26"/>
        </w:rPr>
        <w:t>lauksaimniecības speciālistu sagatavošanā</w:t>
      </w:r>
      <w:r>
        <w:rPr>
          <w:sz w:val="26"/>
          <w:szCs w:val="26"/>
        </w:rPr>
        <w:t>;</w:t>
      </w:r>
    </w:p>
    <w:p w:rsidR="001E4BA5" w:rsidRPr="006D05AC" w:rsidRDefault="001E4BA5" w:rsidP="001E4BA5">
      <w:pPr>
        <w:pStyle w:val="ListParagraph"/>
        <w:numPr>
          <w:ilvl w:val="0"/>
          <w:numId w:val="25"/>
        </w:numPr>
        <w:autoSpaceDE w:val="0"/>
        <w:autoSpaceDN w:val="0"/>
        <w:adjustRightInd w:val="0"/>
        <w:spacing w:after="20" w:line="240" w:lineRule="auto"/>
        <w:ind w:left="426" w:hanging="426"/>
        <w:contextualSpacing w:val="0"/>
        <w:jc w:val="both"/>
        <w:rPr>
          <w:sz w:val="26"/>
          <w:szCs w:val="26"/>
        </w:rPr>
      </w:pPr>
      <w:r>
        <w:rPr>
          <w:sz w:val="26"/>
          <w:szCs w:val="26"/>
        </w:rPr>
        <w:t>v</w:t>
      </w:r>
      <w:r w:rsidRPr="006D05AC">
        <w:rPr>
          <w:sz w:val="26"/>
          <w:szCs w:val="26"/>
        </w:rPr>
        <w:t xml:space="preserve">idējā termiņā pārkvalifikācija būs nepieciešama </w:t>
      </w:r>
      <w:r>
        <w:rPr>
          <w:sz w:val="26"/>
          <w:szCs w:val="26"/>
        </w:rPr>
        <w:t>~</w:t>
      </w:r>
      <w:r w:rsidRPr="006D05AC">
        <w:rPr>
          <w:sz w:val="26"/>
          <w:szCs w:val="26"/>
        </w:rPr>
        <w:t>10% humanitāro un sociālo</w:t>
      </w:r>
      <w:r>
        <w:rPr>
          <w:sz w:val="26"/>
          <w:szCs w:val="26"/>
        </w:rPr>
        <w:t xml:space="preserve"> jomu speciālistiem, ~</w:t>
      </w:r>
      <w:r w:rsidRPr="006D05AC">
        <w:rPr>
          <w:sz w:val="26"/>
          <w:szCs w:val="26"/>
        </w:rPr>
        <w:t>10% tirdzniecības un komercpa</w:t>
      </w:r>
      <w:r>
        <w:rPr>
          <w:sz w:val="26"/>
          <w:szCs w:val="26"/>
        </w:rPr>
        <w:t>kalpojumu speciālistiem, ~3</w:t>
      </w:r>
      <w:r w:rsidRPr="006D05AC">
        <w:rPr>
          <w:sz w:val="26"/>
          <w:szCs w:val="26"/>
        </w:rPr>
        <w:t xml:space="preserve">% izglītības iestāžu speciālistiem </w:t>
      </w:r>
      <w:r>
        <w:rPr>
          <w:sz w:val="26"/>
          <w:szCs w:val="26"/>
        </w:rPr>
        <w:t xml:space="preserve">ar augstāko izglītību, atsevišķu vidējās profesionālās izglītības jomu speciālistiem, kā arī </w:t>
      </w:r>
      <w:r w:rsidRPr="006D05AC">
        <w:rPr>
          <w:sz w:val="26"/>
          <w:szCs w:val="26"/>
        </w:rPr>
        <w:t>~20% ekonomiski aktīvo iedzīvotāju ar pamatizglītību vai zemāku izglītības līmeni.</w:t>
      </w:r>
    </w:p>
    <w:p w:rsidR="001E4BA5" w:rsidRPr="00ED5C77" w:rsidRDefault="001E4BA5" w:rsidP="001E4BA5">
      <w:pPr>
        <w:spacing w:after="0" w:line="240" w:lineRule="auto"/>
        <w:rPr>
          <w:sz w:val="26"/>
          <w:szCs w:val="26"/>
        </w:rPr>
      </w:pPr>
    </w:p>
    <w:p w:rsidR="001E4BA5" w:rsidRPr="00391426" w:rsidRDefault="001E4BA5" w:rsidP="001E4BA5">
      <w:pPr>
        <w:spacing w:after="0" w:line="240" w:lineRule="auto"/>
        <w:rPr>
          <w:b/>
          <w:sz w:val="28"/>
          <w:szCs w:val="28"/>
        </w:rPr>
      </w:pPr>
      <w:r w:rsidRPr="00391426">
        <w:rPr>
          <w:b/>
          <w:bCs/>
          <w:sz w:val="28"/>
          <w:szCs w:val="28"/>
        </w:rPr>
        <w:t>II</w:t>
      </w:r>
      <w:r>
        <w:rPr>
          <w:b/>
          <w:bCs/>
          <w:sz w:val="28"/>
          <w:szCs w:val="28"/>
        </w:rPr>
        <w:t>I</w:t>
      </w:r>
      <w:r w:rsidRPr="00391426">
        <w:rPr>
          <w:sz w:val="28"/>
          <w:szCs w:val="28"/>
        </w:rPr>
        <w:t> </w:t>
      </w:r>
      <w:r>
        <w:rPr>
          <w:b/>
          <w:sz w:val="28"/>
          <w:szCs w:val="28"/>
        </w:rPr>
        <w:t>Tālākā rīcība</w:t>
      </w:r>
    </w:p>
    <w:p w:rsidR="001E4BA5" w:rsidRPr="00ED5C77" w:rsidRDefault="001E4BA5" w:rsidP="001E4BA5">
      <w:pPr>
        <w:pStyle w:val="BodyText3"/>
        <w:rPr>
          <w:sz w:val="8"/>
          <w:szCs w:val="26"/>
        </w:rPr>
      </w:pPr>
    </w:p>
    <w:p w:rsidR="001E4BA5" w:rsidRPr="001E4BA5" w:rsidRDefault="001E4BA5" w:rsidP="00055A16">
      <w:pPr>
        <w:pStyle w:val="BodyText3"/>
        <w:spacing w:after="0" w:line="240" w:lineRule="auto"/>
        <w:rPr>
          <w:sz w:val="26"/>
          <w:szCs w:val="28"/>
        </w:rPr>
      </w:pPr>
      <w:r w:rsidRPr="001E4BA5">
        <w:rPr>
          <w:sz w:val="26"/>
          <w:szCs w:val="28"/>
        </w:rPr>
        <w:t>Lai risināti informatīvajā ziņojumā identificētās problēmas, nepieciešams:</w:t>
      </w:r>
    </w:p>
    <w:p w:rsidR="00C37678" w:rsidRPr="00BC7217" w:rsidRDefault="00BC7217" w:rsidP="00055A16">
      <w:pPr>
        <w:pStyle w:val="BodyText3"/>
        <w:numPr>
          <w:ilvl w:val="0"/>
          <w:numId w:val="20"/>
        </w:numPr>
        <w:spacing w:after="0" w:line="240" w:lineRule="auto"/>
        <w:ind w:left="426" w:hanging="426"/>
        <w:jc w:val="both"/>
        <w:rPr>
          <w:sz w:val="26"/>
          <w:szCs w:val="28"/>
        </w:rPr>
      </w:pPr>
      <w:r w:rsidRPr="00BC7217">
        <w:rPr>
          <w:sz w:val="26"/>
          <w:szCs w:val="28"/>
        </w:rPr>
        <w:t>Izglītības un zinātnes ministrijai sadarbībā ar Ekonomikas ministriju līdz 2013.gada 30.oktobrim, ņemot vērā prognozējamo izglītojamo skaitu, finansējumu un teritoriālo izvietojumu,</w:t>
      </w:r>
      <w:r w:rsidRPr="00BC7217">
        <w:rPr>
          <w:bCs/>
          <w:sz w:val="26"/>
          <w:szCs w:val="28"/>
        </w:rPr>
        <w:t xml:space="preserve"> sagatavot vidēja termiņa rīcības virzienus par </w:t>
      </w:r>
      <w:r w:rsidRPr="00BC7217">
        <w:rPr>
          <w:sz w:val="26"/>
          <w:szCs w:val="28"/>
        </w:rPr>
        <w:t xml:space="preserve">eksakto un dabas zinātņu priekšmetu lomas palielināšanu pamata un vidējā vispārējā izglītībā, izglītojamo skaita proporcijas maiņu vidējā vispārējā izglītībā par labu vidējai profesionālajai izglītībai, budžeta studiju vietu pārdali par labu dabas, eksaktajiem un inženierzinātņu virzieniem, profesionālās augstākās izglītības 1.līmeņa (koledžu) piedāvājuma palielināšanu, vienotu pieaugušo </w:t>
      </w:r>
      <w:r w:rsidR="00B804D7">
        <w:rPr>
          <w:sz w:val="26"/>
          <w:szCs w:val="28"/>
        </w:rPr>
        <w:t>izglītības</w:t>
      </w:r>
      <w:r w:rsidRPr="00BC7217">
        <w:rPr>
          <w:sz w:val="26"/>
          <w:szCs w:val="28"/>
        </w:rPr>
        <w:t xml:space="preserve"> sistēmu konkrētām mērķa grupām, kā arī izvērtēt paredzēto pasākumu ietekmi uz darba tirgus disproporciju mazināšanu.</w:t>
      </w:r>
    </w:p>
    <w:p w:rsidR="001E4BA5" w:rsidRPr="00F5785D" w:rsidRDefault="001E4BA5" w:rsidP="00055A16">
      <w:pPr>
        <w:pStyle w:val="BodyText3"/>
        <w:numPr>
          <w:ilvl w:val="0"/>
          <w:numId w:val="20"/>
        </w:numPr>
        <w:spacing w:after="0" w:line="240" w:lineRule="auto"/>
        <w:ind w:left="426" w:hanging="426"/>
        <w:jc w:val="both"/>
        <w:rPr>
          <w:sz w:val="26"/>
          <w:szCs w:val="28"/>
        </w:rPr>
      </w:pPr>
      <w:r w:rsidRPr="00F5785D">
        <w:rPr>
          <w:sz w:val="26"/>
          <w:szCs w:val="28"/>
        </w:rPr>
        <w:t>Labklājības ministrijai ņemt vērā darba tirgus vidēja un ilgtermiņa prognozes, izstrādājot profesiju sarakstu bezdarbnieku apmācībai un pārkvalifikācijai.</w:t>
      </w:r>
    </w:p>
    <w:p w:rsidR="001E4BA5" w:rsidRPr="001E4BA5" w:rsidRDefault="001E4BA5" w:rsidP="00055A16">
      <w:pPr>
        <w:pStyle w:val="BodyText3"/>
        <w:numPr>
          <w:ilvl w:val="0"/>
          <w:numId w:val="20"/>
        </w:numPr>
        <w:spacing w:after="0" w:line="240" w:lineRule="auto"/>
        <w:ind w:left="426" w:hanging="426"/>
        <w:jc w:val="both"/>
        <w:rPr>
          <w:sz w:val="26"/>
          <w:szCs w:val="28"/>
        </w:rPr>
      </w:pPr>
      <w:r w:rsidRPr="001E4BA5">
        <w:rPr>
          <w:sz w:val="26"/>
          <w:szCs w:val="28"/>
        </w:rPr>
        <w:t xml:space="preserve">Ekonomikas ministrijai, iesniedzot Ministru kabinetā nākamo </w:t>
      </w:r>
      <w:r w:rsidR="001B7234">
        <w:rPr>
          <w:i/>
          <w:sz w:val="26"/>
          <w:szCs w:val="28"/>
        </w:rPr>
        <w:t>I</w:t>
      </w:r>
      <w:r w:rsidRPr="001E4BA5">
        <w:rPr>
          <w:i/>
          <w:sz w:val="26"/>
          <w:szCs w:val="28"/>
        </w:rPr>
        <w:t>nformatīvo ziņojumu par darba tirgus vidēja un ilgtermiņa prognozēm</w:t>
      </w:r>
      <w:r w:rsidRPr="001E4BA5">
        <w:rPr>
          <w:sz w:val="26"/>
          <w:szCs w:val="28"/>
        </w:rPr>
        <w:t>, tajā iekļaut informāciju par Darba tirgus apsteidzošo pārkārtojumu sistēmas organizatorisko struktūru un sadarbības modeli.</w:t>
      </w:r>
    </w:p>
    <w:p w:rsidR="00B40358" w:rsidRPr="00CD7B6E" w:rsidRDefault="00B40358" w:rsidP="00B40358">
      <w:pPr>
        <w:spacing w:after="0" w:line="240" w:lineRule="auto"/>
        <w:rPr>
          <w:sz w:val="26"/>
          <w:szCs w:val="26"/>
        </w:rPr>
      </w:pPr>
    </w:p>
    <w:p w:rsidR="00B40358" w:rsidRDefault="00B40358" w:rsidP="00B40358">
      <w:pPr>
        <w:spacing w:after="0" w:line="240" w:lineRule="auto"/>
        <w:rPr>
          <w:sz w:val="26"/>
          <w:szCs w:val="26"/>
        </w:rPr>
      </w:pPr>
    </w:p>
    <w:p w:rsidR="00B40358" w:rsidRPr="00CD7B6E" w:rsidRDefault="001E4BA5" w:rsidP="001E4BA5">
      <w:pPr>
        <w:tabs>
          <w:tab w:val="right" w:pos="9071"/>
        </w:tabs>
        <w:spacing w:after="0" w:line="240" w:lineRule="auto"/>
        <w:rPr>
          <w:sz w:val="26"/>
          <w:szCs w:val="26"/>
        </w:rPr>
      </w:pPr>
      <w:r>
        <w:rPr>
          <w:sz w:val="26"/>
          <w:szCs w:val="26"/>
        </w:rPr>
        <w:t>Ekonomikas ministrs</w:t>
      </w:r>
      <w:r>
        <w:rPr>
          <w:sz w:val="26"/>
          <w:szCs w:val="26"/>
        </w:rPr>
        <w:tab/>
      </w:r>
      <w:r w:rsidR="00B40358" w:rsidRPr="00CD7B6E">
        <w:rPr>
          <w:sz w:val="26"/>
          <w:szCs w:val="26"/>
        </w:rPr>
        <w:t>D.Pavļuts</w:t>
      </w:r>
    </w:p>
    <w:p w:rsidR="00B40358" w:rsidRPr="00055A16" w:rsidRDefault="00B40358" w:rsidP="00B40358">
      <w:pPr>
        <w:spacing w:after="0" w:line="240" w:lineRule="auto"/>
        <w:rPr>
          <w:sz w:val="16"/>
          <w:szCs w:val="16"/>
          <w:vertAlign w:val="subscript"/>
        </w:rPr>
      </w:pPr>
    </w:p>
    <w:p w:rsidR="00B40358" w:rsidRPr="00055A16" w:rsidRDefault="00B40358" w:rsidP="00B40358">
      <w:pPr>
        <w:spacing w:after="0" w:line="240" w:lineRule="auto"/>
        <w:rPr>
          <w:sz w:val="16"/>
          <w:szCs w:val="16"/>
          <w:vertAlign w:val="subscript"/>
        </w:rPr>
      </w:pPr>
    </w:p>
    <w:p w:rsidR="00557A4E" w:rsidRPr="00557A4E" w:rsidRDefault="00557A4E" w:rsidP="001B7234">
      <w:pPr>
        <w:tabs>
          <w:tab w:val="right" w:pos="9071"/>
        </w:tabs>
        <w:spacing w:after="0" w:line="240" w:lineRule="auto"/>
        <w:rPr>
          <w:sz w:val="26"/>
          <w:szCs w:val="26"/>
        </w:rPr>
      </w:pPr>
      <w:r>
        <w:rPr>
          <w:sz w:val="26"/>
          <w:szCs w:val="26"/>
        </w:rPr>
        <w:t xml:space="preserve">Vīza: </w:t>
      </w:r>
      <w:r w:rsidR="001B7234">
        <w:rPr>
          <w:sz w:val="26"/>
          <w:szCs w:val="26"/>
        </w:rPr>
        <w:t>V</w:t>
      </w:r>
      <w:r w:rsidRPr="00557A4E">
        <w:rPr>
          <w:sz w:val="26"/>
          <w:szCs w:val="26"/>
        </w:rPr>
        <w:t>alsts sekretār</w:t>
      </w:r>
      <w:r w:rsidR="001B7234">
        <w:rPr>
          <w:sz w:val="26"/>
          <w:szCs w:val="26"/>
        </w:rPr>
        <w:t>s</w:t>
      </w:r>
      <w:r>
        <w:rPr>
          <w:sz w:val="26"/>
          <w:szCs w:val="26"/>
        </w:rPr>
        <w:tab/>
      </w:r>
      <w:r w:rsidR="001B7234">
        <w:rPr>
          <w:sz w:val="26"/>
          <w:szCs w:val="26"/>
        </w:rPr>
        <w:t>J.Pūce</w:t>
      </w:r>
    </w:p>
    <w:p w:rsidR="00B40358" w:rsidRDefault="00B40358" w:rsidP="00B40358">
      <w:pPr>
        <w:pStyle w:val="EnvelopeReturn"/>
        <w:rPr>
          <w:rFonts w:ascii="Times New Roman" w:hAnsi="Times New Roman"/>
          <w:bCs/>
          <w:szCs w:val="22"/>
        </w:rPr>
      </w:pPr>
    </w:p>
    <w:p w:rsidR="00055A16" w:rsidRDefault="00055A16" w:rsidP="00B40358">
      <w:pPr>
        <w:pStyle w:val="EnvelopeReturn"/>
        <w:rPr>
          <w:rFonts w:ascii="Times New Roman" w:hAnsi="Times New Roman"/>
          <w:bCs/>
          <w:sz w:val="16"/>
          <w:szCs w:val="16"/>
        </w:rPr>
      </w:pPr>
    </w:p>
    <w:p w:rsidR="00F5785D" w:rsidRPr="00055A16" w:rsidRDefault="00F5785D" w:rsidP="00B40358">
      <w:pPr>
        <w:pStyle w:val="EnvelopeReturn"/>
        <w:rPr>
          <w:rFonts w:ascii="Times New Roman" w:hAnsi="Times New Roman"/>
          <w:bCs/>
          <w:sz w:val="16"/>
          <w:szCs w:val="16"/>
        </w:rPr>
      </w:pPr>
    </w:p>
    <w:p w:rsidR="00B40358" w:rsidRPr="0031672A" w:rsidRDefault="00593A0E" w:rsidP="00B40358">
      <w:pPr>
        <w:pStyle w:val="EnvelopeReturn"/>
        <w:rPr>
          <w:rFonts w:ascii="Times New Roman" w:hAnsi="Times New Roman"/>
          <w:bCs/>
          <w:szCs w:val="22"/>
        </w:rPr>
      </w:pPr>
      <w:r>
        <w:rPr>
          <w:rFonts w:ascii="Times New Roman" w:hAnsi="Times New Roman"/>
          <w:bCs/>
          <w:szCs w:val="22"/>
        </w:rPr>
        <w:t>21</w:t>
      </w:r>
      <w:r w:rsidR="00B40358" w:rsidRPr="0031672A">
        <w:rPr>
          <w:rFonts w:ascii="Times New Roman" w:hAnsi="Times New Roman"/>
          <w:bCs/>
          <w:szCs w:val="22"/>
        </w:rPr>
        <w:t>.0</w:t>
      </w:r>
      <w:r w:rsidR="001B7234">
        <w:rPr>
          <w:rFonts w:ascii="Times New Roman" w:hAnsi="Times New Roman"/>
          <w:bCs/>
          <w:szCs w:val="22"/>
        </w:rPr>
        <w:t>6</w:t>
      </w:r>
      <w:r w:rsidR="00B40358" w:rsidRPr="0031672A">
        <w:rPr>
          <w:rFonts w:ascii="Times New Roman" w:hAnsi="Times New Roman"/>
          <w:bCs/>
          <w:szCs w:val="22"/>
        </w:rPr>
        <w:t>.201</w:t>
      </w:r>
      <w:r w:rsidR="00B40358">
        <w:rPr>
          <w:rFonts w:ascii="Times New Roman" w:hAnsi="Times New Roman"/>
          <w:bCs/>
          <w:szCs w:val="22"/>
        </w:rPr>
        <w:t>3</w:t>
      </w:r>
      <w:r w:rsidR="00B40358" w:rsidRPr="0031672A">
        <w:rPr>
          <w:rFonts w:ascii="Times New Roman" w:hAnsi="Times New Roman"/>
          <w:bCs/>
          <w:szCs w:val="22"/>
        </w:rPr>
        <w:t xml:space="preserve">. </w:t>
      </w:r>
      <w:r>
        <w:rPr>
          <w:rFonts w:ascii="Times New Roman" w:hAnsi="Times New Roman"/>
          <w:bCs/>
          <w:szCs w:val="22"/>
        </w:rPr>
        <w:t>8</w:t>
      </w:r>
      <w:r w:rsidR="00B40358" w:rsidRPr="0031672A">
        <w:rPr>
          <w:rFonts w:ascii="Times New Roman" w:hAnsi="Times New Roman"/>
          <w:bCs/>
          <w:szCs w:val="22"/>
        </w:rPr>
        <w:t>:</w:t>
      </w:r>
      <w:r>
        <w:rPr>
          <w:rFonts w:ascii="Times New Roman" w:hAnsi="Times New Roman"/>
          <w:bCs/>
          <w:szCs w:val="22"/>
        </w:rPr>
        <w:t>42</w:t>
      </w:r>
    </w:p>
    <w:p w:rsidR="00B40358" w:rsidRPr="0031672A" w:rsidRDefault="00593A0E" w:rsidP="00B40358">
      <w:pPr>
        <w:pStyle w:val="EnvelopeReturn"/>
        <w:rPr>
          <w:rFonts w:ascii="Times New Roman" w:hAnsi="Times New Roman"/>
          <w:bCs/>
          <w:szCs w:val="22"/>
        </w:rPr>
      </w:pPr>
      <w:r>
        <w:fldChar w:fldCharType="begin"/>
      </w:r>
      <w:r>
        <w:instrText xml:space="preserve"> NUMWORDS   \* MERGEFORMAT </w:instrText>
      </w:r>
      <w:r>
        <w:fldChar w:fldCharType="separate"/>
      </w:r>
      <w:r w:rsidRPr="00593A0E">
        <w:rPr>
          <w:rFonts w:ascii="Times New Roman" w:hAnsi="Times New Roman"/>
          <w:noProof/>
          <w:szCs w:val="22"/>
        </w:rPr>
        <w:t>16633</w:t>
      </w:r>
      <w:r>
        <w:rPr>
          <w:rFonts w:ascii="Times New Roman" w:hAnsi="Times New Roman"/>
          <w:noProof/>
          <w:szCs w:val="22"/>
        </w:rPr>
        <w:fldChar w:fldCharType="end"/>
      </w:r>
      <w:bookmarkStart w:id="67" w:name="_GoBack"/>
      <w:bookmarkEnd w:id="67"/>
    </w:p>
    <w:p w:rsidR="00B40358" w:rsidRPr="0031672A" w:rsidRDefault="00B40358" w:rsidP="00B40358">
      <w:pPr>
        <w:pStyle w:val="EnvelopeReturn"/>
        <w:rPr>
          <w:rFonts w:ascii="Times New Roman" w:hAnsi="Times New Roman"/>
          <w:bCs/>
          <w:szCs w:val="22"/>
        </w:rPr>
      </w:pPr>
      <w:r>
        <w:rPr>
          <w:rFonts w:ascii="Times New Roman" w:hAnsi="Times New Roman"/>
          <w:bCs/>
          <w:szCs w:val="22"/>
        </w:rPr>
        <w:t>Ludis Neiders</w:t>
      </w:r>
    </w:p>
    <w:p w:rsidR="00B40358" w:rsidRPr="0031672A" w:rsidRDefault="00593A0E" w:rsidP="00B40358">
      <w:pPr>
        <w:pStyle w:val="EnvelopeReturn"/>
        <w:rPr>
          <w:rFonts w:ascii="Times New Roman" w:hAnsi="Times New Roman"/>
          <w:bCs/>
          <w:szCs w:val="22"/>
        </w:rPr>
      </w:pPr>
      <w:hyperlink r:id="rId92" w:history="1">
        <w:r w:rsidR="00B40358" w:rsidRPr="002F4A03">
          <w:rPr>
            <w:rStyle w:val="Hyperlink"/>
            <w:rFonts w:ascii="Times New Roman" w:eastAsia="Calibri" w:hAnsi="Times New Roman"/>
            <w:bCs/>
            <w:szCs w:val="22"/>
          </w:rPr>
          <w:t>Ludis.Neiders@em.gov.lv</w:t>
        </w:r>
      </w:hyperlink>
      <w:r w:rsidR="00B40358">
        <w:rPr>
          <w:rFonts w:ascii="Times New Roman" w:hAnsi="Times New Roman"/>
          <w:bCs/>
          <w:szCs w:val="22"/>
        </w:rPr>
        <w:t>, 67013119</w:t>
      </w:r>
    </w:p>
    <w:sectPr w:rsidR="00B40358" w:rsidRPr="0031672A" w:rsidSect="00886C81">
      <w:headerReference w:type="default" r:id="rId93"/>
      <w:footerReference w:type="default" r:id="rId94"/>
      <w:footerReference w:type="first" r:id="rId95"/>
      <w:pgSz w:w="11906" w:h="16838" w:code="9"/>
      <w:pgMar w:top="1418"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9C4" w:rsidRDefault="00AE09C4" w:rsidP="00826C45">
      <w:pPr>
        <w:spacing w:after="0" w:line="240" w:lineRule="auto"/>
      </w:pPr>
      <w:r>
        <w:separator/>
      </w:r>
    </w:p>
  </w:endnote>
  <w:endnote w:type="continuationSeparator" w:id="0">
    <w:p w:rsidR="00AE09C4" w:rsidRDefault="00AE09C4" w:rsidP="0082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20002A87" w:usb1="00000000" w:usb2="00000000" w:usb3="00000000" w:csb0="000001FF" w:csb1="00000000"/>
  </w:font>
  <w:font w:name="Times New Roman Bold">
    <w:panose1 w:val="02020803070505020304"/>
    <w:charset w:val="00"/>
    <w:family w:val="auto"/>
    <w:pitch w:val="default"/>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1138"/>
      <w:docPartObj>
        <w:docPartGallery w:val="Page Numbers (Bottom of Page)"/>
        <w:docPartUnique/>
      </w:docPartObj>
    </w:sdtPr>
    <w:sdtEndPr>
      <w:rPr>
        <w:noProof/>
      </w:rPr>
    </w:sdtEndPr>
    <w:sdtContent>
      <w:p w:rsidR="00AE09C4" w:rsidRDefault="00593A0E" w:rsidP="00230458">
        <w:pPr>
          <w:pStyle w:val="Footer"/>
        </w:pPr>
        <w:r>
          <w:fldChar w:fldCharType="begin"/>
        </w:r>
        <w:r>
          <w:instrText xml:space="preserve"> FILENAME   \* MERGEFORMAT </w:instrText>
        </w:r>
        <w:r>
          <w:fldChar w:fldCharType="separate"/>
        </w:r>
        <w:r w:rsidRPr="00593A0E">
          <w:rPr>
            <w:noProof/>
            <w:sz w:val="20"/>
            <w:szCs w:val="20"/>
          </w:rPr>
          <w:t>EMZino</w:t>
        </w:r>
        <w:r>
          <w:rPr>
            <w:noProof/>
          </w:rPr>
          <w:t>_210613</w:t>
        </w:r>
        <w:r>
          <w:rPr>
            <w:noProof/>
          </w:rPr>
          <w:fldChar w:fldCharType="end"/>
        </w:r>
        <w:r w:rsidR="00AE09C4" w:rsidRPr="00230458">
          <w:rPr>
            <w:sz w:val="20"/>
            <w:szCs w:val="20"/>
          </w:rPr>
          <w:t>; Informatīvais ziņojums par darba tirgus vidēja un ilgtermiņa prognozēm</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4" w:rsidRPr="00013812" w:rsidRDefault="00593A0E" w:rsidP="00CE2B15">
    <w:pPr>
      <w:pStyle w:val="Footer"/>
      <w:rPr>
        <w:sz w:val="20"/>
        <w:szCs w:val="20"/>
      </w:rPr>
    </w:pPr>
    <w:r>
      <w:fldChar w:fldCharType="begin"/>
    </w:r>
    <w:r>
      <w:instrText xml:space="preserve"> FILENAME   \* MERGEFORMAT </w:instrText>
    </w:r>
    <w:r>
      <w:fldChar w:fldCharType="separate"/>
    </w:r>
    <w:r w:rsidR="00F5785D" w:rsidRPr="00F5785D">
      <w:rPr>
        <w:noProof/>
        <w:sz w:val="20"/>
        <w:szCs w:val="20"/>
      </w:rPr>
      <w:t>EMZino</w:t>
    </w:r>
    <w:r w:rsidR="00F5785D">
      <w:rPr>
        <w:noProof/>
      </w:rPr>
      <w:t>_190613</w:t>
    </w:r>
    <w:r>
      <w:rPr>
        <w:noProof/>
      </w:rPr>
      <w:fldChar w:fldCharType="end"/>
    </w:r>
    <w:r w:rsidR="00AE09C4" w:rsidRPr="00230458">
      <w:rPr>
        <w:sz w:val="20"/>
        <w:szCs w:val="20"/>
      </w:rPr>
      <w:t>; Informatīvais ziņojums par darba tirgus vidēja un ilgtermiņa prognozēm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9C4" w:rsidRDefault="00AE09C4" w:rsidP="00826C45">
      <w:pPr>
        <w:spacing w:after="0" w:line="240" w:lineRule="auto"/>
      </w:pPr>
      <w:r>
        <w:separator/>
      </w:r>
    </w:p>
  </w:footnote>
  <w:footnote w:type="continuationSeparator" w:id="0">
    <w:p w:rsidR="00AE09C4" w:rsidRDefault="00AE09C4" w:rsidP="00826C45">
      <w:pPr>
        <w:spacing w:after="0" w:line="240" w:lineRule="auto"/>
      </w:pPr>
      <w:r>
        <w:continuationSeparator/>
      </w:r>
    </w:p>
  </w:footnote>
  <w:footnote w:id="1">
    <w:p w:rsidR="00AE09C4" w:rsidRPr="00743675" w:rsidRDefault="00AE09C4" w:rsidP="00826C45">
      <w:pPr>
        <w:pStyle w:val="FootnoteText"/>
        <w:ind w:left="142" w:hanging="142"/>
        <w:jc w:val="both"/>
        <w:rPr>
          <w:lang w:val="lv-LV"/>
        </w:rPr>
      </w:pPr>
      <w:r w:rsidRPr="00743675">
        <w:rPr>
          <w:rStyle w:val="FootnoteReference"/>
          <w:rFonts w:eastAsia="Calibri"/>
          <w:lang w:val="lv-LV"/>
        </w:rPr>
        <w:footnoteRef/>
      </w:r>
      <w:r w:rsidRPr="00743675">
        <w:rPr>
          <w:lang w:val="lv-LV"/>
        </w:rPr>
        <w:tab/>
        <w:t>ULC ir attiecība starp darbaspēka izmaksām un darbaspēka produktivitāti. Ja produktivitāte aug straujāk par algām, tad ULC samazinās, kas liecina par to, ka valsts izmaksu konkurētspēja palielinās, un otrādi.</w:t>
      </w:r>
    </w:p>
  </w:footnote>
  <w:footnote w:id="2">
    <w:p w:rsidR="00AE09C4" w:rsidRPr="00D90219" w:rsidRDefault="00AE09C4" w:rsidP="001E20F4">
      <w:pPr>
        <w:pStyle w:val="FootnoteText"/>
      </w:pPr>
      <w:r w:rsidRPr="00D90219">
        <w:rPr>
          <w:rStyle w:val="FootnoteReference"/>
        </w:rPr>
        <w:footnoteRef/>
      </w:r>
      <w:r w:rsidRPr="00D90219">
        <w:t xml:space="preserve"> European Commission, EU Employment and social situation. Quarterly Review, March 2013</w:t>
      </w:r>
      <w:r>
        <w:t>.</w:t>
      </w:r>
    </w:p>
  </w:footnote>
  <w:footnote w:id="3">
    <w:p w:rsidR="00AE09C4" w:rsidRPr="00D90219" w:rsidRDefault="00AE09C4" w:rsidP="008F2AA8">
      <w:pPr>
        <w:pStyle w:val="FootnoteText"/>
        <w:ind w:left="142" w:hanging="142"/>
        <w:jc w:val="both"/>
      </w:pPr>
      <w:r w:rsidRPr="00D90219">
        <w:rPr>
          <w:rStyle w:val="FootnoteReference"/>
        </w:rPr>
        <w:footnoteRef/>
      </w:r>
      <w:r w:rsidRPr="00D90219">
        <w:tab/>
        <w:t>CEDEFOP, Silver workers-golden opportunities. February 2012.</w:t>
      </w:r>
    </w:p>
  </w:footnote>
  <w:footnote w:id="4">
    <w:p w:rsidR="00AE09C4" w:rsidRPr="00D90219" w:rsidRDefault="00AE09C4" w:rsidP="008F2AA8">
      <w:pPr>
        <w:pStyle w:val="FootnoteText"/>
        <w:ind w:left="142" w:hanging="142"/>
        <w:jc w:val="both"/>
      </w:pPr>
      <w:r w:rsidRPr="00D90219">
        <w:rPr>
          <w:rStyle w:val="FootnoteReference"/>
        </w:rPr>
        <w:footnoteRef/>
      </w:r>
      <w:r w:rsidRPr="00D90219">
        <w:tab/>
        <w:t>European Commission, EU Employment and social situation. Special supplement on demographic trends. Quarterly Review, March 2013.</w:t>
      </w:r>
    </w:p>
  </w:footnote>
  <w:footnote w:id="5">
    <w:p w:rsidR="00AE09C4" w:rsidRPr="00D90219" w:rsidRDefault="00AE09C4" w:rsidP="008F2AA8">
      <w:pPr>
        <w:pStyle w:val="FootnoteText"/>
        <w:ind w:left="142" w:hanging="142"/>
        <w:jc w:val="both"/>
      </w:pPr>
      <w:r w:rsidRPr="00D90219">
        <w:rPr>
          <w:rStyle w:val="FootnoteReference"/>
        </w:rPr>
        <w:footnoteRef/>
      </w:r>
      <w:r w:rsidRPr="00D90219">
        <w:tab/>
        <w:t>European Commission, European Vacancy Monitor, 2013.</w:t>
      </w:r>
    </w:p>
  </w:footnote>
  <w:footnote w:id="6">
    <w:p w:rsidR="00AE09C4" w:rsidRPr="00D90219" w:rsidRDefault="00AE09C4" w:rsidP="0077399B">
      <w:pPr>
        <w:pStyle w:val="FootnoteText"/>
        <w:ind w:left="170" w:hanging="170"/>
        <w:jc w:val="both"/>
        <w:rPr>
          <w:lang w:val="lv-LV"/>
        </w:rPr>
      </w:pPr>
      <w:r w:rsidRPr="00D90219">
        <w:rPr>
          <w:rStyle w:val="FootnoteReference"/>
          <w:rFonts w:eastAsia="Calibri"/>
          <w:lang w:val="lv-LV"/>
        </w:rPr>
        <w:footnoteRef/>
      </w:r>
      <w:r w:rsidRPr="00D90219">
        <w:rPr>
          <w:lang w:val="lv-LV"/>
        </w:rPr>
        <w:tab/>
        <w:t>Datu avots ir CSP Darbaspēka apsekojums. Rādītājs ir iekļauts ES strukturālajos indikatoros un tas parāda pieaugušo iedzīvotāju vecumā no 25 līdz 64 gadiem dalību mūžizglītības aktivitātēs.</w:t>
      </w:r>
    </w:p>
  </w:footnote>
  <w:footnote w:id="7">
    <w:p w:rsidR="00AE09C4" w:rsidRDefault="00AE09C4" w:rsidP="00C17198">
      <w:pPr>
        <w:rPr>
          <w:lang w:val="en-GB"/>
        </w:rPr>
      </w:pPr>
      <w:r>
        <w:rPr>
          <w:rStyle w:val="FootnoteReference"/>
          <w:sz w:val="18"/>
          <w:szCs w:val="18"/>
          <w:lang w:val="en-GB"/>
        </w:rPr>
        <w:footnoteRef/>
      </w:r>
      <w:r>
        <w:rPr>
          <w:sz w:val="18"/>
          <w:szCs w:val="18"/>
          <w:lang w:val="en-GB"/>
        </w:rPr>
        <w:t xml:space="preserve"> World Economic Outlook Database, April 2013</w:t>
      </w:r>
    </w:p>
  </w:footnote>
  <w:footnote w:id="8">
    <w:p w:rsidR="00AE09C4" w:rsidRPr="00D90219" w:rsidRDefault="00AE09C4" w:rsidP="00885969">
      <w:pPr>
        <w:pStyle w:val="FootnoteText"/>
      </w:pPr>
      <w:r w:rsidRPr="00D90219">
        <w:rPr>
          <w:rStyle w:val="FootnoteReference"/>
        </w:rPr>
        <w:footnoteRef/>
      </w:r>
      <w:r w:rsidRPr="00D90219">
        <w:t xml:space="preserve"> CEDEFOP. Future skills supply and demand in Europe. Forecast 2012. Research paper No 26, 2012.</w:t>
      </w:r>
    </w:p>
  </w:footnote>
  <w:footnote w:id="9">
    <w:p w:rsidR="00AE09C4" w:rsidRPr="00D90219" w:rsidRDefault="00AE09C4" w:rsidP="00885969">
      <w:pPr>
        <w:pStyle w:val="FootnoteText"/>
      </w:pPr>
      <w:r w:rsidRPr="00D90219">
        <w:rPr>
          <w:rStyle w:val="FootnoteReference"/>
        </w:rPr>
        <w:footnoteRef/>
      </w:r>
      <w:r w:rsidRPr="00D90219">
        <w:t xml:space="preserve"> CEDEFOP. Future skills supply and demand in Europe. Forecast 2012. Research paper No 26, 2012</w:t>
      </w:r>
      <w:r>
        <w:t>.</w:t>
      </w:r>
    </w:p>
  </w:footnote>
  <w:footnote w:id="10">
    <w:p w:rsidR="00AE09C4" w:rsidRPr="00D90219" w:rsidRDefault="00AE09C4" w:rsidP="00885969">
      <w:pPr>
        <w:pStyle w:val="FootnoteText"/>
      </w:pPr>
      <w:r w:rsidRPr="00D90219">
        <w:rPr>
          <w:rStyle w:val="FootnoteReference"/>
        </w:rPr>
        <w:footnoteRef/>
      </w:r>
      <w:r w:rsidRPr="00D90219">
        <w:t xml:space="preserve"> Council of the European Union. Employment and Social Developments in Europe 2012, January 2013.</w:t>
      </w:r>
    </w:p>
  </w:footnote>
  <w:footnote w:id="11">
    <w:p w:rsidR="00AE09C4" w:rsidRPr="00D90219" w:rsidRDefault="00AE09C4" w:rsidP="00885969">
      <w:pPr>
        <w:pStyle w:val="FootnoteText"/>
      </w:pPr>
      <w:r w:rsidRPr="00D90219">
        <w:rPr>
          <w:rStyle w:val="FootnoteReference"/>
        </w:rPr>
        <w:footnoteRef/>
      </w:r>
      <w:r w:rsidRPr="00D90219">
        <w:t xml:space="preserve"> CEDEFOP. Future skills supply and demand in Europe. Forecast 2012. Research paper No 26, 2012.</w:t>
      </w:r>
    </w:p>
  </w:footnote>
  <w:footnote w:id="12">
    <w:p w:rsidR="00AE09C4" w:rsidRPr="00D90219" w:rsidRDefault="00AE09C4" w:rsidP="00885969">
      <w:pPr>
        <w:pStyle w:val="FootnoteText"/>
      </w:pPr>
      <w:r w:rsidRPr="00D90219">
        <w:rPr>
          <w:rStyle w:val="FootnoteReference"/>
        </w:rPr>
        <w:footnoteRef/>
      </w:r>
      <w:r w:rsidRPr="00D90219">
        <w:t xml:space="preserve"> Council of the European Union. Employment and Social Developments in Europe 2012, January 2013</w:t>
      </w:r>
    </w:p>
  </w:footnote>
  <w:footnote w:id="13">
    <w:p w:rsidR="00AE09C4" w:rsidRPr="00340CA7" w:rsidRDefault="00AE09C4" w:rsidP="00340CA7">
      <w:pPr>
        <w:pStyle w:val="FootnoteText"/>
        <w:ind w:left="170" w:hanging="170"/>
        <w:jc w:val="both"/>
        <w:rPr>
          <w:color w:val="000000" w:themeColor="text1"/>
          <w:lang w:val="lv-LV"/>
        </w:rPr>
      </w:pPr>
      <w:r w:rsidRPr="00340CA7">
        <w:rPr>
          <w:rStyle w:val="FootnoteReference"/>
          <w:rFonts w:eastAsia="Calibri"/>
          <w:color w:val="000000" w:themeColor="text1"/>
        </w:rPr>
        <w:footnoteRef/>
      </w:r>
      <w:r w:rsidRPr="00340CA7">
        <w:rPr>
          <w:color w:val="000000" w:themeColor="text1"/>
          <w:lang w:val="lv-LV"/>
        </w:rPr>
        <w:tab/>
      </w:r>
      <w:r w:rsidRPr="00340CA7">
        <w:rPr>
          <w:bCs/>
          <w:color w:val="000000" w:themeColor="text1"/>
          <w:lang w:val="lv-LV" w:eastAsia="lv-LV"/>
        </w:rPr>
        <w:t>Sintēzes ziņojums</w:t>
      </w:r>
      <w:r w:rsidRPr="00340CA7">
        <w:rPr>
          <w:color w:val="000000" w:themeColor="text1"/>
          <w:lang w:val="lv-LV" w:eastAsia="lv-LV"/>
        </w:rPr>
        <w:t xml:space="preserve">. </w:t>
      </w:r>
      <w:r w:rsidRPr="00340CA7">
        <w:rPr>
          <w:bCs/>
          <w:color w:val="000000" w:themeColor="text1"/>
          <w:lang w:val="lv-LV" w:eastAsia="lv-LV"/>
        </w:rPr>
        <w:t>Sociālā partnerība</w:t>
      </w:r>
      <w:r w:rsidRPr="00340CA7">
        <w:rPr>
          <w:color w:val="000000" w:themeColor="text1"/>
          <w:lang w:val="lv-LV" w:eastAsia="lv-LV"/>
        </w:rPr>
        <w:t xml:space="preserve"> pārmaiņu apsteidzošo pārkārtojumu un restrukturizācijas īstenošanai. Savstarpējā mācīšanās: Somijas un Baltijas valstis</w:t>
      </w:r>
      <w:r w:rsidRPr="00340CA7">
        <w:rPr>
          <w:color w:val="000000" w:themeColor="text1"/>
          <w:lang w:val="lv-LV"/>
        </w:rPr>
        <w:t>. 2011</w:t>
      </w:r>
      <w:r>
        <w:rPr>
          <w:color w:val="000000" w:themeColor="text1"/>
          <w:lang w:val="lv-LV"/>
        </w:rPr>
        <w:t>.</w:t>
      </w:r>
      <w:r w:rsidRPr="00340CA7">
        <w:rPr>
          <w:color w:val="000000" w:themeColor="text1"/>
          <w:lang w:val="lv-LV"/>
        </w:rPr>
        <w:t xml:space="preserve">gada novembris. </w:t>
      </w:r>
      <w:hyperlink r:id="rId1" w:history="1">
        <w:r w:rsidRPr="00340CA7">
          <w:rPr>
            <w:rStyle w:val="Hyperlink"/>
            <w:rFonts w:eastAsia="Calibri"/>
            <w:color w:val="000000" w:themeColor="text1"/>
            <w:lang w:val="lv-LV"/>
          </w:rPr>
          <w:t>http://arenas.itcilo.org/anticipating-restructuring/synthesis-reports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4" w:rsidRDefault="00AE09C4" w:rsidP="00230458">
    <w:pPr>
      <w:pStyle w:val="Footer"/>
      <w:jc w:val="center"/>
      <w:rPr>
        <w:noProof/>
      </w:rPr>
    </w:pPr>
    <w:r>
      <w:fldChar w:fldCharType="begin"/>
    </w:r>
    <w:r>
      <w:instrText xml:space="preserve"> PAGE   \* MERGEFORMAT </w:instrText>
    </w:r>
    <w:r>
      <w:fldChar w:fldCharType="separate"/>
    </w:r>
    <w:r w:rsidR="00593A0E">
      <w:rPr>
        <w:noProof/>
      </w:rPr>
      <w:t>67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426"/>
    <w:multiLevelType w:val="hybridMultilevel"/>
    <w:tmpl w:val="945AC136"/>
    <w:lvl w:ilvl="0" w:tplc="04260001">
      <w:start w:val="1"/>
      <w:numFmt w:val="bullet"/>
      <w:lvlText w:val=""/>
      <w:lvlJc w:val="left"/>
      <w:pPr>
        <w:ind w:left="644"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nsid w:val="0D0112D8"/>
    <w:multiLevelType w:val="hybridMultilevel"/>
    <w:tmpl w:val="129425C2"/>
    <w:lvl w:ilvl="0" w:tplc="04260001">
      <w:start w:val="1"/>
      <w:numFmt w:val="bullet"/>
      <w:lvlText w:val=""/>
      <w:lvlJc w:val="left"/>
      <w:pPr>
        <w:ind w:left="644"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nsid w:val="0E690834"/>
    <w:multiLevelType w:val="hybridMultilevel"/>
    <w:tmpl w:val="CC0A3B0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723" w:hanging="360"/>
      </w:pPr>
      <w:rPr>
        <w:rFonts w:ascii="Courier New" w:hAnsi="Courier New" w:cs="Courier New" w:hint="default"/>
      </w:rPr>
    </w:lvl>
    <w:lvl w:ilvl="2" w:tplc="04260005" w:tentative="1">
      <w:start w:val="1"/>
      <w:numFmt w:val="bullet"/>
      <w:lvlText w:val=""/>
      <w:lvlJc w:val="left"/>
      <w:pPr>
        <w:ind w:left="2443" w:hanging="360"/>
      </w:pPr>
      <w:rPr>
        <w:rFonts w:ascii="Wingdings" w:hAnsi="Wingdings" w:hint="default"/>
      </w:rPr>
    </w:lvl>
    <w:lvl w:ilvl="3" w:tplc="04260001" w:tentative="1">
      <w:start w:val="1"/>
      <w:numFmt w:val="bullet"/>
      <w:lvlText w:val=""/>
      <w:lvlJc w:val="left"/>
      <w:pPr>
        <w:ind w:left="3163" w:hanging="360"/>
      </w:pPr>
      <w:rPr>
        <w:rFonts w:ascii="Symbol" w:hAnsi="Symbol" w:hint="default"/>
      </w:rPr>
    </w:lvl>
    <w:lvl w:ilvl="4" w:tplc="04260003" w:tentative="1">
      <w:start w:val="1"/>
      <w:numFmt w:val="bullet"/>
      <w:lvlText w:val="o"/>
      <w:lvlJc w:val="left"/>
      <w:pPr>
        <w:ind w:left="3883" w:hanging="360"/>
      </w:pPr>
      <w:rPr>
        <w:rFonts w:ascii="Courier New" w:hAnsi="Courier New" w:cs="Courier New" w:hint="default"/>
      </w:rPr>
    </w:lvl>
    <w:lvl w:ilvl="5" w:tplc="04260005" w:tentative="1">
      <w:start w:val="1"/>
      <w:numFmt w:val="bullet"/>
      <w:lvlText w:val=""/>
      <w:lvlJc w:val="left"/>
      <w:pPr>
        <w:ind w:left="4603" w:hanging="360"/>
      </w:pPr>
      <w:rPr>
        <w:rFonts w:ascii="Wingdings" w:hAnsi="Wingdings" w:hint="default"/>
      </w:rPr>
    </w:lvl>
    <w:lvl w:ilvl="6" w:tplc="04260001" w:tentative="1">
      <w:start w:val="1"/>
      <w:numFmt w:val="bullet"/>
      <w:lvlText w:val=""/>
      <w:lvlJc w:val="left"/>
      <w:pPr>
        <w:ind w:left="5323" w:hanging="360"/>
      </w:pPr>
      <w:rPr>
        <w:rFonts w:ascii="Symbol" w:hAnsi="Symbol" w:hint="default"/>
      </w:rPr>
    </w:lvl>
    <w:lvl w:ilvl="7" w:tplc="04260003" w:tentative="1">
      <w:start w:val="1"/>
      <w:numFmt w:val="bullet"/>
      <w:lvlText w:val="o"/>
      <w:lvlJc w:val="left"/>
      <w:pPr>
        <w:ind w:left="6043" w:hanging="360"/>
      </w:pPr>
      <w:rPr>
        <w:rFonts w:ascii="Courier New" w:hAnsi="Courier New" w:cs="Courier New" w:hint="default"/>
      </w:rPr>
    </w:lvl>
    <w:lvl w:ilvl="8" w:tplc="04260005" w:tentative="1">
      <w:start w:val="1"/>
      <w:numFmt w:val="bullet"/>
      <w:lvlText w:val=""/>
      <w:lvlJc w:val="left"/>
      <w:pPr>
        <w:ind w:left="6763" w:hanging="360"/>
      </w:pPr>
      <w:rPr>
        <w:rFonts w:ascii="Wingdings" w:hAnsi="Wingdings" w:hint="default"/>
      </w:rPr>
    </w:lvl>
  </w:abstractNum>
  <w:abstractNum w:abstractNumId="3">
    <w:nsid w:val="1D881991"/>
    <w:multiLevelType w:val="hybridMultilevel"/>
    <w:tmpl w:val="0D3631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F106D9E"/>
    <w:multiLevelType w:val="hybridMultilevel"/>
    <w:tmpl w:val="102844C2"/>
    <w:lvl w:ilvl="0" w:tplc="024EA19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22BC4357"/>
    <w:multiLevelType w:val="hybridMultilevel"/>
    <w:tmpl w:val="457E4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3C74A50"/>
    <w:multiLevelType w:val="hybridMultilevel"/>
    <w:tmpl w:val="650C154E"/>
    <w:lvl w:ilvl="0" w:tplc="DFB01162">
      <w:start w:val="1"/>
      <w:numFmt w:val="bullet"/>
      <w:lvlText w:val="–"/>
      <w:lvlJc w:val="left"/>
      <w:pPr>
        <w:ind w:left="927" w:hanging="360"/>
      </w:pPr>
      <w:rPr>
        <w:rFonts w:ascii="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7">
    <w:nsid w:val="27866C62"/>
    <w:multiLevelType w:val="hybridMultilevel"/>
    <w:tmpl w:val="6E4845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nsid w:val="31217FBB"/>
    <w:multiLevelType w:val="hybridMultilevel"/>
    <w:tmpl w:val="0A023C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19A0CC5"/>
    <w:multiLevelType w:val="hybridMultilevel"/>
    <w:tmpl w:val="A7BA382E"/>
    <w:lvl w:ilvl="0" w:tplc="DFB01162">
      <w:start w:val="1"/>
      <w:numFmt w:val="bullet"/>
      <w:lvlText w:val="–"/>
      <w:lvlJc w:val="left"/>
      <w:pPr>
        <w:ind w:left="1287" w:hanging="360"/>
      </w:pPr>
      <w:rPr>
        <w:rFonts w:ascii="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nsid w:val="33E17897"/>
    <w:multiLevelType w:val="hybridMultilevel"/>
    <w:tmpl w:val="0EC03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49C73E6"/>
    <w:multiLevelType w:val="hybridMultilevel"/>
    <w:tmpl w:val="364210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66D3453"/>
    <w:multiLevelType w:val="hybridMultilevel"/>
    <w:tmpl w:val="39689B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19834D9"/>
    <w:multiLevelType w:val="hybridMultilevel"/>
    <w:tmpl w:val="8EC0D6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19B0ECE"/>
    <w:multiLevelType w:val="hybridMultilevel"/>
    <w:tmpl w:val="293EA50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nsid w:val="56610BCD"/>
    <w:multiLevelType w:val="multilevel"/>
    <w:tmpl w:val="D7103A22"/>
    <w:lvl w:ilvl="0">
      <w:start w:val="2"/>
      <w:numFmt w:val="decimal"/>
      <w:lvlText w:val="%1."/>
      <w:lvlJc w:val="left"/>
      <w:pPr>
        <w:ind w:left="390" w:hanging="390"/>
      </w:pPr>
      <w:rPr>
        <w:rFonts w:eastAsia="Times New Roman" w:hint="default"/>
      </w:rPr>
    </w:lvl>
    <w:lvl w:ilvl="1">
      <w:start w:val="1"/>
      <w:numFmt w:val="decimal"/>
      <w:lvlText w:val="%1.%2."/>
      <w:lvlJc w:val="left"/>
      <w:pPr>
        <w:ind w:left="1434" w:hanging="72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3222" w:hanging="108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5010" w:hanging="144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798" w:hanging="180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6">
    <w:nsid w:val="56A37979"/>
    <w:multiLevelType w:val="hybridMultilevel"/>
    <w:tmpl w:val="F60A60DC"/>
    <w:lvl w:ilvl="0" w:tplc="1D9C310E">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7">
    <w:nsid w:val="63EE6542"/>
    <w:multiLevelType w:val="hybridMultilevel"/>
    <w:tmpl w:val="E5A6C41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nsid w:val="6C2F285C"/>
    <w:multiLevelType w:val="hybridMultilevel"/>
    <w:tmpl w:val="F662C490"/>
    <w:lvl w:ilvl="0" w:tplc="F35004A2">
      <w:numFmt w:val="bullet"/>
      <w:lvlText w:val="–"/>
      <w:lvlJc w:val="left"/>
      <w:pPr>
        <w:ind w:left="1353" w:hanging="360"/>
      </w:pPr>
      <w:rPr>
        <w:rFonts w:ascii="Times New Roman" w:eastAsia="Calibri" w:hAnsi="Times New Roman" w:cs="Times New Roman" w:hint="default"/>
        <w:sz w:val="26"/>
      </w:rPr>
    </w:lvl>
    <w:lvl w:ilvl="1" w:tplc="04260003">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19">
    <w:nsid w:val="6CF6594B"/>
    <w:multiLevelType w:val="hybridMultilevel"/>
    <w:tmpl w:val="2E8CFD68"/>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nsid w:val="74EC4879"/>
    <w:multiLevelType w:val="hybridMultilevel"/>
    <w:tmpl w:val="3ED62A2C"/>
    <w:lvl w:ilvl="0" w:tplc="2E4EB872">
      <w:start w:val="24"/>
      <w:numFmt w:val="bullet"/>
      <w:lvlText w:val="-"/>
      <w:lvlJc w:val="left"/>
      <w:pPr>
        <w:tabs>
          <w:tab w:val="num" w:pos="1260"/>
        </w:tabs>
        <w:ind w:left="1260" w:hanging="360"/>
      </w:pPr>
      <w:rPr>
        <w:rFonts w:ascii="Arial" w:eastAsia="Times New Roman" w:hAnsi="Arial" w:cs="Arial" w:hint="default"/>
      </w:rPr>
    </w:lvl>
    <w:lvl w:ilvl="1" w:tplc="04260003">
      <w:start w:val="1"/>
      <w:numFmt w:val="bullet"/>
      <w:lvlText w:val="o"/>
      <w:lvlJc w:val="left"/>
      <w:pPr>
        <w:tabs>
          <w:tab w:val="num" w:pos="1980"/>
        </w:tabs>
        <w:ind w:left="1980" w:hanging="360"/>
      </w:pPr>
      <w:rPr>
        <w:rFonts w:ascii="Courier New" w:hAnsi="Courier New" w:cs="Times New Roman" w:hint="default"/>
      </w:rPr>
    </w:lvl>
    <w:lvl w:ilvl="2" w:tplc="04260005">
      <w:start w:val="1"/>
      <w:numFmt w:val="bullet"/>
      <w:lvlText w:val=""/>
      <w:lvlJc w:val="left"/>
      <w:pPr>
        <w:tabs>
          <w:tab w:val="num" w:pos="2700"/>
        </w:tabs>
        <w:ind w:left="2700" w:hanging="360"/>
      </w:pPr>
      <w:rPr>
        <w:rFonts w:ascii="Wingdings" w:hAnsi="Wingdings" w:hint="default"/>
      </w:rPr>
    </w:lvl>
    <w:lvl w:ilvl="3" w:tplc="04260001">
      <w:start w:val="1"/>
      <w:numFmt w:val="bullet"/>
      <w:lvlText w:val=""/>
      <w:lvlJc w:val="left"/>
      <w:pPr>
        <w:tabs>
          <w:tab w:val="num" w:pos="3420"/>
        </w:tabs>
        <w:ind w:left="3420" w:hanging="360"/>
      </w:pPr>
      <w:rPr>
        <w:rFonts w:ascii="Symbol" w:hAnsi="Symbol" w:hint="default"/>
      </w:rPr>
    </w:lvl>
    <w:lvl w:ilvl="4" w:tplc="04260003">
      <w:start w:val="1"/>
      <w:numFmt w:val="bullet"/>
      <w:lvlText w:val="o"/>
      <w:lvlJc w:val="left"/>
      <w:pPr>
        <w:tabs>
          <w:tab w:val="num" w:pos="4140"/>
        </w:tabs>
        <w:ind w:left="4140" w:hanging="360"/>
      </w:pPr>
      <w:rPr>
        <w:rFonts w:ascii="Courier New" w:hAnsi="Courier New" w:cs="Times New Roman" w:hint="default"/>
      </w:rPr>
    </w:lvl>
    <w:lvl w:ilvl="5" w:tplc="04260005">
      <w:start w:val="1"/>
      <w:numFmt w:val="bullet"/>
      <w:lvlText w:val=""/>
      <w:lvlJc w:val="left"/>
      <w:pPr>
        <w:tabs>
          <w:tab w:val="num" w:pos="4860"/>
        </w:tabs>
        <w:ind w:left="4860" w:hanging="360"/>
      </w:pPr>
      <w:rPr>
        <w:rFonts w:ascii="Wingdings" w:hAnsi="Wingdings" w:hint="default"/>
      </w:rPr>
    </w:lvl>
    <w:lvl w:ilvl="6" w:tplc="04260001">
      <w:start w:val="1"/>
      <w:numFmt w:val="bullet"/>
      <w:lvlText w:val=""/>
      <w:lvlJc w:val="left"/>
      <w:pPr>
        <w:tabs>
          <w:tab w:val="num" w:pos="5580"/>
        </w:tabs>
        <w:ind w:left="5580" w:hanging="360"/>
      </w:pPr>
      <w:rPr>
        <w:rFonts w:ascii="Symbol" w:hAnsi="Symbol" w:hint="default"/>
      </w:rPr>
    </w:lvl>
    <w:lvl w:ilvl="7" w:tplc="04260003">
      <w:start w:val="1"/>
      <w:numFmt w:val="bullet"/>
      <w:lvlText w:val="o"/>
      <w:lvlJc w:val="left"/>
      <w:pPr>
        <w:tabs>
          <w:tab w:val="num" w:pos="6300"/>
        </w:tabs>
        <w:ind w:left="6300" w:hanging="360"/>
      </w:pPr>
      <w:rPr>
        <w:rFonts w:ascii="Courier New" w:hAnsi="Courier New" w:cs="Times New Roman" w:hint="default"/>
      </w:rPr>
    </w:lvl>
    <w:lvl w:ilvl="8" w:tplc="04260005">
      <w:start w:val="1"/>
      <w:numFmt w:val="bullet"/>
      <w:lvlText w:val=""/>
      <w:lvlJc w:val="left"/>
      <w:pPr>
        <w:tabs>
          <w:tab w:val="num" w:pos="7020"/>
        </w:tabs>
        <w:ind w:left="7020" w:hanging="360"/>
      </w:pPr>
      <w:rPr>
        <w:rFonts w:ascii="Wingdings" w:hAnsi="Wingdings" w:hint="default"/>
      </w:rPr>
    </w:lvl>
  </w:abstractNum>
  <w:abstractNum w:abstractNumId="21">
    <w:nsid w:val="77C93E15"/>
    <w:multiLevelType w:val="hybridMultilevel"/>
    <w:tmpl w:val="48B80ED6"/>
    <w:lvl w:ilvl="0" w:tplc="A942FC5E">
      <w:start w:val="1"/>
      <w:numFmt w:val="decimal"/>
      <w:lvlText w:val="%1."/>
      <w:lvlJc w:val="left"/>
      <w:pPr>
        <w:ind w:left="720" w:hanging="360"/>
      </w:pPr>
      <w:rPr>
        <w:rFonts w:hint="default"/>
        <w:sz w:val="26"/>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788D1CF9"/>
    <w:multiLevelType w:val="hybridMultilevel"/>
    <w:tmpl w:val="6234D1AC"/>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3">
    <w:nsid w:val="79E64F1C"/>
    <w:multiLevelType w:val="hybridMultilevel"/>
    <w:tmpl w:val="566E567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nsid w:val="79F8601E"/>
    <w:multiLevelType w:val="hybridMultilevel"/>
    <w:tmpl w:val="3398D350"/>
    <w:lvl w:ilvl="0" w:tplc="59905DC2">
      <w:start w:val="1"/>
      <w:numFmt w:val="bullet"/>
      <w:lvlText w:val="—"/>
      <w:lvlJc w:val="left"/>
      <w:pPr>
        <w:ind w:left="720" w:hanging="360"/>
      </w:pPr>
      <w:rPr>
        <w:rFonts w:ascii="Times New Roman" w:hAnsi="Times New Roman" w:cs="Times New Roman" w:hint="default"/>
      </w:rPr>
    </w:lvl>
    <w:lvl w:ilvl="1" w:tplc="DFB01162">
      <w:start w:val="1"/>
      <w:numFmt w:val="bullet"/>
      <w:lvlText w:val="–"/>
      <w:lvlJc w:val="left"/>
      <w:pPr>
        <w:ind w:left="1440" w:hanging="360"/>
      </w:pPr>
      <w:rPr>
        <w:rFonts w:ascii="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8"/>
  </w:num>
  <w:num w:numId="4">
    <w:abstractNumId w:val="19"/>
  </w:num>
  <w:num w:numId="5">
    <w:abstractNumId w:val="11"/>
  </w:num>
  <w:num w:numId="6">
    <w:abstractNumId w:val="12"/>
  </w:num>
  <w:num w:numId="7">
    <w:abstractNumId w:val="9"/>
  </w:num>
  <w:num w:numId="8">
    <w:abstractNumId w:val="14"/>
  </w:num>
  <w:num w:numId="9">
    <w:abstractNumId w:val="4"/>
  </w:num>
  <w:num w:numId="10">
    <w:abstractNumId w:val="23"/>
  </w:num>
  <w:num w:numId="11">
    <w:abstractNumId w:val="3"/>
  </w:num>
  <w:num w:numId="12">
    <w:abstractNumId w:val="10"/>
  </w:num>
  <w:num w:numId="13">
    <w:abstractNumId w:val="16"/>
  </w:num>
  <w:num w:numId="14">
    <w:abstractNumId w:val="16"/>
  </w:num>
  <w:num w:numId="15">
    <w:abstractNumId w:val="22"/>
  </w:num>
  <w:num w:numId="16">
    <w:abstractNumId w:val="6"/>
  </w:num>
  <w:num w:numId="17">
    <w:abstractNumId w:val="24"/>
  </w:num>
  <w:num w:numId="18">
    <w:abstractNumId w:val="17"/>
  </w:num>
  <w:num w:numId="19">
    <w:abstractNumId w:val="7"/>
  </w:num>
  <w:num w:numId="20">
    <w:abstractNumId w:val="21"/>
  </w:num>
  <w:num w:numId="21">
    <w:abstractNumId w:val="5"/>
  </w:num>
  <w:num w:numId="22">
    <w:abstractNumId w:val="0"/>
  </w:num>
  <w:num w:numId="23">
    <w:abstractNumId w:val="18"/>
  </w:num>
  <w:num w:numId="24">
    <w:abstractNumId w:val="2"/>
  </w:num>
  <w:num w:numId="25">
    <w:abstractNumId w:val="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C45"/>
    <w:rsid w:val="000039AA"/>
    <w:rsid w:val="00026AE9"/>
    <w:rsid w:val="00053BFB"/>
    <w:rsid w:val="00055A16"/>
    <w:rsid w:val="00061C54"/>
    <w:rsid w:val="00070EBB"/>
    <w:rsid w:val="000B305D"/>
    <w:rsid w:val="000B6AA5"/>
    <w:rsid w:val="000E76F4"/>
    <w:rsid w:val="00103CD6"/>
    <w:rsid w:val="001306EC"/>
    <w:rsid w:val="00143658"/>
    <w:rsid w:val="00147A79"/>
    <w:rsid w:val="00155137"/>
    <w:rsid w:val="00176BD4"/>
    <w:rsid w:val="00192948"/>
    <w:rsid w:val="00197D61"/>
    <w:rsid w:val="001B2F7C"/>
    <w:rsid w:val="001B7234"/>
    <w:rsid w:val="001C2D82"/>
    <w:rsid w:val="001D39F1"/>
    <w:rsid w:val="001E20F4"/>
    <w:rsid w:val="001E4BA5"/>
    <w:rsid w:val="0020150C"/>
    <w:rsid w:val="0022122A"/>
    <w:rsid w:val="00225A60"/>
    <w:rsid w:val="00230458"/>
    <w:rsid w:val="00232700"/>
    <w:rsid w:val="002432EC"/>
    <w:rsid w:val="002720E5"/>
    <w:rsid w:val="00286224"/>
    <w:rsid w:val="00294A12"/>
    <w:rsid w:val="00295D7D"/>
    <w:rsid w:val="002B6CD4"/>
    <w:rsid w:val="002C6B26"/>
    <w:rsid w:val="002F6F95"/>
    <w:rsid w:val="002F7D00"/>
    <w:rsid w:val="00303CEA"/>
    <w:rsid w:val="00315AE0"/>
    <w:rsid w:val="003408DE"/>
    <w:rsid w:val="00340CA7"/>
    <w:rsid w:val="003559F3"/>
    <w:rsid w:val="003B62E4"/>
    <w:rsid w:val="00414DFF"/>
    <w:rsid w:val="00430577"/>
    <w:rsid w:val="00432FCE"/>
    <w:rsid w:val="00450186"/>
    <w:rsid w:val="004713D6"/>
    <w:rsid w:val="004B247B"/>
    <w:rsid w:val="004B3690"/>
    <w:rsid w:val="004B7CE9"/>
    <w:rsid w:val="004E3B20"/>
    <w:rsid w:val="004F4F84"/>
    <w:rsid w:val="0050064C"/>
    <w:rsid w:val="00510480"/>
    <w:rsid w:val="00516342"/>
    <w:rsid w:val="00521971"/>
    <w:rsid w:val="00550026"/>
    <w:rsid w:val="005546B4"/>
    <w:rsid w:val="00557A4E"/>
    <w:rsid w:val="0056462F"/>
    <w:rsid w:val="005777D9"/>
    <w:rsid w:val="00593A0E"/>
    <w:rsid w:val="00594BF4"/>
    <w:rsid w:val="005D06E1"/>
    <w:rsid w:val="005E4D37"/>
    <w:rsid w:val="00604970"/>
    <w:rsid w:val="0063488C"/>
    <w:rsid w:val="0064633F"/>
    <w:rsid w:val="00687CB9"/>
    <w:rsid w:val="006A12F5"/>
    <w:rsid w:val="006B0B56"/>
    <w:rsid w:val="006C337F"/>
    <w:rsid w:val="006F69A6"/>
    <w:rsid w:val="00714CB3"/>
    <w:rsid w:val="00743675"/>
    <w:rsid w:val="007500B7"/>
    <w:rsid w:val="007500E5"/>
    <w:rsid w:val="0077399B"/>
    <w:rsid w:val="0079272F"/>
    <w:rsid w:val="008237C9"/>
    <w:rsid w:val="008239EE"/>
    <w:rsid w:val="00826C45"/>
    <w:rsid w:val="008652F2"/>
    <w:rsid w:val="00877E21"/>
    <w:rsid w:val="00885969"/>
    <w:rsid w:val="00886C81"/>
    <w:rsid w:val="00895051"/>
    <w:rsid w:val="00895FF2"/>
    <w:rsid w:val="008D527E"/>
    <w:rsid w:val="008F2AA8"/>
    <w:rsid w:val="008F2D5F"/>
    <w:rsid w:val="0090109A"/>
    <w:rsid w:val="009838F9"/>
    <w:rsid w:val="009B6AFD"/>
    <w:rsid w:val="009C43DB"/>
    <w:rsid w:val="009D6A29"/>
    <w:rsid w:val="009E060F"/>
    <w:rsid w:val="00A015A8"/>
    <w:rsid w:val="00A228C1"/>
    <w:rsid w:val="00A908C3"/>
    <w:rsid w:val="00AA09BE"/>
    <w:rsid w:val="00AD10C6"/>
    <w:rsid w:val="00AE09C4"/>
    <w:rsid w:val="00AE1980"/>
    <w:rsid w:val="00B05745"/>
    <w:rsid w:val="00B05C61"/>
    <w:rsid w:val="00B06295"/>
    <w:rsid w:val="00B066AA"/>
    <w:rsid w:val="00B201C9"/>
    <w:rsid w:val="00B30E66"/>
    <w:rsid w:val="00B40358"/>
    <w:rsid w:val="00B63CA0"/>
    <w:rsid w:val="00B804D7"/>
    <w:rsid w:val="00BC68BC"/>
    <w:rsid w:val="00BC7217"/>
    <w:rsid w:val="00BD369D"/>
    <w:rsid w:val="00BF0685"/>
    <w:rsid w:val="00C03686"/>
    <w:rsid w:val="00C03DAA"/>
    <w:rsid w:val="00C12DD4"/>
    <w:rsid w:val="00C17198"/>
    <w:rsid w:val="00C204DE"/>
    <w:rsid w:val="00C23BFB"/>
    <w:rsid w:val="00C356C1"/>
    <w:rsid w:val="00C37678"/>
    <w:rsid w:val="00C409F0"/>
    <w:rsid w:val="00C67AC2"/>
    <w:rsid w:val="00C831C7"/>
    <w:rsid w:val="00C903BE"/>
    <w:rsid w:val="00C94B6A"/>
    <w:rsid w:val="00C96BAC"/>
    <w:rsid w:val="00C976C0"/>
    <w:rsid w:val="00CA709A"/>
    <w:rsid w:val="00CB0535"/>
    <w:rsid w:val="00CC55AF"/>
    <w:rsid w:val="00CE2B15"/>
    <w:rsid w:val="00CE3F1E"/>
    <w:rsid w:val="00D55669"/>
    <w:rsid w:val="00D90219"/>
    <w:rsid w:val="00DA6889"/>
    <w:rsid w:val="00DB2CA4"/>
    <w:rsid w:val="00DD2569"/>
    <w:rsid w:val="00DD331A"/>
    <w:rsid w:val="00E4755F"/>
    <w:rsid w:val="00E8168E"/>
    <w:rsid w:val="00EA231B"/>
    <w:rsid w:val="00EA7221"/>
    <w:rsid w:val="00EB30C9"/>
    <w:rsid w:val="00EC0849"/>
    <w:rsid w:val="00EE322F"/>
    <w:rsid w:val="00F006EA"/>
    <w:rsid w:val="00F06D55"/>
    <w:rsid w:val="00F26ECE"/>
    <w:rsid w:val="00F3399B"/>
    <w:rsid w:val="00F537B5"/>
    <w:rsid w:val="00F5785D"/>
    <w:rsid w:val="00F60EC6"/>
    <w:rsid w:val="00F6144C"/>
    <w:rsid w:val="00F7604D"/>
    <w:rsid w:val="00F765B2"/>
    <w:rsid w:val="00FB17FF"/>
    <w:rsid w:val="00FB7700"/>
    <w:rsid w:val="00FD018C"/>
    <w:rsid w:val="00FD6B95"/>
    <w:rsid w:val="00FE333B"/>
    <w:rsid w:val="00FE3BE2"/>
    <w:rsid w:val="00FE51FD"/>
    <w:rsid w:val="00FF24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C4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826C45"/>
    <w:pPr>
      <w:keepNext/>
      <w:pBdr>
        <w:bottom w:val="double" w:sz="12" w:space="1" w:color="C00000"/>
      </w:pBdr>
      <w:spacing w:after="0" w:line="240" w:lineRule="auto"/>
      <w:outlineLvl w:val="0"/>
    </w:pPr>
    <w:rPr>
      <w:rFonts w:ascii="Times New Roman Bold" w:hAnsi="Times New Roman Bold"/>
      <w:b/>
      <w:smallCaps/>
      <w:sz w:val="32"/>
    </w:rPr>
  </w:style>
  <w:style w:type="paragraph" w:styleId="Heading2">
    <w:name w:val="heading 2"/>
    <w:basedOn w:val="Normal"/>
    <w:next w:val="Normal"/>
    <w:link w:val="Heading2Char"/>
    <w:uiPriority w:val="9"/>
    <w:qFormat/>
    <w:rsid w:val="00826C45"/>
    <w:pPr>
      <w:keepNext/>
      <w:pBdr>
        <w:bottom w:val="single" w:sz="12" w:space="1" w:color="C00000"/>
      </w:pBdr>
      <w:spacing w:before="20" w:after="20"/>
      <w:outlineLvl w:val="1"/>
    </w:pPr>
    <w:rPr>
      <w:b/>
      <w:sz w:val="28"/>
    </w:rPr>
  </w:style>
  <w:style w:type="paragraph" w:styleId="Heading3">
    <w:name w:val="heading 3"/>
    <w:basedOn w:val="Normal"/>
    <w:next w:val="Normal"/>
    <w:link w:val="Heading3Char"/>
    <w:uiPriority w:val="9"/>
    <w:unhideWhenUsed/>
    <w:qFormat/>
    <w:rsid w:val="006463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C45"/>
    <w:rPr>
      <w:rFonts w:ascii="Times New Roman Bold" w:eastAsia="Calibri" w:hAnsi="Times New Roman Bold" w:cs="Times New Roman"/>
      <w:b/>
      <w:smallCaps/>
      <w:sz w:val="32"/>
    </w:rPr>
  </w:style>
  <w:style w:type="character" w:customStyle="1" w:styleId="Heading2Char">
    <w:name w:val="Heading 2 Char"/>
    <w:basedOn w:val="DefaultParagraphFont"/>
    <w:link w:val="Heading2"/>
    <w:uiPriority w:val="9"/>
    <w:rsid w:val="00826C45"/>
    <w:rPr>
      <w:rFonts w:eastAsia="Calibri" w:cs="Times New Roman"/>
      <w:b/>
    </w:rPr>
  </w:style>
  <w:style w:type="paragraph" w:styleId="ListParagraph">
    <w:name w:val="List Paragraph"/>
    <w:basedOn w:val="Normal"/>
    <w:uiPriority w:val="34"/>
    <w:qFormat/>
    <w:rsid w:val="00826C45"/>
    <w:pPr>
      <w:ind w:left="720"/>
      <w:contextualSpacing/>
    </w:pPr>
  </w:style>
  <w:style w:type="paragraph" w:styleId="BodyTextIndent3">
    <w:name w:val="Body Text Indent 3"/>
    <w:basedOn w:val="Normal"/>
    <w:link w:val="BodyTextIndent3Char"/>
    <w:rsid w:val="00826C45"/>
    <w:pPr>
      <w:spacing w:after="0" w:line="240" w:lineRule="auto"/>
      <w:ind w:firstLine="567"/>
      <w:jc w:val="both"/>
    </w:pPr>
    <w:rPr>
      <w:rFonts w:eastAsia="Times New Roman"/>
      <w:szCs w:val="24"/>
    </w:rPr>
  </w:style>
  <w:style w:type="character" w:customStyle="1" w:styleId="BodyTextIndent3Char">
    <w:name w:val="Body Text Indent 3 Char"/>
    <w:basedOn w:val="DefaultParagraphFont"/>
    <w:link w:val="BodyTextIndent3"/>
    <w:rsid w:val="00826C45"/>
    <w:rPr>
      <w:rFonts w:eastAsia="Times New Roman" w:cs="Times New Roman"/>
      <w:sz w:val="22"/>
      <w:szCs w:val="24"/>
    </w:rPr>
  </w:style>
  <w:style w:type="paragraph" w:styleId="BodyTextIndent2">
    <w:name w:val="Body Text Indent 2"/>
    <w:basedOn w:val="Normal"/>
    <w:link w:val="BodyTextIndent2Char"/>
    <w:unhideWhenUsed/>
    <w:rsid w:val="00826C45"/>
    <w:pPr>
      <w:spacing w:after="120" w:line="480" w:lineRule="auto"/>
      <w:ind w:left="283"/>
    </w:pPr>
    <w:rPr>
      <w:sz w:val="24"/>
      <w:szCs w:val="24"/>
    </w:rPr>
  </w:style>
  <w:style w:type="character" w:customStyle="1" w:styleId="BodyTextIndent2Char">
    <w:name w:val="Body Text Indent 2 Char"/>
    <w:basedOn w:val="DefaultParagraphFont"/>
    <w:link w:val="BodyTextIndent2"/>
    <w:rsid w:val="00826C45"/>
    <w:rPr>
      <w:rFonts w:eastAsia="Calibri" w:cs="Times New Roman"/>
      <w:sz w:val="24"/>
      <w:szCs w:val="24"/>
    </w:rPr>
  </w:style>
  <w:style w:type="paragraph" w:customStyle="1" w:styleId="Taksts11">
    <w:name w:val="Taksts_11"/>
    <w:basedOn w:val="Normal"/>
    <w:rsid w:val="00826C45"/>
    <w:pPr>
      <w:spacing w:after="0" w:line="240" w:lineRule="auto"/>
      <w:ind w:firstLine="567"/>
      <w:jc w:val="both"/>
    </w:pPr>
    <w:rPr>
      <w:rFonts w:eastAsia="Times New Roman"/>
      <w:sz w:val="24"/>
      <w:szCs w:val="20"/>
      <w:lang w:val="en-US"/>
    </w:rPr>
  </w:style>
  <w:style w:type="paragraph" w:styleId="BodyText2">
    <w:name w:val="Body Text 2"/>
    <w:basedOn w:val="Normal"/>
    <w:link w:val="BodyText2Char"/>
    <w:uiPriority w:val="99"/>
    <w:unhideWhenUsed/>
    <w:rsid w:val="00826C45"/>
    <w:pPr>
      <w:spacing w:after="120" w:line="480" w:lineRule="auto"/>
    </w:pPr>
    <w:rPr>
      <w:sz w:val="24"/>
      <w:szCs w:val="24"/>
    </w:rPr>
  </w:style>
  <w:style w:type="character" w:customStyle="1" w:styleId="BodyText2Char">
    <w:name w:val="Body Text 2 Char"/>
    <w:basedOn w:val="DefaultParagraphFont"/>
    <w:link w:val="BodyText2"/>
    <w:uiPriority w:val="99"/>
    <w:rsid w:val="00826C45"/>
    <w:rPr>
      <w:rFonts w:eastAsia="Calibri" w:cs="Times New Roman"/>
      <w:sz w:val="24"/>
      <w:szCs w:val="24"/>
    </w:rPr>
  </w:style>
  <w:style w:type="table" w:styleId="TableGrid">
    <w:name w:val="Table Grid"/>
    <w:basedOn w:val="TableNormal"/>
    <w:uiPriority w:val="59"/>
    <w:rsid w:val="00826C45"/>
    <w:rPr>
      <w:rFonts w:eastAsia="Calibri"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9pirmstab3">
    <w:name w:val="9_pirms_tab_3"/>
    <w:basedOn w:val="Normal"/>
    <w:rsid w:val="00826C45"/>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line="240" w:lineRule="auto"/>
      <w:jc w:val="center"/>
    </w:pPr>
    <w:rPr>
      <w:rFonts w:eastAsia="Times New Roman"/>
      <w:color w:val="000000"/>
      <w:sz w:val="18"/>
      <w:szCs w:val="20"/>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
    <w:basedOn w:val="Normal"/>
    <w:link w:val="FootnoteTextChar"/>
    <w:rsid w:val="00826C45"/>
    <w:pPr>
      <w:spacing w:after="0" w:line="240" w:lineRule="auto"/>
    </w:pPr>
    <w:rPr>
      <w:rFonts w:eastAsia="Times New Roman"/>
      <w:sz w:val="20"/>
      <w:szCs w:val="20"/>
      <w:lang w:val="en-GB"/>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rsid w:val="00826C45"/>
    <w:rPr>
      <w:rFonts w:eastAsia="Times New Roman" w:cs="Times New Roman"/>
      <w:sz w:val="20"/>
      <w:szCs w:val="20"/>
      <w:lang w:val="en-GB"/>
    </w:rPr>
  </w:style>
  <w:style w:type="character" w:styleId="FootnoteReference">
    <w:name w:val="footnote reference"/>
    <w:aliases w:val="Footnote Reference Number,Footnote Reference Superscript,Footnote symbol,fr"/>
    <w:basedOn w:val="DefaultParagraphFont"/>
    <w:uiPriority w:val="99"/>
    <w:rsid w:val="00826C45"/>
    <w:rPr>
      <w:vertAlign w:val="superscript"/>
    </w:rPr>
  </w:style>
  <w:style w:type="table" w:styleId="LightShading-Accent3">
    <w:name w:val="Light Shading Accent 3"/>
    <w:basedOn w:val="TableNormal"/>
    <w:uiPriority w:val="60"/>
    <w:rsid w:val="00826C45"/>
    <w:rPr>
      <w:rFonts w:eastAsia="Times New Roman" w:cs="Times New Roman"/>
      <w:color w:val="76923C" w:themeColor="accent3" w:themeShade="BF"/>
      <w:sz w:val="20"/>
      <w:szCs w:val="20"/>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826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C45"/>
    <w:rPr>
      <w:rFonts w:ascii="Tahoma" w:eastAsia="Calibri" w:hAnsi="Tahoma" w:cs="Tahoma"/>
      <w:sz w:val="16"/>
      <w:szCs w:val="16"/>
    </w:rPr>
  </w:style>
  <w:style w:type="character" w:customStyle="1" w:styleId="hps">
    <w:name w:val="hps"/>
    <w:basedOn w:val="DefaultParagraphFont"/>
    <w:rsid w:val="00E8168E"/>
  </w:style>
  <w:style w:type="table" w:styleId="MediumList1-Accent4">
    <w:name w:val="Medium List 1 Accent 4"/>
    <w:basedOn w:val="TableNormal"/>
    <w:uiPriority w:val="65"/>
    <w:rsid w:val="00B066AA"/>
    <w:rPr>
      <w:rFonts w:cs="Times New Roman"/>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B066AA"/>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olorfulGrid-Accent4">
    <w:name w:val="Colorful Grid Accent 4"/>
    <w:basedOn w:val="TableNormal"/>
    <w:uiPriority w:val="73"/>
    <w:rsid w:val="00AE198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uiPriority w:val="1"/>
    <w:qFormat/>
    <w:rsid w:val="00885969"/>
    <w:rPr>
      <w:rFonts w:eastAsia="Calibri" w:cs="Times New Roman"/>
      <w:sz w:val="22"/>
    </w:rPr>
  </w:style>
  <w:style w:type="paragraph" w:styleId="BodyTextIndent">
    <w:name w:val="Body Text Indent"/>
    <w:basedOn w:val="Normal"/>
    <w:link w:val="BodyTextIndentChar"/>
    <w:uiPriority w:val="99"/>
    <w:semiHidden/>
    <w:unhideWhenUsed/>
    <w:rsid w:val="004B7CE9"/>
    <w:pPr>
      <w:spacing w:after="120"/>
      <w:ind w:left="283"/>
    </w:pPr>
  </w:style>
  <w:style w:type="character" w:customStyle="1" w:styleId="BodyTextIndentChar">
    <w:name w:val="Body Text Indent Char"/>
    <w:basedOn w:val="DefaultParagraphFont"/>
    <w:link w:val="BodyTextIndent"/>
    <w:uiPriority w:val="99"/>
    <w:semiHidden/>
    <w:rsid w:val="004B7CE9"/>
    <w:rPr>
      <w:rFonts w:eastAsia="Calibri" w:cs="Times New Roman"/>
      <w:sz w:val="22"/>
    </w:rPr>
  </w:style>
  <w:style w:type="character" w:styleId="Strong">
    <w:name w:val="Strong"/>
    <w:basedOn w:val="DefaultParagraphFont"/>
    <w:qFormat/>
    <w:rsid w:val="004B7CE9"/>
    <w:rPr>
      <w:b/>
      <w:bCs/>
    </w:rPr>
  </w:style>
  <w:style w:type="paragraph" w:styleId="Header">
    <w:name w:val="header"/>
    <w:basedOn w:val="Normal"/>
    <w:link w:val="HeaderChar"/>
    <w:uiPriority w:val="99"/>
    <w:unhideWhenUsed/>
    <w:rsid w:val="004501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0186"/>
    <w:rPr>
      <w:rFonts w:eastAsia="Calibri" w:cs="Times New Roman"/>
      <w:sz w:val="22"/>
    </w:rPr>
  </w:style>
  <w:style w:type="paragraph" w:styleId="Footer">
    <w:name w:val="footer"/>
    <w:basedOn w:val="Normal"/>
    <w:link w:val="FooterChar"/>
    <w:unhideWhenUsed/>
    <w:rsid w:val="00450186"/>
    <w:pPr>
      <w:tabs>
        <w:tab w:val="center" w:pos="4153"/>
        <w:tab w:val="right" w:pos="8306"/>
      </w:tabs>
      <w:spacing w:after="0" w:line="240" w:lineRule="auto"/>
    </w:pPr>
  </w:style>
  <w:style w:type="character" w:customStyle="1" w:styleId="FooterChar">
    <w:name w:val="Footer Char"/>
    <w:basedOn w:val="DefaultParagraphFont"/>
    <w:link w:val="Footer"/>
    <w:rsid w:val="00450186"/>
    <w:rPr>
      <w:rFonts w:eastAsia="Calibri" w:cs="Times New Roman"/>
      <w:sz w:val="22"/>
    </w:rPr>
  </w:style>
  <w:style w:type="paragraph" w:styleId="TOC2">
    <w:name w:val="toc 2"/>
    <w:basedOn w:val="Normal"/>
    <w:next w:val="Normal"/>
    <w:autoRedefine/>
    <w:uiPriority w:val="39"/>
    <w:unhideWhenUsed/>
    <w:qFormat/>
    <w:rsid w:val="00CE2B15"/>
    <w:pPr>
      <w:tabs>
        <w:tab w:val="right" w:leader="dot" w:pos="9061"/>
      </w:tabs>
      <w:spacing w:before="120" w:after="120"/>
      <w:ind w:left="198"/>
    </w:pPr>
    <w:rPr>
      <w:rFonts w:ascii="Calibri" w:hAnsi="Calibri"/>
      <w:i/>
      <w:iCs/>
    </w:rPr>
  </w:style>
  <w:style w:type="paragraph" w:styleId="TOC1">
    <w:name w:val="toc 1"/>
    <w:basedOn w:val="Normal"/>
    <w:next w:val="Normal"/>
    <w:autoRedefine/>
    <w:uiPriority w:val="39"/>
    <w:unhideWhenUsed/>
    <w:qFormat/>
    <w:rsid w:val="00CE2B15"/>
    <w:pPr>
      <w:tabs>
        <w:tab w:val="right" w:leader="dot" w:pos="9061"/>
      </w:tabs>
      <w:spacing w:before="200" w:after="80" w:line="240" w:lineRule="auto"/>
    </w:pPr>
    <w:rPr>
      <w:b/>
      <w:bCs/>
      <w:noProof/>
      <w:sz w:val="26"/>
      <w:szCs w:val="28"/>
    </w:rPr>
  </w:style>
  <w:style w:type="character" w:styleId="Hyperlink">
    <w:name w:val="Hyperlink"/>
    <w:basedOn w:val="DefaultParagraphFont"/>
    <w:uiPriority w:val="99"/>
    <w:unhideWhenUsed/>
    <w:rsid w:val="00CE2B15"/>
    <w:rPr>
      <w:color w:val="0000FF"/>
      <w:u w:val="single"/>
    </w:rPr>
  </w:style>
  <w:style w:type="table" w:styleId="LightShading-Accent2">
    <w:name w:val="Light Shading Accent 2"/>
    <w:basedOn w:val="TableNormal"/>
    <w:uiPriority w:val="60"/>
    <w:rsid w:val="0077399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Accent2">
    <w:name w:val="Medium List 1 Accent 2"/>
    <w:basedOn w:val="TableNormal"/>
    <w:uiPriority w:val="65"/>
    <w:rsid w:val="0077399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1-Accent4">
    <w:name w:val="Medium Shading 1 Accent 4"/>
    <w:basedOn w:val="TableNormal"/>
    <w:uiPriority w:val="63"/>
    <w:rsid w:val="00CA709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CA709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C67AC2"/>
    <w:pPr>
      <w:spacing w:before="100" w:beforeAutospacing="1" w:after="100" w:afterAutospacing="1" w:line="240" w:lineRule="auto"/>
    </w:pPr>
    <w:rPr>
      <w:rFonts w:eastAsiaTheme="minorEastAsia"/>
      <w:sz w:val="24"/>
      <w:szCs w:val="24"/>
      <w:lang w:eastAsia="lv-LV"/>
    </w:rPr>
  </w:style>
  <w:style w:type="character" w:customStyle="1" w:styleId="Heading3Char">
    <w:name w:val="Heading 3 Char"/>
    <w:basedOn w:val="DefaultParagraphFont"/>
    <w:link w:val="Heading3"/>
    <w:uiPriority w:val="9"/>
    <w:rsid w:val="0064633F"/>
    <w:rPr>
      <w:rFonts w:asciiTheme="majorHAnsi" w:eastAsiaTheme="majorEastAsia" w:hAnsiTheme="majorHAnsi" w:cstheme="majorBidi"/>
      <w:b/>
      <w:bCs/>
      <w:color w:val="4F81BD" w:themeColor="accent1"/>
      <w:sz w:val="22"/>
    </w:rPr>
  </w:style>
  <w:style w:type="paragraph" w:styleId="TOC3">
    <w:name w:val="toc 3"/>
    <w:basedOn w:val="Normal"/>
    <w:next w:val="Normal"/>
    <w:autoRedefine/>
    <w:uiPriority w:val="39"/>
    <w:unhideWhenUsed/>
    <w:rsid w:val="0064633F"/>
    <w:pPr>
      <w:spacing w:after="100"/>
      <w:ind w:left="440"/>
    </w:pPr>
  </w:style>
  <w:style w:type="paragraph" w:styleId="EnvelopeReturn">
    <w:name w:val="envelope return"/>
    <w:basedOn w:val="Normal"/>
    <w:uiPriority w:val="99"/>
    <w:semiHidden/>
    <w:unhideWhenUsed/>
    <w:rsid w:val="00B40358"/>
    <w:pPr>
      <w:spacing w:after="0" w:line="240" w:lineRule="auto"/>
    </w:pPr>
    <w:rPr>
      <w:rFonts w:ascii="Cambria" w:eastAsia="Times New Roman" w:hAnsi="Cambria"/>
      <w:sz w:val="20"/>
      <w:szCs w:val="20"/>
      <w:lang w:eastAsia="lv-LV"/>
    </w:rPr>
  </w:style>
  <w:style w:type="character" w:styleId="CommentReference">
    <w:name w:val="annotation reference"/>
    <w:basedOn w:val="DefaultParagraphFont"/>
    <w:uiPriority w:val="99"/>
    <w:semiHidden/>
    <w:unhideWhenUsed/>
    <w:rsid w:val="00340CA7"/>
    <w:rPr>
      <w:sz w:val="16"/>
      <w:szCs w:val="16"/>
    </w:rPr>
  </w:style>
  <w:style w:type="paragraph" w:styleId="CommentText">
    <w:name w:val="annotation text"/>
    <w:basedOn w:val="Normal"/>
    <w:link w:val="CommentTextChar"/>
    <w:uiPriority w:val="99"/>
    <w:semiHidden/>
    <w:unhideWhenUsed/>
    <w:rsid w:val="00340CA7"/>
    <w:pPr>
      <w:spacing w:after="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340CA7"/>
    <w:rPr>
      <w:sz w:val="20"/>
      <w:szCs w:val="20"/>
    </w:rPr>
  </w:style>
  <w:style w:type="paragraph" w:styleId="BodyText3">
    <w:name w:val="Body Text 3"/>
    <w:basedOn w:val="Normal"/>
    <w:link w:val="BodyText3Char"/>
    <w:uiPriority w:val="99"/>
    <w:semiHidden/>
    <w:unhideWhenUsed/>
    <w:rsid w:val="001E4BA5"/>
    <w:pPr>
      <w:spacing w:after="120"/>
    </w:pPr>
    <w:rPr>
      <w:sz w:val="16"/>
      <w:szCs w:val="16"/>
    </w:rPr>
  </w:style>
  <w:style w:type="character" w:customStyle="1" w:styleId="BodyText3Char">
    <w:name w:val="Body Text 3 Char"/>
    <w:basedOn w:val="DefaultParagraphFont"/>
    <w:link w:val="BodyText3"/>
    <w:uiPriority w:val="99"/>
    <w:semiHidden/>
    <w:rsid w:val="001E4BA5"/>
    <w:rPr>
      <w:rFonts w:eastAsia="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C4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826C45"/>
    <w:pPr>
      <w:keepNext/>
      <w:pBdr>
        <w:bottom w:val="double" w:sz="12" w:space="1" w:color="C00000"/>
      </w:pBdr>
      <w:spacing w:after="0" w:line="240" w:lineRule="auto"/>
      <w:outlineLvl w:val="0"/>
    </w:pPr>
    <w:rPr>
      <w:rFonts w:ascii="Times New Roman Bold" w:hAnsi="Times New Roman Bold"/>
      <w:b/>
      <w:smallCaps/>
      <w:sz w:val="32"/>
    </w:rPr>
  </w:style>
  <w:style w:type="paragraph" w:styleId="Heading2">
    <w:name w:val="heading 2"/>
    <w:basedOn w:val="Normal"/>
    <w:next w:val="Normal"/>
    <w:link w:val="Heading2Char"/>
    <w:uiPriority w:val="9"/>
    <w:qFormat/>
    <w:rsid w:val="00826C45"/>
    <w:pPr>
      <w:keepNext/>
      <w:pBdr>
        <w:bottom w:val="single" w:sz="12" w:space="1" w:color="C00000"/>
      </w:pBdr>
      <w:spacing w:before="20" w:after="20"/>
      <w:outlineLvl w:val="1"/>
    </w:pPr>
    <w:rPr>
      <w:b/>
      <w:sz w:val="28"/>
    </w:rPr>
  </w:style>
  <w:style w:type="paragraph" w:styleId="Heading3">
    <w:name w:val="heading 3"/>
    <w:basedOn w:val="Normal"/>
    <w:next w:val="Normal"/>
    <w:link w:val="Heading3Char"/>
    <w:uiPriority w:val="9"/>
    <w:unhideWhenUsed/>
    <w:qFormat/>
    <w:rsid w:val="006463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C45"/>
    <w:rPr>
      <w:rFonts w:ascii="Times New Roman Bold" w:eastAsia="Calibri" w:hAnsi="Times New Roman Bold" w:cs="Times New Roman"/>
      <w:b/>
      <w:smallCaps/>
      <w:sz w:val="32"/>
    </w:rPr>
  </w:style>
  <w:style w:type="character" w:customStyle="1" w:styleId="Heading2Char">
    <w:name w:val="Heading 2 Char"/>
    <w:basedOn w:val="DefaultParagraphFont"/>
    <w:link w:val="Heading2"/>
    <w:uiPriority w:val="9"/>
    <w:rsid w:val="00826C45"/>
    <w:rPr>
      <w:rFonts w:eastAsia="Calibri" w:cs="Times New Roman"/>
      <w:b/>
    </w:rPr>
  </w:style>
  <w:style w:type="paragraph" w:styleId="ListParagraph">
    <w:name w:val="List Paragraph"/>
    <w:basedOn w:val="Normal"/>
    <w:uiPriority w:val="34"/>
    <w:qFormat/>
    <w:rsid w:val="00826C45"/>
    <w:pPr>
      <w:ind w:left="720"/>
      <w:contextualSpacing/>
    </w:pPr>
  </w:style>
  <w:style w:type="paragraph" w:styleId="BodyTextIndent3">
    <w:name w:val="Body Text Indent 3"/>
    <w:basedOn w:val="Normal"/>
    <w:link w:val="BodyTextIndent3Char"/>
    <w:rsid w:val="00826C45"/>
    <w:pPr>
      <w:spacing w:after="0" w:line="240" w:lineRule="auto"/>
      <w:ind w:firstLine="567"/>
      <w:jc w:val="both"/>
    </w:pPr>
    <w:rPr>
      <w:rFonts w:eastAsia="Times New Roman"/>
      <w:szCs w:val="24"/>
    </w:rPr>
  </w:style>
  <w:style w:type="character" w:customStyle="1" w:styleId="BodyTextIndent3Char">
    <w:name w:val="Body Text Indent 3 Char"/>
    <w:basedOn w:val="DefaultParagraphFont"/>
    <w:link w:val="BodyTextIndent3"/>
    <w:rsid w:val="00826C45"/>
    <w:rPr>
      <w:rFonts w:eastAsia="Times New Roman" w:cs="Times New Roman"/>
      <w:sz w:val="22"/>
      <w:szCs w:val="24"/>
    </w:rPr>
  </w:style>
  <w:style w:type="paragraph" w:styleId="BodyTextIndent2">
    <w:name w:val="Body Text Indent 2"/>
    <w:basedOn w:val="Normal"/>
    <w:link w:val="BodyTextIndent2Char"/>
    <w:unhideWhenUsed/>
    <w:rsid w:val="00826C45"/>
    <w:pPr>
      <w:spacing w:after="120" w:line="480" w:lineRule="auto"/>
      <w:ind w:left="283"/>
    </w:pPr>
    <w:rPr>
      <w:sz w:val="24"/>
      <w:szCs w:val="24"/>
    </w:rPr>
  </w:style>
  <w:style w:type="character" w:customStyle="1" w:styleId="BodyTextIndent2Char">
    <w:name w:val="Body Text Indent 2 Char"/>
    <w:basedOn w:val="DefaultParagraphFont"/>
    <w:link w:val="BodyTextIndent2"/>
    <w:rsid w:val="00826C45"/>
    <w:rPr>
      <w:rFonts w:eastAsia="Calibri" w:cs="Times New Roman"/>
      <w:sz w:val="24"/>
      <w:szCs w:val="24"/>
    </w:rPr>
  </w:style>
  <w:style w:type="paragraph" w:customStyle="1" w:styleId="Taksts11">
    <w:name w:val="Taksts_11"/>
    <w:basedOn w:val="Normal"/>
    <w:rsid w:val="00826C45"/>
    <w:pPr>
      <w:spacing w:after="0" w:line="240" w:lineRule="auto"/>
      <w:ind w:firstLine="567"/>
      <w:jc w:val="both"/>
    </w:pPr>
    <w:rPr>
      <w:rFonts w:eastAsia="Times New Roman"/>
      <w:sz w:val="24"/>
      <w:szCs w:val="20"/>
      <w:lang w:val="en-US"/>
    </w:rPr>
  </w:style>
  <w:style w:type="paragraph" w:styleId="BodyText2">
    <w:name w:val="Body Text 2"/>
    <w:basedOn w:val="Normal"/>
    <w:link w:val="BodyText2Char"/>
    <w:uiPriority w:val="99"/>
    <w:unhideWhenUsed/>
    <w:rsid w:val="00826C45"/>
    <w:pPr>
      <w:spacing w:after="120" w:line="480" w:lineRule="auto"/>
    </w:pPr>
    <w:rPr>
      <w:sz w:val="24"/>
      <w:szCs w:val="24"/>
    </w:rPr>
  </w:style>
  <w:style w:type="character" w:customStyle="1" w:styleId="BodyText2Char">
    <w:name w:val="Body Text 2 Char"/>
    <w:basedOn w:val="DefaultParagraphFont"/>
    <w:link w:val="BodyText2"/>
    <w:uiPriority w:val="99"/>
    <w:rsid w:val="00826C45"/>
    <w:rPr>
      <w:rFonts w:eastAsia="Calibri" w:cs="Times New Roman"/>
      <w:sz w:val="24"/>
      <w:szCs w:val="24"/>
    </w:rPr>
  </w:style>
  <w:style w:type="table" w:styleId="TableGrid">
    <w:name w:val="Table Grid"/>
    <w:basedOn w:val="TableNormal"/>
    <w:uiPriority w:val="59"/>
    <w:rsid w:val="00826C45"/>
    <w:rPr>
      <w:rFonts w:eastAsia="Calibri"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9pirmstab3">
    <w:name w:val="9_pirms_tab_3"/>
    <w:basedOn w:val="Normal"/>
    <w:rsid w:val="00826C45"/>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line="240" w:lineRule="auto"/>
      <w:jc w:val="center"/>
    </w:pPr>
    <w:rPr>
      <w:rFonts w:eastAsia="Times New Roman"/>
      <w:color w:val="000000"/>
      <w:sz w:val="18"/>
      <w:szCs w:val="20"/>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
    <w:basedOn w:val="Normal"/>
    <w:link w:val="FootnoteTextChar"/>
    <w:rsid w:val="00826C45"/>
    <w:pPr>
      <w:spacing w:after="0" w:line="240" w:lineRule="auto"/>
    </w:pPr>
    <w:rPr>
      <w:rFonts w:eastAsia="Times New Roman"/>
      <w:sz w:val="20"/>
      <w:szCs w:val="20"/>
      <w:lang w:val="en-GB"/>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rsid w:val="00826C45"/>
    <w:rPr>
      <w:rFonts w:eastAsia="Times New Roman" w:cs="Times New Roman"/>
      <w:sz w:val="20"/>
      <w:szCs w:val="20"/>
      <w:lang w:val="en-GB"/>
    </w:rPr>
  </w:style>
  <w:style w:type="character" w:styleId="FootnoteReference">
    <w:name w:val="footnote reference"/>
    <w:aliases w:val="Footnote Reference Number,Footnote Reference Superscript,Footnote symbol,fr"/>
    <w:basedOn w:val="DefaultParagraphFont"/>
    <w:uiPriority w:val="99"/>
    <w:rsid w:val="00826C45"/>
    <w:rPr>
      <w:vertAlign w:val="superscript"/>
    </w:rPr>
  </w:style>
  <w:style w:type="table" w:styleId="LightShading-Accent3">
    <w:name w:val="Light Shading Accent 3"/>
    <w:basedOn w:val="TableNormal"/>
    <w:uiPriority w:val="60"/>
    <w:rsid w:val="00826C45"/>
    <w:rPr>
      <w:rFonts w:eastAsia="Times New Roman" w:cs="Times New Roman"/>
      <w:color w:val="76923C" w:themeColor="accent3" w:themeShade="BF"/>
      <w:sz w:val="20"/>
      <w:szCs w:val="20"/>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826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C45"/>
    <w:rPr>
      <w:rFonts w:ascii="Tahoma" w:eastAsia="Calibri" w:hAnsi="Tahoma" w:cs="Tahoma"/>
      <w:sz w:val="16"/>
      <w:szCs w:val="16"/>
    </w:rPr>
  </w:style>
  <w:style w:type="character" w:customStyle="1" w:styleId="hps">
    <w:name w:val="hps"/>
    <w:basedOn w:val="DefaultParagraphFont"/>
    <w:rsid w:val="00E8168E"/>
  </w:style>
  <w:style w:type="table" w:styleId="MediumList1-Accent4">
    <w:name w:val="Medium List 1 Accent 4"/>
    <w:basedOn w:val="TableNormal"/>
    <w:uiPriority w:val="65"/>
    <w:rsid w:val="00B066AA"/>
    <w:rPr>
      <w:rFonts w:cs="Times New Roman"/>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B066AA"/>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olorfulGrid-Accent4">
    <w:name w:val="Colorful Grid Accent 4"/>
    <w:basedOn w:val="TableNormal"/>
    <w:uiPriority w:val="73"/>
    <w:rsid w:val="00AE198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uiPriority w:val="1"/>
    <w:qFormat/>
    <w:rsid w:val="00885969"/>
    <w:rPr>
      <w:rFonts w:eastAsia="Calibri" w:cs="Times New Roman"/>
      <w:sz w:val="22"/>
    </w:rPr>
  </w:style>
  <w:style w:type="paragraph" w:styleId="BodyTextIndent">
    <w:name w:val="Body Text Indent"/>
    <w:basedOn w:val="Normal"/>
    <w:link w:val="BodyTextIndentChar"/>
    <w:uiPriority w:val="99"/>
    <w:semiHidden/>
    <w:unhideWhenUsed/>
    <w:rsid w:val="004B7CE9"/>
    <w:pPr>
      <w:spacing w:after="120"/>
      <w:ind w:left="283"/>
    </w:pPr>
  </w:style>
  <w:style w:type="character" w:customStyle="1" w:styleId="BodyTextIndentChar">
    <w:name w:val="Body Text Indent Char"/>
    <w:basedOn w:val="DefaultParagraphFont"/>
    <w:link w:val="BodyTextIndent"/>
    <w:uiPriority w:val="99"/>
    <w:semiHidden/>
    <w:rsid w:val="004B7CE9"/>
    <w:rPr>
      <w:rFonts w:eastAsia="Calibri" w:cs="Times New Roman"/>
      <w:sz w:val="22"/>
    </w:rPr>
  </w:style>
  <w:style w:type="character" w:styleId="Strong">
    <w:name w:val="Strong"/>
    <w:basedOn w:val="DefaultParagraphFont"/>
    <w:qFormat/>
    <w:rsid w:val="004B7CE9"/>
    <w:rPr>
      <w:b/>
      <w:bCs/>
    </w:rPr>
  </w:style>
  <w:style w:type="paragraph" w:styleId="Header">
    <w:name w:val="header"/>
    <w:basedOn w:val="Normal"/>
    <w:link w:val="HeaderChar"/>
    <w:uiPriority w:val="99"/>
    <w:unhideWhenUsed/>
    <w:rsid w:val="004501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0186"/>
    <w:rPr>
      <w:rFonts w:eastAsia="Calibri" w:cs="Times New Roman"/>
      <w:sz w:val="22"/>
    </w:rPr>
  </w:style>
  <w:style w:type="paragraph" w:styleId="Footer">
    <w:name w:val="footer"/>
    <w:basedOn w:val="Normal"/>
    <w:link w:val="FooterChar"/>
    <w:unhideWhenUsed/>
    <w:rsid w:val="00450186"/>
    <w:pPr>
      <w:tabs>
        <w:tab w:val="center" w:pos="4153"/>
        <w:tab w:val="right" w:pos="8306"/>
      </w:tabs>
      <w:spacing w:after="0" w:line="240" w:lineRule="auto"/>
    </w:pPr>
  </w:style>
  <w:style w:type="character" w:customStyle="1" w:styleId="FooterChar">
    <w:name w:val="Footer Char"/>
    <w:basedOn w:val="DefaultParagraphFont"/>
    <w:link w:val="Footer"/>
    <w:rsid w:val="00450186"/>
    <w:rPr>
      <w:rFonts w:eastAsia="Calibri" w:cs="Times New Roman"/>
      <w:sz w:val="22"/>
    </w:rPr>
  </w:style>
  <w:style w:type="paragraph" w:styleId="TOC2">
    <w:name w:val="toc 2"/>
    <w:basedOn w:val="Normal"/>
    <w:next w:val="Normal"/>
    <w:autoRedefine/>
    <w:uiPriority w:val="39"/>
    <w:unhideWhenUsed/>
    <w:qFormat/>
    <w:rsid w:val="00CE2B15"/>
    <w:pPr>
      <w:tabs>
        <w:tab w:val="right" w:leader="dot" w:pos="9061"/>
      </w:tabs>
      <w:spacing w:before="120" w:after="120"/>
      <w:ind w:left="198"/>
    </w:pPr>
    <w:rPr>
      <w:rFonts w:ascii="Calibri" w:hAnsi="Calibri"/>
      <w:i/>
      <w:iCs/>
    </w:rPr>
  </w:style>
  <w:style w:type="paragraph" w:styleId="TOC1">
    <w:name w:val="toc 1"/>
    <w:basedOn w:val="Normal"/>
    <w:next w:val="Normal"/>
    <w:autoRedefine/>
    <w:uiPriority w:val="39"/>
    <w:unhideWhenUsed/>
    <w:qFormat/>
    <w:rsid w:val="00CE2B15"/>
    <w:pPr>
      <w:tabs>
        <w:tab w:val="right" w:leader="dot" w:pos="9061"/>
      </w:tabs>
      <w:spacing w:before="200" w:after="80" w:line="240" w:lineRule="auto"/>
    </w:pPr>
    <w:rPr>
      <w:b/>
      <w:bCs/>
      <w:noProof/>
      <w:sz w:val="26"/>
      <w:szCs w:val="28"/>
    </w:rPr>
  </w:style>
  <w:style w:type="character" w:styleId="Hyperlink">
    <w:name w:val="Hyperlink"/>
    <w:basedOn w:val="DefaultParagraphFont"/>
    <w:uiPriority w:val="99"/>
    <w:unhideWhenUsed/>
    <w:rsid w:val="00CE2B15"/>
    <w:rPr>
      <w:color w:val="0000FF"/>
      <w:u w:val="single"/>
    </w:rPr>
  </w:style>
  <w:style w:type="table" w:styleId="LightShading-Accent2">
    <w:name w:val="Light Shading Accent 2"/>
    <w:basedOn w:val="TableNormal"/>
    <w:uiPriority w:val="60"/>
    <w:rsid w:val="0077399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Accent2">
    <w:name w:val="Medium List 1 Accent 2"/>
    <w:basedOn w:val="TableNormal"/>
    <w:uiPriority w:val="65"/>
    <w:rsid w:val="0077399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1-Accent4">
    <w:name w:val="Medium Shading 1 Accent 4"/>
    <w:basedOn w:val="TableNormal"/>
    <w:uiPriority w:val="63"/>
    <w:rsid w:val="00CA709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CA709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C67AC2"/>
    <w:pPr>
      <w:spacing w:before="100" w:beforeAutospacing="1" w:after="100" w:afterAutospacing="1" w:line="240" w:lineRule="auto"/>
    </w:pPr>
    <w:rPr>
      <w:rFonts w:eastAsiaTheme="minorEastAsia"/>
      <w:sz w:val="24"/>
      <w:szCs w:val="24"/>
      <w:lang w:eastAsia="lv-LV"/>
    </w:rPr>
  </w:style>
  <w:style w:type="character" w:customStyle="1" w:styleId="Heading3Char">
    <w:name w:val="Heading 3 Char"/>
    <w:basedOn w:val="DefaultParagraphFont"/>
    <w:link w:val="Heading3"/>
    <w:uiPriority w:val="9"/>
    <w:rsid w:val="0064633F"/>
    <w:rPr>
      <w:rFonts w:asciiTheme="majorHAnsi" w:eastAsiaTheme="majorEastAsia" w:hAnsiTheme="majorHAnsi" w:cstheme="majorBidi"/>
      <w:b/>
      <w:bCs/>
      <w:color w:val="4F81BD" w:themeColor="accent1"/>
      <w:sz w:val="22"/>
    </w:rPr>
  </w:style>
  <w:style w:type="paragraph" w:styleId="TOC3">
    <w:name w:val="toc 3"/>
    <w:basedOn w:val="Normal"/>
    <w:next w:val="Normal"/>
    <w:autoRedefine/>
    <w:uiPriority w:val="39"/>
    <w:unhideWhenUsed/>
    <w:rsid w:val="0064633F"/>
    <w:pPr>
      <w:spacing w:after="100"/>
      <w:ind w:left="440"/>
    </w:pPr>
  </w:style>
  <w:style w:type="paragraph" w:styleId="EnvelopeReturn">
    <w:name w:val="envelope return"/>
    <w:basedOn w:val="Normal"/>
    <w:uiPriority w:val="99"/>
    <w:semiHidden/>
    <w:unhideWhenUsed/>
    <w:rsid w:val="00B40358"/>
    <w:pPr>
      <w:spacing w:after="0" w:line="240" w:lineRule="auto"/>
    </w:pPr>
    <w:rPr>
      <w:rFonts w:ascii="Cambria" w:eastAsia="Times New Roman" w:hAnsi="Cambria"/>
      <w:sz w:val="20"/>
      <w:szCs w:val="20"/>
      <w:lang w:eastAsia="lv-LV"/>
    </w:rPr>
  </w:style>
  <w:style w:type="character" w:styleId="CommentReference">
    <w:name w:val="annotation reference"/>
    <w:basedOn w:val="DefaultParagraphFont"/>
    <w:uiPriority w:val="99"/>
    <w:semiHidden/>
    <w:unhideWhenUsed/>
    <w:rsid w:val="00340CA7"/>
    <w:rPr>
      <w:sz w:val="16"/>
      <w:szCs w:val="16"/>
    </w:rPr>
  </w:style>
  <w:style w:type="paragraph" w:styleId="CommentText">
    <w:name w:val="annotation text"/>
    <w:basedOn w:val="Normal"/>
    <w:link w:val="CommentTextChar"/>
    <w:uiPriority w:val="99"/>
    <w:semiHidden/>
    <w:unhideWhenUsed/>
    <w:rsid w:val="00340CA7"/>
    <w:pPr>
      <w:spacing w:after="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340CA7"/>
    <w:rPr>
      <w:sz w:val="20"/>
      <w:szCs w:val="20"/>
    </w:rPr>
  </w:style>
  <w:style w:type="paragraph" w:styleId="BodyText3">
    <w:name w:val="Body Text 3"/>
    <w:basedOn w:val="Normal"/>
    <w:link w:val="BodyText3Char"/>
    <w:uiPriority w:val="99"/>
    <w:semiHidden/>
    <w:unhideWhenUsed/>
    <w:rsid w:val="001E4BA5"/>
    <w:pPr>
      <w:spacing w:after="120"/>
    </w:pPr>
    <w:rPr>
      <w:sz w:val="16"/>
      <w:szCs w:val="16"/>
    </w:rPr>
  </w:style>
  <w:style w:type="character" w:customStyle="1" w:styleId="BodyText3Char">
    <w:name w:val="Body Text 3 Char"/>
    <w:basedOn w:val="DefaultParagraphFont"/>
    <w:link w:val="BodyText3"/>
    <w:uiPriority w:val="99"/>
    <w:semiHidden/>
    <w:rsid w:val="001E4BA5"/>
    <w:rPr>
      <w:rFonts w:eastAsia="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6261">
      <w:bodyDiv w:val="1"/>
      <w:marLeft w:val="0"/>
      <w:marRight w:val="0"/>
      <w:marTop w:val="0"/>
      <w:marBottom w:val="0"/>
      <w:divBdr>
        <w:top w:val="none" w:sz="0" w:space="0" w:color="auto"/>
        <w:left w:val="none" w:sz="0" w:space="0" w:color="auto"/>
        <w:bottom w:val="none" w:sz="0" w:space="0" w:color="auto"/>
        <w:right w:val="none" w:sz="0" w:space="0" w:color="auto"/>
      </w:divBdr>
    </w:div>
    <w:div w:id="458914806">
      <w:bodyDiv w:val="1"/>
      <w:marLeft w:val="0"/>
      <w:marRight w:val="0"/>
      <w:marTop w:val="0"/>
      <w:marBottom w:val="0"/>
      <w:divBdr>
        <w:top w:val="none" w:sz="0" w:space="0" w:color="auto"/>
        <w:left w:val="none" w:sz="0" w:space="0" w:color="auto"/>
        <w:bottom w:val="none" w:sz="0" w:space="0" w:color="auto"/>
        <w:right w:val="none" w:sz="0" w:space="0" w:color="auto"/>
      </w:divBdr>
    </w:div>
    <w:div w:id="677074909">
      <w:bodyDiv w:val="1"/>
      <w:marLeft w:val="0"/>
      <w:marRight w:val="0"/>
      <w:marTop w:val="0"/>
      <w:marBottom w:val="0"/>
      <w:divBdr>
        <w:top w:val="none" w:sz="0" w:space="0" w:color="auto"/>
        <w:left w:val="none" w:sz="0" w:space="0" w:color="auto"/>
        <w:bottom w:val="none" w:sz="0" w:space="0" w:color="auto"/>
        <w:right w:val="none" w:sz="0" w:space="0" w:color="auto"/>
      </w:divBdr>
    </w:div>
    <w:div w:id="705065930">
      <w:bodyDiv w:val="1"/>
      <w:marLeft w:val="0"/>
      <w:marRight w:val="0"/>
      <w:marTop w:val="0"/>
      <w:marBottom w:val="0"/>
      <w:divBdr>
        <w:top w:val="none" w:sz="0" w:space="0" w:color="auto"/>
        <w:left w:val="none" w:sz="0" w:space="0" w:color="auto"/>
        <w:bottom w:val="none" w:sz="0" w:space="0" w:color="auto"/>
        <w:right w:val="none" w:sz="0" w:space="0" w:color="auto"/>
      </w:divBdr>
    </w:div>
    <w:div w:id="1310986151">
      <w:bodyDiv w:val="1"/>
      <w:marLeft w:val="0"/>
      <w:marRight w:val="0"/>
      <w:marTop w:val="0"/>
      <w:marBottom w:val="0"/>
      <w:divBdr>
        <w:top w:val="none" w:sz="0" w:space="0" w:color="auto"/>
        <w:left w:val="none" w:sz="0" w:space="0" w:color="auto"/>
        <w:bottom w:val="none" w:sz="0" w:space="0" w:color="auto"/>
        <w:right w:val="none" w:sz="0" w:space="0" w:color="auto"/>
      </w:divBdr>
    </w:div>
    <w:div w:id="1316181951">
      <w:bodyDiv w:val="1"/>
      <w:marLeft w:val="0"/>
      <w:marRight w:val="0"/>
      <w:marTop w:val="0"/>
      <w:marBottom w:val="0"/>
      <w:divBdr>
        <w:top w:val="none" w:sz="0" w:space="0" w:color="auto"/>
        <w:left w:val="none" w:sz="0" w:space="0" w:color="auto"/>
        <w:bottom w:val="none" w:sz="0" w:space="0" w:color="auto"/>
        <w:right w:val="none" w:sz="0" w:space="0" w:color="auto"/>
      </w:divBdr>
    </w:div>
    <w:div w:id="1418357641">
      <w:bodyDiv w:val="1"/>
      <w:marLeft w:val="0"/>
      <w:marRight w:val="0"/>
      <w:marTop w:val="0"/>
      <w:marBottom w:val="0"/>
      <w:divBdr>
        <w:top w:val="none" w:sz="0" w:space="0" w:color="auto"/>
        <w:left w:val="none" w:sz="0" w:space="0" w:color="auto"/>
        <w:bottom w:val="none" w:sz="0" w:space="0" w:color="auto"/>
        <w:right w:val="none" w:sz="0" w:space="0" w:color="auto"/>
      </w:divBdr>
    </w:div>
    <w:div w:id="1489131364">
      <w:bodyDiv w:val="1"/>
      <w:marLeft w:val="0"/>
      <w:marRight w:val="0"/>
      <w:marTop w:val="0"/>
      <w:marBottom w:val="0"/>
      <w:divBdr>
        <w:top w:val="none" w:sz="0" w:space="0" w:color="auto"/>
        <w:left w:val="none" w:sz="0" w:space="0" w:color="auto"/>
        <w:bottom w:val="none" w:sz="0" w:space="0" w:color="auto"/>
        <w:right w:val="none" w:sz="0" w:space="0" w:color="auto"/>
      </w:divBdr>
    </w:div>
    <w:div w:id="1642803278">
      <w:bodyDiv w:val="1"/>
      <w:marLeft w:val="0"/>
      <w:marRight w:val="0"/>
      <w:marTop w:val="0"/>
      <w:marBottom w:val="0"/>
      <w:divBdr>
        <w:top w:val="none" w:sz="0" w:space="0" w:color="auto"/>
        <w:left w:val="none" w:sz="0" w:space="0" w:color="auto"/>
        <w:bottom w:val="none" w:sz="0" w:space="0" w:color="auto"/>
        <w:right w:val="none" w:sz="0" w:space="0" w:color="auto"/>
      </w:divBdr>
    </w:div>
    <w:div w:id="1771271407">
      <w:bodyDiv w:val="1"/>
      <w:marLeft w:val="0"/>
      <w:marRight w:val="0"/>
      <w:marTop w:val="0"/>
      <w:marBottom w:val="0"/>
      <w:divBdr>
        <w:top w:val="none" w:sz="0" w:space="0" w:color="auto"/>
        <w:left w:val="none" w:sz="0" w:space="0" w:color="auto"/>
        <w:bottom w:val="none" w:sz="0" w:space="0" w:color="auto"/>
        <w:right w:val="none" w:sz="0" w:space="0" w:color="auto"/>
      </w:divBdr>
    </w:div>
    <w:div w:id="2003661510">
      <w:bodyDiv w:val="1"/>
      <w:marLeft w:val="0"/>
      <w:marRight w:val="0"/>
      <w:marTop w:val="0"/>
      <w:marBottom w:val="0"/>
      <w:divBdr>
        <w:top w:val="none" w:sz="0" w:space="0" w:color="auto"/>
        <w:left w:val="none" w:sz="0" w:space="0" w:color="auto"/>
        <w:bottom w:val="none" w:sz="0" w:space="0" w:color="auto"/>
        <w:right w:val="none" w:sz="0" w:space="0" w:color="auto"/>
      </w:divBdr>
    </w:div>
    <w:div w:id="2060737255">
      <w:bodyDiv w:val="1"/>
      <w:marLeft w:val="0"/>
      <w:marRight w:val="0"/>
      <w:marTop w:val="0"/>
      <w:marBottom w:val="0"/>
      <w:divBdr>
        <w:top w:val="none" w:sz="0" w:space="0" w:color="auto"/>
        <w:left w:val="none" w:sz="0" w:space="0" w:color="auto"/>
        <w:bottom w:val="none" w:sz="0" w:space="0" w:color="auto"/>
        <w:right w:val="none" w:sz="0" w:space="0" w:color="auto"/>
      </w:divBdr>
    </w:div>
    <w:div w:id="209813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chart" Target="charts/chart76.xml"/><Relationship Id="rId89" Type="http://schemas.openxmlformats.org/officeDocument/2006/relationships/chart" Target="charts/chart81.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hyperlink" Target="mailto:Ludis.Neiders@em.gov.lv"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5" Type="http://schemas.openxmlformats.org/officeDocument/2006/relationships/settings" Target="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image" Target="media/image1.emf"/><Relationship Id="rId95" Type="http://schemas.openxmlformats.org/officeDocument/2006/relationships/footer" Target="footer2.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oleObject" Target="embeddings/oleObject1.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s>
</file>

<file path=word/_rels/footnotes.xml.rels><?xml version="1.0" encoding="UTF-8" standalone="yes"?>
<Relationships xmlns="http://schemas.openxmlformats.org/package/2006/relationships"><Relationship Id="rId1" Type="http://schemas.openxmlformats.org/officeDocument/2006/relationships/hyperlink" Target="http://arenas.itcilo.org/anticipating-restructuring/synthesis-report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1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15.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16.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1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18.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1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2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2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2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2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2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28.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2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3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31.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32.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33.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34.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3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37.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38.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3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4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4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4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43.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4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45.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46.xml"/></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563713476218E-2"/>
          <c:y val="3.1819172113293777E-2"/>
          <c:w val="0.90836244807147448"/>
          <c:h val="0.89665122742010483"/>
        </c:manualLayout>
      </c:layout>
      <c:lineChart>
        <c:grouping val="standard"/>
        <c:varyColors val="0"/>
        <c:ser>
          <c:idx val="1"/>
          <c:order val="0"/>
          <c:tx>
            <c:strRef>
              <c:f>Sheet1!$A$3</c:f>
              <c:strCache>
                <c:ptCount val="1"/>
                <c:pt idx="0">
                  <c:v>ES-27</c:v>
                </c:pt>
              </c:strCache>
            </c:strRef>
          </c:tx>
          <c:spPr>
            <a:ln>
              <a:solidFill>
                <a:schemeClr val="accent4">
                  <a:lumMod val="75000"/>
                </a:schemeClr>
              </a:solidFill>
              <a:prstDash val="sysDash"/>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Sheet1!$B$3:$H$3</c:f>
              <c:numCache>
                <c:formatCode>0.0</c:formatCode>
                <c:ptCount val="7"/>
                <c:pt idx="0">
                  <c:v>103.3</c:v>
                </c:pt>
                <c:pt idx="1">
                  <c:v>106.7</c:v>
                </c:pt>
                <c:pt idx="2">
                  <c:v>107.1</c:v>
                </c:pt>
                <c:pt idx="3">
                  <c:v>102.5</c:v>
                </c:pt>
                <c:pt idx="4">
                  <c:v>104.6</c:v>
                </c:pt>
                <c:pt idx="5">
                  <c:v>106.2</c:v>
                </c:pt>
                <c:pt idx="6">
                  <c:v>105.8</c:v>
                </c:pt>
              </c:numCache>
            </c:numRef>
          </c:val>
          <c:smooth val="1"/>
        </c:ser>
        <c:ser>
          <c:idx val="0"/>
          <c:order val="1"/>
          <c:tx>
            <c:strRef>
              <c:f>Sheet1!$A$4</c:f>
              <c:strCache>
                <c:ptCount val="1"/>
                <c:pt idx="0">
                  <c:v>Igaunija</c:v>
                </c:pt>
              </c:strCache>
            </c:strRef>
          </c:tx>
          <c:spPr>
            <a:ln>
              <a:solidFill>
                <a:schemeClr val="accent4">
                  <a:lumMod val="60000"/>
                  <a:lumOff val="40000"/>
                </a:schemeClr>
              </a:solidFill>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Sheet1!$B$4:$H$4</c:f>
              <c:numCache>
                <c:formatCode>0.0</c:formatCode>
                <c:ptCount val="7"/>
                <c:pt idx="0">
                  <c:v>110.1</c:v>
                </c:pt>
                <c:pt idx="1">
                  <c:v>118.3</c:v>
                </c:pt>
                <c:pt idx="2">
                  <c:v>113.4</c:v>
                </c:pt>
                <c:pt idx="3">
                  <c:v>97.5</c:v>
                </c:pt>
                <c:pt idx="4">
                  <c:v>100.7</c:v>
                </c:pt>
                <c:pt idx="5">
                  <c:v>109.1</c:v>
                </c:pt>
                <c:pt idx="6">
                  <c:v>112.6</c:v>
                </c:pt>
              </c:numCache>
            </c:numRef>
          </c:val>
          <c:smooth val="1"/>
        </c:ser>
        <c:ser>
          <c:idx val="2"/>
          <c:order val="2"/>
          <c:tx>
            <c:strRef>
              <c:f>Sheet1!$A$5</c:f>
              <c:strCache>
                <c:ptCount val="1"/>
                <c:pt idx="0">
                  <c:v>Latvija</c:v>
                </c:pt>
              </c:strCache>
            </c:strRef>
          </c:tx>
          <c:spPr>
            <a:ln>
              <a:solidFill>
                <a:schemeClr val="accent4">
                  <a:lumMod val="50000"/>
                </a:schemeClr>
              </a:solidFill>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Sheet1!$B$5:$H$5</c:f>
              <c:numCache>
                <c:formatCode>0.0</c:formatCode>
                <c:ptCount val="7"/>
                <c:pt idx="0">
                  <c:v>111.2</c:v>
                </c:pt>
                <c:pt idx="1">
                  <c:v>121.8</c:v>
                </c:pt>
                <c:pt idx="2">
                  <c:v>117.8</c:v>
                </c:pt>
                <c:pt idx="3">
                  <c:v>96.9</c:v>
                </c:pt>
                <c:pt idx="4">
                  <c:v>96</c:v>
                </c:pt>
                <c:pt idx="5">
                  <c:v>101.3</c:v>
                </c:pt>
                <c:pt idx="6">
                  <c:v>106.9</c:v>
                </c:pt>
              </c:numCache>
            </c:numRef>
          </c:val>
          <c:smooth val="1"/>
        </c:ser>
        <c:ser>
          <c:idx val="3"/>
          <c:order val="3"/>
          <c:tx>
            <c:strRef>
              <c:f>Sheet1!$A$6</c:f>
              <c:strCache>
                <c:ptCount val="1"/>
                <c:pt idx="0">
                  <c:v>Lietuva</c:v>
                </c:pt>
              </c:strCache>
            </c:strRef>
          </c:tx>
          <c:spPr>
            <a:ln>
              <a:solidFill>
                <a:schemeClr val="accent4">
                  <a:lumMod val="20000"/>
                  <a:lumOff val="80000"/>
                </a:schemeClr>
              </a:solidFill>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Sheet1!$B$6:$H$6</c:f>
              <c:numCache>
                <c:formatCode>0.0</c:formatCode>
                <c:ptCount val="7"/>
                <c:pt idx="0">
                  <c:v>107.8</c:v>
                </c:pt>
                <c:pt idx="1">
                  <c:v>118.4</c:v>
                </c:pt>
                <c:pt idx="2">
                  <c:v>121.8</c:v>
                </c:pt>
                <c:pt idx="3">
                  <c:v>103.7</c:v>
                </c:pt>
                <c:pt idx="4">
                  <c:v>105.3</c:v>
                </c:pt>
                <c:pt idx="5">
                  <c:v>111.5</c:v>
                </c:pt>
                <c:pt idx="6">
                  <c:v>115.5</c:v>
                </c:pt>
              </c:numCache>
            </c:numRef>
          </c:val>
          <c:smooth val="1"/>
        </c:ser>
        <c:dLbls>
          <c:showLegendKey val="0"/>
          <c:showVal val="0"/>
          <c:showCatName val="0"/>
          <c:showSerName val="0"/>
          <c:showPercent val="0"/>
          <c:showBubbleSize val="0"/>
        </c:dLbls>
        <c:marker val="1"/>
        <c:smooth val="0"/>
        <c:axId val="100252672"/>
        <c:axId val="101028992"/>
      </c:lineChart>
      <c:catAx>
        <c:axId val="100252672"/>
        <c:scaling>
          <c:orientation val="minMax"/>
        </c:scaling>
        <c:delete val="0"/>
        <c:axPos val="b"/>
        <c:numFmt formatCode="General" sourceLinked="1"/>
        <c:majorTickMark val="out"/>
        <c:minorTickMark val="none"/>
        <c:tickLblPos val="nextTo"/>
        <c:txPr>
          <a:bodyPr rot="0" vert="horz"/>
          <a:lstStyle/>
          <a:p>
            <a:pPr>
              <a:defRPr/>
            </a:pPr>
            <a:endParaRPr lang="lv-LV"/>
          </a:p>
        </c:txPr>
        <c:crossAx val="101028992"/>
        <c:crosses val="autoZero"/>
        <c:auto val="1"/>
        <c:lblAlgn val="ctr"/>
        <c:lblOffset val="0"/>
        <c:tickLblSkip val="1"/>
        <c:tickMarkSkip val="1"/>
        <c:noMultiLvlLbl val="1"/>
      </c:catAx>
      <c:valAx>
        <c:axId val="101028992"/>
        <c:scaling>
          <c:orientation val="minMax"/>
          <c:min val="95"/>
        </c:scaling>
        <c:delete val="0"/>
        <c:axPos val="l"/>
        <c:numFmt formatCode="0" sourceLinked="0"/>
        <c:majorTickMark val="out"/>
        <c:minorTickMark val="none"/>
        <c:tickLblPos val="nextTo"/>
        <c:txPr>
          <a:bodyPr rot="0" vert="horz"/>
          <a:lstStyle/>
          <a:p>
            <a:pPr>
              <a:defRPr/>
            </a:pPr>
            <a:endParaRPr lang="lv-LV"/>
          </a:p>
        </c:txPr>
        <c:crossAx val="100252672"/>
        <c:crosses val="autoZero"/>
        <c:crossBetween val="between"/>
      </c:valAx>
    </c:plotArea>
    <c:legend>
      <c:legendPos val="b"/>
      <c:layout>
        <c:manualLayout>
          <c:xMode val="edge"/>
          <c:yMode val="edge"/>
          <c:x val="0.50912134327579917"/>
          <c:y val="4.7884480479340262E-2"/>
          <c:w val="0.29911039265787143"/>
          <c:h val="0.3486262675315365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57540099805524"/>
          <c:y val="3.254472693032015E-2"/>
          <c:w val="0.8795082168994196"/>
          <c:h val="0.84863806121151142"/>
        </c:manualLayout>
      </c:layout>
      <c:barChart>
        <c:barDir val="col"/>
        <c:grouping val="clustered"/>
        <c:varyColors val="0"/>
        <c:ser>
          <c:idx val="0"/>
          <c:order val="0"/>
          <c:tx>
            <c:strRef>
              <c:f>Sheet1!$B$1</c:f>
              <c:strCache>
                <c:ptCount val="1"/>
                <c:pt idx="0">
                  <c:v>ULC nominālais</c:v>
                </c:pt>
              </c:strCache>
            </c:strRef>
          </c:tx>
          <c:spPr>
            <a:solidFill>
              <a:schemeClr val="accent4">
                <a:lumMod val="60000"/>
                <a:lumOff val="40000"/>
              </a:schemeClr>
            </a:solidFill>
          </c:spPr>
          <c:invertIfNegative val="0"/>
          <c:val>
            <c:numRef>
              <c:f>Sheet1!$B$2:$B$10</c:f>
              <c:numCache>
                <c:formatCode>0.0</c:formatCode>
                <c:ptCount val="7"/>
                <c:pt idx="0">
                  <c:v>116.40000000000002</c:v>
                </c:pt>
                <c:pt idx="1">
                  <c:v>148.60000000000002</c:v>
                </c:pt>
                <c:pt idx="2">
                  <c:v>179.40000000000006</c:v>
                </c:pt>
                <c:pt idx="3">
                  <c:v>165.3000000000001</c:v>
                </c:pt>
                <c:pt idx="4">
                  <c:v>148.10000000000005</c:v>
                </c:pt>
                <c:pt idx="5">
                  <c:v>155.90000000000006</c:v>
                </c:pt>
                <c:pt idx="6">
                  <c:v>152.60000000000005</c:v>
                </c:pt>
              </c:numCache>
            </c:numRef>
          </c:val>
        </c:ser>
        <c:ser>
          <c:idx val="1"/>
          <c:order val="1"/>
          <c:tx>
            <c:strRef>
              <c:f>Sheet1!$C$1</c:f>
              <c:strCache>
                <c:ptCount val="1"/>
                <c:pt idx="0">
                  <c:v>ULC reālais</c:v>
                </c:pt>
              </c:strCache>
            </c:strRef>
          </c:tx>
          <c:spPr>
            <a:solidFill>
              <a:schemeClr val="accent4">
                <a:lumMod val="75000"/>
              </a:schemeClr>
            </a:solidFill>
          </c:spPr>
          <c:invertIfNegative val="0"/>
          <c:val>
            <c:numRef>
              <c:f>Sheet1!$C$2:$C$10</c:f>
              <c:numCache>
                <c:formatCode>0.0</c:formatCode>
                <c:ptCount val="7"/>
                <c:pt idx="0">
                  <c:v>104.7</c:v>
                </c:pt>
                <c:pt idx="1">
                  <c:v>109.5</c:v>
                </c:pt>
                <c:pt idx="2">
                  <c:v>115.9</c:v>
                </c:pt>
                <c:pt idx="3">
                  <c:v>123.9</c:v>
                </c:pt>
                <c:pt idx="4">
                  <c:v>115.5</c:v>
                </c:pt>
                <c:pt idx="5">
                  <c:v>106.6</c:v>
                </c:pt>
                <c:pt idx="6">
                  <c:v>103.2</c:v>
                </c:pt>
              </c:numCache>
            </c:numRef>
          </c:val>
        </c:ser>
        <c:dLbls>
          <c:showLegendKey val="0"/>
          <c:showVal val="0"/>
          <c:showCatName val="0"/>
          <c:showSerName val="0"/>
          <c:showPercent val="0"/>
          <c:showBubbleSize val="0"/>
        </c:dLbls>
        <c:gapWidth val="40"/>
        <c:axId val="259262336"/>
        <c:axId val="259263872"/>
      </c:barChart>
      <c:lineChart>
        <c:grouping val="standard"/>
        <c:varyColors val="0"/>
        <c:ser>
          <c:idx val="2"/>
          <c:order val="2"/>
          <c:tx>
            <c:strRef>
              <c:f>Sheet1!$D$1</c:f>
              <c:strCache>
                <c:ptCount val="1"/>
                <c:pt idx="0">
                  <c:v>Produktivitāte</c:v>
                </c:pt>
              </c:strCache>
            </c:strRef>
          </c:tx>
          <c:spPr>
            <a:ln>
              <a:solidFill>
                <a:schemeClr val="accent4">
                  <a:lumMod val="50000"/>
                </a:schemeClr>
              </a:solidFill>
            </a:ln>
          </c:spPr>
          <c:marker>
            <c:symbol val="none"/>
          </c:marker>
          <c:cat>
            <c:numRef>
              <c:f>Sheet1!$A$4:$A$10</c:f>
              <c:numCache>
                <c:formatCode>General</c:formatCode>
                <c:ptCount val="7"/>
                <c:pt idx="0">
                  <c:v>2006</c:v>
                </c:pt>
                <c:pt idx="1">
                  <c:v>2007</c:v>
                </c:pt>
                <c:pt idx="2">
                  <c:v>2008</c:v>
                </c:pt>
                <c:pt idx="3">
                  <c:v>2009</c:v>
                </c:pt>
                <c:pt idx="4">
                  <c:v>2010</c:v>
                </c:pt>
                <c:pt idx="5">
                  <c:v>2011</c:v>
                </c:pt>
                <c:pt idx="6">
                  <c:v>2012</c:v>
                </c:pt>
              </c:numCache>
            </c:numRef>
          </c:cat>
          <c:val>
            <c:numRef>
              <c:f>Sheet1!$D$2:$D$10</c:f>
              <c:numCache>
                <c:formatCode>0.0</c:formatCode>
                <c:ptCount val="7"/>
                <c:pt idx="0">
                  <c:v>105.92975854295163</c:v>
                </c:pt>
                <c:pt idx="1">
                  <c:v>112.0785919385051</c:v>
                </c:pt>
                <c:pt idx="2">
                  <c:v>107.41734812543687</c:v>
                </c:pt>
                <c:pt idx="3">
                  <c:v>101.76463794709211</c:v>
                </c:pt>
                <c:pt idx="4">
                  <c:v>105.86632048206603</c:v>
                </c:pt>
                <c:pt idx="5">
                  <c:v>108.03865334497699</c:v>
                </c:pt>
                <c:pt idx="6">
                  <c:v>110.6956857218139</c:v>
                </c:pt>
              </c:numCache>
            </c:numRef>
          </c:val>
          <c:smooth val="1"/>
        </c:ser>
        <c:ser>
          <c:idx val="4"/>
          <c:order val="3"/>
          <c:tx>
            <c:strRef>
              <c:f>Sheet1!$E$1</c:f>
              <c:strCache>
                <c:ptCount val="1"/>
                <c:pt idx="0">
                  <c:v>Darbaspēka izmaksas</c:v>
                </c:pt>
              </c:strCache>
            </c:strRef>
          </c:tx>
          <c:spPr>
            <a:ln>
              <a:solidFill>
                <a:schemeClr val="accent4">
                  <a:lumMod val="40000"/>
                  <a:lumOff val="60000"/>
                </a:schemeClr>
              </a:solidFill>
            </a:ln>
          </c:spPr>
          <c:marker>
            <c:symbol val="none"/>
          </c:marker>
          <c:cat>
            <c:numRef>
              <c:f>Sheet1!$A$4:$A$10</c:f>
              <c:numCache>
                <c:formatCode>General</c:formatCode>
                <c:ptCount val="7"/>
                <c:pt idx="0">
                  <c:v>2006</c:v>
                </c:pt>
                <c:pt idx="1">
                  <c:v>2007</c:v>
                </c:pt>
                <c:pt idx="2">
                  <c:v>2008</c:v>
                </c:pt>
                <c:pt idx="3">
                  <c:v>2009</c:v>
                </c:pt>
                <c:pt idx="4">
                  <c:v>2010</c:v>
                </c:pt>
                <c:pt idx="5">
                  <c:v>2011</c:v>
                </c:pt>
                <c:pt idx="6">
                  <c:v>2012</c:v>
                </c:pt>
              </c:numCache>
            </c:numRef>
          </c:cat>
          <c:val>
            <c:numRef>
              <c:f>Sheet1!$E$2:$E$10</c:f>
              <c:numCache>
                <c:formatCode>0.0</c:formatCode>
                <c:ptCount val="7"/>
                <c:pt idx="0">
                  <c:v>123.24716030976646</c:v>
                </c:pt>
                <c:pt idx="1">
                  <c:v>166.50272537465935</c:v>
                </c:pt>
                <c:pt idx="2">
                  <c:v>192.67151617134093</c:v>
                </c:pt>
                <c:pt idx="3">
                  <c:v>168.17518303110506</c:v>
                </c:pt>
                <c:pt idx="4">
                  <c:v>156.84300951513129</c:v>
                </c:pt>
                <c:pt idx="5">
                  <c:v>168.53876242731488</c:v>
                </c:pt>
                <c:pt idx="6">
                  <c:v>177.88816120066946</c:v>
                </c:pt>
              </c:numCache>
            </c:numRef>
          </c:val>
          <c:smooth val="0"/>
        </c:ser>
        <c:dLbls>
          <c:showLegendKey val="0"/>
          <c:showVal val="0"/>
          <c:showCatName val="0"/>
          <c:showSerName val="0"/>
          <c:showPercent val="0"/>
          <c:showBubbleSize val="0"/>
        </c:dLbls>
        <c:marker val="1"/>
        <c:smooth val="0"/>
        <c:axId val="259262336"/>
        <c:axId val="259263872"/>
      </c:lineChart>
      <c:catAx>
        <c:axId val="259262336"/>
        <c:scaling>
          <c:orientation val="minMax"/>
        </c:scaling>
        <c:delete val="0"/>
        <c:axPos val="b"/>
        <c:numFmt formatCode="General" sourceLinked="1"/>
        <c:majorTickMark val="out"/>
        <c:minorTickMark val="none"/>
        <c:tickLblPos val="nextTo"/>
        <c:txPr>
          <a:bodyPr rot="0"/>
          <a:lstStyle/>
          <a:p>
            <a:pPr>
              <a:defRPr/>
            </a:pPr>
            <a:endParaRPr lang="lv-LV"/>
          </a:p>
        </c:txPr>
        <c:crossAx val="259263872"/>
        <c:crosses val="autoZero"/>
        <c:auto val="1"/>
        <c:lblAlgn val="ctr"/>
        <c:lblOffset val="100"/>
        <c:tickLblSkip val="1"/>
        <c:noMultiLvlLbl val="1"/>
      </c:catAx>
      <c:valAx>
        <c:axId val="259263872"/>
        <c:scaling>
          <c:orientation val="minMax"/>
          <c:max val="260"/>
          <c:min val="60"/>
        </c:scaling>
        <c:delete val="0"/>
        <c:axPos val="l"/>
        <c:numFmt formatCode="0" sourceLinked="0"/>
        <c:majorTickMark val="out"/>
        <c:minorTickMark val="none"/>
        <c:tickLblPos val="nextTo"/>
        <c:crossAx val="259262336"/>
        <c:crosses val="autoZero"/>
        <c:crossBetween val="between"/>
        <c:majorUnit val="40"/>
      </c:valAx>
    </c:plotArea>
    <c:legend>
      <c:legendPos val="l"/>
      <c:layout>
        <c:manualLayout>
          <c:xMode val="edge"/>
          <c:yMode val="edge"/>
          <c:x val="0.43758038606378213"/>
          <c:y val="1.8865262987501033E-3"/>
          <c:w val="0.55703789534669368"/>
          <c:h val="0.36413657543908334"/>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38513472673107E-2"/>
          <c:y val="3.2588749499532894E-2"/>
          <c:w val="0.87564295083927413"/>
          <c:h val="0.86847261147441368"/>
        </c:manualLayout>
      </c:layout>
      <c:lineChart>
        <c:grouping val="standard"/>
        <c:varyColors val="0"/>
        <c:ser>
          <c:idx val="0"/>
          <c:order val="0"/>
          <c:tx>
            <c:strRef>
              <c:f>Sheet1!$B$1</c:f>
              <c:strCache>
                <c:ptCount val="1"/>
                <c:pt idx="0">
                  <c:v>ES</c:v>
                </c:pt>
              </c:strCache>
            </c:strRef>
          </c:tx>
          <c:spPr>
            <a:ln w="28575">
              <a:solidFill>
                <a:srgbClr val="8064A2">
                  <a:lumMod val="50000"/>
                </a:srgbClr>
              </a:solidFill>
              <a:prstDash val="sysDash"/>
            </a:ln>
          </c:spPr>
          <c:marker>
            <c:symbol val="none"/>
          </c:marker>
          <c:cat>
            <c:numRef>
              <c:f>Sheet1!$A$2:$A$10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Sheet1!$B$2:$B$10</c:f>
              <c:numCache>
                <c:formatCode>0.0</c:formatCode>
                <c:ptCount val="8"/>
                <c:pt idx="0">
                  <c:v>56.6</c:v>
                </c:pt>
                <c:pt idx="1">
                  <c:v>57.4</c:v>
                </c:pt>
                <c:pt idx="2">
                  <c:v>58.3</c:v>
                </c:pt>
                <c:pt idx="3">
                  <c:v>58.7</c:v>
                </c:pt>
                <c:pt idx="4" formatCode="General">
                  <c:v>57.6</c:v>
                </c:pt>
                <c:pt idx="5" formatCode="General">
                  <c:v>57.3</c:v>
                </c:pt>
                <c:pt idx="6" formatCode="General">
                  <c:v>57.4</c:v>
                </c:pt>
                <c:pt idx="7">
                  <c:v>57.2</c:v>
                </c:pt>
              </c:numCache>
            </c:numRef>
          </c:val>
          <c:smooth val="1"/>
        </c:ser>
        <c:dLbls>
          <c:showLegendKey val="0"/>
          <c:showVal val="0"/>
          <c:showCatName val="0"/>
          <c:showSerName val="0"/>
          <c:showPercent val="0"/>
          <c:showBubbleSize val="0"/>
        </c:dLbls>
        <c:marker val="1"/>
        <c:smooth val="0"/>
        <c:axId val="98717056"/>
        <c:axId val="98727040"/>
      </c:lineChart>
      <c:catAx>
        <c:axId val="98717056"/>
        <c:scaling>
          <c:orientation val="minMax"/>
        </c:scaling>
        <c:delete val="0"/>
        <c:axPos val="b"/>
        <c:numFmt formatCode="General" sourceLinked="1"/>
        <c:majorTickMark val="out"/>
        <c:minorTickMark val="none"/>
        <c:tickLblPos val="nextTo"/>
        <c:crossAx val="98727040"/>
        <c:crosses val="autoZero"/>
        <c:auto val="1"/>
        <c:lblAlgn val="ctr"/>
        <c:lblOffset val="100"/>
        <c:noMultiLvlLbl val="0"/>
      </c:catAx>
      <c:valAx>
        <c:axId val="98727040"/>
        <c:scaling>
          <c:orientation val="minMax"/>
          <c:max val="60"/>
          <c:min val="55"/>
        </c:scaling>
        <c:delete val="0"/>
        <c:axPos val="l"/>
        <c:numFmt formatCode="0" sourceLinked="0"/>
        <c:majorTickMark val="out"/>
        <c:minorTickMark val="none"/>
        <c:tickLblPos val="nextTo"/>
        <c:crossAx val="98717056"/>
        <c:crosses val="autoZero"/>
        <c:crossBetween val="between"/>
        <c:majorUnit val="2"/>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62152777777798E-2"/>
          <c:y val="3.1819172113293888E-2"/>
          <c:w val="0.91993784722222227"/>
          <c:h val="0.87522521019618404"/>
        </c:manualLayout>
      </c:layout>
      <c:barChart>
        <c:barDir val="col"/>
        <c:grouping val="clustered"/>
        <c:varyColors val="0"/>
        <c:ser>
          <c:idx val="1"/>
          <c:order val="0"/>
          <c:tx>
            <c:strRef>
              <c:f>Sheet1!$A$3</c:f>
              <c:strCache>
                <c:ptCount val="1"/>
                <c:pt idx="0">
                  <c:v>ES</c:v>
                </c:pt>
              </c:strCache>
            </c:strRef>
          </c:tx>
          <c:spPr>
            <a:solidFill>
              <a:srgbClr val="8064A2">
                <a:lumMod val="75000"/>
              </a:srgbClr>
            </a:solidFill>
            <a:ln w="15875">
              <a:noFill/>
              <a:prstDash val="solid"/>
            </a:ln>
          </c:spPr>
          <c:invertIfNegative val="0"/>
          <c:dLbls>
            <c:showLegendKey val="0"/>
            <c:showVal val="1"/>
            <c:showCatName val="0"/>
            <c:showSerName val="0"/>
            <c:showPercent val="0"/>
            <c:showBubbleSize val="0"/>
            <c:showLeaderLines val="0"/>
          </c:dLbls>
          <c:cat>
            <c:numRef>
              <c:f>Sheet1!$B$2:$I$2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Sheet1!$B$3:$I$3</c:f>
              <c:numCache>
                <c:formatCode>#,##0.0</c:formatCode>
                <c:ptCount val="8"/>
                <c:pt idx="0">
                  <c:v>8.9</c:v>
                </c:pt>
                <c:pt idx="1">
                  <c:v>8.1999999999999993</c:v>
                </c:pt>
                <c:pt idx="2">
                  <c:v>7.1</c:v>
                </c:pt>
                <c:pt idx="3">
                  <c:v>7</c:v>
                </c:pt>
                <c:pt idx="4">
                  <c:v>8.9</c:v>
                </c:pt>
                <c:pt idx="5">
                  <c:v>9.6</c:v>
                </c:pt>
                <c:pt idx="6">
                  <c:v>9.6</c:v>
                </c:pt>
                <c:pt idx="7">
                  <c:v>10.4</c:v>
                </c:pt>
              </c:numCache>
            </c:numRef>
          </c:val>
        </c:ser>
        <c:dLbls>
          <c:showLegendKey val="0"/>
          <c:showVal val="0"/>
          <c:showCatName val="0"/>
          <c:showSerName val="0"/>
          <c:showPercent val="0"/>
          <c:showBubbleSize val="0"/>
        </c:dLbls>
        <c:gapWidth val="112"/>
        <c:axId val="98734848"/>
        <c:axId val="98736384"/>
      </c:barChart>
      <c:catAx>
        <c:axId val="98734848"/>
        <c:scaling>
          <c:orientation val="minMax"/>
        </c:scaling>
        <c:delete val="0"/>
        <c:axPos val="b"/>
        <c:numFmt formatCode="General" sourceLinked="1"/>
        <c:majorTickMark val="out"/>
        <c:minorTickMark val="none"/>
        <c:tickLblPos val="low"/>
        <c:txPr>
          <a:bodyPr rot="0" vert="horz"/>
          <a:lstStyle/>
          <a:p>
            <a:pPr>
              <a:defRPr/>
            </a:pPr>
            <a:endParaRPr lang="lv-LV"/>
          </a:p>
        </c:txPr>
        <c:crossAx val="98736384"/>
        <c:crosses val="autoZero"/>
        <c:auto val="1"/>
        <c:lblAlgn val="ctr"/>
        <c:lblOffset val="100"/>
        <c:tickLblSkip val="1"/>
        <c:tickMarkSkip val="1"/>
        <c:noMultiLvlLbl val="1"/>
      </c:catAx>
      <c:valAx>
        <c:axId val="98736384"/>
        <c:scaling>
          <c:orientation val="minMax"/>
          <c:min val="5"/>
        </c:scaling>
        <c:delete val="0"/>
        <c:axPos val="l"/>
        <c:numFmt formatCode="0" sourceLinked="0"/>
        <c:majorTickMark val="out"/>
        <c:minorTickMark val="none"/>
        <c:tickLblPos val="nextTo"/>
        <c:txPr>
          <a:bodyPr rot="0" vert="horz"/>
          <a:lstStyle/>
          <a:p>
            <a:pPr>
              <a:defRPr/>
            </a:pPr>
            <a:endParaRPr lang="lv-LV"/>
          </a:p>
        </c:txPr>
        <c:crossAx val="98734848"/>
        <c:crosses val="autoZero"/>
        <c:crossBetween val="between"/>
        <c:majorUnit val="2"/>
      </c:valAx>
      <c:spPr>
        <a:noFill/>
        <a:ln w="25372">
          <a:noFill/>
        </a:ln>
      </c:spPr>
    </c:plotArea>
    <c:plotVisOnly val="1"/>
    <c:dispBlanksAs val="gap"/>
    <c:showDLblsOverMax val="0"/>
  </c:chart>
  <c:spPr>
    <a:noFill/>
    <a:ln>
      <a:noFill/>
    </a:ln>
  </c:spPr>
  <c:txPr>
    <a:bodyPr/>
    <a:lstStyle/>
    <a:p>
      <a:pPr>
        <a:defRPr sz="899" b="0" i="0" u="none" strike="noStrike" baseline="0">
          <a:solidFill>
            <a:srgbClr val="000000"/>
          </a:solidFill>
          <a:latin typeface="Times New Roman" pitchFamily="18" charset="0"/>
          <a:ea typeface="Arial"/>
          <a:cs typeface="Times New Roman" pitchFamily="18"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100"/>
              <a:t>Nodarbinātības līmenis ES  </a:t>
            </a:r>
            <a:br>
              <a:rPr lang="lv-LV" sz="1100"/>
            </a:br>
            <a:r>
              <a:rPr lang="lv-LV" sz="1100"/>
              <a:t>(%, vecuma grupā 15-74 gadi)</a:t>
            </a:r>
            <a:endParaRPr lang="en-US" sz="1100"/>
          </a:p>
        </c:rich>
      </c:tx>
      <c:layout>
        <c:manualLayout>
          <c:xMode val="edge"/>
          <c:yMode val="edge"/>
          <c:x val="0.10520250072907553"/>
          <c:y val="3.0769230769230771E-2"/>
        </c:manualLayout>
      </c:layout>
      <c:overlay val="0"/>
    </c:title>
    <c:autoTitleDeleted val="0"/>
    <c:plotArea>
      <c:layout/>
      <c:barChart>
        <c:barDir val="bar"/>
        <c:grouping val="clustered"/>
        <c:varyColors val="0"/>
        <c:ser>
          <c:idx val="0"/>
          <c:order val="0"/>
          <c:tx>
            <c:strRef>
              <c:f>Sheet1!$B$1</c:f>
              <c:strCache>
                <c:ptCount val="1"/>
                <c:pt idx="0">
                  <c:v>Series 1</c:v>
                </c:pt>
              </c:strCache>
            </c:strRef>
          </c:tx>
          <c:spPr>
            <a:solidFill>
              <a:schemeClr val="accent4">
                <a:lumMod val="75000"/>
              </a:schemeClr>
            </a:solidFill>
            <a:ln>
              <a:solidFill>
                <a:schemeClr val="tx1"/>
              </a:solidFill>
            </a:ln>
          </c:spPr>
          <c:invertIfNegative val="0"/>
          <c:cat>
            <c:strRef>
              <c:f>Sheet1!$A$2:$A$29</c:f>
              <c:strCache>
                <c:ptCount val="28"/>
                <c:pt idx="0">
                  <c:v>Grieķija</c:v>
                </c:pt>
                <c:pt idx="1">
                  <c:v>Spānija</c:v>
                </c:pt>
                <c:pt idx="2">
                  <c:v>Itālija</c:v>
                </c:pt>
                <c:pt idx="3">
                  <c:v>Ungārija</c:v>
                </c:pt>
                <c:pt idx="4">
                  <c:v>Bulgārija</c:v>
                </c:pt>
                <c:pt idx="5">
                  <c:v>Malta</c:v>
                </c:pt>
                <c:pt idx="6">
                  <c:v>Polija</c:v>
                </c:pt>
                <c:pt idx="7">
                  <c:v>Slovākija</c:v>
                </c:pt>
                <c:pt idx="8">
                  <c:v>Īrija</c:v>
                </c:pt>
                <c:pt idx="9">
                  <c:v>Beļģija</c:v>
                </c:pt>
                <c:pt idx="10">
                  <c:v>Rumānija</c:v>
                </c:pt>
                <c:pt idx="11">
                  <c:v>Lietuva</c:v>
                </c:pt>
                <c:pt idx="12">
                  <c:v>Latvija</c:v>
                </c:pt>
                <c:pt idx="13">
                  <c:v>Portugāle</c:v>
                </c:pt>
                <c:pt idx="14">
                  <c:v>Francija</c:v>
                </c:pt>
                <c:pt idx="15">
                  <c:v>ES-27</c:v>
                </c:pt>
                <c:pt idx="16">
                  <c:v>Slovēnija</c:v>
                </c:pt>
                <c:pt idx="17">
                  <c:v>Luksemburga</c:v>
                </c:pt>
                <c:pt idx="18">
                  <c:v>Čehija</c:v>
                </c:pt>
                <c:pt idx="19">
                  <c:v>Kipra</c:v>
                </c:pt>
                <c:pt idx="20">
                  <c:v>Somija</c:v>
                </c:pt>
                <c:pt idx="21">
                  <c:v>Igaunija</c:v>
                </c:pt>
                <c:pt idx="22">
                  <c:v>Lielbritānija</c:v>
                </c:pt>
                <c:pt idx="23">
                  <c:v>Vācija</c:v>
                </c:pt>
                <c:pt idx="24">
                  <c:v>Dānija</c:v>
                </c:pt>
                <c:pt idx="25">
                  <c:v>Austrija</c:v>
                </c:pt>
                <c:pt idx="26">
                  <c:v>Zviedrija</c:v>
                </c:pt>
                <c:pt idx="27">
                  <c:v>Nīderlande</c:v>
                </c:pt>
              </c:strCache>
            </c:strRef>
          </c:cat>
          <c:val>
            <c:numRef>
              <c:f>Sheet1!$B$2:$B$29</c:f>
              <c:numCache>
                <c:formatCode>General</c:formatCode>
                <c:ptCount val="28"/>
                <c:pt idx="0">
                  <c:v>45.2</c:v>
                </c:pt>
                <c:pt idx="1">
                  <c:v>49.5</c:v>
                </c:pt>
                <c:pt idx="2">
                  <c:v>49.8</c:v>
                </c:pt>
                <c:pt idx="3">
                  <c:v>50.6</c:v>
                </c:pt>
                <c:pt idx="4">
                  <c:v>51.4</c:v>
                </c:pt>
                <c:pt idx="5">
                  <c:v>52.1</c:v>
                </c:pt>
                <c:pt idx="6">
                  <c:v>54.4</c:v>
                </c:pt>
                <c:pt idx="7">
                  <c:v>54.4</c:v>
                </c:pt>
                <c:pt idx="8">
                  <c:v>54.5</c:v>
                </c:pt>
                <c:pt idx="9">
                  <c:v>55</c:v>
                </c:pt>
                <c:pt idx="10">
                  <c:v>55.5</c:v>
                </c:pt>
                <c:pt idx="11">
                  <c:v>55.7</c:v>
                </c:pt>
                <c:pt idx="12">
                  <c:v>56.3</c:v>
                </c:pt>
                <c:pt idx="13">
                  <c:v>56.4</c:v>
                </c:pt>
                <c:pt idx="14">
                  <c:v>57</c:v>
                </c:pt>
                <c:pt idx="15">
                  <c:v>57.2</c:v>
                </c:pt>
                <c:pt idx="16">
                  <c:v>57.4</c:v>
                </c:pt>
                <c:pt idx="17">
                  <c:v>59</c:v>
                </c:pt>
                <c:pt idx="18">
                  <c:v>59.1</c:v>
                </c:pt>
                <c:pt idx="19">
                  <c:v>59.4</c:v>
                </c:pt>
                <c:pt idx="20">
                  <c:v>61.2</c:v>
                </c:pt>
                <c:pt idx="21">
                  <c:v>61.3</c:v>
                </c:pt>
                <c:pt idx="22">
                  <c:v>63.3</c:v>
                </c:pt>
                <c:pt idx="23">
                  <c:v>63.4</c:v>
                </c:pt>
                <c:pt idx="24">
                  <c:v>64.099999999999994</c:v>
                </c:pt>
                <c:pt idx="25">
                  <c:v>64.3</c:v>
                </c:pt>
                <c:pt idx="26">
                  <c:v>65.5</c:v>
                </c:pt>
                <c:pt idx="27">
                  <c:v>67.099999999999994</c:v>
                </c:pt>
              </c:numCache>
            </c:numRef>
          </c:val>
        </c:ser>
        <c:dLbls>
          <c:showLegendKey val="0"/>
          <c:showVal val="0"/>
          <c:showCatName val="0"/>
          <c:showSerName val="0"/>
          <c:showPercent val="0"/>
          <c:showBubbleSize val="0"/>
        </c:dLbls>
        <c:gapWidth val="150"/>
        <c:axId val="99858304"/>
        <c:axId val="99859840"/>
      </c:barChart>
      <c:catAx>
        <c:axId val="99858304"/>
        <c:scaling>
          <c:orientation val="minMax"/>
        </c:scaling>
        <c:delete val="0"/>
        <c:axPos val="l"/>
        <c:majorTickMark val="none"/>
        <c:minorTickMark val="none"/>
        <c:tickLblPos val="nextTo"/>
        <c:crossAx val="99859840"/>
        <c:crosses val="autoZero"/>
        <c:auto val="1"/>
        <c:lblAlgn val="ctr"/>
        <c:lblOffset val="100"/>
        <c:tickLblSkip val="1"/>
        <c:noMultiLvlLbl val="0"/>
      </c:catAx>
      <c:valAx>
        <c:axId val="99859840"/>
        <c:scaling>
          <c:orientation val="minMax"/>
          <c:min val="45"/>
        </c:scaling>
        <c:delete val="0"/>
        <c:axPos val="b"/>
        <c:numFmt formatCode="General" sourceLinked="1"/>
        <c:majorTickMark val="out"/>
        <c:minorTickMark val="none"/>
        <c:tickLblPos val="nextTo"/>
        <c:crossAx val="99858304"/>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200" b="1">
                <a:effectLst/>
              </a:rPr>
              <a:t>Nodarbinātības līmeņa izmaiņas 2012.gadā, salīdzinot ar 2011.gadu</a:t>
            </a:r>
            <a:r>
              <a:rPr lang="lv-LV" sz="1200" b="1" baseline="0">
                <a:effectLst/>
              </a:rPr>
              <a:t> </a:t>
            </a:r>
            <a:r>
              <a:rPr lang="lv-LV" sz="1050" b="0">
                <a:effectLst/>
              </a:rPr>
              <a:t>(procentpunktos)</a:t>
            </a:r>
          </a:p>
          <a:p>
            <a:pPr>
              <a:defRPr/>
            </a:pPr>
            <a:endParaRPr lang="en-US"/>
          </a:p>
        </c:rich>
      </c:tx>
      <c:overlay val="0"/>
    </c:title>
    <c:autoTitleDeleted val="0"/>
    <c:plotArea>
      <c:layout>
        <c:manualLayout>
          <c:layoutTarget val="inner"/>
          <c:xMode val="edge"/>
          <c:yMode val="edge"/>
          <c:x val="0.16342283301543831"/>
          <c:y val="0.17304636920384953"/>
          <c:w val="0.78171174255391984"/>
          <c:h val="0.77752443987979758"/>
        </c:manualLayout>
      </c:layout>
      <c:barChart>
        <c:barDir val="bar"/>
        <c:grouping val="clustered"/>
        <c:varyColors val="0"/>
        <c:ser>
          <c:idx val="0"/>
          <c:order val="0"/>
          <c:tx>
            <c:strRef>
              <c:f>Sheet1!$B$1</c:f>
              <c:strCache>
                <c:ptCount val="1"/>
                <c:pt idx="0">
                  <c:v>Series 1</c:v>
                </c:pt>
              </c:strCache>
            </c:strRef>
          </c:tx>
          <c:spPr>
            <a:solidFill>
              <a:srgbClr val="8064A2">
                <a:lumMod val="75000"/>
              </a:srgbClr>
            </a:solidFill>
            <a:ln>
              <a:solidFill>
                <a:sysClr val="windowText" lastClr="000000"/>
              </a:solidFill>
            </a:ln>
          </c:spPr>
          <c:invertIfNegative val="0"/>
          <c:dPt>
            <c:idx val="9"/>
            <c:invertIfNegative val="0"/>
            <c:bubble3D val="0"/>
          </c:dPt>
          <c:dPt>
            <c:idx val="25"/>
            <c:invertIfNegative val="0"/>
            <c:bubble3D val="0"/>
          </c:dPt>
          <c:dPt>
            <c:idx val="27"/>
            <c:invertIfNegative val="0"/>
            <c:bubble3D val="0"/>
          </c:dPt>
          <c:cat>
            <c:strRef>
              <c:f>Sheet1!$A$2:$A$29</c:f>
              <c:strCache>
                <c:ptCount val="28"/>
                <c:pt idx="0">
                  <c:v>Grieķija</c:v>
                </c:pt>
                <c:pt idx="1">
                  <c:v>Kipra</c:v>
                </c:pt>
                <c:pt idx="2">
                  <c:v>Spānija</c:v>
                </c:pt>
                <c:pt idx="3">
                  <c:v>Portugāle</c:v>
                </c:pt>
                <c:pt idx="4">
                  <c:v>Dānija</c:v>
                </c:pt>
                <c:pt idx="5">
                  <c:v>Slovēnija</c:v>
                </c:pt>
                <c:pt idx="6">
                  <c:v>Polija</c:v>
                </c:pt>
                <c:pt idx="7">
                  <c:v>Īrija</c:v>
                </c:pt>
                <c:pt idx="8">
                  <c:v>Itālija</c:v>
                </c:pt>
                <c:pt idx="9">
                  <c:v>ES-27</c:v>
                </c:pt>
                <c:pt idx="10">
                  <c:v>Beļģija</c:v>
                </c:pt>
                <c:pt idx="11">
                  <c:v>Francija</c:v>
                </c:pt>
                <c:pt idx="12">
                  <c:v>Somija</c:v>
                </c:pt>
                <c:pt idx="13">
                  <c:v>Bulgārija</c:v>
                </c:pt>
                <c:pt idx="14">
                  <c:v>Nīderlande</c:v>
                </c:pt>
                <c:pt idx="15">
                  <c:v>Slovākija</c:v>
                </c:pt>
                <c:pt idx="16">
                  <c:v>Zviedrija</c:v>
                </c:pt>
                <c:pt idx="17">
                  <c:v>Čehija</c:v>
                </c:pt>
                <c:pt idx="18">
                  <c:v>Austrija</c:v>
                </c:pt>
                <c:pt idx="19">
                  <c:v>Lielbritānija</c:v>
                </c:pt>
                <c:pt idx="20">
                  <c:v>Vācija</c:v>
                </c:pt>
                <c:pt idx="21">
                  <c:v>Ungārija</c:v>
                </c:pt>
                <c:pt idx="22">
                  <c:v>Rumānija</c:v>
                </c:pt>
                <c:pt idx="23">
                  <c:v>Luksemburga</c:v>
                </c:pt>
                <c:pt idx="24">
                  <c:v>Malta</c:v>
                </c:pt>
                <c:pt idx="25">
                  <c:v>Igaunija</c:v>
                </c:pt>
                <c:pt idx="26">
                  <c:v>Lietuva</c:v>
                </c:pt>
                <c:pt idx="27">
                  <c:v>Latvija</c:v>
                </c:pt>
              </c:strCache>
            </c:strRef>
          </c:cat>
          <c:val>
            <c:numRef>
              <c:f>Sheet1!$B$2:$B$29</c:f>
              <c:numCache>
                <c:formatCode>General</c:formatCode>
                <c:ptCount val="28"/>
                <c:pt idx="0">
                  <c:v>-3.8999999999999986</c:v>
                </c:pt>
                <c:pt idx="1">
                  <c:v>-2.8999999999999986</c:v>
                </c:pt>
                <c:pt idx="2">
                  <c:v>-2.2000000000000028</c:v>
                </c:pt>
                <c:pt idx="3">
                  <c:v>-2.2000000000000028</c:v>
                </c:pt>
                <c:pt idx="4">
                  <c:v>-0.60000000000000853</c:v>
                </c:pt>
                <c:pt idx="5">
                  <c:v>-0.5</c:v>
                </c:pt>
                <c:pt idx="6">
                  <c:v>-0.30000000000000426</c:v>
                </c:pt>
                <c:pt idx="7">
                  <c:v>-0.20000000000000284</c:v>
                </c:pt>
                <c:pt idx="8">
                  <c:v>-0.20000000000000284</c:v>
                </c:pt>
                <c:pt idx="9">
                  <c:v>-0.19999999999999574</c:v>
                </c:pt>
                <c:pt idx="10">
                  <c:v>-0.10000000000000142</c:v>
                </c:pt>
                <c:pt idx="11">
                  <c:v>-0.10000000000000142</c:v>
                </c:pt>
                <c:pt idx="12">
                  <c:v>-9.9999999999994316E-2</c:v>
                </c:pt>
                <c:pt idx="13">
                  <c:v>0</c:v>
                </c:pt>
                <c:pt idx="14">
                  <c:v>0</c:v>
                </c:pt>
                <c:pt idx="15">
                  <c:v>0</c:v>
                </c:pt>
                <c:pt idx="16">
                  <c:v>9.9999999999994316E-2</c:v>
                </c:pt>
                <c:pt idx="17">
                  <c:v>0.20000000000000284</c:v>
                </c:pt>
                <c:pt idx="18">
                  <c:v>0.20000000000000284</c:v>
                </c:pt>
                <c:pt idx="19">
                  <c:v>0.39999999999999858</c:v>
                </c:pt>
                <c:pt idx="20">
                  <c:v>0.5</c:v>
                </c:pt>
                <c:pt idx="21">
                  <c:v>0.89999999999999858</c:v>
                </c:pt>
                <c:pt idx="22">
                  <c:v>0.89999999999999858</c:v>
                </c:pt>
                <c:pt idx="23">
                  <c:v>1.2999999999999972</c:v>
                </c:pt>
                <c:pt idx="24">
                  <c:v>1.3999999999999986</c:v>
                </c:pt>
                <c:pt idx="25">
                  <c:v>1.8999999999999986</c:v>
                </c:pt>
                <c:pt idx="26">
                  <c:v>2.2000000000000028</c:v>
                </c:pt>
                <c:pt idx="27">
                  <c:v>2.2999999999999972</c:v>
                </c:pt>
              </c:numCache>
            </c:numRef>
          </c:val>
        </c:ser>
        <c:dLbls>
          <c:showLegendKey val="0"/>
          <c:showVal val="0"/>
          <c:showCatName val="0"/>
          <c:showSerName val="0"/>
          <c:showPercent val="0"/>
          <c:showBubbleSize val="0"/>
        </c:dLbls>
        <c:gapWidth val="117"/>
        <c:overlap val="9"/>
        <c:axId val="100232192"/>
        <c:axId val="100233984"/>
      </c:barChart>
      <c:catAx>
        <c:axId val="100232192"/>
        <c:scaling>
          <c:orientation val="minMax"/>
        </c:scaling>
        <c:delete val="0"/>
        <c:axPos val="l"/>
        <c:numFmt formatCode="General" sourceLinked="1"/>
        <c:majorTickMark val="none"/>
        <c:minorTickMark val="none"/>
        <c:tickLblPos val="low"/>
        <c:txPr>
          <a:bodyPr rot="0" vert="horz"/>
          <a:lstStyle/>
          <a:p>
            <a:pPr>
              <a:defRPr sz="1000">
                <a:latin typeface="Times New Roman" pitchFamily="18" charset="0"/>
                <a:cs typeface="Times New Roman" pitchFamily="18" charset="0"/>
              </a:defRPr>
            </a:pPr>
            <a:endParaRPr lang="lv-LV"/>
          </a:p>
        </c:txPr>
        <c:crossAx val="100233984"/>
        <c:crosses val="autoZero"/>
        <c:auto val="1"/>
        <c:lblAlgn val="ctr"/>
        <c:lblOffset val="0"/>
        <c:tickLblSkip val="1"/>
        <c:noMultiLvlLbl val="0"/>
      </c:catAx>
      <c:valAx>
        <c:axId val="100233984"/>
        <c:scaling>
          <c:orientation val="minMax"/>
          <c:max val="3"/>
          <c:min val="-4"/>
        </c:scaling>
        <c:delete val="0"/>
        <c:axPos val="b"/>
        <c:numFmt formatCode="General" sourceLinked="1"/>
        <c:majorTickMark val="out"/>
        <c:minorTickMark val="none"/>
        <c:tickLblPos val="nextTo"/>
        <c:crossAx val="100232192"/>
        <c:crosses val="autoZero"/>
        <c:crossBetween val="between"/>
        <c:majorUnit val="2"/>
      </c:valAx>
      <c:spPr>
        <a:noFill/>
        <a:ln w="25400">
          <a:noFill/>
        </a:ln>
      </c:spPr>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200" b="1">
                <a:effectLst/>
              </a:rPr>
              <a:t>Bezdarba līmenis un ilgstošo bezdarbnieku īpatsvars</a:t>
            </a:r>
            <a:endParaRPr lang="lv-LV"/>
          </a:p>
        </c:rich>
      </c:tx>
      <c:overlay val="0"/>
    </c:title>
    <c:autoTitleDeleted val="0"/>
    <c:plotArea>
      <c:layout>
        <c:manualLayout>
          <c:layoutTarget val="inner"/>
          <c:xMode val="edge"/>
          <c:yMode val="edge"/>
          <c:x val="0.33066713675715909"/>
          <c:y val="0.13183330531959367"/>
          <c:w val="0.58770008226583614"/>
          <c:h val="0.80964060526916881"/>
        </c:manualLayout>
      </c:layout>
      <c:barChart>
        <c:barDir val="bar"/>
        <c:grouping val="stacked"/>
        <c:varyColors val="0"/>
        <c:ser>
          <c:idx val="0"/>
          <c:order val="0"/>
          <c:tx>
            <c:strRef>
              <c:f>Sheet1!$B$1</c:f>
              <c:strCache>
                <c:ptCount val="1"/>
                <c:pt idx="0">
                  <c:v>Bezdarba līmenis</c:v>
                </c:pt>
              </c:strCache>
            </c:strRef>
          </c:tx>
          <c:spPr>
            <a:solidFill>
              <a:srgbClr val="8064A2">
                <a:lumMod val="75000"/>
              </a:srgbClr>
            </a:solidFill>
            <a:ln>
              <a:solidFill>
                <a:sysClr val="windowText" lastClr="000000"/>
              </a:solidFill>
            </a:ln>
          </c:spPr>
          <c:invertIfNegative val="0"/>
          <c:cat>
            <c:strRef>
              <c:f>Sheet1!$A$2:$A$29</c:f>
              <c:strCache>
                <c:ptCount val="28"/>
                <c:pt idx="0">
                  <c:v>Austrija</c:v>
                </c:pt>
                <c:pt idx="1">
                  <c:v>Luksemburga</c:v>
                </c:pt>
                <c:pt idx="2">
                  <c:v>Nīderlande</c:v>
                </c:pt>
                <c:pt idx="3">
                  <c:v>Vācija</c:v>
                </c:pt>
                <c:pt idx="4">
                  <c:v>Malta</c:v>
                </c:pt>
                <c:pt idx="5">
                  <c:v>Čehija</c:v>
                </c:pt>
                <c:pt idx="6">
                  <c:v>Rumānija</c:v>
                </c:pt>
                <c:pt idx="7">
                  <c:v>Dānija</c:v>
                </c:pt>
                <c:pt idx="8">
                  <c:v>Beļģija</c:v>
                </c:pt>
                <c:pt idx="9">
                  <c:v>Somija</c:v>
                </c:pt>
                <c:pt idx="10">
                  <c:v>Lielbritānija</c:v>
                </c:pt>
                <c:pt idx="11">
                  <c:v>Zviedrija</c:v>
                </c:pt>
                <c:pt idx="12">
                  <c:v>Slovēnija</c:v>
                </c:pt>
                <c:pt idx="13">
                  <c:v>Francija</c:v>
                </c:pt>
                <c:pt idx="14">
                  <c:v>Polija</c:v>
                </c:pt>
                <c:pt idx="15">
                  <c:v>Igaunija</c:v>
                </c:pt>
                <c:pt idx="16">
                  <c:v>ES</c:v>
                </c:pt>
                <c:pt idx="17">
                  <c:v>Itālija</c:v>
                </c:pt>
                <c:pt idx="18">
                  <c:v>Ungārija</c:v>
                </c:pt>
                <c:pt idx="19">
                  <c:v>Kipra</c:v>
                </c:pt>
                <c:pt idx="20">
                  <c:v>Bulgārija</c:v>
                </c:pt>
                <c:pt idx="21">
                  <c:v>Lietuva</c:v>
                </c:pt>
                <c:pt idx="22">
                  <c:v>Slovākija</c:v>
                </c:pt>
                <c:pt idx="23">
                  <c:v>Īrija</c:v>
                </c:pt>
                <c:pt idx="24">
                  <c:v>Latvija</c:v>
                </c:pt>
                <c:pt idx="25">
                  <c:v>Portugāle</c:v>
                </c:pt>
                <c:pt idx="26">
                  <c:v>Grieķija</c:v>
                </c:pt>
                <c:pt idx="27">
                  <c:v>Spānija</c:v>
                </c:pt>
              </c:strCache>
            </c:strRef>
          </c:cat>
          <c:val>
            <c:numRef>
              <c:f>Sheet1!$B$2:$B$29</c:f>
              <c:numCache>
                <c:formatCode>General</c:formatCode>
                <c:ptCount val="28"/>
                <c:pt idx="0">
                  <c:v>3.2336</c:v>
                </c:pt>
                <c:pt idx="1">
                  <c:v>3.5546999999999995</c:v>
                </c:pt>
                <c:pt idx="2">
                  <c:v>3.4980000000000002</c:v>
                </c:pt>
                <c:pt idx="3">
                  <c:v>2.9975000000000001</c:v>
                </c:pt>
                <c:pt idx="4">
                  <c:v>3.3664000000000001</c:v>
                </c:pt>
                <c:pt idx="5">
                  <c:v>3.9619999999999997</c:v>
                </c:pt>
                <c:pt idx="6">
                  <c:v>3.8290000000000002</c:v>
                </c:pt>
                <c:pt idx="7">
                  <c:v>5.4</c:v>
                </c:pt>
                <c:pt idx="8">
                  <c:v>4.2027999999999999</c:v>
                </c:pt>
                <c:pt idx="9">
                  <c:v>6.0522</c:v>
                </c:pt>
                <c:pt idx="10">
                  <c:v>5.1508000000000003</c:v>
                </c:pt>
                <c:pt idx="11">
                  <c:v>6.4880000000000004</c:v>
                </c:pt>
                <c:pt idx="12">
                  <c:v>4.6369000000000007</c:v>
                </c:pt>
                <c:pt idx="13">
                  <c:v>5.9103000000000012</c:v>
                </c:pt>
                <c:pt idx="14">
                  <c:v>6.0297000000000001</c:v>
                </c:pt>
                <c:pt idx="15">
                  <c:v>4.6818</c:v>
                </c:pt>
                <c:pt idx="16">
                  <c:v>5.7824000000000009</c:v>
                </c:pt>
                <c:pt idx="17">
                  <c:v>5.0289999999999999</c:v>
                </c:pt>
                <c:pt idx="18">
                  <c:v>5.9950000000000001</c:v>
                </c:pt>
                <c:pt idx="19">
                  <c:v>8.3180999999999994</c:v>
                </c:pt>
                <c:pt idx="20">
                  <c:v>5.5104000000000006</c:v>
                </c:pt>
                <c:pt idx="21">
                  <c:v>6.7830000000000004</c:v>
                </c:pt>
                <c:pt idx="22">
                  <c:v>4.5780000000000012</c:v>
                </c:pt>
                <c:pt idx="23">
                  <c:v>5.6300999999999988</c:v>
                </c:pt>
                <c:pt idx="24">
                  <c:v>7.1669000000000009</c:v>
                </c:pt>
                <c:pt idx="25">
                  <c:v>8.1567000000000007</c:v>
                </c:pt>
                <c:pt idx="26">
                  <c:v>9.8901000000000003</c:v>
                </c:pt>
                <c:pt idx="27">
                  <c:v>13.875</c:v>
                </c:pt>
              </c:numCache>
            </c:numRef>
          </c:val>
        </c:ser>
        <c:ser>
          <c:idx val="2"/>
          <c:order val="1"/>
          <c:tx>
            <c:strRef>
              <c:f>Sheet1!$C$1</c:f>
              <c:strCache>
                <c:ptCount val="1"/>
                <c:pt idx="0">
                  <c:v>t.sk. ilgstošie bezdarbnieki</c:v>
                </c:pt>
              </c:strCache>
            </c:strRef>
          </c:tx>
          <c:spPr>
            <a:solidFill>
              <a:schemeClr val="bg1">
                <a:lumMod val="50000"/>
              </a:schemeClr>
            </a:solidFill>
            <a:ln>
              <a:solidFill>
                <a:sysClr val="windowText" lastClr="000000"/>
              </a:solidFill>
            </a:ln>
          </c:spPr>
          <c:invertIfNegative val="0"/>
          <c:cat>
            <c:strRef>
              <c:f>Sheet1!$A$2:$A$29</c:f>
              <c:strCache>
                <c:ptCount val="28"/>
                <c:pt idx="0">
                  <c:v>Austrija</c:v>
                </c:pt>
                <c:pt idx="1">
                  <c:v>Luksemburga</c:v>
                </c:pt>
                <c:pt idx="2">
                  <c:v>Nīderlande</c:v>
                </c:pt>
                <c:pt idx="3">
                  <c:v>Vācija</c:v>
                </c:pt>
                <c:pt idx="4">
                  <c:v>Malta</c:v>
                </c:pt>
                <c:pt idx="5">
                  <c:v>Čehija</c:v>
                </c:pt>
                <c:pt idx="6">
                  <c:v>Rumānija</c:v>
                </c:pt>
                <c:pt idx="7">
                  <c:v>Dānija</c:v>
                </c:pt>
                <c:pt idx="8">
                  <c:v>Beļģija</c:v>
                </c:pt>
                <c:pt idx="9">
                  <c:v>Somija</c:v>
                </c:pt>
                <c:pt idx="10">
                  <c:v>Lielbritānija</c:v>
                </c:pt>
                <c:pt idx="11">
                  <c:v>Zviedrija</c:v>
                </c:pt>
                <c:pt idx="12">
                  <c:v>Slovēnija</c:v>
                </c:pt>
                <c:pt idx="13">
                  <c:v>Francija</c:v>
                </c:pt>
                <c:pt idx="14">
                  <c:v>Polija</c:v>
                </c:pt>
                <c:pt idx="15">
                  <c:v>Igaunija</c:v>
                </c:pt>
                <c:pt idx="16">
                  <c:v>ES</c:v>
                </c:pt>
                <c:pt idx="17">
                  <c:v>Itālija</c:v>
                </c:pt>
                <c:pt idx="18">
                  <c:v>Ungārija</c:v>
                </c:pt>
                <c:pt idx="19">
                  <c:v>Kipra</c:v>
                </c:pt>
                <c:pt idx="20">
                  <c:v>Bulgārija</c:v>
                </c:pt>
                <c:pt idx="21">
                  <c:v>Lietuva</c:v>
                </c:pt>
                <c:pt idx="22">
                  <c:v>Slovākija</c:v>
                </c:pt>
                <c:pt idx="23">
                  <c:v>Īrija</c:v>
                </c:pt>
                <c:pt idx="24">
                  <c:v>Latvija</c:v>
                </c:pt>
                <c:pt idx="25">
                  <c:v>Portugāle</c:v>
                </c:pt>
                <c:pt idx="26">
                  <c:v>Grieķija</c:v>
                </c:pt>
                <c:pt idx="27">
                  <c:v>Spānija</c:v>
                </c:pt>
              </c:strCache>
            </c:strRef>
          </c:cat>
          <c:val>
            <c:numRef>
              <c:f>Sheet1!$C$2:$C$29</c:f>
              <c:numCache>
                <c:formatCode>General</c:formatCode>
                <c:ptCount val="28"/>
                <c:pt idx="0">
                  <c:v>1.0664</c:v>
                </c:pt>
                <c:pt idx="1">
                  <c:v>1.5453000000000001</c:v>
                </c:pt>
                <c:pt idx="2">
                  <c:v>1.8019999999999998</c:v>
                </c:pt>
                <c:pt idx="3">
                  <c:v>2.5024999999999999</c:v>
                </c:pt>
                <c:pt idx="4">
                  <c:v>3.0336000000000003</c:v>
                </c:pt>
                <c:pt idx="5">
                  <c:v>3.0380000000000003</c:v>
                </c:pt>
                <c:pt idx="6">
                  <c:v>3.1709999999999998</c:v>
                </c:pt>
                <c:pt idx="7">
                  <c:v>2.1</c:v>
                </c:pt>
                <c:pt idx="8">
                  <c:v>3.3972000000000002</c:v>
                </c:pt>
                <c:pt idx="9">
                  <c:v>1.6477999999999999</c:v>
                </c:pt>
                <c:pt idx="10">
                  <c:v>2.7492000000000001</c:v>
                </c:pt>
                <c:pt idx="11">
                  <c:v>1.5119999999999998</c:v>
                </c:pt>
                <c:pt idx="12">
                  <c:v>4.2630999999999997</c:v>
                </c:pt>
                <c:pt idx="13">
                  <c:v>3.9896999999999996</c:v>
                </c:pt>
                <c:pt idx="14">
                  <c:v>4.0702999999999996</c:v>
                </c:pt>
                <c:pt idx="15">
                  <c:v>5.5181999999999993</c:v>
                </c:pt>
                <c:pt idx="16">
                  <c:v>4.6175999999999995</c:v>
                </c:pt>
                <c:pt idx="17">
                  <c:v>5.6709999999999994</c:v>
                </c:pt>
                <c:pt idx="18">
                  <c:v>4.9050000000000002</c:v>
                </c:pt>
                <c:pt idx="19">
                  <c:v>3.5819000000000005</c:v>
                </c:pt>
                <c:pt idx="20">
                  <c:v>6.7896000000000001</c:v>
                </c:pt>
                <c:pt idx="21">
                  <c:v>6.5170000000000003</c:v>
                </c:pt>
                <c:pt idx="22">
                  <c:v>9.4219999999999988</c:v>
                </c:pt>
                <c:pt idx="23">
                  <c:v>9.0699000000000005</c:v>
                </c:pt>
                <c:pt idx="24">
                  <c:v>7.7330999999999994</c:v>
                </c:pt>
                <c:pt idx="25">
                  <c:v>7.7433000000000005</c:v>
                </c:pt>
                <c:pt idx="26">
                  <c:v>14.4099</c:v>
                </c:pt>
                <c:pt idx="27">
                  <c:v>11.125</c:v>
                </c:pt>
              </c:numCache>
            </c:numRef>
          </c:val>
        </c:ser>
        <c:dLbls>
          <c:showLegendKey val="0"/>
          <c:showVal val="0"/>
          <c:showCatName val="0"/>
          <c:showSerName val="0"/>
          <c:showPercent val="0"/>
          <c:showBubbleSize val="0"/>
        </c:dLbls>
        <c:gapWidth val="55"/>
        <c:overlap val="100"/>
        <c:axId val="101008896"/>
        <c:axId val="101010432"/>
      </c:barChart>
      <c:catAx>
        <c:axId val="101008896"/>
        <c:scaling>
          <c:orientation val="minMax"/>
        </c:scaling>
        <c:delete val="0"/>
        <c:axPos val="l"/>
        <c:numFmt formatCode="General" sourceLinked="1"/>
        <c:majorTickMark val="out"/>
        <c:minorTickMark val="none"/>
        <c:tickLblPos val="nextTo"/>
        <c:txPr>
          <a:bodyPr rot="0" vert="horz"/>
          <a:lstStyle/>
          <a:p>
            <a:pPr>
              <a:defRPr sz="1000"/>
            </a:pPr>
            <a:endParaRPr lang="lv-LV"/>
          </a:p>
        </c:txPr>
        <c:crossAx val="101010432"/>
        <c:crosses val="autoZero"/>
        <c:auto val="1"/>
        <c:lblAlgn val="ctr"/>
        <c:lblOffset val="100"/>
        <c:tickLblSkip val="1"/>
        <c:noMultiLvlLbl val="0"/>
      </c:catAx>
      <c:valAx>
        <c:axId val="101010432"/>
        <c:scaling>
          <c:orientation val="minMax"/>
          <c:max val="30"/>
          <c:min val="0"/>
        </c:scaling>
        <c:delete val="0"/>
        <c:axPos val="b"/>
        <c:numFmt formatCode="#,##0" sourceLinked="0"/>
        <c:majorTickMark val="out"/>
        <c:minorTickMark val="none"/>
        <c:tickLblPos val="nextTo"/>
        <c:crossAx val="101008896"/>
        <c:crosses val="autoZero"/>
        <c:crossBetween val="between"/>
      </c:valAx>
      <c:spPr>
        <a:noFill/>
        <a:ln w="25400">
          <a:noFill/>
        </a:ln>
      </c:spPr>
    </c:plotArea>
    <c:legend>
      <c:legendPos val="r"/>
      <c:layout>
        <c:manualLayout>
          <c:xMode val="edge"/>
          <c:yMode val="edge"/>
          <c:x val="0.55475305854620804"/>
          <c:y val="0.67645547956140517"/>
          <c:w val="0.35464371058095351"/>
          <c:h val="0.21809273840769905"/>
        </c:manualLayout>
      </c:layout>
      <c:overlay val="0"/>
      <c:txPr>
        <a:bodyPr/>
        <a:lstStyle/>
        <a:p>
          <a:pPr>
            <a:defRPr sz="1000"/>
          </a:pPr>
          <a:endParaRPr lang="lv-LV"/>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lv-LV" sz="1200" b="1" i="0" baseline="0">
                <a:effectLst/>
                <a:latin typeface="Times New Roman" pitchFamily="18" charset="0"/>
                <a:cs typeface="Times New Roman" pitchFamily="18" charset="0"/>
              </a:rPr>
              <a:t>Bezdarba līmeņa izmaiņas 2012.gadā, salīdzinot ar 2011.gadu </a:t>
            </a:r>
            <a:r>
              <a:rPr lang="lv-LV" sz="1100" b="0" i="0" baseline="0">
                <a:effectLst/>
                <a:latin typeface="Times New Roman" pitchFamily="18" charset="0"/>
                <a:cs typeface="Times New Roman" pitchFamily="18" charset="0"/>
              </a:rPr>
              <a:t>(procentpunktos</a:t>
            </a:r>
            <a:r>
              <a:rPr lang="lv-LV" sz="1200" b="0" i="0" baseline="0">
                <a:effectLst/>
                <a:latin typeface="Times New Roman" pitchFamily="18" charset="0"/>
                <a:cs typeface="Times New Roman" pitchFamily="18" charset="0"/>
              </a:rPr>
              <a:t>)</a:t>
            </a:r>
            <a:endParaRPr lang="lv-LV" sz="12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6560902696830571"/>
          <c:y val="0"/>
        </c:manualLayout>
      </c:layout>
      <c:overlay val="0"/>
    </c:title>
    <c:autoTitleDeleted val="0"/>
    <c:plotArea>
      <c:layout>
        <c:manualLayout>
          <c:layoutTarget val="inner"/>
          <c:xMode val="edge"/>
          <c:yMode val="edge"/>
          <c:x val="0.28599186431001261"/>
          <c:y val="0.13437630640997461"/>
          <c:w val="0.67962762962786749"/>
          <c:h val="0.80057363519215274"/>
        </c:manualLayout>
      </c:layout>
      <c:barChart>
        <c:barDir val="bar"/>
        <c:grouping val="clustered"/>
        <c:varyColors val="0"/>
        <c:ser>
          <c:idx val="0"/>
          <c:order val="0"/>
          <c:tx>
            <c:strRef>
              <c:f>Sheet1!$B$1</c:f>
              <c:strCache>
                <c:ptCount val="1"/>
                <c:pt idx="0">
                  <c:v>Series 1</c:v>
                </c:pt>
              </c:strCache>
            </c:strRef>
          </c:tx>
          <c:spPr>
            <a:solidFill>
              <a:schemeClr val="accent4">
                <a:lumMod val="75000"/>
              </a:schemeClr>
            </a:solidFill>
            <a:ln>
              <a:solidFill>
                <a:schemeClr val="tx1"/>
              </a:solidFill>
            </a:ln>
          </c:spPr>
          <c:invertIfNegative val="0"/>
          <c:cat>
            <c:strRef>
              <c:f>Sheet1!$A$2:$A$29</c:f>
              <c:strCache>
                <c:ptCount val="28"/>
                <c:pt idx="0">
                  <c:v>Igaunija</c:v>
                </c:pt>
                <c:pt idx="1">
                  <c:v>Lietuva</c:v>
                </c:pt>
                <c:pt idx="2">
                  <c:v>Latvija</c:v>
                </c:pt>
                <c:pt idx="3">
                  <c:v>Vācija</c:v>
                </c:pt>
                <c:pt idx="4">
                  <c:v>Rumānija</c:v>
                </c:pt>
                <c:pt idx="5">
                  <c:v>Malta</c:v>
                </c:pt>
                <c:pt idx="6">
                  <c:v>Dānija</c:v>
                </c:pt>
                <c:pt idx="7">
                  <c:v>Somija</c:v>
                </c:pt>
                <c:pt idx="8">
                  <c:v>Lielbritānija</c:v>
                </c:pt>
                <c:pt idx="9">
                  <c:v>Ungārija</c:v>
                </c:pt>
                <c:pt idx="10">
                  <c:v>Īrija</c:v>
                </c:pt>
                <c:pt idx="11">
                  <c:v>Austrija</c:v>
                </c:pt>
                <c:pt idx="12">
                  <c:v>Luksemburga</c:v>
                </c:pt>
                <c:pt idx="13">
                  <c:v>Zviedrija</c:v>
                </c:pt>
                <c:pt idx="14">
                  <c:v>Čehija</c:v>
                </c:pt>
                <c:pt idx="15">
                  <c:v>Beļģija</c:v>
                </c:pt>
                <c:pt idx="16">
                  <c:v>Polija</c:v>
                </c:pt>
                <c:pt idx="17">
                  <c:v>Slovākija</c:v>
                </c:pt>
                <c:pt idx="18">
                  <c:v>Slovēnija</c:v>
                </c:pt>
                <c:pt idx="19">
                  <c:v>Francija</c:v>
                </c:pt>
                <c:pt idx="20">
                  <c:v>ES</c:v>
                </c:pt>
                <c:pt idx="21">
                  <c:v>Nīderlande</c:v>
                </c:pt>
                <c:pt idx="22">
                  <c:v>Bulgārija</c:v>
                </c:pt>
                <c:pt idx="23">
                  <c:v>Itālija</c:v>
                </c:pt>
                <c:pt idx="24">
                  <c:v>Portugāle</c:v>
                </c:pt>
                <c:pt idx="25">
                  <c:v>Spānija</c:v>
                </c:pt>
                <c:pt idx="26">
                  <c:v>Kipra</c:v>
                </c:pt>
                <c:pt idx="27">
                  <c:v>Grieķija</c:v>
                </c:pt>
              </c:strCache>
            </c:strRef>
          </c:cat>
          <c:val>
            <c:numRef>
              <c:f>Sheet1!$B$2:$B$29</c:f>
              <c:numCache>
                <c:formatCode>General</c:formatCode>
                <c:ptCount val="28"/>
                <c:pt idx="0">
                  <c:v>-2.3000000000000007</c:v>
                </c:pt>
                <c:pt idx="1">
                  <c:v>-2</c:v>
                </c:pt>
                <c:pt idx="2">
                  <c:v>-1.2999999999999989</c:v>
                </c:pt>
                <c:pt idx="3">
                  <c:v>-0.40000000000000036</c:v>
                </c:pt>
                <c:pt idx="4">
                  <c:v>-0.40000000000000036</c:v>
                </c:pt>
                <c:pt idx="5">
                  <c:v>-9.9999999999999645E-2</c:v>
                </c:pt>
                <c:pt idx="6">
                  <c:v>-9.9999999999999645E-2</c:v>
                </c:pt>
                <c:pt idx="7">
                  <c:v>-9.9999999999999645E-2</c:v>
                </c:pt>
                <c:pt idx="8">
                  <c:v>-9.9999999999999645E-2</c:v>
                </c:pt>
                <c:pt idx="9">
                  <c:v>0</c:v>
                </c:pt>
                <c:pt idx="10">
                  <c:v>0</c:v>
                </c:pt>
                <c:pt idx="11">
                  <c:v>9.9999999999999645E-2</c:v>
                </c:pt>
                <c:pt idx="12">
                  <c:v>0.19999999999999929</c:v>
                </c:pt>
                <c:pt idx="13">
                  <c:v>0.20000000000000018</c:v>
                </c:pt>
                <c:pt idx="14">
                  <c:v>0.29999999999999982</c:v>
                </c:pt>
                <c:pt idx="15">
                  <c:v>0.39999999999999947</c:v>
                </c:pt>
                <c:pt idx="16">
                  <c:v>0.40000000000000036</c:v>
                </c:pt>
                <c:pt idx="17">
                  <c:v>0.5</c:v>
                </c:pt>
                <c:pt idx="18">
                  <c:v>0.70000000000000107</c:v>
                </c:pt>
                <c:pt idx="19">
                  <c:v>0.70000000000000107</c:v>
                </c:pt>
                <c:pt idx="20">
                  <c:v>0.80000000000000071</c:v>
                </c:pt>
                <c:pt idx="21">
                  <c:v>0.89999999999999947</c:v>
                </c:pt>
                <c:pt idx="22">
                  <c:v>1</c:v>
                </c:pt>
                <c:pt idx="23">
                  <c:v>2.2999999999999989</c:v>
                </c:pt>
                <c:pt idx="24">
                  <c:v>3</c:v>
                </c:pt>
                <c:pt idx="25">
                  <c:v>3.3000000000000007</c:v>
                </c:pt>
                <c:pt idx="26">
                  <c:v>4</c:v>
                </c:pt>
                <c:pt idx="27">
                  <c:v>6.6000000000000014</c:v>
                </c:pt>
              </c:numCache>
            </c:numRef>
          </c:val>
        </c:ser>
        <c:dLbls>
          <c:showLegendKey val="0"/>
          <c:showVal val="0"/>
          <c:showCatName val="0"/>
          <c:showSerName val="0"/>
          <c:showPercent val="0"/>
          <c:showBubbleSize val="0"/>
        </c:dLbls>
        <c:gapWidth val="79"/>
        <c:axId val="101034624"/>
        <c:axId val="101044608"/>
      </c:barChart>
      <c:catAx>
        <c:axId val="101034624"/>
        <c:scaling>
          <c:orientation val="minMax"/>
        </c:scaling>
        <c:delete val="0"/>
        <c:axPos val="l"/>
        <c:majorTickMark val="out"/>
        <c:minorTickMark val="none"/>
        <c:tickLblPos val="low"/>
        <c:txPr>
          <a:bodyPr/>
          <a:lstStyle/>
          <a:p>
            <a:pPr>
              <a:defRPr>
                <a:latin typeface="Times New Roman" pitchFamily="18" charset="0"/>
                <a:cs typeface="Times New Roman" pitchFamily="18" charset="0"/>
              </a:defRPr>
            </a:pPr>
            <a:endParaRPr lang="lv-LV"/>
          </a:p>
        </c:txPr>
        <c:crossAx val="101044608"/>
        <c:crosses val="autoZero"/>
        <c:auto val="1"/>
        <c:lblAlgn val="ctr"/>
        <c:lblOffset val="100"/>
        <c:tickLblSkip val="1"/>
        <c:noMultiLvlLbl val="0"/>
      </c:catAx>
      <c:valAx>
        <c:axId val="101044608"/>
        <c:scaling>
          <c:orientation val="minMax"/>
          <c:max val="7"/>
          <c:min val="-3"/>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v-LV"/>
          </a:p>
        </c:txPr>
        <c:crossAx val="101034624"/>
        <c:crosses val="autoZero"/>
        <c:crossBetween val="between"/>
        <c:majorUnit val="1"/>
      </c:valAx>
      <c:spPr>
        <a:noFill/>
        <a:ln w="25400">
          <a:noFill/>
        </a:ln>
      </c:spPr>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76204579932194E-2"/>
          <c:y val="6.1938996755840504E-2"/>
          <c:w val="0.90453630796150242"/>
          <c:h val="0.7983030782240087"/>
        </c:manualLayout>
      </c:layout>
      <c:barChart>
        <c:barDir val="col"/>
        <c:grouping val="clustered"/>
        <c:varyColors val="0"/>
        <c:ser>
          <c:idx val="0"/>
          <c:order val="0"/>
          <c:tx>
            <c:strRef>
              <c:f>Sheet1!$B$1</c:f>
              <c:strCache>
                <c:ptCount val="1"/>
                <c:pt idx="0">
                  <c:v>Latvija</c:v>
                </c:pt>
              </c:strCache>
            </c:strRef>
          </c:tx>
          <c:spPr>
            <a:solidFill>
              <a:schemeClr val="bg1">
                <a:lumMod val="50000"/>
              </a:schemeClr>
            </a:solidFill>
            <a:ln>
              <a:solidFill>
                <a:schemeClr val="tx1"/>
              </a:solidFill>
            </a:ln>
          </c:spPr>
          <c:invertIfNegative val="0"/>
          <c:dLbls>
            <c:numFmt formatCode="#,##0.0" sourceLinked="0"/>
            <c:showLegendKey val="0"/>
            <c:showVal val="1"/>
            <c:showCatName val="0"/>
            <c:showSerName val="0"/>
            <c:showPercent val="0"/>
            <c:showBubbleSize val="0"/>
            <c:showLeaderLines val="0"/>
          </c:dLbls>
          <c:cat>
            <c:strRef>
              <c:f>Sheet1!$A$2:$A$10</c:f>
              <c:strCache>
                <c:ptCount val="9"/>
                <c:pt idx="0">
                  <c:v>15-24</c:v>
                </c:pt>
                <c:pt idx="1">
                  <c:v>25-29</c:v>
                </c:pt>
                <c:pt idx="2">
                  <c:v>30-34</c:v>
                </c:pt>
                <c:pt idx="3">
                  <c:v>35-39</c:v>
                </c:pt>
                <c:pt idx="4">
                  <c:v>40-44</c:v>
                </c:pt>
                <c:pt idx="5">
                  <c:v>45-49</c:v>
                </c:pt>
                <c:pt idx="6">
                  <c:v>50-54</c:v>
                </c:pt>
                <c:pt idx="7">
                  <c:v>55-59</c:v>
                </c:pt>
                <c:pt idx="8">
                  <c:v>60-64</c:v>
                </c:pt>
              </c:strCache>
            </c:strRef>
          </c:cat>
          <c:val>
            <c:numRef>
              <c:f>Sheet1!$B$2:$B$10</c:f>
              <c:numCache>
                <c:formatCode>0</c:formatCode>
                <c:ptCount val="9"/>
                <c:pt idx="0">
                  <c:v>28</c:v>
                </c:pt>
                <c:pt idx="1">
                  <c:v>15</c:v>
                </c:pt>
                <c:pt idx="2">
                  <c:v>11.7</c:v>
                </c:pt>
                <c:pt idx="3">
                  <c:v>11.4</c:v>
                </c:pt>
                <c:pt idx="4">
                  <c:v>14.8</c:v>
                </c:pt>
                <c:pt idx="5">
                  <c:v>15.1</c:v>
                </c:pt>
                <c:pt idx="6">
                  <c:v>13.8</c:v>
                </c:pt>
                <c:pt idx="7">
                  <c:v>17.5</c:v>
                </c:pt>
                <c:pt idx="8">
                  <c:v>8.4</c:v>
                </c:pt>
              </c:numCache>
            </c:numRef>
          </c:val>
        </c:ser>
        <c:ser>
          <c:idx val="1"/>
          <c:order val="1"/>
          <c:tx>
            <c:strRef>
              <c:f>Sheet1!$C$1</c:f>
              <c:strCache>
                <c:ptCount val="1"/>
                <c:pt idx="0">
                  <c:v>ES</c:v>
                </c:pt>
              </c:strCache>
            </c:strRef>
          </c:tx>
          <c:spPr>
            <a:solidFill>
              <a:srgbClr val="8064A2">
                <a:lumMod val="75000"/>
              </a:srgbClr>
            </a:solidFill>
            <a:ln>
              <a:solidFill>
                <a:prstClr val="black"/>
              </a:solidFill>
            </a:ln>
          </c:spPr>
          <c:invertIfNegative val="0"/>
          <c:dLbls>
            <c:dLbl>
              <c:idx val="0"/>
              <c:layout>
                <c:manualLayout>
                  <c:x val="6.8093646662811128E-3"/>
                  <c:y val="5.8851224105461427E-3"/>
                </c:manualLayout>
              </c:layout>
              <c:numFmt formatCode="#,##0.0" sourceLinked="0"/>
              <c:spPr/>
              <c:txPr>
                <a:bodyPr/>
                <a:lstStyle/>
                <a:p>
                  <a:pPr>
                    <a:defRPr/>
                  </a:pPr>
                  <a:endParaRPr lang="lv-LV"/>
                </a:p>
              </c:txPr>
              <c:dLblPos val="outEnd"/>
              <c:showLegendKey val="0"/>
              <c:showVal val="1"/>
              <c:showCatName val="0"/>
              <c:showSerName val="0"/>
              <c:showPercent val="0"/>
              <c:showBubbleSize val="0"/>
            </c:dLbl>
            <c:dLbl>
              <c:idx val="1"/>
              <c:layout>
                <c:manualLayout>
                  <c:x val="2.9425612052730696E-3"/>
                  <c:y val="5.8851224105461427E-3"/>
                </c:manualLayout>
              </c:layout>
              <c:showLegendKey val="0"/>
              <c:showVal val="1"/>
              <c:showCatName val="0"/>
              <c:showSerName val="0"/>
              <c:showPercent val="0"/>
              <c:showBubbleSize val="0"/>
            </c:dLbl>
            <c:dLbl>
              <c:idx val="2"/>
              <c:layout>
                <c:manualLayout>
                  <c:x val="2.9425612052730696E-3"/>
                  <c:y val="0"/>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Sheet1!$A$2:$A$10</c:f>
              <c:strCache>
                <c:ptCount val="9"/>
                <c:pt idx="0">
                  <c:v>15-24</c:v>
                </c:pt>
                <c:pt idx="1">
                  <c:v>25-29</c:v>
                </c:pt>
                <c:pt idx="2">
                  <c:v>30-34</c:v>
                </c:pt>
                <c:pt idx="3">
                  <c:v>35-39</c:v>
                </c:pt>
                <c:pt idx="4">
                  <c:v>40-44</c:v>
                </c:pt>
                <c:pt idx="5">
                  <c:v>45-49</c:v>
                </c:pt>
                <c:pt idx="6">
                  <c:v>50-54</c:v>
                </c:pt>
                <c:pt idx="7">
                  <c:v>55-59</c:v>
                </c:pt>
                <c:pt idx="8">
                  <c:v>60-64</c:v>
                </c:pt>
              </c:strCache>
            </c:strRef>
          </c:cat>
          <c:val>
            <c:numRef>
              <c:f>Sheet1!$C$2:$C$10</c:f>
              <c:numCache>
                <c:formatCode>0</c:formatCode>
                <c:ptCount val="9"/>
                <c:pt idx="0">
                  <c:v>23</c:v>
                </c:pt>
                <c:pt idx="1">
                  <c:v>14</c:v>
                </c:pt>
                <c:pt idx="2">
                  <c:v>10.8</c:v>
                </c:pt>
                <c:pt idx="3">
                  <c:v>9.4</c:v>
                </c:pt>
                <c:pt idx="4">
                  <c:v>8.3000000000000007</c:v>
                </c:pt>
                <c:pt idx="5">
                  <c:v>7.8</c:v>
                </c:pt>
                <c:pt idx="6">
                  <c:v>7.6</c:v>
                </c:pt>
                <c:pt idx="7">
                  <c:v>7.6</c:v>
                </c:pt>
                <c:pt idx="8">
                  <c:v>6.7</c:v>
                </c:pt>
              </c:numCache>
            </c:numRef>
          </c:val>
        </c:ser>
        <c:dLbls>
          <c:showLegendKey val="0"/>
          <c:showVal val="0"/>
          <c:showCatName val="0"/>
          <c:showSerName val="0"/>
          <c:showPercent val="0"/>
          <c:showBubbleSize val="0"/>
        </c:dLbls>
        <c:gapWidth val="82"/>
        <c:axId val="103135104"/>
        <c:axId val="103136640"/>
      </c:barChart>
      <c:catAx>
        <c:axId val="103135104"/>
        <c:scaling>
          <c:orientation val="minMax"/>
        </c:scaling>
        <c:delete val="0"/>
        <c:axPos val="b"/>
        <c:numFmt formatCode="General" sourceLinked="1"/>
        <c:majorTickMark val="out"/>
        <c:minorTickMark val="none"/>
        <c:tickLblPos val="nextTo"/>
        <c:crossAx val="103136640"/>
        <c:crosses val="autoZero"/>
        <c:auto val="1"/>
        <c:lblAlgn val="ctr"/>
        <c:lblOffset val="100"/>
        <c:noMultiLvlLbl val="0"/>
      </c:catAx>
      <c:valAx>
        <c:axId val="103136640"/>
        <c:scaling>
          <c:orientation val="minMax"/>
        </c:scaling>
        <c:delete val="0"/>
        <c:axPos val="l"/>
        <c:numFmt formatCode="0" sourceLinked="1"/>
        <c:majorTickMark val="out"/>
        <c:minorTickMark val="none"/>
        <c:tickLblPos val="nextTo"/>
        <c:crossAx val="103135104"/>
        <c:crosses val="autoZero"/>
        <c:crossBetween val="between"/>
      </c:valAx>
    </c:plotArea>
    <c:legend>
      <c:legendPos val="r"/>
      <c:layout>
        <c:manualLayout>
          <c:xMode val="edge"/>
          <c:yMode val="edge"/>
          <c:x val="0.38911295503026155"/>
          <c:y val="9.7863760407432526E-2"/>
          <c:w val="0.29770214854261839"/>
          <c:h val="0.13465191300426654"/>
        </c:manualLayout>
      </c:layout>
      <c:overlay val="0"/>
    </c:legend>
    <c:plotVisOnly val="1"/>
    <c:dispBlanksAs val="gap"/>
    <c:showDLblsOverMax val="0"/>
  </c:chart>
  <c:spPr>
    <a:ln>
      <a:noFill/>
    </a:ln>
  </c:spPr>
  <c:txPr>
    <a:bodyPr/>
    <a:lstStyle/>
    <a:p>
      <a:pPr>
        <a:defRPr sz="900" baseline="0">
          <a:latin typeface="Times New Roman" pitchFamily="18" charset="0"/>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32188021951796E-2"/>
          <c:y val="4.2520726805510944E-2"/>
          <c:w val="0.81569924211513256"/>
          <c:h val="0.87181445012699077"/>
        </c:manualLayout>
      </c:layout>
      <c:barChart>
        <c:barDir val="col"/>
        <c:grouping val="stacked"/>
        <c:varyColors val="0"/>
        <c:ser>
          <c:idx val="4"/>
          <c:order val="0"/>
          <c:tx>
            <c:strRef>
              <c:f>Sheet1!$A$2</c:f>
              <c:strCache>
                <c:ptCount val="1"/>
                <c:pt idx="0">
                  <c:v>0-14</c:v>
                </c:pt>
              </c:strCache>
            </c:strRef>
          </c:tx>
          <c:invertIfNegative val="0"/>
          <c:dLbls>
            <c:numFmt formatCode="#,##0" sourceLinked="0"/>
            <c:showLegendKey val="0"/>
            <c:showVal val="1"/>
            <c:showCatName val="0"/>
            <c:showSerName val="0"/>
            <c:showPercent val="0"/>
            <c:showBubbleSize val="0"/>
            <c:showLeaderLines val="0"/>
          </c:dLbls>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Sheet1!$B$2:$N$2</c:f>
              <c:numCache>
                <c:formatCode>0.0</c:formatCode>
                <c:ptCount val="13"/>
                <c:pt idx="0">
                  <c:v>428.08199999999999</c:v>
                </c:pt>
                <c:pt idx="1">
                  <c:v>408.73399999999998</c:v>
                </c:pt>
                <c:pt idx="2">
                  <c:v>387.89699999999999</c:v>
                </c:pt>
                <c:pt idx="3">
                  <c:v>369.32299999999998</c:v>
                </c:pt>
                <c:pt idx="4">
                  <c:v>352.642</c:v>
                </c:pt>
                <c:pt idx="5">
                  <c:v>336.75700000000001</c:v>
                </c:pt>
                <c:pt idx="6">
                  <c:v>323.58199999999999</c:v>
                </c:pt>
                <c:pt idx="7">
                  <c:v>313.81200000000001</c:v>
                </c:pt>
                <c:pt idx="8">
                  <c:v>307.07400000000001</c:v>
                </c:pt>
                <c:pt idx="9">
                  <c:v>304.58300000000003</c:v>
                </c:pt>
                <c:pt idx="10">
                  <c:v>300.29399999999998</c:v>
                </c:pt>
                <c:pt idx="11">
                  <c:v>294.54300000000001</c:v>
                </c:pt>
                <c:pt idx="12">
                  <c:v>292.18400000000003</c:v>
                </c:pt>
              </c:numCache>
            </c:numRef>
          </c:val>
        </c:ser>
        <c:ser>
          <c:idx val="2"/>
          <c:order val="1"/>
          <c:tx>
            <c:strRef>
              <c:f>Sheet1!$A$3</c:f>
              <c:strCache>
                <c:ptCount val="1"/>
                <c:pt idx="0">
                  <c:v>15-64</c:v>
                </c:pt>
              </c:strCache>
            </c:strRef>
          </c:tx>
          <c:invertIfNegative val="0"/>
          <c:dLbls>
            <c:numFmt formatCode="0" sourceLinked="0"/>
            <c:showLegendKey val="0"/>
            <c:showVal val="1"/>
            <c:showCatName val="0"/>
            <c:showSerName val="0"/>
            <c:showPercent val="0"/>
            <c:showBubbleSize val="0"/>
            <c:showLeaderLines val="0"/>
          </c:dLbls>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Sheet1!$B$3:$N$3</c:f>
              <c:numCache>
                <c:formatCode>0.0</c:formatCode>
                <c:ptCount val="13"/>
                <c:pt idx="0">
                  <c:v>1600.317</c:v>
                </c:pt>
                <c:pt idx="1">
                  <c:v>1589.528</c:v>
                </c:pt>
                <c:pt idx="2">
                  <c:v>1575.125</c:v>
                </c:pt>
                <c:pt idx="3">
                  <c:v>1565.88</c:v>
                </c:pt>
                <c:pt idx="4">
                  <c:v>1554.1279999999999</c:v>
                </c:pt>
                <c:pt idx="5">
                  <c:v>1538.6279999999999</c:v>
                </c:pt>
                <c:pt idx="6">
                  <c:v>1525.5519999999999</c:v>
                </c:pt>
                <c:pt idx="7">
                  <c:v>1510.81</c:v>
                </c:pt>
                <c:pt idx="8">
                  <c:v>1499.0609999999999</c:v>
                </c:pt>
                <c:pt idx="9">
                  <c:v>1472.78</c:v>
                </c:pt>
                <c:pt idx="10">
                  <c:v>1436.0329999999999</c:v>
                </c:pt>
                <c:pt idx="11">
                  <c:v>1398.922</c:v>
                </c:pt>
                <c:pt idx="12">
                  <c:v>1370.0830000000001</c:v>
                </c:pt>
              </c:numCache>
            </c:numRef>
          </c:val>
        </c:ser>
        <c:ser>
          <c:idx val="1"/>
          <c:order val="2"/>
          <c:tx>
            <c:strRef>
              <c:f>Sheet1!$A$4</c:f>
              <c:strCache>
                <c:ptCount val="1"/>
                <c:pt idx="0">
                  <c:v>65-74</c:v>
                </c:pt>
              </c:strCache>
            </c:strRef>
          </c:tx>
          <c:invertIfNegative val="0"/>
          <c:dLbls>
            <c:numFmt formatCode="#,##0" sourceLinked="0"/>
            <c:showLegendKey val="0"/>
            <c:showVal val="1"/>
            <c:showCatName val="0"/>
            <c:showSerName val="0"/>
            <c:showPercent val="0"/>
            <c:showBubbleSize val="0"/>
            <c:showLeaderLines val="0"/>
          </c:dLbls>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Sheet1!$B$4:$N$4</c:f>
              <c:numCache>
                <c:formatCode>0.0</c:formatCode>
                <c:ptCount val="13"/>
                <c:pt idx="0">
                  <c:v>226.73699999999999</c:v>
                </c:pt>
                <c:pt idx="1">
                  <c:v>224.904</c:v>
                </c:pt>
                <c:pt idx="2">
                  <c:v>224.23</c:v>
                </c:pt>
                <c:pt idx="3">
                  <c:v>224.983</c:v>
                </c:pt>
                <c:pt idx="4">
                  <c:v>225.61699999999999</c:v>
                </c:pt>
                <c:pt idx="5">
                  <c:v>226.697</c:v>
                </c:pt>
                <c:pt idx="6">
                  <c:v>226.5</c:v>
                </c:pt>
                <c:pt idx="7">
                  <c:v>227.899</c:v>
                </c:pt>
                <c:pt idx="8">
                  <c:v>226.34800000000001</c:v>
                </c:pt>
                <c:pt idx="9">
                  <c:v>224.06399999999999</c:v>
                </c:pt>
                <c:pt idx="10">
                  <c:v>221.40600000000001</c:v>
                </c:pt>
                <c:pt idx="11">
                  <c:v>215.84200000000001</c:v>
                </c:pt>
                <c:pt idx="12">
                  <c:v>210.386</c:v>
                </c:pt>
              </c:numCache>
            </c:numRef>
          </c:val>
        </c:ser>
        <c:ser>
          <c:idx val="0"/>
          <c:order val="3"/>
          <c:tx>
            <c:strRef>
              <c:f>Sheet1!$A$5</c:f>
              <c:strCache>
                <c:ptCount val="1"/>
                <c:pt idx="0">
                  <c:v>75+</c:v>
                </c:pt>
              </c:strCache>
            </c:strRef>
          </c:tx>
          <c:invertIfNegative val="0"/>
          <c:dLbls>
            <c:numFmt formatCode="#,##0" sourceLinked="0"/>
            <c:showLegendKey val="0"/>
            <c:showVal val="1"/>
            <c:showCatName val="0"/>
            <c:showSerName val="0"/>
            <c:showPercent val="0"/>
            <c:showBubbleSize val="0"/>
            <c:showLeaderLines val="0"/>
          </c:dLbls>
          <c:cat>
            <c:numRef>
              <c:f>Sheet1!$B$1:$N$1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Sheet1!$B$5:$N$5</c:f>
              <c:numCache>
                <c:formatCode>0.0</c:formatCode>
                <c:ptCount val="13"/>
                <c:pt idx="0">
                  <c:v>126.57899999999999</c:v>
                </c:pt>
                <c:pt idx="1">
                  <c:v>130.21799999999999</c:v>
                </c:pt>
                <c:pt idx="2">
                  <c:v>133.70400000000001</c:v>
                </c:pt>
                <c:pt idx="3">
                  <c:v>139.20400000000001</c:v>
                </c:pt>
                <c:pt idx="4">
                  <c:v>144.13300000000001</c:v>
                </c:pt>
                <c:pt idx="5">
                  <c:v>147.642</c:v>
                </c:pt>
                <c:pt idx="6">
                  <c:v>152.24</c:v>
                </c:pt>
                <c:pt idx="7">
                  <c:v>156.31899999999999</c:v>
                </c:pt>
                <c:pt idx="8">
                  <c:v>159.327</c:v>
                </c:pt>
                <c:pt idx="9">
                  <c:v>161.40700000000001</c:v>
                </c:pt>
                <c:pt idx="10">
                  <c:v>162.77099999999999</c:v>
                </c:pt>
                <c:pt idx="11">
                  <c:v>165.298</c:v>
                </c:pt>
                <c:pt idx="12">
                  <c:v>169.11</c:v>
                </c:pt>
              </c:numCache>
            </c:numRef>
          </c:val>
        </c:ser>
        <c:dLbls>
          <c:showLegendKey val="0"/>
          <c:showVal val="0"/>
          <c:showCatName val="0"/>
          <c:showSerName val="0"/>
          <c:showPercent val="0"/>
          <c:showBubbleSize val="0"/>
        </c:dLbls>
        <c:gapWidth val="30"/>
        <c:overlap val="100"/>
        <c:axId val="103222272"/>
        <c:axId val="103228160"/>
      </c:barChart>
      <c:catAx>
        <c:axId val="103222272"/>
        <c:scaling>
          <c:orientation val="minMax"/>
        </c:scaling>
        <c:delete val="0"/>
        <c:axPos val="b"/>
        <c:numFmt formatCode="General" sourceLinked="1"/>
        <c:majorTickMark val="out"/>
        <c:minorTickMark val="none"/>
        <c:tickLblPos val="nextTo"/>
        <c:crossAx val="103228160"/>
        <c:crosses val="autoZero"/>
        <c:auto val="1"/>
        <c:lblAlgn val="ctr"/>
        <c:lblOffset val="100"/>
        <c:noMultiLvlLbl val="0"/>
      </c:catAx>
      <c:valAx>
        <c:axId val="103228160"/>
        <c:scaling>
          <c:orientation val="minMax"/>
          <c:max val="2500"/>
          <c:min val="0"/>
        </c:scaling>
        <c:delete val="0"/>
        <c:axPos val="l"/>
        <c:numFmt formatCode="0" sourceLinked="0"/>
        <c:majorTickMark val="out"/>
        <c:minorTickMark val="none"/>
        <c:tickLblPos val="nextTo"/>
        <c:crossAx val="103222272"/>
        <c:crosses val="autoZero"/>
        <c:crossBetween val="between"/>
        <c:majorUnit val="500"/>
      </c:valAx>
    </c:plotArea>
    <c:legend>
      <c:legendPos val="r"/>
      <c:layout>
        <c:manualLayout>
          <c:xMode val="edge"/>
          <c:yMode val="edge"/>
          <c:x val="0.9028950681054615"/>
          <c:y val="4.7607724531122352E-2"/>
          <c:w val="7.8076744539164022E-2"/>
          <c:h val="0.9334379725713093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28406577415116E-2"/>
          <c:y val="4.1032354227984354E-2"/>
          <c:w val="0.87565465636968753"/>
          <c:h val="0.8847855263957497"/>
        </c:manualLayout>
      </c:layout>
      <c:barChart>
        <c:barDir val="bar"/>
        <c:grouping val="stacked"/>
        <c:varyColors val="0"/>
        <c:ser>
          <c:idx val="0"/>
          <c:order val="0"/>
          <c:tx>
            <c:strRef>
              <c:f>Sheet1!$B$1</c:f>
              <c:strCache>
                <c:ptCount val="1"/>
                <c:pt idx="0">
                  <c:v>Vīrieši</c:v>
                </c:pt>
              </c:strCache>
            </c:strRef>
          </c:tx>
          <c:invertIfNegative val="0"/>
          <c:cat>
            <c:strRef>
              <c:f>Sheet1!$A$2:$A$102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39</c:v>
                </c:pt>
                <c:pt idx="39">
                  <c:v>38</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Sheet1!$B$2:$B$102</c:f>
              <c:numCache>
                <c:formatCode>0.0</c:formatCode>
                <c:ptCount val="101"/>
                <c:pt idx="0">
                  <c:v>-9.5139999999999993</c:v>
                </c:pt>
                <c:pt idx="1">
                  <c:v>-9.91</c:v>
                </c:pt>
                <c:pt idx="2">
                  <c:v>-10.813000000000001</c:v>
                </c:pt>
                <c:pt idx="3">
                  <c:v>-11.723000000000001</c:v>
                </c:pt>
                <c:pt idx="4">
                  <c:v>-11.362</c:v>
                </c:pt>
                <c:pt idx="5">
                  <c:v>-10.752000000000001</c:v>
                </c:pt>
                <c:pt idx="6">
                  <c:v>-10.404</c:v>
                </c:pt>
                <c:pt idx="7">
                  <c:v>-9.8719999999999999</c:v>
                </c:pt>
                <c:pt idx="8">
                  <c:v>-10.095000000000001</c:v>
                </c:pt>
                <c:pt idx="9">
                  <c:v>-9.5510000000000002</c:v>
                </c:pt>
                <c:pt idx="10">
                  <c:v>-9.218</c:v>
                </c:pt>
                <c:pt idx="11">
                  <c:v>-9.548</c:v>
                </c:pt>
                <c:pt idx="12">
                  <c:v>-9.1419999999999995</c:v>
                </c:pt>
                <c:pt idx="13">
                  <c:v>-8.6449999999999996</c:v>
                </c:pt>
                <c:pt idx="14">
                  <c:v>-8.9350000000000005</c:v>
                </c:pt>
                <c:pt idx="15">
                  <c:v>-9.2379999999999995</c:v>
                </c:pt>
                <c:pt idx="16">
                  <c:v>-10.095000000000001</c:v>
                </c:pt>
                <c:pt idx="17">
                  <c:v>-10.861000000000001</c:v>
                </c:pt>
                <c:pt idx="18">
                  <c:v>-11.956</c:v>
                </c:pt>
                <c:pt idx="19">
                  <c:v>-13.991</c:v>
                </c:pt>
                <c:pt idx="20">
                  <c:v>-14.282</c:v>
                </c:pt>
                <c:pt idx="21">
                  <c:v>-14.848000000000001</c:v>
                </c:pt>
                <c:pt idx="22">
                  <c:v>-15.065</c:v>
                </c:pt>
                <c:pt idx="23">
                  <c:v>-15.569000000000001</c:v>
                </c:pt>
                <c:pt idx="24">
                  <c:v>-15.715</c:v>
                </c:pt>
                <c:pt idx="25">
                  <c:v>-15.672000000000001</c:v>
                </c:pt>
                <c:pt idx="26">
                  <c:v>-15.195</c:v>
                </c:pt>
                <c:pt idx="27">
                  <c:v>-15.045999999999999</c:v>
                </c:pt>
                <c:pt idx="28">
                  <c:v>-15.256</c:v>
                </c:pt>
                <c:pt idx="29">
                  <c:v>-14.221</c:v>
                </c:pt>
                <c:pt idx="30">
                  <c:v>-13.829000000000001</c:v>
                </c:pt>
                <c:pt idx="31">
                  <c:v>-13.573</c:v>
                </c:pt>
                <c:pt idx="32">
                  <c:v>-13.169</c:v>
                </c:pt>
                <c:pt idx="33">
                  <c:v>-12.994999999999999</c:v>
                </c:pt>
                <c:pt idx="34">
                  <c:v>-13.321</c:v>
                </c:pt>
                <c:pt idx="35">
                  <c:v>-13.634</c:v>
                </c:pt>
                <c:pt idx="36">
                  <c:v>-13.752000000000001</c:v>
                </c:pt>
                <c:pt idx="37">
                  <c:v>-13.872999999999999</c:v>
                </c:pt>
                <c:pt idx="38">
                  <c:v>-13.718999999999999</c:v>
                </c:pt>
                <c:pt idx="39">
                  <c:v>-14.252000000000001</c:v>
                </c:pt>
                <c:pt idx="40">
                  <c:v>-14.194000000000001</c:v>
                </c:pt>
                <c:pt idx="41">
                  <c:v>-13.802</c:v>
                </c:pt>
                <c:pt idx="42">
                  <c:v>-13.499000000000001</c:v>
                </c:pt>
                <c:pt idx="43">
                  <c:v>-13.531000000000001</c:v>
                </c:pt>
                <c:pt idx="44">
                  <c:v>-13.308</c:v>
                </c:pt>
                <c:pt idx="45">
                  <c:v>-13.311999999999999</c:v>
                </c:pt>
                <c:pt idx="46">
                  <c:v>-13.178000000000001</c:v>
                </c:pt>
                <c:pt idx="47">
                  <c:v>-13.596</c:v>
                </c:pt>
                <c:pt idx="48">
                  <c:v>-13.958</c:v>
                </c:pt>
                <c:pt idx="49">
                  <c:v>-14.329000000000001</c:v>
                </c:pt>
                <c:pt idx="50">
                  <c:v>-14.683999999999999</c:v>
                </c:pt>
                <c:pt idx="51">
                  <c:v>-14.603</c:v>
                </c:pt>
                <c:pt idx="52">
                  <c:v>-14.125999999999999</c:v>
                </c:pt>
                <c:pt idx="53">
                  <c:v>-14.362</c:v>
                </c:pt>
                <c:pt idx="54">
                  <c:v>-13.691000000000001</c:v>
                </c:pt>
                <c:pt idx="55">
                  <c:v>-12.635999999999999</c:v>
                </c:pt>
                <c:pt idx="56">
                  <c:v>-12.481999999999999</c:v>
                </c:pt>
                <c:pt idx="57">
                  <c:v>-11.863</c:v>
                </c:pt>
                <c:pt idx="58">
                  <c:v>-10.952999999999999</c:v>
                </c:pt>
                <c:pt idx="59">
                  <c:v>-10.917999999999999</c:v>
                </c:pt>
                <c:pt idx="60">
                  <c:v>-10.824999999999999</c:v>
                </c:pt>
                <c:pt idx="61">
                  <c:v>-10.457000000000001</c:v>
                </c:pt>
                <c:pt idx="62">
                  <c:v>-10.602</c:v>
                </c:pt>
                <c:pt idx="63">
                  <c:v>-10.065</c:v>
                </c:pt>
                <c:pt idx="64">
                  <c:v>-9.157</c:v>
                </c:pt>
                <c:pt idx="65">
                  <c:v>-7.8040000000000003</c:v>
                </c:pt>
                <c:pt idx="66">
                  <c:v>-7.1589999999999998</c:v>
                </c:pt>
                <c:pt idx="67">
                  <c:v>-7.4160000000000004</c:v>
                </c:pt>
                <c:pt idx="68">
                  <c:v>-7.7869999999999999</c:v>
                </c:pt>
                <c:pt idx="69">
                  <c:v>-8.07</c:v>
                </c:pt>
                <c:pt idx="70">
                  <c:v>-8.6389999999999993</c:v>
                </c:pt>
                <c:pt idx="71">
                  <c:v>-7.915</c:v>
                </c:pt>
                <c:pt idx="72">
                  <c:v>-7.89</c:v>
                </c:pt>
                <c:pt idx="73">
                  <c:v>-7.5170000000000003</c:v>
                </c:pt>
                <c:pt idx="74">
                  <c:v>-6.8680000000000003</c:v>
                </c:pt>
                <c:pt idx="75">
                  <c:v>-5.9269999999999996</c:v>
                </c:pt>
                <c:pt idx="76">
                  <c:v>-5.19</c:v>
                </c:pt>
                <c:pt idx="77">
                  <c:v>-4.2640000000000002</c:v>
                </c:pt>
                <c:pt idx="78">
                  <c:v>-4.2300000000000004</c:v>
                </c:pt>
                <c:pt idx="79">
                  <c:v>-4.0679999999999996</c:v>
                </c:pt>
                <c:pt idx="80">
                  <c:v>-3.82</c:v>
                </c:pt>
                <c:pt idx="81">
                  <c:v>-3.4740000000000002</c:v>
                </c:pt>
                <c:pt idx="82">
                  <c:v>-3.0169999999999999</c:v>
                </c:pt>
                <c:pt idx="83">
                  <c:v>-2.617</c:v>
                </c:pt>
                <c:pt idx="84">
                  <c:v>-2.274</c:v>
                </c:pt>
                <c:pt idx="85">
                  <c:v>-1.4830000000000001</c:v>
                </c:pt>
                <c:pt idx="86">
                  <c:v>-1.2190000000000001</c:v>
                </c:pt>
                <c:pt idx="87">
                  <c:v>-0.93300000000000005</c:v>
                </c:pt>
                <c:pt idx="88">
                  <c:v>-0.76800000000000002</c:v>
                </c:pt>
                <c:pt idx="89">
                  <c:v>-0.55800000000000005</c:v>
                </c:pt>
                <c:pt idx="90">
                  <c:v>-0.45500000000000002</c:v>
                </c:pt>
                <c:pt idx="91">
                  <c:v>-0.29599999999999999</c:v>
                </c:pt>
                <c:pt idx="92">
                  <c:v>-0.21199999999999999</c:v>
                </c:pt>
                <c:pt idx="93">
                  <c:v>-0.16300000000000001</c:v>
                </c:pt>
                <c:pt idx="94">
                  <c:v>-9.8000000000000004E-2</c:v>
                </c:pt>
                <c:pt idx="95">
                  <c:v>-6.9000000000000006E-2</c:v>
                </c:pt>
                <c:pt idx="96">
                  <c:v>-4.8000000000000001E-2</c:v>
                </c:pt>
                <c:pt idx="97">
                  <c:v>-5.2999999999999999E-2</c:v>
                </c:pt>
                <c:pt idx="98">
                  <c:v>-3.5999999999999997E-2</c:v>
                </c:pt>
                <c:pt idx="99">
                  <c:v>-1.6E-2</c:v>
                </c:pt>
                <c:pt idx="100">
                  <c:v>-1.9E-2</c:v>
                </c:pt>
              </c:numCache>
            </c:numRef>
          </c:val>
        </c:ser>
        <c:ser>
          <c:idx val="1"/>
          <c:order val="1"/>
          <c:tx>
            <c:strRef>
              <c:f>Sheet1!$C$1</c:f>
              <c:strCache>
                <c:ptCount val="1"/>
                <c:pt idx="0">
                  <c:v>Sievietes</c:v>
                </c:pt>
              </c:strCache>
            </c:strRef>
          </c:tx>
          <c:invertIfNegative val="0"/>
          <c:cat>
            <c:strRef>
              <c:f>Sheet1!$A$2:$A$102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39</c:v>
                </c:pt>
                <c:pt idx="39">
                  <c:v>38</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Sheet1!$C$2:$C$102</c:f>
              <c:numCache>
                <c:formatCode>0.0</c:formatCode>
                <c:ptCount val="101"/>
                <c:pt idx="0">
                  <c:v>9.0619999999999994</c:v>
                </c:pt>
                <c:pt idx="1">
                  <c:v>9.2349999999999994</c:v>
                </c:pt>
                <c:pt idx="2">
                  <c:v>10.441000000000001</c:v>
                </c:pt>
                <c:pt idx="3">
                  <c:v>11.289</c:v>
                </c:pt>
                <c:pt idx="4">
                  <c:v>10.956</c:v>
                </c:pt>
                <c:pt idx="5">
                  <c:v>10.367000000000001</c:v>
                </c:pt>
                <c:pt idx="6">
                  <c:v>9.8879999999999999</c:v>
                </c:pt>
                <c:pt idx="7">
                  <c:v>9.2539999999999996</c:v>
                </c:pt>
                <c:pt idx="8">
                  <c:v>9.4480000000000004</c:v>
                </c:pt>
                <c:pt idx="9">
                  <c:v>9.1530000000000005</c:v>
                </c:pt>
                <c:pt idx="10">
                  <c:v>8.9779999999999998</c:v>
                </c:pt>
                <c:pt idx="11">
                  <c:v>9.2509999999999994</c:v>
                </c:pt>
                <c:pt idx="12">
                  <c:v>8.7100000000000009</c:v>
                </c:pt>
                <c:pt idx="13">
                  <c:v>8.2780000000000005</c:v>
                </c:pt>
                <c:pt idx="14">
                  <c:v>8.39</c:v>
                </c:pt>
                <c:pt idx="15">
                  <c:v>8.6180000000000003</c:v>
                </c:pt>
                <c:pt idx="16">
                  <c:v>9.3629999999999995</c:v>
                </c:pt>
                <c:pt idx="17">
                  <c:v>10.439</c:v>
                </c:pt>
                <c:pt idx="18">
                  <c:v>11.582000000000001</c:v>
                </c:pt>
                <c:pt idx="19">
                  <c:v>13.34</c:v>
                </c:pt>
                <c:pt idx="20">
                  <c:v>13.523999999999999</c:v>
                </c:pt>
                <c:pt idx="21">
                  <c:v>14.257999999999999</c:v>
                </c:pt>
                <c:pt idx="22">
                  <c:v>14.196</c:v>
                </c:pt>
                <c:pt idx="23">
                  <c:v>14.853</c:v>
                </c:pt>
                <c:pt idx="24">
                  <c:v>15.162000000000001</c:v>
                </c:pt>
                <c:pt idx="25">
                  <c:v>15.085000000000001</c:v>
                </c:pt>
                <c:pt idx="26">
                  <c:v>14.401999999999999</c:v>
                </c:pt>
                <c:pt idx="27">
                  <c:v>14.593999999999999</c:v>
                </c:pt>
                <c:pt idx="28">
                  <c:v>14.483000000000001</c:v>
                </c:pt>
                <c:pt idx="29">
                  <c:v>13.567</c:v>
                </c:pt>
                <c:pt idx="30">
                  <c:v>13.291</c:v>
                </c:pt>
                <c:pt idx="31">
                  <c:v>13.146000000000001</c:v>
                </c:pt>
                <c:pt idx="32">
                  <c:v>13.093</c:v>
                </c:pt>
                <c:pt idx="33">
                  <c:v>13.07</c:v>
                </c:pt>
                <c:pt idx="34">
                  <c:v>13.176</c:v>
                </c:pt>
                <c:pt idx="35">
                  <c:v>13.565</c:v>
                </c:pt>
                <c:pt idx="36">
                  <c:v>13.919</c:v>
                </c:pt>
                <c:pt idx="37">
                  <c:v>14.074</c:v>
                </c:pt>
                <c:pt idx="38">
                  <c:v>14.081</c:v>
                </c:pt>
                <c:pt idx="39">
                  <c:v>14.304</c:v>
                </c:pt>
                <c:pt idx="40">
                  <c:v>14.888</c:v>
                </c:pt>
                <c:pt idx="41">
                  <c:v>14.606</c:v>
                </c:pt>
                <c:pt idx="42">
                  <c:v>14.228</c:v>
                </c:pt>
                <c:pt idx="43">
                  <c:v>14.22</c:v>
                </c:pt>
                <c:pt idx="44">
                  <c:v>14.286</c:v>
                </c:pt>
                <c:pt idx="45">
                  <c:v>14.425000000000001</c:v>
                </c:pt>
                <c:pt idx="46">
                  <c:v>13.978</c:v>
                </c:pt>
                <c:pt idx="47">
                  <c:v>15</c:v>
                </c:pt>
                <c:pt idx="48">
                  <c:v>15.476000000000001</c:v>
                </c:pt>
                <c:pt idx="49">
                  <c:v>16.119</c:v>
                </c:pt>
                <c:pt idx="50">
                  <c:v>16.684000000000001</c:v>
                </c:pt>
                <c:pt idx="51">
                  <c:v>16.805</c:v>
                </c:pt>
                <c:pt idx="52">
                  <c:v>16.684000000000001</c:v>
                </c:pt>
                <c:pt idx="53">
                  <c:v>16.375</c:v>
                </c:pt>
                <c:pt idx="54">
                  <c:v>15.978999999999999</c:v>
                </c:pt>
                <c:pt idx="55">
                  <c:v>15.484</c:v>
                </c:pt>
                <c:pt idx="56">
                  <c:v>15.446</c:v>
                </c:pt>
                <c:pt idx="57">
                  <c:v>15.137</c:v>
                </c:pt>
                <c:pt idx="58">
                  <c:v>13.913</c:v>
                </c:pt>
                <c:pt idx="59">
                  <c:v>14.436999999999999</c:v>
                </c:pt>
                <c:pt idx="60">
                  <c:v>14.519</c:v>
                </c:pt>
                <c:pt idx="61">
                  <c:v>14.182</c:v>
                </c:pt>
                <c:pt idx="62">
                  <c:v>15.403</c:v>
                </c:pt>
                <c:pt idx="63">
                  <c:v>14.109</c:v>
                </c:pt>
                <c:pt idx="64">
                  <c:v>13.257</c:v>
                </c:pt>
                <c:pt idx="65">
                  <c:v>11.88</c:v>
                </c:pt>
                <c:pt idx="66">
                  <c:v>11.256</c:v>
                </c:pt>
                <c:pt idx="67">
                  <c:v>11.977</c:v>
                </c:pt>
                <c:pt idx="68">
                  <c:v>12.664999999999999</c:v>
                </c:pt>
                <c:pt idx="69">
                  <c:v>13.93</c:v>
                </c:pt>
                <c:pt idx="70">
                  <c:v>14.726000000000001</c:v>
                </c:pt>
                <c:pt idx="71">
                  <c:v>14.427</c:v>
                </c:pt>
                <c:pt idx="72">
                  <c:v>14.542999999999999</c:v>
                </c:pt>
                <c:pt idx="73">
                  <c:v>14.206</c:v>
                </c:pt>
                <c:pt idx="74">
                  <c:v>13.711</c:v>
                </c:pt>
                <c:pt idx="75">
                  <c:v>12.346</c:v>
                </c:pt>
                <c:pt idx="76">
                  <c:v>11.2</c:v>
                </c:pt>
                <c:pt idx="77">
                  <c:v>9.9190000000000005</c:v>
                </c:pt>
                <c:pt idx="78">
                  <c:v>9.93</c:v>
                </c:pt>
                <c:pt idx="79">
                  <c:v>10.234</c:v>
                </c:pt>
                <c:pt idx="80">
                  <c:v>9.4049999999999994</c:v>
                </c:pt>
                <c:pt idx="81">
                  <c:v>9.06</c:v>
                </c:pt>
                <c:pt idx="82">
                  <c:v>8.0030000000000001</c:v>
                </c:pt>
                <c:pt idx="83">
                  <c:v>7.9359999999999999</c:v>
                </c:pt>
                <c:pt idx="84">
                  <c:v>6.9009999999999998</c:v>
                </c:pt>
                <c:pt idx="85">
                  <c:v>6.1550000000000002</c:v>
                </c:pt>
                <c:pt idx="86">
                  <c:v>5.3</c:v>
                </c:pt>
                <c:pt idx="87">
                  <c:v>4.3529999999999998</c:v>
                </c:pt>
                <c:pt idx="88">
                  <c:v>3.706</c:v>
                </c:pt>
                <c:pt idx="89">
                  <c:v>2.754</c:v>
                </c:pt>
                <c:pt idx="90">
                  <c:v>2.012</c:v>
                </c:pt>
                <c:pt idx="91">
                  <c:v>1.2989999999999999</c:v>
                </c:pt>
                <c:pt idx="92">
                  <c:v>0.93</c:v>
                </c:pt>
                <c:pt idx="93">
                  <c:v>0.73899999999999999</c:v>
                </c:pt>
                <c:pt idx="94">
                  <c:v>0.377</c:v>
                </c:pt>
                <c:pt idx="95">
                  <c:v>0.32300000000000001</c:v>
                </c:pt>
                <c:pt idx="96">
                  <c:v>0.26900000000000002</c:v>
                </c:pt>
                <c:pt idx="97">
                  <c:v>0.23100000000000001</c:v>
                </c:pt>
                <c:pt idx="98">
                  <c:v>0.15</c:v>
                </c:pt>
                <c:pt idx="99">
                  <c:v>0.11</c:v>
                </c:pt>
                <c:pt idx="100">
                  <c:v>0.161</c:v>
                </c:pt>
              </c:numCache>
            </c:numRef>
          </c:val>
        </c:ser>
        <c:dLbls>
          <c:showLegendKey val="0"/>
          <c:showVal val="0"/>
          <c:showCatName val="0"/>
          <c:showSerName val="0"/>
          <c:showPercent val="0"/>
          <c:showBubbleSize val="0"/>
        </c:dLbls>
        <c:gapWidth val="0"/>
        <c:overlap val="100"/>
        <c:axId val="103379712"/>
        <c:axId val="103381248"/>
      </c:barChart>
      <c:catAx>
        <c:axId val="103379712"/>
        <c:scaling>
          <c:orientation val="minMax"/>
        </c:scaling>
        <c:delete val="0"/>
        <c:axPos val="l"/>
        <c:majorTickMark val="out"/>
        <c:minorTickMark val="none"/>
        <c:tickLblPos val="nextTo"/>
        <c:crossAx val="103381248"/>
        <c:crossesAt val="-120"/>
        <c:auto val="1"/>
        <c:lblAlgn val="ctr"/>
        <c:lblOffset val="100"/>
        <c:tickLblSkip val="10"/>
        <c:tickMarkSkip val="10"/>
        <c:noMultiLvlLbl val="0"/>
      </c:catAx>
      <c:valAx>
        <c:axId val="103381248"/>
        <c:scaling>
          <c:orientation val="minMax"/>
          <c:max val="18"/>
          <c:min val="-18"/>
        </c:scaling>
        <c:delete val="0"/>
        <c:axPos val="b"/>
        <c:numFmt formatCode="#,##0_ ;#,##0\ " sourceLinked="0"/>
        <c:majorTickMark val="out"/>
        <c:minorTickMark val="none"/>
        <c:tickLblPos val="nextTo"/>
        <c:crossAx val="103379712"/>
        <c:crosses val="autoZero"/>
        <c:crossBetween val="between"/>
        <c:majorUnit val="3"/>
      </c:valAx>
    </c:plotArea>
    <c:legend>
      <c:legendPos val="r"/>
      <c:layout>
        <c:manualLayout>
          <c:xMode val="edge"/>
          <c:yMode val="edge"/>
          <c:x val="0.20421378845659724"/>
          <c:y val="0.5171799390566808"/>
          <c:w val="0.6035287813042185"/>
          <c:h val="7.820306024344693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1307469016697E-2"/>
          <c:y val="2.9308939323761E-2"/>
          <c:w val="0.88604300290278282"/>
          <c:h val="0.86811106506423541"/>
        </c:manualLayout>
      </c:layout>
      <c:barChart>
        <c:barDir val="col"/>
        <c:grouping val="clustered"/>
        <c:varyColors val="0"/>
        <c:ser>
          <c:idx val="1"/>
          <c:order val="0"/>
          <c:tx>
            <c:strRef>
              <c:f>Sheet1!$A$3</c:f>
              <c:strCache>
                <c:ptCount val="1"/>
                <c:pt idx="0">
                  <c:v>Latvija</c:v>
                </c:pt>
              </c:strCache>
            </c:strRef>
          </c:tx>
          <c:spPr>
            <a:solidFill>
              <a:schemeClr val="accent4">
                <a:lumMod val="75000"/>
              </a:schemeClr>
            </a:solidFill>
          </c:spPr>
          <c:invertIfNegative val="0"/>
          <c:dLbls>
            <c:dLbl>
              <c:idx val="4"/>
              <c:layout>
                <c:manualLayout>
                  <c:x val="0"/>
                  <c:y val="0.11160058737151238"/>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numRef>
              <c:f>Sheet1!$B$2:$I$2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Sheet1!$B$3:$I$3</c:f>
              <c:numCache>
                <c:formatCode>General</c:formatCode>
                <c:ptCount val="8"/>
                <c:pt idx="0">
                  <c:v>10.1</c:v>
                </c:pt>
                <c:pt idx="1">
                  <c:v>11.2</c:v>
                </c:pt>
                <c:pt idx="2">
                  <c:v>9.6</c:v>
                </c:pt>
                <c:pt idx="3">
                  <c:v>-3.3</c:v>
                </c:pt>
                <c:pt idx="4">
                  <c:v>-17.7</c:v>
                </c:pt>
                <c:pt idx="5">
                  <c:v>-0.9</c:v>
                </c:pt>
                <c:pt idx="6">
                  <c:v>5.5</c:v>
                </c:pt>
                <c:pt idx="7">
                  <c:v>5.6</c:v>
                </c:pt>
              </c:numCache>
            </c:numRef>
          </c:val>
        </c:ser>
        <c:dLbls>
          <c:showLegendKey val="0"/>
          <c:showVal val="0"/>
          <c:showCatName val="0"/>
          <c:showSerName val="0"/>
          <c:showPercent val="0"/>
          <c:showBubbleSize val="0"/>
        </c:dLbls>
        <c:gapWidth val="40"/>
        <c:axId val="103251328"/>
        <c:axId val="104401152"/>
      </c:barChart>
      <c:catAx>
        <c:axId val="103251328"/>
        <c:scaling>
          <c:orientation val="minMax"/>
        </c:scaling>
        <c:delete val="0"/>
        <c:axPos val="b"/>
        <c:numFmt formatCode="General" sourceLinked="1"/>
        <c:majorTickMark val="out"/>
        <c:minorTickMark val="none"/>
        <c:tickLblPos val="low"/>
        <c:txPr>
          <a:bodyPr rot="0" vert="horz"/>
          <a:lstStyle/>
          <a:p>
            <a:pPr>
              <a:defRPr/>
            </a:pPr>
            <a:endParaRPr lang="lv-LV"/>
          </a:p>
        </c:txPr>
        <c:crossAx val="104401152"/>
        <c:crosses val="autoZero"/>
        <c:auto val="1"/>
        <c:lblAlgn val="ctr"/>
        <c:lblOffset val="0"/>
        <c:tickLblSkip val="1"/>
        <c:tickMarkSkip val="1"/>
        <c:noMultiLvlLbl val="1"/>
      </c:catAx>
      <c:valAx>
        <c:axId val="104401152"/>
        <c:scaling>
          <c:orientation val="minMax"/>
          <c:min val="-20"/>
        </c:scaling>
        <c:delete val="0"/>
        <c:axPos val="l"/>
        <c:numFmt formatCode="#,##0" sourceLinked="0"/>
        <c:majorTickMark val="out"/>
        <c:minorTickMark val="none"/>
        <c:tickLblPos val="nextTo"/>
        <c:txPr>
          <a:bodyPr rot="0" vert="horz"/>
          <a:lstStyle/>
          <a:p>
            <a:pPr>
              <a:defRPr/>
            </a:pPr>
            <a:endParaRPr lang="lv-LV"/>
          </a:p>
        </c:txPr>
        <c:crossAx val="1032513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833322487581537E-4"/>
          <c:y val="3.8009876007043052E-2"/>
          <c:w val="0.99130594067141831"/>
          <c:h val="0.96199033440728865"/>
        </c:manualLayout>
      </c:layout>
      <c:barChart>
        <c:barDir val="bar"/>
        <c:grouping val="stacked"/>
        <c:varyColors val="0"/>
        <c:ser>
          <c:idx val="1"/>
          <c:order val="0"/>
          <c:tx>
            <c:strRef>
              <c:f>Sheet1!$A$4</c:f>
              <c:strCache>
                <c:ptCount val="1"/>
                <c:pt idx="0">
                  <c:v>Nodarbinātie - 863 tūkst.</c:v>
                </c:pt>
              </c:strCache>
            </c:strRef>
          </c:tx>
          <c:spPr>
            <a:solidFill>
              <a:srgbClr val="00246C"/>
            </a:solidFill>
            <a:ln w="12700">
              <a:solidFill>
                <a:srgbClr val="000000"/>
              </a:solidFill>
              <a:prstDash val="solid"/>
            </a:ln>
          </c:spPr>
          <c:invertIfNegative val="0"/>
          <c:val>
            <c:numRef>
              <c:f>Sheet1!$B$4</c:f>
              <c:numCache>
                <c:formatCode>0.0</c:formatCode>
                <c:ptCount val="1"/>
                <c:pt idx="0">
                  <c:v>885.6</c:v>
                </c:pt>
              </c:numCache>
            </c:numRef>
          </c:val>
        </c:ser>
        <c:ser>
          <c:idx val="2"/>
          <c:order val="1"/>
          <c:tx>
            <c:strRef>
              <c:f>Sheet1!$A$5</c:f>
              <c:strCache>
                <c:ptCount val="1"/>
                <c:pt idx="0">
                  <c:v>Bezdarbnieki - 166 tūkst.</c:v>
                </c:pt>
              </c:strCache>
            </c:strRef>
          </c:tx>
          <c:spPr>
            <a:solidFill>
              <a:srgbClr val="00B050"/>
            </a:solidFill>
            <a:ln w="12700">
              <a:solidFill>
                <a:srgbClr val="000000"/>
              </a:solidFill>
              <a:prstDash val="solid"/>
            </a:ln>
          </c:spPr>
          <c:invertIfNegative val="0"/>
          <c:dPt>
            <c:idx val="0"/>
            <c:invertIfNegative val="0"/>
            <c:bubble3D val="0"/>
            <c:spPr>
              <a:solidFill>
                <a:srgbClr val="FF0000"/>
              </a:solidFill>
              <a:ln w="12700">
                <a:solidFill>
                  <a:srgbClr val="000000"/>
                </a:solidFill>
                <a:prstDash val="solid"/>
              </a:ln>
            </c:spPr>
          </c:dPt>
          <c:val>
            <c:numRef>
              <c:f>Sheet1!$B$5</c:f>
              <c:numCache>
                <c:formatCode>0.0</c:formatCode>
                <c:ptCount val="1"/>
                <c:pt idx="0">
                  <c:v>155.5</c:v>
                </c:pt>
              </c:numCache>
            </c:numRef>
          </c:val>
        </c:ser>
        <c:ser>
          <c:idx val="0"/>
          <c:order val="2"/>
          <c:tx>
            <c:strRef>
              <c:f>Sheet1!$A$6</c:f>
              <c:strCache>
                <c:ptCount val="1"/>
                <c:pt idx="0">
                  <c:v>Skolēni, studenti</c:v>
                </c:pt>
              </c:strCache>
            </c:strRef>
          </c:tx>
          <c:spPr>
            <a:solidFill>
              <a:srgbClr val="FFFFFF">
                <a:lumMod val="65000"/>
              </a:srgbClr>
            </a:solidFill>
            <a:ln w="12700">
              <a:solidFill>
                <a:srgbClr val="000000"/>
              </a:solidFill>
            </a:ln>
          </c:spPr>
          <c:invertIfNegative val="0"/>
          <c:val>
            <c:numRef>
              <c:f>Sheet1!$B$6</c:f>
              <c:numCache>
                <c:formatCode>0.0</c:formatCode>
                <c:ptCount val="1"/>
                <c:pt idx="0">
                  <c:v>141.6</c:v>
                </c:pt>
              </c:numCache>
            </c:numRef>
          </c:val>
        </c:ser>
        <c:ser>
          <c:idx val="3"/>
          <c:order val="3"/>
          <c:tx>
            <c:strRef>
              <c:f>Sheet1!$A$7</c:f>
              <c:strCache>
                <c:ptCount val="1"/>
                <c:pt idx="0">
                  <c:v>Nestrādājošie pensionāri</c:v>
                </c:pt>
              </c:strCache>
            </c:strRef>
          </c:tx>
          <c:spPr>
            <a:solidFill>
              <a:srgbClr val="FFFFFF">
                <a:lumMod val="65000"/>
              </a:srgbClr>
            </a:solidFill>
            <a:ln w="12700">
              <a:solidFill>
                <a:srgbClr val="000000"/>
              </a:solidFill>
            </a:ln>
          </c:spPr>
          <c:invertIfNegative val="0"/>
          <c:val>
            <c:numRef>
              <c:f>Sheet1!$B$7</c:f>
              <c:numCache>
                <c:formatCode>0.0</c:formatCode>
                <c:ptCount val="1"/>
                <c:pt idx="0">
                  <c:v>248.6</c:v>
                </c:pt>
              </c:numCache>
            </c:numRef>
          </c:val>
        </c:ser>
        <c:ser>
          <c:idx val="4"/>
          <c:order val="4"/>
          <c:tx>
            <c:strRef>
              <c:f>Sheet1!$A$8</c:f>
              <c:strCache>
                <c:ptCount val="1"/>
                <c:pt idx="0">
                  <c:v>Mājsaimnieki / -ces</c:v>
                </c:pt>
              </c:strCache>
            </c:strRef>
          </c:tx>
          <c:spPr>
            <a:solidFill>
              <a:srgbClr val="FFFFFF">
                <a:lumMod val="65000"/>
              </a:srgbClr>
            </a:solidFill>
            <a:ln w="12700">
              <a:solidFill>
                <a:srgbClr val="000000"/>
              </a:solidFill>
            </a:ln>
          </c:spPr>
          <c:invertIfNegative val="0"/>
          <c:val>
            <c:numRef>
              <c:f>Sheet1!$B$8</c:f>
              <c:numCache>
                <c:formatCode>0.0</c:formatCode>
                <c:ptCount val="1"/>
                <c:pt idx="0">
                  <c:v>52.4</c:v>
                </c:pt>
              </c:numCache>
            </c:numRef>
          </c:val>
        </c:ser>
        <c:ser>
          <c:idx val="5"/>
          <c:order val="5"/>
          <c:tx>
            <c:strRef>
              <c:f>Sheet1!$A$9</c:f>
              <c:strCache>
                <c:ptCount val="1"/>
                <c:pt idx="0">
                  <c:v>Invalīdi</c:v>
                </c:pt>
              </c:strCache>
            </c:strRef>
          </c:tx>
          <c:spPr>
            <a:solidFill>
              <a:srgbClr val="FFFFFF">
                <a:lumMod val="65000"/>
              </a:srgbClr>
            </a:solidFill>
            <a:ln w="12700">
              <a:solidFill>
                <a:srgbClr val="000000"/>
              </a:solidFill>
            </a:ln>
          </c:spPr>
          <c:invertIfNegative val="0"/>
          <c:val>
            <c:numRef>
              <c:f>Sheet1!$B$9</c:f>
              <c:numCache>
                <c:formatCode>General</c:formatCode>
                <c:ptCount val="1"/>
                <c:pt idx="0">
                  <c:v>45.4</c:v>
                </c:pt>
              </c:numCache>
            </c:numRef>
          </c:val>
        </c:ser>
        <c:ser>
          <c:idx val="6"/>
          <c:order val="6"/>
          <c:tx>
            <c:strRef>
              <c:f>Sheet1!$A$10</c:f>
              <c:strCache>
                <c:ptCount val="1"/>
                <c:pt idx="0">
                  <c:v>Pārējie</c:v>
                </c:pt>
              </c:strCache>
            </c:strRef>
          </c:tx>
          <c:spPr>
            <a:solidFill>
              <a:srgbClr val="FFFFFF">
                <a:lumMod val="65000"/>
              </a:srgbClr>
            </a:solidFill>
            <a:ln w="12700">
              <a:solidFill>
                <a:srgbClr val="000000"/>
              </a:solidFill>
            </a:ln>
          </c:spPr>
          <c:invertIfNegative val="0"/>
          <c:val>
            <c:numRef>
              <c:f>Sheet1!$B$10</c:f>
              <c:numCache>
                <c:formatCode>General</c:formatCode>
                <c:ptCount val="1"/>
                <c:pt idx="0">
                  <c:v>45</c:v>
                </c:pt>
              </c:numCache>
            </c:numRef>
          </c:val>
        </c:ser>
        <c:dLbls>
          <c:showLegendKey val="0"/>
          <c:showVal val="0"/>
          <c:showCatName val="0"/>
          <c:showSerName val="0"/>
          <c:showPercent val="0"/>
          <c:showBubbleSize val="0"/>
        </c:dLbls>
        <c:gapWidth val="10"/>
        <c:overlap val="100"/>
        <c:axId val="103400576"/>
        <c:axId val="103402112"/>
      </c:barChart>
      <c:catAx>
        <c:axId val="103400576"/>
        <c:scaling>
          <c:orientation val="minMax"/>
        </c:scaling>
        <c:delete val="1"/>
        <c:axPos val="l"/>
        <c:numFmt formatCode="General" sourceLinked="1"/>
        <c:majorTickMark val="out"/>
        <c:minorTickMark val="none"/>
        <c:tickLblPos val="none"/>
        <c:crossAx val="103402112"/>
        <c:crosses val="autoZero"/>
        <c:auto val="0"/>
        <c:lblAlgn val="ctr"/>
        <c:lblOffset val="0"/>
        <c:tickLblSkip val="1"/>
        <c:tickMarkSkip val="1"/>
        <c:noMultiLvlLbl val="1"/>
      </c:catAx>
      <c:valAx>
        <c:axId val="103402112"/>
        <c:scaling>
          <c:orientation val="minMax"/>
          <c:max val="1615"/>
          <c:min val="0"/>
        </c:scaling>
        <c:delete val="1"/>
        <c:axPos val="b"/>
        <c:numFmt formatCode="General" sourceLinked="0"/>
        <c:majorTickMark val="out"/>
        <c:minorTickMark val="none"/>
        <c:tickLblPos val="none"/>
        <c:crossAx val="103400576"/>
        <c:crosses val="autoZero"/>
        <c:crossBetween val="between"/>
      </c:valAx>
      <c:spPr>
        <a:solidFill>
          <a:srgbClr val="FFFFFF"/>
        </a:solidFill>
        <a:ln w="12631">
          <a:solidFill>
            <a:srgbClr val="FFFFFF"/>
          </a:solidFill>
          <a:prstDash val="solid"/>
        </a:ln>
      </c:spPr>
    </c:plotArea>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39912220292411E-2"/>
          <c:y val="2.9322738259412468E-2"/>
          <c:w val="0.69408172655375078"/>
          <c:h val="0.87181445012699077"/>
        </c:manualLayout>
      </c:layout>
      <c:barChart>
        <c:barDir val="col"/>
        <c:grouping val="percentStacked"/>
        <c:varyColors val="0"/>
        <c:ser>
          <c:idx val="0"/>
          <c:order val="0"/>
          <c:tx>
            <c:strRef>
              <c:f>Sheet1!$A$2</c:f>
              <c:strCache>
                <c:ptCount val="1"/>
                <c:pt idx="0">
                  <c:v>Pamata</c:v>
                </c:pt>
              </c:strCache>
            </c:strRef>
          </c:tx>
          <c:invertIfNegative val="0"/>
          <c:dLbls>
            <c:showLegendKey val="0"/>
            <c:showVal val="1"/>
            <c:showCatName val="0"/>
            <c:showSerName val="0"/>
            <c:showPercent val="0"/>
            <c:showBubbleSize val="0"/>
            <c:showLeaderLines val="0"/>
          </c:dLbls>
          <c:cat>
            <c:numRef>
              <c:f>Sheet1!$B$1:$K$1</c:f>
              <c:numCache>
                <c:formatCode>General</c:formatCode>
                <c:ptCount val="10"/>
                <c:pt idx="0" formatCode="0">
                  <c:v>2003</c:v>
                </c:pt>
                <c:pt idx="1">
                  <c:v>2004</c:v>
                </c:pt>
                <c:pt idx="2">
                  <c:v>2005</c:v>
                </c:pt>
                <c:pt idx="3">
                  <c:v>2006</c:v>
                </c:pt>
                <c:pt idx="4">
                  <c:v>2007</c:v>
                </c:pt>
                <c:pt idx="5">
                  <c:v>2008</c:v>
                </c:pt>
                <c:pt idx="6">
                  <c:v>2009</c:v>
                </c:pt>
                <c:pt idx="7">
                  <c:v>2010</c:v>
                </c:pt>
                <c:pt idx="8">
                  <c:v>2011</c:v>
                </c:pt>
                <c:pt idx="9">
                  <c:v>2012</c:v>
                </c:pt>
              </c:numCache>
            </c:numRef>
          </c:cat>
          <c:val>
            <c:numRef>
              <c:f>Sheet1!$B$2:$K$2</c:f>
              <c:numCache>
                <c:formatCode>0.0</c:formatCode>
                <c:ptCount val="10"/>
                <c:pt idx="0">
                  <c:v>15.186349348899864</c:v>
                </c:pt>
                <c:pt idx="1">
                  <c:v>13.957849616002861</c:v>
                </c:pt>
                <c:pt idx="2">
                  <c:v>14.36667866138899</c:v>
                </c:pt>
                <c:pt idx="3">
                  <c:v>14.497747150808374</c:v>
                </c:pt>
                <c:pt idx="4">
                  <c:v>14.254443568864374</c:v>
                </c:pt>
                <c:pt idx="5">
                  <c:v>13.317528116661812</c:v>
                </c:pt>
                <c:pt idx="6">
                  <c:v>12.356541949659276</c:v>
                </c:pt>
                <c:pt idx="7">
                  <c:v>11.22556188151508</c:v>
                </c:pt>
                <c:pt idx="8">
                  <c:v>11.2</c:v>
                </c:pt>
                <c:pt idx="9">
                  <c:v>10.199999999999999</c:v>
                </c:pt>
              </c:numCache>
            </c:numRef>
          </c:val>
        </c:ser>
        <c:ser>
          <c:idx val="1"/>
          <c:order val="1"/>
          <c:tx>
            <c:strRef>
              <c:f>Sheet1!$A$3</c:f>
              <c:strCache>
                <c:ptCount val="1"/>
                <c:pt idx="0">
                  <c:v>Vidējā vispārējā</c:v>
                </c:pt>
              </c:strCache>
            </c:strRef>
          </c:tx>
          <c:invertIfNegative val="0"/>
          <c:dLbls>
            <c:showLegendKey val="0"/>
            <c:showVal val="1"/>
            <c:showCatName val="0"/>
            <c:showSerName val="0"/>
            <c:showPercent val="0"/>
            <c:showBubbleSize val="0"/>
            <c:showLeaderLines val="0"/>
          </c:dLbls>
          <c:cat>
            <c:numRef>
              <c:f>Sheet1!$B$1:$K$1</c:f>
              <c:numCache>
                <c:formatCode>General</c:formatCode>
                <c:ptCount val="10"/>
                <c:pt idx="0" formatCode="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0.0</c:formatCode>
                <c:ptCount val="10"/>
                <c:pt idx="0">
                  <c:v>27.211495285136955</c:v>
                </c:pt>
                <c:pt idx="1">
                  <c:v>26.888730130380427</c:v>
                </c:pt>
                <c:pt idx="2">
                  <c:v>27.033105433609215</c:v>
                </c:pt>
                <c:pt idx="3">
                  <c:v>27.087198515769945</c:v>
                </c:pt>
                <c:pt idx="4">
                  <c:v>28.036073898958058</c:v>
                </c:pt>
                <c:pt idx="5">
                  <c:v>26.399642897556486</c:v>
                </c:pt>
                <c:pt idx="6">
                  <c:v>26.579703515804443</c:v>
                </c:pt>
                <c:pt idx="7">
                  <c:v>26.040212917714879</c:v>
                </c:pt>
                <c:pt idx="8">
                  <c:v>25.2</c:v>
                </c:pt>
                <c:pt idx="9">
                  <c:v>24.4</c:v>
                </c:pt>
              </c:numCache>
            </c:numRef>
          </c:val>
        </c:ser>
        <c:ser>
          <c:idx val="2"/>
          <c:order val="2"/>
          <c:tx>
            <c:strRef>
              <c:f>Sheet1!$A$4</c:f>
              <c:strCache>
                <c:ptCount val="1"/>
                <c:pt idx="0">
                  <c:v>Vidējā profesionālā</c:v>
                </c:pt>
              </c:strCache>
            </c:strRef>
          </c:tx>
          <c:invertIfNegative val="0"/>
          <c:dLbls>
            <c:showLegendKey val="0"/>
            <c:showVal val="1"/>
            <c:showCatName val="0"/>
            <c:showSerName val="0"/>
            <c:showPercent val="0"/>
            <c:showBubbleSize val="0"/>
            <c:showLeaderLines val="0"/>
          </c:dLbls>
          <c:cat>
            <c:numRef>
              <c:f>Sheet1!$B$1:$K$1</c:f>
              <c:numCache>
                <c:formatCode>General</c:formatCode>
                <c:ptCount val="10"/>
                <c:pt idx="0" formatCode="0">
                  <c:v>2003</c:v>
                </c:pt>
                <c:pt idx="1">
                  <c:v>2004</c:v>
                </c:pt>
                <c:pt idx="2">
                  <c:v>2005</c:v>
                </c:pt>
                <c:pt idx="3">
                  <c:v>2006</c:v>
                </c:pt>
                <c:pt idx="4">
                  <c:v>2007</c:v>
                </c:pt>
                <c:pt idx="5">
                  <c:v>2008</c:v>
                </c:pt>
                <c:pt idx="6">
                  <c:v>2009</c:v>
                </c:pt>
                <c:pt idx="7">
                  <c:v>2010</c:v>
                </c:pt>
                <c:pt idx="8">
                  <c:v>2011</c:v>
                </c:pt>
                <c:pt idx="9">
                  <c:v>2012</c:v>
                </c:pt>
              </c:numCache>
            </c:numRef>
          </c:cat>
          <c:val>
            <c:numRef>
              <c:f>Sheet1!$B$4:$K$4</c:f>
              <c:numCache>
                <c:formatCode>0.0</c:formatCode>
                <c:ptCount val="10"/>
                <c:pt idx="0">
                  <c:v>38.590031432420297</c:v>
                </c:pt>
                <c:pt idx="1">
                  <c:v>37.854974102518305</c:v>
                </c:pt>
                <c:pt idx="2">
                  <c:v>36.272040302267008</c:v>
                </c:pt>
                <c:pt idx="3">
                  <c:v>35.71870306564184</c:v>
                </c:pt>
                <c:pt idx="4">
                  <c:v>34</c:v>
                </c:pt>
                <c:pt idx="5">
                  <c:v>34.140351381544264</c:v>
                </c:pt>
                <c:pt idx="6">
                  <c:v>34.129166251309471</c:v>
                </c:pt>
                <c:pt idx="7">
                  <c:v>34.872888941887389</c:v>
                </c:pt>
                <c:pt idx="8">
                  <c:v>34.296019417613017</c:v>
                </c:pt>
                <c:pt idx="9">
                  <c:v>34.299999999999997</c:v>
                </c:pt>
              </c:numCache>
            </c:numRef>
          </c:val>
        </c:ser>
        <c:ser>
          <c:idx val="3"/>
          <c:order val="3"/>
          <c:tx>
            <c:strRef>
              <c:f>Sheet1!$A$5</c:f>
              <c:strCache>
                <c:ptCount val="1"/>
                <c:pt idx="0">
                  <c:v>Augstākā</c:v>
                </c:pt>
              </c:strCache>
            </c:strRef>
          </c:tx>
          <c:invertIfNegative val="0"/>
          <c:dLbls>
            <c:showLegendKey val="0"/>
            <c:showVal val="1"/>
            <c:showCatName val="0"/>
            <c:showSerName val="0"/>
            <c:showPercent val="0"/>
            <c:showBubbleSize val="0"/>
            <c:showLeaderLines val="0"/>
          </c:dLbls>
          <c:cat>
            <c:numRef>
              <c:f>Sheet1!$B$1:$K$1</c:f>
              <c:numCache>
                <c:formatCode>General</c:formatCode>
                <c:ptCount val="10"/>
                <c:pt idx="0" formatCode="0">
                  <c:v>2003</c:v>
                </c:pt>
                <c:pt idx="1">
                  <c:v>2004</c:v>
                </c:pt>
                <c:pt idx="2">
                  <c:v>2005</c:v>
                </c:pt>
                <c:pt idx="3">
                  <c:v>2006</c:v>
                </c:pt>
                <c:pt idx="4">
                  <c:v>2007</c:v>
                </c:pt>
                <c:pt idx="5">
                  <c:v>2008</c:v>
                </c:pt>
                <c:pt idx="6">
                  <c:v>2009</c:v>
                </c:pt>
                <c:pt idx="7">
                  <c:v>2010</c:v>
                </c:pt>
                <c:pt idx="8">
                  <c:v>2011</c:v>
                </c:pt>
                <c:pt idx="9">
                  <c:v>2012</c:v>
                </c:pt>
              </c:numCache>
            </c:numRef>
          </c:cat>
          <c:val>
            <c:numRef>
              <c:f>Sheet1!$B$5:$K$5</c:f>
              <c:numCache>
                <c:formatCode>0.0</c:formatCode>
                <c:ptCount val="10"/>
                <c:pt idx="0">
                  <c:v>19.021104625056132</c:v>
                </c:pt>
                <c:pt idx="1">
                  <c:v>21.29844615109841</c:v>
                </c:pt>
                <c:pt idx="2">
                  <c:v>22.328175602734799</c:v>
                </c:pt>
                <c:pt idx="3">
                  <c:v>22.661012456930823</c:v>
                </c:pt>
                <c:pt idx="4">
                  <c:v>23.675685141406181</c:v>
                </c:pt>
                <c:pt idx="5">
                  <c:v>26.126022617982258</c:v>
                </c:pt>
                <c:pt idx="6">
                  <c:v>26.921286412116828</c:v>
                </c:pt>
                <c:pt idx="7">
                  <c:v>27.819616060257246</c:v>
                </c:pt>
                <c:pt idx="8">
                  <c:v>29.4</c:v>
                </c:pt>
                <c:pt idx="9">
                  <c:v>31</c:v>
                </c:pt>
              </c:numCache>
            </c:numRef>
          </c:val>
        </c:ser>
        <c:dLbls>
          <c:showLegendKey val="0"/>
          <c:showVal val="0"/>
          <c:showCatName val="0"/>
          <c:showSerName val="0"/>
          <c:showPercent val="0"/>
          <c:showBubbleSize val="0"/>
        </c:dLbls>
        <c:gapWidth val="40"/>
        <c:overlap val="100"/>
        <c:axId val="103860480"/>
        <c:axId val="103866368"/>
      </c:barChart>
      <c:catAx>
        <c:axId val="103860480"/>
        <c:scaling>
          <c:orientation val="minMax"/>
        </c:scaling>
        <c:delete val="0"/>
        <c:axPos val="b"/>
        <c:numFmt formatCode="0" sourceLinked="1"/>
        <c:majorTickMark val="out"/>
        <c:minorTickMark val="none"/>
        <c:tickLblPos val="nextTo"/>
        <c:txPr>
          <a:bodyPr rot="0" vert="horz"/>
          <a:lstStyle/>
          <a:p>
            <a:pPr>
              <a:defRPr/>
            </a:pPr>
            <a:endParaRPr lang="lv-LV"/>
          </a:p>
        </c:txPr>
        <c:crossAx val="103866368"/>
        <c:crosses val="autoZero"/>
        <c:auto val="1"/>
        <c:lblAlgn val="ctr"/>
        <c:lblOffset val="100"/>
        <c:noMultiLvlLbl val="0"/>
      </c:catAx>
      <c:valAx>
        <c:axId val="103866368"/>
        <c:scaling>
          <c:orientation val="minMax"/>
        </c:scaling>
        <c:delete val="0"/>
        <c:axPos val="l"/>
        <c:numFmt formatCode="0%" sourceLinked="1"/>
        <c:majorTickMark val="out"/>
        <c:minorTickMark val="none"/>
        <c:tickLblPos val="nextTo"/>
        <c:txPr>
          <a:bodyPr rot="0" vert="horz"/>
          <a:lstStyle/>
          <a:p>
            <a:pPr>
              <a:defRPr/>
            </a:pPr>
            <a:endParaRPr lang="lv-LV"/>
          </a:p>
        </c:txPr>
        <c:crossAx val="103860480"/>
        <c:crosses val="autoZero"/>
        <c:crossBetween val="between"/>
        <c:majorUnit val="0.2"/>
      </c:valAx>
    </c:plotArea>
    <c:legend>
      <c:legendPos val="r"/>
      <c:layout>
        <c:manualLayout>
          <c:xMode val="edge"/>
          <c:yMode val="edge"/>
          <c:x val="0.78614824089427315"/>
          <c:y val="5.3360673575075582E-2"/>
          <c:w val="0.21215532733160283"/>
          <c:h val="0.9167062042750595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4.8932633420822609E-2"/>
                  <c:y val="3.5655300796651634E-2"/>
                </c:manualLayout>
              </c:layout>
              <c:dLblPos val="bestFit"/>
              <c:showLegendKey val="0"/>
              <c:showVal val="0"/>
              <c:showCatName val="1"/>
              <c:showSerName val="0"/>
              <c:showPercent val="1"/>
              <c:showBubbleSize val="0"/>
            </c:dLbl>
            <c:dLbl>
              <c:idx val="1"/>
              <c:layout>
                <c:manualLayout>
                  <c:x val="2.9583333333333336E-2"/>
                  <c:y val="8.8478240740740732E-2"/>
                </c:manualLayout>
              </c:layout>
              <c:dLblPos val="bestFit"/>
              <c:showLegendKey val="0"/>
              <c:showVal val="0"/>
              <c:showCatName val="1"/>
              <c:showSerName val="0"/>
              <c:showPercent val="1"/>
              <c:showBubbleSize val="0"/>
            </c:dLbl>
            <c:dLbl>
              <c:idx val="2"/>
              <c:layout>
                <c:manualLayout>
                  <c:x val="4.1817949839604004E-2"/>
                  <c:y val="-4.6941203703703686E-2"/>
                </c:manualLayout>
              </c:layout>
              <c:dLblPos val="bestFit"/>
              <c:showLegendKey val="0"/>
              <c:showVal val="0"/>
              <c:showCatName val="1"/>
              <c:showSerName val="0"/>
              <c:showPercent val="1"/>
              <c:showBubbleSize val="0"/>
            </c:dLbl>
            <c:dLbl>
              <c:idx val="3"/>
              <c:layout>
                <c:manualLayout>
                  <c:x val="1.5707567699915378E-2"/>
                  <c:y val="7.3248755823481906E-2"/>
                </c:manualLayout>
              </c:layout>
              <c:numFmt formatCode="0%" sourceLinked="0"/>
              <c:spPr/>
              <c:txPr>
                <a:bodyPr/>
                <a:lstStyle/>
                <a:p>
                  <a:pPr>
                    <a:defRPr sz="830"/>
                  </a:pPr>
                  <a:endParaRPr lang="lv-LV"/>
                </a:p>
              </c:txPr>
              <c:dLblPos val="bestFit"/>
              <c:showLegendKey val="0"/>
              <c:showVal val="0"/>
              <c:showCatName val="1"/>
              <c:showSerName val="0"/>
              <c:showPercent val="1"/>
              <c:showBubbleSize val="0"/>
            </c:dLbl>
            <c:dLbl>
              <c:idx val="4"/>
              <c:layout>
                <c:manualLayout>
                  <c:x val="-7.3456546611412373E-3"/>
                  <c:y val="4.6021429094519929E-2"/>
                </c:manualLayout>
              </c:layout>
              <c:dLblPos val="bestFit"/>
              <c:showLegendKey val="0"/>
              <c:showVal val="0"/>
              <c:showCatName val="1"/>
              <c:showSerName val="0"/>
              <c:showPercent val="1"/>
              <c:showBubbleSize val="0"/>
            </c:dLbl>
            <c:dLbl>
              <c:idx val="5"/>
              <c:layout>
                <c:manualLayout>
                  <c:x val="-4.3118792630247406E-2"/>
                  <c:y val="1.9017271485060338E-2"/>
                </c:manualLayout>
              </c:layout>
              <c:dLblPos val="bestFit"/>
              <c:showLegendKey val="0"/>
              <c:showVal val="0"/>
              <c:showCatName val="1"/>
              <c:showSerName val="0"/>
              <c:showPercent val="1"/>
              <c:showBubbleSize val="0"/>
            </c:dLbl>
            <c:dLbl>
              <c:idx val="6"/>
              <c:layout>
                <c:manualLayout>
                  <c:x val="5.8782450099535713E-2"/>
                  <c:y val="-3.3296971459689163E-2"/>
                </c:manualLayout>
              </c:layout>
              <c:dLblPos val="bestFit"/>
              <c:showLegendKey val="0"/>
              <c:showVal val="0"/>
              <c:showCatName val="1"/>
              <c:showSerName val="0"/>
              <c:showPercent val="1"/>
              <c:showBubbleSize val="0"/>
            </c:dLbl>
            <c:dLbl>
              <c:idx val="7"/>
              <c:layout>
                <c:manualLayout>
                  <c:x val="9.6508715126933944E-2"/>
                  <c:y val="-1.9755846735917352E-2"/>
                </c:manualLayout>
              </c:layout>
              <c:dLblPos val="bestFit"/>
              <c:showLegendKey val="0"/>
              <c:showVal val="0"/>
              <c:showCatName val="1"/>
              <c:showSerName val="0"/>
              <c:showPercent val="1"/>
              <c:showBubbleSize val="0"/>
            </c:dLbl>
            <c:dLbl>
              <c:idx val="8"/>
              <c:delete val="1"/>
            </c:dLbl>
            <c:numFmt formatCode="0%" sourceLinked="0"/>
            <c:txPr>
              <a:bodyPr/>
              <a:lstStyle/>
              <a:p>
                <a:pPr>
                  <a:defRPr sz="900"/>
                </a:pPr>
                <a:endParaRPr lang="lv-LV"/>
              </a:p>
            </c:txPr>
            <c:showLegendKey val="0"/>
            <c:showVal val="0"/>
            <c:showCatName val="1"/>
            <c:showSerName val="0"/>
            <c:showPercent val="1"/>
            <c:showBubbleSize val="0"/>
            <c:showLeaderLines val="0"/>
          </c:dLbls>
          <c:cat>
            <c:strRef>
              <c:f>Sheet1!$A$2:$A$10</c:f>
              <c:strCache>
                <c:ptCount val="9"/>
                <c:pt idx="0">
                  <c:v>Izglītība</c:v>
                </c:pt>
                <c:pt idx="1">
                  <c:v>Humanitā- rās zinātnes</c:v>
                </c:pt>
                <c:pt idx="2">
                  <c:v>Sociālās zinātnes</c:v>
                </c:pt>
                <c:pt idx="3">
                  <c:v>Dabas zinātnes, matemātika</c:v>
                </c:pt>
                <c:pt idx="4">
                  <c:v>Inženier-zinātnes</c:v>
                </c:pt>
                <c:pt idx="5">
                  <c:v>Lauksaim-niecība</c:v>
                </c:pt>
                <c:pt idx="6">
                  <c:v>Veselības aprūpe</c:v>
                </c:pt>
                <c:pt idx="7">
                  <c:v>Pakalpo-jumi</c:v>
                </c:pt>
                <c:pt idx="8">
                  <c:v>Pārējās grupas</c:v>
                </c:pt>
              </c:strCache>
            </c:strRef>
          </c:cat>
          <c:val>
            <c:numRef>
              <c:f>Sheet1!$B$2:$B$10</c:f>
              <c:numCache>
                <c:formatCode>0.0</c:formatCode>
                <c:ptCount val="9"/>
                <c:pt idx="0">
                  <c:v>14.997935392262951</c:v>
                </c:pt>
                <c:pt idx="1">
                  <c:v>6.6232019052109914</c:v>
                </c:pt>
                <c:pt idx="2">
                  <c:v>40.747621782346719</c:v>
                </c:pt>
                <c:pt idx="3">
                  <c:v>5.3596948766939665</c:v>
                </c:pt>
                <c:pt idx="4">
                  <c:v>16.755844447495782</c:v>
                </c:pt>
                <c:pt idx="5">
                  <c:v>3.1069462408868342</c:v>
                </c:pt>
                <c:pt idx="6">
                  <c:v>7.3761048299812311</c:v>
                </c:pt>
                <c:pt idx="7">
                  <c:v>4.8578863900085523</c:v>
                </c:pt>
                <c:pt idx="8">
                  <c:v>0.17476413511297648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0.12937710351959819"/>
                  <c:y val="-1.7631401665195646E-2"/>
                </c:manualLayout>
              </c:layout>
              <c:dLblPos val="bestFit"/>
              <c:showLegendKey val="0"/>
              <c:showVal val="0"/>
              <c:showCatName val="1"/>
              <c:showSerName val="0"/>
              <c:showPercent val="1"/>
              <c:showBubbleSize val="0"/>
            </c:dLbl>
            <c:dLbl>
              <c:idx val="1"/>
              <c:layout>
                <c:manualLayout>
                  <c:x val="-8.9225588634205648E-3"/>
                  <c:y val="-3.5262803330391293E-2"/>
                </c:manualLayout>
              </c:layout>
              <c:dLblPos val="bestFit"/>
              <c:showLegendKey val="0"/>
              <c:showVal val="0"/>
              <c:showCatName val="1"/>
              <c:showSerName val="0"/>
              <c:showPercent val="1"/>
              <c:showBubbleSize val="0"/>
            </c:dLbl>
            <c:dLbl>
              <c:idx val="2"/>
              <c:layout>
                <c:manualLayout>
                  <c:x val="3.1228956021972058E-2"/>
                  <c:y val="-3.0854952914092383E-2"/>
                </c:manualLayout>
              </c:layout>
              <c:dLblPos val="bestFit"/>
              <c:showLegendKey val="0"/>
              <c:showVal val="0"/>
              <c:showCatName val="1"/>
              <c:showSerName val="0"/>
              <c:showPercent val="1"/>
              <c:showBubbleSize val="0"/>
            </c:dLbl>
            <c:dLbl>
              <c:idx val="3"/>
              <c:layout>
                <c:manualLayout>
                  <c:x val="7.1380470907364435E-2"/>
                  <c:y val="0.10138055957487498"/>
                </c:manualLayout>
              </c:layout>
              <c:spPr/>
              <c:txPr>
                <a:bodyPr/>
                <a:lstStyle/>
                <a:p>
                  <a:pPr>
                    <a:defRPr sz="830"/>
                  </a:pPr>
                  <a:endParaRPr lang="lv-LV"/>
                </a:p>
              </c:txPr>
              <c:dLblPos val="bestFit"/>
              <c:showLegendKey val="0"/>
              <c:showVal val="0"/>
              <c:showCatName val="1"/>
              <c:showSerName val="0"/>
              <c:showPercent val="1"/>
              <c:showBubbleSize val="0"/>
            </c:dLbl>
            <c:dLbl>
              <c:idx val="5"/>
              <c:layout>
                <c:manualLayout>
                  <c:x val="2.6767676590261694E-2"/>
                  <c:y val="-4.4078504162989116E-3"/>
                </c:manualLayout>
              </c:layout>
              <c:dLblPos val="bestFit"/>
              <c:showLegendKey val="0"/>
              <c:showVal val="0"/>
              <c:showCatName val="1"/>
              <c:showSerName val="0"/>
              <c:showPercent val="1"/>
              <c:showBubbleSize val="0"/>
            </c:dLbl>
            <c:dLbl>
              <c:idx val="6"/>
              <c:layout>
                <c:manualLayout>
                  <c:x val="-8.9225588634205648E-3"/>
                  <c:y val="7.0525606660782586E-2"/>
                </c:manualLayout>
              </c:layout>
              <c:dLblPos val="bestFit"/>
              <c:showLegendKey val="0"/>
              <c:showVal val="0"/>
              <c:showCatName val="1"/>
              <c:showSerName val="0"/>
              <c:showPercent val="1"/>
              <c:showBubbleSize val="0"/>
            </c:dLbl>
            <c:dLbl>
              <c:idx val="7"/>
              <c:layout>
                <c:manualLayout>
                  <c:x val="8.9225588634205648E-3"/>
                  <c:y val="0"/>
                </c:manualLayout>
              </c:layout>
              <c:dLblPos val="bestFit"/>
              <c:showLegendKey val="0"/>
              <c:showVal val="0"/>
              <c:showCatName val="1"/>
              <c:showSerName val="0"/>
              <c:showPercent val="1"/>
              <c:showBubbleSize val="0"/>
            </c:dLbl>
            <c:txPr>
              <a:bodyPr/>
              <a:lstStyle/>
              <a:p>
                <a:pPr>
                  <a:defRPr sz="900"/>
                </a:pPr>
                <a:endParaRPr lang="lv-LV"/>
              </a:p>
            </c:txPr>
            <c:dLblPos val="outEnd"/>
            <c:showLegendKey val="0"/>
            <c:showVal val="0"/>
            <c:showCatName val="1"/>
            <c:showSerName val="0"/>
            <c:showPercent val="1"/>
            <c:showBubbleSize val="0"/>
            <c:showLeaderLines val="0"/>
          </c:dLbls>
          <c:cat>
            <c:strRef>
              <c:f>Sheet1!$A$2:$A$10</c:f>
              <c:strCache>
                <c:ptCount val="9"/>
                <c:pt idx="0">
                  <c:v>Izglītība</c:v>
                </c:pt>
                <c:pt idx="1">
                  <c:v>Humanitā- rās zinātnes</c:v>
                </c:pt>
                <c:pt idx="2">
                  <c:v>Sociālās zinātnes</c:v>
                </c:pt>
                <c:pt idx="3">
                  <c:v>Dabas zinātnes, matemātika</c:v>
                </c:pt>
                <c:pt idx="4">
                  <c:v>Inženier-zinātnes</c:v>
                </c:pt>
                <c:pt idx="5">
                  <c:v>Lauksaim-niecība</c:v>
                </c:pt>
                <c:pt idx="6">
                  <c:v>Veselības aprūpe</c:v>
                </c:pt>
                <c:pt idx="7">
                  <c:v>Pakalpo-jumi</c:v>
                </c:pt>
                <c:pt idx="8">
                  <c:v>Vispārējā izglītība</c:v>
                </c:pt>
              </c:strCache>
            </c:strRef>
          </c:cat>
          <c:val>
            <c:numRef>
              <c:f>Sheet1!$B$2:$B$10</c:f>
              <c:numCache>
                <c:formatCode>0.0</c:formatCode>
                <c:ptCount val="9"/>
                <c:pt idx="0">
                  <c:v>0.73541176167291555</c:v>
                </c:pt>
                <c:pt idx="1">
                  <c:v>1.2965956745865355</c:v>
                </c:pt>
                <c:pt idx="2">
                  <c:v>7.1919006118554822</c:v>
                </c:pt>
                <c:pt idx="3">
                  <c:v>1.0294755221623442</c:v>
                </c:pt>
                <c:pt idx="4">
                  <c:v>33.326479418139584</c:v>
                </c:pt>
                <c:pt idx="5">
                  <c:v>3.8037868907391741</c:v>
                </c:pt>
                <c:pt idx="6">
                  <c:v>3.0721193440701438</c:v>
                </c:pt>
                <c:pt idx="7">
                  <c:v>6.2403967660073656</c:v>
                </c:pt>
                <c:pt idx="8">
                  <c:v>43.30383401076643</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41186067957728E-2"/>
          <c:y val="0.11291222958363685"/>
          <c:w val="0.60767053955389116"/>
          <c:h val="0.82182755789887485"/>
        </c:manualLayout>
      </c:layout>
      <c:pieChart>
        <c:varyColors val="1"/>
        <c:ser>
          <c:idx val="0"/>
          <c:order val="0"/>
          <c:tx>
            <c:strRef>
              <c:f>Sheet1!$B$1</c:f>
              <c:strCache>
                <c:ptCount val="1"/>
                <c:pt idx="0">
                  <c:v>2012</c:v>
                </c:pt>
              </c:strCache>
            </c:strRef>
          </c:tx>
          <c:spPr>
            <a:ln w="6350">
              <a:solidFill>
                <a:sysClr val="windowText" lastClr="000000"/>
              </a:solidFill>
            </a:ln>
          </c:spPr>
          <c:explosion val="5"/>
          <c:dPt>
            <c:idx val="0"/>
            <c:bubble3D val="0"/>
            <c:spPr>
              <a:solidFill>
                <a:srgbClr val="8064A2">
                  <a:lumMod val="20000"/>
                  <a:lumOff val="80000"/>
                </a:srgbClr>
              </a:solidFill>
              <a:ln w="6350">
                <a:solidFill>
                  <a:sysClr val="windowText" lastClr="000000"/>
                </a:solidFill>
              </a:ln>
            </c:spPr>
          </c:dPt>
          <c:dPt>
            <c:idx val="1"/>
            <c:bubble3D val="0"/>
            <c:spPr>
              <a:solidFill>
                <a:srgbClr val="8064A2">
                  <a:lumMod val="60000"/>
                  <a:lumOff val="40000"/>
                </a:srgbClr>
              </a:solidFill>
              <a:ln w="6350">
                <a:solidFill>
                  <a:sysClr val="windowText" lastClr="000000"/>
                </a:solidFill>
              </a:ln>
            </c:spPr>
          </c:dPt>
          <c:dPt>
            <c:idx val="2"/>
            <c:bubble3D val="0"/>
            <c:spPr>
              <a:solidFill>
                <a:srgbClr val="8064A2">
                  <a:lumMod val="75000"/>
                </a:srgbClr>
              </a:solidFill>
              <a:ln w="6350">
                <a:solidFill>
                  <a:sysClr val="windowText" lastClr="000000"/>
                </a:solidFill>
              </a:ln>
            </c:spPr>
          </c:dPt>
          <c:dPt>
            <c:idx val="3"/>
            <c:bubble3D val="0"/>
            <c:spPr>
              <a:solidFill>
                <a:srgbClr val="8064A2">
                  <a:lumMod val="50000"/>
                </a:srgbClr>
              </a:solidFill>
              <a:ln w="6350">
                <a:solidFill>
                  <a:sysClr val="windowText" lastClr="000000"/>
                </a:solidFill>
              </a:ln>
            </c:spPr>
          </c:dPt>
          <c:dPt>
            <c:idx val="4"/>
            <c:bubble3D val="0"/>
            <c:spPr>
              <a:solidFill>
                <a:srgbClr val="EEECE1">
                  <a:lumMod val="90000"/>
                </a:srgbClr>
              </a:solidFill>
              <a:ln w="6350">
                <a:solidFill>
                  <a:sysClr val="windowText" lastClr="000000"/>
                </a:solidFill>
              </a:ln>
            </c:spPr>
          </c:dPt>
          <c:dPt>
            <c:idx val="5"/>
            <c:bubble3D val="0"/>
            <c:spPr>
              <a:solidFill>
                <a:srgbClr val="EEECE1"/>
              </a:solidFill>
              <a:ln w="6350">
                <a:solidFill>
                  <a:sysClr val="windowText" lastClr="000000"/>
                </a:solidFill>
              </a:ln>
            </c:spPr>
          </c:dPt>
          <c:dLbls>
            <c:dLbl>
              <c:idx val="0"/>
              <c:layout>
                <c:manualLayout>
                  <c:x val="0"/>
                  <c:y val="1.1747430249632896E-2"/>
                </c:manualLayout>
              </c:layout>
              <c:dLblPos val="bestFit"/>
              <c:showLegendKey val="0"/>
              <c:showVal val="0"/>
              <c:showCatName val="0"/>
              <c:showSerName val="0"/>
              <c:showPercent val="1"/>
              <c:showBubbleSize val="0"/>
            </c:dLbl>
            <c:txPr>
              <a:bodyPr/>
              <a:lstStyle/>
              <a:p>
                <a:pPr>
                  <a:defRPr sz="900" b="0">
                    <a:solidFill>
                      <a:schemeClr val="tx1"/>
                    </a:solidFill>
                    <a:latin typeface="Times New Roman" pitchFamily="18" charset="0"/>
                    <a:cs typeface="Times New Roman" pitchFamily="18" charset="0"/>
                  </a:defRPr>
                </a:pPr>
                <a:endParaRPr lang="lv-LV"/>
              </a:p>
            </c:txPr>
            <c:dLblPos val="outEnd"/>
            <c:showLegendKey val="0"/>
            <c:showVal val="0"/>
            <c:showCatName val="0"/>
            <c:showSerName val="0"/>
            <c:showPercent val="1"/>
            <c:showBubbleSize val="0"/>
            <c:showLeaderLines val="0"/>
          </c:dLbls>
          <c:cat>
            <c:strRef>
              <c:f>Sheet1!$A$2:$A$5</c:f>
              <c:strCache>
                <c:ptCount val="4"/>
                <c:pt idx="0">
                  <c:v>&lt;30</c:v>
                </c:pt>
                <c:pt idx="1">
                  <c:v>30-49</c:v>
                </c:pt>
                <c:pt idx="2">
                  <c:v>50-59</c:v>
                </c:pt>
                <c:pt idx="3">
                  <c:v>60+</c:v>
                </c:pt>
              </c:strCache>
            </c:strRef>
          </c:cat>
          <c:val>
            <c:numRef>
              <c:f>Sheet1!$B$2:$B$5</c:f>
              <c:numCache>
                <c:formatCode>0</c:formatCode>
                <c:ptCount val="4"/>
                <c:pt idx="0" formatCode="0.0">
                  <c:v>23.561001073227683</c:v>
                </c:pt>
                <c:pt idx="1">
                  <c:v>42.654251743805744</c:v>
                </c:pt>
                <c:pt idx="2">
                  <c:v>20.612703765470027</c:v>
                </c:pt>
                <c:pt idx="3">
                  <c:v>13.172043417496557</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80005129651953111"/>
          <c:y val="0.13501081087331043"/>
          <c:w val="0.1706730958304479"/>
          <c:h val="0.69770948234994856"/>
        </c:manualLayout>
      </c:layout>
      <c:overlay val="0"/>
      <c:txPr>
        <a:bodyPr/>
        <a:lstStyle/>
        <a:p>
          <a:pPr>
            <a:defRPr sz="1000" b="0">
              <a:effectLst/>
              <a:latin typeface="Times New Roman" pitchFamily="18" charset="0"/>
              <a:cs typeface="Times New Roman" pitchFamily="18" charset="0"/>
            </a:defRPr>
          </a:pPr>
          <a:endParaRPr lang="lv-LV"/>
        </a:p>
      </c:txPr>
    </c:legend>
    <c:plotVisOnly val="1"/>
    <c:dispBlanksAs val="zero"/>
    <c:showDLblsOverMax val="0"/>
  </c:chart>
  <c:spPr>
    <a:ln>
      <a:noFill/>
    </a:ln>
  </c:spPr>
  <c:txPr>
    <a:bodyPr/>
    <a:lstStyle/>
    <a:p>
      <a:pPr>
        <a:defRPr sz="1800"/>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41186067957728E-2"/>
          <c:y val="0.11291222958363685"/>
          <c:w val="0.60767053955389116"/>
          <c:h val="0.82182755789887485"/>
        </c:manualLayout>
      </c:layout>
      <c:pieChart>
        <c:varyColors val="1"/>
        <c:ser>
          <c:idx val="0"/>
          <c:order val="0"/>
          <c:tx>
            <c:strRef>
              <c:f>Sheet1!$B$1</c:f>
              <c:strCache>
                <c:ptCount val="1"/>
                <c:pt idx="0">
                  <c:v>2012</c:v>
                </c:pt>
              </c:strCache>
            </c:strRef>
          </c:tx>
          <c:spPr>
            <a:ln w="6350">
              <a:solidFill>
                <a:sysClr val="windowText" lastClr="000000"/>
              </a:solidFill>
            </a:ln>
          </c:spPr>
          <c:explosion val="5"/>
          <c:dPt>
            <c:idx val="0"/>
            <c:bubble3D val="0"/>
            <c:spPr>
              <a:solidFill>
                <a:srgbClr val="8064A2">
                  <a:lumMod val="20000"/>
                  <a:lumOff val="80000"/>
                </a:srgbClr>
              </a:solidFill>
              <a:ln w="6350">
                <a:solidFill>
                  <a:sysClr val="windowText" lastClr="000000"/>
                </a:solidFill>
              </a:ln>
            </c:spPr>
          </c:dPt>
          <c:dPt>
            <c:idx val="1"/>
            <c:bubble3D val="0"/>
            <c:spPr>
              <a:solidFill>
                <a:srgbClr val="8064A2">
                  <a:lumMod val="60000"/>
                  <a:lumOff val="40000"/>
                </a:srgbClr>
              </a:solidFill>
              <a:ln w="6350">
                <a:solidFill>
                  <a:sysClr val="windowText" lastClr="000000"/>
                </a:solidFill>
              </a:ln>
            </c:spPr>
          </c:dPt>
          <c:dPt>
            <c:idx val="2"/>
            <c:bubble3D val="0"/>
            <c:spPr>
              <a:solidFill>
                <a:srgbClr val="8064A2">
                  <a:lumMod val="75000"/>
                </a:srgbClr>
              </a:solidFill>
              <a:ln w="6350">
                <a:solidFill>
                  <a:sysClr val="windowText" lastClr="000000"/>
                </a:solidFill>
              </a:ln>
            </c:spPr>
          </c:dPt>
          <c:dPt>
            <c:idx val="3"/>
            <c:bubble3D val="0"/>
            <c:spPr>
              <a:solidFill>
                <a:srgbClr val="8064A2">
                  <a:lumMod val="50000"/>
                </a:srgbClr>
              </a:solidFill>
              <a:ln w="6350">
                <a:solidFill>
                  <a:sysClr val="windowText" lastClr="000000"/>
                </a:solidFill>
              </a:ln>
            </c:spPr>
          </c:dPt>
          <c:dPt>
            <c:idx val="4"/>
            <c:bubble3D val="0"/>
            <c:spPr>
              <a:solidFill>
                <a:srgbClr val="EEECE1">
                  <a:lumMod val="90000"/>
                </a:srgbClr>
              </a:solidFill>
              <a:ln w="6350">
                <a:solidFill>
                  <a:sysClr val="windowText" lastClr="000000"/>
                </a:solidFill>
              </a:ln>
            </c:spPr>
          </c:dPt>
          <c:dPt>
            <c:idx val="5"/>
            <c:bubble3D val="0"/>
            <c:spPr>
              <a:solidFill>
                <a:srgbClr val="EEECE1"/>
              </a:solidFill>
              <a:ln w="6350">
                <a:solidFill>
                  <a:sysClr val="windowText" lastClr="000000"/>
                </a:solidFill>
              </a:ln>
            </c:spPr>
          </c:dPt>
          <c:dLbls>
            <c:dLbl>
              <c:idx val="0"/>
              <c:layout>
                <c:manualLayout>
                  <c:x val="0"/>
                  <c:y val="1.1747430249632896E-2"/>
                </c:manualLayout>
              </c:layout>
              <c:dLblPos val="bestFit"/>
              <c:showLegendKey val="0"/>
              <c:showVal val="0"/>
              <c:showCatName val="0"/>
              <c:showSerName val="0"/>
              <c:showPercent val="1"/>
              <c:showBubbleSize val="0"/>
            </c:dLbl>
            <c:txPr>
              <a:bodyPr/>
              <a:lstStyle/>
              <a:p>
                <a:pPr>
                  <a:defRPr sz="900" b="0">
                    <a:solidFill>
                      <a:schemeClr val="tx1"/>
                    </a:solidFill>
                    <a:latin typeface="Times New Roman" pitchFamily="18" charset="0"/>
                    <a:cs typeface="Times New Roman" pitchFamily="18" charset="0"/>
                  </a:defRPr>
                </a:pPr>
                <a:endParaRPr lang="lv-LV"/>
              </a:p>
            </c:txPr>
            <c:dLblPos val="outEnd"/>
            <c:showLegendKey val="0"/>
            <c:showVal val="0"/>
            <c:showCatName val="0"/>
            <c:showSerName val="0"/>
            <c:showPercent val="1"/>
            <c:showBubbleSize val="0"/>
            <c:showLeaderLines val="0"/>
          </c:dLbls>
          <c:cat>
            <c:strRef>
              <c:f>Sheet1!$A$2:$A$5</c:f>
              <c:strCache>
                <c:ptCount val="4"/>
                <c:pt idx="0">
                  <c:v>&lt;30</c:v>
                </c:pt>
                <c:pt idx="1">
                  <c:v>30-49</c:v>
                </c:pt>
                <c:pt idx="2">
                  <c:v>50-59</c:v>
                </c:pt>
                <c:pt idx="3">
                  <c:v>60+</c:v>
                </c:pt>
              </c:strCache>
            </c:strRef>
          </c:cat>
          <c:val>
            <c:numRef>
              <c:f>Sheet1!$B$2:$B$5</c:f>
              <c:numCache>
                <c:formatCode>0</c:formatCode>
                <c:ptCount val="4"/>
                <c:pt idx="0" formatCode="0.0">
                  <c:v>22.129771019250011</c:v>
                </c:pt>
                <c:pt idx="1">
                  <c:v>34.714532789355985</c:v>
                </c:pt>
                <c:pt idx="2">
                  <c:v>28.687549005944081</c:v>
                </c:pt>
                <c:pt idx="3">
                  <c:v>14.46814718544992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80005129651953111"/>
          <c:y val="0.13501081087331043"/>
          <c:w val="0.1706730958304479"/>
          <c:h val="0.69770948234994856"/>
        </c:manualLayout>
      </c:layout>
      <c:overlay val="0"/>
      <c:txPr>
        <a:bodyPr/>
        <a:lstStyle/>
        <a:p>
          <a:pPr>
            <a:defRPr sz="1000" b="0">
              <a:effectLst/>
              <a:latin typeface="Times New Roman" pitchFamily="18" charset="0"/>
              <a:cs typeface="Times New Roman" pitchFamily="18" charset="0"/>
            </a:defRPr>
          </a:pPr>
          <a:endParaRPr lang="lv-LV"/>
        </a:p>
      </c:txPr>
    </c:legend>
    <c:plotVisOnly val="1"/>
    <c:dispBlanksAs val="zero"/>
    <c:showDLblsOverMax val="0"/>
  </c:chart>
  <c:spPr>
    <a:ln>
      <a:noFill/>
    </a:ln>
  </c:spPr>
  <c:txPr>
    <a:bodyPr/>
    <a:lstStyle/>
    <a:p>
      <a:pPr>
        <a:defRPr sz="1800"/>
      </a:pPr>
      <a:endParaRPr lang="lv-LV"/>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424631507926125E-2"/>
          <c:y val="3.2382323864912382E-2"/>
          <c:w val="0.93200945882823971"/>
          <c:h val="0.86415144875958516"/>
        </c:manualLayout>
      </c:layout>
      <c:barChart>
        <c:barDir val="col"/>
        <c:grouping val="clustered"/>
        <c:varyColors val="0"/>
        <c:ser>
          <c:idx val="0"/>
          <c:order val="0"/>
          <c:tx>
            <c:strRef>
              <c:f>Sheet1!$B$1</c:f>
              <c:strCache>
                <c:ptCount val="1"/>
                <c:pt idx="0">
                  <c:v>Profesionālās izglītības iestādēs</c:v>
                </c:pt>
              </c:strCache>
            </c:strRef>
          </c:tx>
          <c:spPr>
            <a:solidFill>
              <a:schemeClr val="accent4">
                <a:lumMod val="40000"/>
                <a:lumOff val="60000"/>
              </a:schemeClr>
            </a:solidFill>
          </c:spPr>
          <c:invertIfNegative val="0"/>
          <c:dPt>
            <c:idx val="0"/>
            <c:invertIfNegative val="0"/>
            <c:bubble3D val="0"/>
            <c:spPr>
              <a:solidFill>
                <a:schemeClr val="accent4">
                  <a:lumMod val="40000"/>
                  <a:lumOff val="60000"/>
                </a:schemeClr>
              </a:solidFill>
            </c:spPr>
          </c:dPt>
          <c:cat>
            <c:numRef>
              <c:f>Sheet1!$A$2:$A$10</c:f>
              <c:numCache>
                <c:formatCode>General</c:formatCode>
                <c:ptCount val="7"/>
                <c:pt idx="0">
                  <c:v>2006</c:v>
                </c:pt>
                <c:pt idx="1">
                  <c:v>2007</c:v>
                </c:pt>
                <c:pt idx="2">
                  <c:v>2008</c:v>
                </c:pt>
                <c:pt idx="3">
                  <c:v>2009</c:v>
                </c:pt>
                <c:pt idx="4">
                  <c:v>2010</c:v>
                </c:pt>
                <c:pt idx="5">
                  <c:v>2011</c:v>
                </c:pt>
                <c:pt idx="6">
                  <c:v>2012</c:v>
                </c:pt>
              </c:numCache>
            </c:numRef>
          </c:cat>
          <c:val>
            <c:numRef>
              <c:f>Sheet1!$B$2:$B$10</c:f>
              <c:numCache>
                <c:formatCode>0.0</c:formatCode>
                <c:ptCount val="7"/>
                <c:pt idx="0">
                  <c:v>14.1</c:v>
                </c:pt>
                <c:pt idx="1">
                  <c:v>13.7</c:v>
                </c:pt>
                <c:pt idx="2">
                  <c:v>13.9</c:v>
                </c:pt>
                <c:pt idx="3">
                  <c:v>11.4</c:v>
                </c:pt>
                <c:pt idx="4">
                  <c:v>11.9</c:v>
                </c:pt>
                <c:pt idx="5">
                  <c:v>11.9</c:v>
                </c:pt>
                <c:pt idx="6">
                  <c:v>11</c:v>
                </c:pt>
              </c:numCache>
            </c:numRef>
          </c:val>
        </c:ser>
        <c:ser>
          <c:idx val="1"/>
          <c:order val="1"/>
          <c:tx>
            <c:strRef>
              <c:f>Sheet1!$C$1</c:f>
              <c:strCache>
                <c:ptCount val="1"/>
                <c:pt idx="0">
                  <c:v>Augstskolās</c:v>
                </c:pt>
              </c:strCache>
            </c:strRef>
          </c:tx>
          <c:spPr>
            <a:solidFill>
              <a:schemeClr val="accent4">
                <a:lumMod val="50000"/>
              </a:schemeClr>
            </a:solidFill>
          </c:spPr>
          <c:invertIfNegative val="0"/>
          <c:cat>
            <c:numRef>
              <c:f>Sheet1!$A$2:$A$10</c:f>
              <c:numCache>
                <c:formatCode>General</c:formatCode>
                <c:ptCount val="7"/>
                <c:pt idx="0">
                  <c:v>2006</c:v>
                </c:pt>
                <c:pt idx="1">
                  <c:v>2007</c:v>
                </c:pt>
                <c:pt idx="2">
                  <c:v>2008</c:v>
                </c:pt>
                <c:pt idx="3">
                  <c:v>2009</c:v>
                </c:pt>
                <c:pt idx="4">
                  <c:v>2010</c:v>
                </c:pt>
                <c:pt idx="5">
                  <c:v>2011</c:v>
                </c:pt>
                <c:pt idx="6">
                  <c:v>2012</c:v>
                </c:pt>
              </c:numCache>
            </c:numRef>
          </c:cat>
          <c:val>
            <c:numRef>
              <c:f>Sheet1!$C$2:$C$10</c:f>
              <c:numCache>
                <c:formatCode>0.0</c:formatCode>
                <c:ptCount val="7"/>
                <c:pt idx="0">
                  <c:v>45</c:v>
                </c:pt>
                <c:pt idx="1">
                  <c:v>43.9</c:v>
                </c:pt>
                <c:pt idx="2">
                  <c:v>41.6</c:v>
                </c:pt>
                <c:pt idx="3">
                  <c:v>31.5</c:v>
                </c:pt>
                <c:pt idx="4">
                  <c:v>31</c:v>
                </c:pt>
                <c:pt idx="5">
                  <c:v>31.9</c:v>
                </c:pt>
                <c:pt idx="6">
                  <c:v>33.299999999999997</c:v>
                </c:pt>
              </c:numCache>
            </c:numRef>
          </c:val>
        </c:ser>
        <c:ser>
          <c:idx val="2"/>
          <c:order val="2"/>
          <c:tx>
            <c:strRef>
              <c:f>Sheet1!$D$1</c:f>
              <c:strCache>
                <c:ptCount val="1"/>
                <c:pt idx="0">
                  <c:v>Vidusskolās</c:v>
                </c:pt>
              </c:strCache>
            </c:strRef>
          </c:tx>
          <c:spPr>
            <a:solidFill>
              <a:schemeClr val="accent4">
                <a:lumMod val="75000"/>
              </a:schemeClr>
            </a:solidFill>
          </c:spPr>
          <c:invertIfNegative val="0"/>
          <c:cat>
            <c:numRef>
              <c:f>Sheet1!$A$2:$A$10</c:f>
              <c:numCache>
                <c:formatCode>General</c:formatCode>
                <c:ptCount val="7"/>
                <c:pt idx="0">
                  <c:v>2006</c:v>
                </c:pt>
                <c:pt idx="1">
                  <c:v>2007</c:v>
                </c:pt>
                <c:pt idx="2">
                  <c:v>2008</c:v>
                </c:pt>
                <c:pt idx="3">
                  <c:v>2009</c:v>
                </c:pt>
                <c:pt idx="4">
                  <c:v>2010</c:v>
                </c:pt>
                <c:pt idx="5">
                  <c:v>2011</c:v>
                </c:pt>
                <c:pt idx="6">
                  <c:v>2012</c:v>
                </c:pt>
              </c:numCache>
            </c:numRef>
          </c:cat>
          <c:val>
            <c:numRef>
              <c:f>Sheet1!$D$2:$D$10</c:f>
              <c:numCache>
                <c:formatCode>0.0</c:formatCode>
                <c:ptCount val="7"/>
                <c:pt idx="0">
                  <c:v>23.754999999999999</c:v>
                </c:pt>
                <c:pt idx="1">
                  <c:v>21.552</c:v>
                </c:pt>
                <c:pt idx="2">
                  <c:v>20.856000000000002</c:v>
                </c:pt>
                <c:pt idx="3">
                  <c:v>20.152000000000001</c:v>
                </c:pt>
                <c:pt idx="4">
                  <c:v>16.702999999999999</c:v>
                </c:pt>
                <c:pt idx="5" formatCode="General">
                  <c:v>15.2</c:v>
                </c:pt>
                <c:pt idx="6">
                  <c:v>13.774000000000001</c:v>
                </c:pt>
              </c:numCache>
            </c:numRef>
          </c:val>
        </c:ser>
        <c:dLbls>
          <c:showLegendKey val="0"/>
          <c:showVal val="0"/>
          <c:showCatName val="0"/>
          <c:showSerName val="0"/>
          <c:showPercent val="0"/>
          <c:showBubbleSize val="0"/>
        </c:dLbls>
        <c:gapWidth val="40"/>
        <c:axId val="115411968"/>
        <c:axId val="115450624"/>
      </c:barChart>
      <c:catAx>
        <c:axId val="115411968"/>
        <c:scaling>
          <c:orientation val="minMax"/>
        </c:scaling>
        <c:delete val="0"/>
        <c:axPos val="b"/>
        <c:numFmt formatCode="General" sourceLinked="1"/>
        <c:majorTickMark val="out"/>
        <c:minorTickMark val="none"/>
        <c:tickLblPos val="nextTo"/>
        <c:crossAx val="115450624"/>
        <c:crosses val="autoZero"/>
        <c:auto val="1"/>
        <c:lblAlgn val="ctr"/>
        <c:lblOffset val="100"/>
        <c:noMultiLvlLbl val="0"/>
      </c:catAx>
      <c:valAx>
        <c:axId val="115450624"/>
        <c:scaling>
          <c:orientation val="minMax"/>
          <c:max val="50"/>
          <c:min val="0"/>
        </c:scaling>
        <c:delete val="0"/>
        <c:axPos val="l"/>
        <c:numFmt formatCode="0" sourceLinked="0"/>
        <c:majorTickMark val="out"/>
        <c:minorTickMark val="none"/>
        <c:tickLblPos val="nextTo"/>
        <c:crossAx val="115411968"/>
        <c:crosses val="autoZero"/>
        <c:crossBetween val="between"/>
        <c:majorUnit val="10"/>
      </c:valAx>
    </c:plotArea>
    <c:legend>
      <c:legendPos val="l"/>
      <c:layout>
        <c:manualLayout>
          <c:xMode val="edge"/>
          <c:yMode val="edge"/>
          <c:x val="0.59616961942257263"/>
          <c:y val="2.6351212126123364E-2"/>
          <c:w val="0.31431831453488929"/>
          <c:h val="0.22432661408020135"/>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1.352540487867252E-2"/>
                  <c:y val="-4.0153087768631584E-3"/>
                </c:manualLayout>
              </c:layout>
              <c:dLblPos val="bestFit"/>
              <c:showLegendKey val="0"/>
              <c:showVal val="0"/>
              <c:showCatName val="1"/>
              <c:showSerName val="0"/>
              <c:showPercent val="1"/>
              <c:showBubbleSize val="0"/>
            </c:dLbl>
            <c:dLbl>
              <c:idx val="1"/>
              <c:layout>
                <c:manualLayout>
                  <c:x val="2.9583333333333336E-2"/>
                  <c:y val="8.8478240740740732E-2"/>
                </c:manualLayout>
              </c:layout>
              <c:dLblPos val="bestFit"/>
              <c:showLegendKey val="0"/>
              <c:showVal val="0"/>
              <c:showCatName val="1"/>
              <c:showSerName val="0"/>
              <c:showPercent val="1"/>
              <c:showBubbleSize val="0"/>
            </c:dLbl>
            <c:dLbl>
              <c:idx val="2"/>
              <c:layout>
                <c:manualLayout>
                  <c:x val="4.1817949839604004E-2"/>
                  <c:y val="-4.6941203703703686E-2"/>
                </c:manualLayout>
              </c:layout>
              <c:dLblPos val="bestFit"/>
              <c:showLegendKey val="0"/>
              <c:showVal val="0"/>
              <c:showCatName val="1"/>
              <c:showSerName val="0"/>
              <c:showPercent val="1"/>
              <c:showBubbleSize val="0"/>
            </c:dLbl>
            <c:dLbl>
              <c:idx val="3"/>
              <c:layout>
                <c:manualLayout>
                  <c:x val="1.5707567699915378E-2"/>
                  <c:y val="7.3248755823481906E-2"/>
                </c:manualLayout>
              </c:layout>
              <c:numFmt formatCode="0%" sourceLinked="0"/>
              <c:spPr/>
              <c:txPr>
                <a:bodyPr/>
                <a:lstStyle/>
                <a:p>
                  <a:pPr>
                    <a:defRPr sz="830"/>
                  </a:pPr>
                  <a:endParaRPr lang="lv-LV"/>
                </a:p>
              </c:txPr>
              <c:dLblPos val="bestFit"/>
              <c:showLegendKey val="0"/>
              <c:showVal val="0"/>
              <c:showCatName val="1"/>
              <c:showSerName val="0"/>
              <c:showPercent val="1"/>
              <c:showBubbleSize val="0"/>
            </c:dLbl>
            <c:dLbl>
              <c:idx val="4"/>
              <c:layout>
                <c:manualLayout>
                  <c:x val="-7.3456546611412373E-3"/>
                  <c:y val="4.6021429094519929E-2"/>
                </c:manualLayout>
              </c:layout>
              <c:dLblPos val="bestFit"/>
              <c:showLegendKey val="0"/>
              <c:showVal val="0"/>
              <c:showCatName val="1"/>
              <c:showSerName val="0"/>
              <c:showPercent val="1"/>
              <c:showBubbleSize val="0"/>
            </c:dLbl>
            <c:dLbl>
              <c:idx val="5"/>
              <c:layout>
                <c:manualLayout>
                  <c:x val="-4.3118792630247406E-2"/>
                  <c:y val="1.9017271485060338E-2"/>
                </c:manualLayout>
              </c:layout>
              <c:dLblPos val="bestFit"/>
              <c:showLegendKey val="0"/>
              <c:showVal val="0"/>
              <c:showCatName val="1"/>
              <c:showSerName val="0"/>
              <c:showPercent val="1"/>
              <c:showBubbleSize val="0"/>
            </c:dLbl>
            <c:dLbl>
              <c:idx val="6"/>
              <c:layout>
                <c:manualLayout>
                  <c:x val="2.7553494077563735E-2"/>
                  <c:y val="1.9658318707021288E-3"/>
                </c:manualLayout>
              </c:layout>
              <c:dLblPos val="bestFit"/>
              <c:showLegendKey val="0"/>
              <c:showVal val="0"/>
              <c:showCatName val="1"/>
              <c:showSerName val="0"/>
              <c:showPercent val="1"/>
              <c:showBubbleSize val="0"/>
            </c:dLbl>
            <c:dLbl>
              <c:idx val="7"/>
              <c:layout>
                <c:manualLayout>
                  <c:x val="4.297336194641059E-2"/>
                  <c:y val="-6.5322954870206161E-3"/>
                </c:manualLayout>
              </c:layout>
              <c:dLblPos val="bestFit"/>
              <c:showLegendKey val="0"/>
              <c:showVal val="0"/>
              <c:showCatName val="1"/>
              <c:showSerName val="0"/>
              <c:showPercent val="1"/>
              <c:showBubbleSize val="0"/>
            </c:dLbl>
            <c:dLbl>
              <c:idx val="8"/>
              <c:delete val="1"/>
            </c:dLbl>
            <c:numFmt formatCode="0%" sourceLinked="0"/>
            <c:txPr>
              <a:bodyPr/>
              <a:lstStyle/>
              <a:p>
                <a:pPr>
                  <a:defRPr sz="900"/>
                </a:pPr>
                <a:endParaRPr lang="lv-LV"/>
              </a:p>
            </c:txPr>
            <c:showLegendKey val="0"/>
            <c:showVal val="0"/>
            <c:showCatName val="1"/>
            <c:showSerName val="0"/>
            <c:showPercent val="1"/>
            <c:showBubbleSize val="0"/>
            <c:showLeaderLines val="0"/>
          </c:dLbls>
          <c:cat>
            <c:strRef>
              <c:f>Sheet1!$A$2:$A$9</c:f>
              <c:strCache>
                <c:ptCount val="8"/>
                <c:pt idx="0">
                  <c:v>Izglītība</c:v>
                </c:pt>
                <c:pt idx="1">
                  <c:v>Humanitā- rās zinātnes</c:v>
                </c:pt>
                <c:pt idx="2">
                  <c:v>Sociālās zinātnes</c:v>
                </c:pt>
                <c:pt idx="3">
                  <c:v>Dabas zinātnes, matemātika</c:v>
                </c:pt>
                <c:pt idx="4">
                  <c:v>Inženier-zinātnes</c:v>
                </c:pt>
                <c:pt idx="5">
                  <c:v>Lauksaim-niecība</c:v>
                </c:pt>
                <c:pt idx="6">
                  <c:v>Veselības aprūpe</c:v>
                </c:pt>
                <c:pt idx="7">
                  <c:v>Pakalpo-jumi</c:v>
                </c:pt>
              </c:strCache>
            </c:strRef>
          </c:cat>
          <c:val>
            <c:numRef>
              <c:f>Sheet1!$B$2:$B$9</c:f>
              <c:numCache>
                <c:formatCode>0.0</c:formatCode>
                <c:ptCount val="8"/>
                <c:pt idx="0">
                  <c:v>6.3717398481346983</c:v>
                </c:pt>
                <c:pt idx="1">
                  <c:v>8.6497193793331135</c:v>
                </c:pt>
                <c:pt idx="2">
                  <c:v>39.986194063447286</c:v>
                </c:pt>
                <c:pt idx="3">
                  <c:v>8.1725141810978723</c:v>
                </c:pt>
                <c:pt idx="4">
                  <c:v>15.927848975059275</c:v>
                </c:pt>
                <c:pt idx="5">
                  <c:v>1.5516672169032684</c:v>
                </c:pt>
                <c:pt idx="6">
                  <c:v>11.816080914793362</c:v>
                </c:pt>
                <c:pt idx="7">
                  <c:v>7.4912212251268038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1.352540487867252E-2"/>
                  <c:y val="-4.0153087768631584E-3"/>
                </c:manualLayout>
              </c:layout>
              <c:dLblPos val="bestFit"/>
              <c:showLegendKey val="0"/>
              <c:showVal val="0"/>
              <c:showCatName val="1"/>
              <c:showSerName val="0"/>
              <c:showPercent val="1"/>
              <c:showBubbleSize val="0"/>
            </c:dLbl>
            <c:dLbl>
              <c:idx val="1"/>
              <c:layout>
                <c:manualLayout>
                  <c:x val="2.9583333333333336E-2"/>
                  <c:y val="8.8478240740740732E-2"/>
                </c:manualLayout>
              </c:layout>
              <c:dLblPos val="bestFit"/>
              <c:showLegendKey val="0"/>
              <c:showVal val="0"/>
              <c:showCatName val="1"/>
              <c:showSerName val="0"/>
              <c:showPercent val="1"/>
              <c:showBubbleSize val="0"/>
            </c:dLbl>
            <c:dLbl>
              <c:idx val="2"/>
              <c:layout>
                <c:manualLayout>
                  <c:x val="4.1817949839604004E-2"/>
                  <c:y val="-4.6941203703703686E-2"/>
                </c:manualLayout>
              </c:layout>
              <c:dLblPos val="bestFit"/>
              <c:showLegendKey val="0"/>
              <c:showVal val="0"/>
              <c:showCatName val="1"/>
              <c:showSerName val="0"/>
              <c:showPercent val="1"/>
              <c:showBubbleSize val="0"/>
            </c:dLbl>
            <c:dLbl>
              <c:idx val="3"/>
              <c:layout>
                <c:manualLayout>
                  <c:x val="1.5707567699915378E-2"/>
                  <c:y val="7.3248755823481906E-2"/>
                </c:manualLayout>
              </c:layout>
              <c:numFmt formatCode="0%" sourceLinked="0"/>
              <c:spPr/>
              <c:txPr>
                <a:bodyPr/>
                <a:lstStyle/>
                <a:p>
                  <a:pPr>
                    <a:defRPr sz="830"/>
                  </a:pPr>
                  <a:endParaRPr lang="lv-LV"/>
                </a:p>
              </c:txPr>
              <c:dLblPos val="bestFit"/>
              <c:showLegendKey val="0"/>
              <c:showVal val="0"/>
              <c:showCatName val="1"/>
              <c:showSerName val="0"/>
              <c:showPercent val="1"/>
              <c:showBubbleSize val="0"/>
            </c:dLbl>
            <c:dLbl>
              <c:idx val="4"/>
              <c:layout>
                <c:manualLayout>
                  <c:x val="-7.3456546611412373E-3"/>
                  <c:y val="4.6021429094519929E-2"/>
                </c:manualLayout>
              </c:layout>
              <c:dLblPos val="bestFit"/>
              <c:showLegendKey val="0"/>
              <c:showVal val="0"/>
              <c:showCatName val="1"/>
              <c:showSerName val="0"/>
              <c:showPercent val="1"/>
              <c:showBubbleSize val="0"/>
            </c:dLbl>
            <c:dLbl>
              <c:idx val="5"/>
              <c:layout>
                <c:manualLayout>
                  <c:x val="-4.3118792630247406E-2"/>
                  <c:y val="1.9017271485060338E-2"/>
                </c:manualLayout>
              </c:layout>
              <c:dLblPos val="bestFit"/>
              <c:showLegendKey val="0"/>
              <c:showVal val="0"/>
              <c:showCatName val="1"/>
              <c:showSerName val="0"/>
              <c:showPercent val="1"/>
              <c:showBubbleSize val="0"/>
            </c:dLbl>
            <c:dLbl>
              <c:idx val="6"/>
              <c:layout>
                <c:manualLayout>
                  <c:x val="2.7553494077563735E-2"/>
                  <c:y val="1.9658318707021288E-3"/>
                </c:manualLayout>
              </c:layout>
              <c:dLblPos val="bestFit"/>
              <c:showLegendKey val="0"/>
              <c:showVal val="0"/>
              <c:showCatName val="1"/>
              <c:showSerName val="0"/>
              <c:showPercent val="1"/>
              <c:showBubbleSize val="0"/>
            </c:dLbl>
            <c:dLbl>
              <c:idx val="7"/>
              <c:layout>
                <c:manualLayout>
                  <c:x val="4.297336194641059E-2"/>
                  <c:y val="-6.5322954870206161E-3"/>
                </c:manualLayout>
              </c:layout>
              <c:dLblPos val="bestFit"/>
              <c:showLegendKey val="0"/>
              <c:showVal val="0"/>
              <c:showCatName val="1"/>
              <c:showSerName val="0"/>
              <c:showPercent val="1"/>
              <c:showBubbleSize val="0"/>
            </c:dLbl>
            <c:dLbl>
              <c:idx val="8"/>
              <c:delete val="1"/>
            </c:dLbl>
            <c:numFmt formatCode="0%" sourceLinked="0"/>
            <c:txPr>
              <a:bodyPr/>
              <a:lstStyle/>
              <a:p>
                <a:pPr>
                  <a:defRPr sz="900"/>
                </a:pPr>
                <a:endParaRPr lang="lv-LV"/>
              </a:p>
            </c:txPr>
            <c:showLegendKey val="0"/>
            <c:showVal val="0"/>
            <c:showCatName val="1"/>
            <c:showSerName val="0"/>
            <c:showPercent val="1"/>
            <c:showBubbleSize val="0"/>
            <c:showLeaderLines val="0"/>
          </c:dLbls>
          <c:cat>
            <c:strRef>
              <c:f>Sheet1!$A$2:$A$9</c:f>
              <c:strCache>
                <c:ptCount val="8"/>
                <c:pt idx="0">
                  <c:v>Izglītība</c:v>
                </c:pt>
                <c:pt idx="1">
                  <c:v>Humanitā- rās zinātnes</c:v>
                </c:pt>
                <c:pt idx="2">
                  <c:v>Sociālās zinātnes</c:v>
                </c:pt>
                <c:pt idx="3">
                  <c:v>Dabas zinātnes, matemātika</c:v>
                </c:pt>
                <c:pt idx="4">
                  <c:v>Inženier-zinātnes</c:v>
                </c:pt>
                <c:pt idx="5">
                  <c:v>Lauksaim-niecība</c:v>
                </c:pt>
                <c:pt idx="6">
                  <c:v>Veselības aprūpe</c:v>
                </c:pt>
                <c:pt idx="7">
                  <c:v>Pakalpo-jumi</c:v>
                </c:pt>
              </c:strCache>
            </c:strRef>
          </c:cat>
          <c:val>
            <c:numRef>
              <c:f>Sheet1!$B$2:$B$9</c:f>
              <c:numCache>
                <c:formatCode>0</c:formatCode>
                <c:ptCount val="8"/>
                <c:pt idx="0">
                  <c:v>1628</c:v>
                </c:pt>
                <c:pt idx="1">
                  <c:v>1726</c:v>
                </c:pt>
                <c:pt idx="2">
                  <c:v>10100</c:v>
                </c:pt>
                <c:pt idx="3">
                  <c:v>1357</c:v>
                </c:pt>
                <c:pt idx="4">
                  <c:v>2671</c:v>
                </c:pt>
                <c:pt idx="5">
                  <c:v>231</c:v>
                </c:pt>
                <c:pt idx="6">
                  <c:v>2301</c:v>
                </c:pt>
                <c:pt idx="7">
                  <c:v>1458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200" b="1">
                <a:effectLst/>
              </a:rPr>
              <a:t>Uzņemto studentu skaits pavisam </a:t>
            </a:r>
            <a:r>
              <a:rPr lang="lv-LV" sz="1200" b="0">
                <a:effectLst/>
              </a:rPr>
              <a:t>(tūkst.)</a:t>
            </a:r>
            <a:endParaRPr lang="lv-LV" b="0"/>
          </a:p>
        </c:rich>
      </c:tx>
      <c:overlay val="0"/>
    </c:title>
    <c:autoTitleDeleted val="0"/>
    <c:plotArea>
      <c:layout>
        <c:manualLayout>
          <c:layoutTarget val="inner"/>
          <c:xMode val="edge"/>
          <c:yMode val="edge"/>
          <c:x val="0.51210966120401025"/>
          <c:y val="0.12635975247619596"/>
          <c:w val="0.40625729204344158"/>
          <c:h val="0.81511399847864974"/>
        </c:manualLayout>
      </c:layout>
      <c:barChart>
        <c:barDir val="bar"/>
        <c:grouping val="clustered"/>
        <c:varyColors val="0"/>
        <c:ser>
          <c:idx val="0"/>
          <c:order val="0"/>
          <c:tx>
            <c:strRef>
              <c:f>Sheet1!$B$1</c:f>
              <c:strCache>
                <c:ptCount val="1"/>
                <c:pt idx="0">
                  <c:v>2011</c:v>
                </c:pt>
              </c:strCache>
            </c:strRef>
          </c:tx>
          <c:spPr>
            <a:solidFill>
              <a:srgbClr val="8064A2">
                <a:lumMod val="75000"/>
              </a:srgbClr>
            </a:solidFill>
            <a:ln>
              <a:solidFill>
                <a:sysClr val="windowText" lastClr="000000"/>
              </a:solidFill>
            </a:ln>
          </c:spPr>
          <c:invertIfNegative val="0"/>
          <c:cat>
            <c:strRef>
              <c:f>Sheet1!$A$2:$A$9</c:f>
              <c:strCache>
                <c:ptCount val="8"/>
                <c:pt idx="0">
                  <c:v>Pakalpojumi</c:v>
                </c:pt>
                <c:pt idx="1">
                  <c:v>Veselības aprūpe un sociālā labklājība</c:v>
                </c:pt>
                <c:pt idx="2">
                  <c:v>Lauksaimniecība</c:v>
                </c:pt>
                <c:pt idx="3">
                  <c:v>Inženierzinātnes, ražošana un būvniecība</c:v>
                </c:pt>
                <c:pt idx="4">
                  <c:v>Dabas zinātnes, matemātika un informācijas tehnoloģijas</c:v>
                </c:pt>
                <c:pt idx="5">
                  <c:v>Sociālās zinātnes, komerczinības un tiesības</c:v>
                </c:pt>
                <c:pt idx="6">
                  <c:v>Humanitārās zinātnes un māksla</c:v>
                </c:pt>
                <c:pt idx="7">
                  <c:v>Izglītība</c:v>
                </c:pt>
              </c:strCache>
            </c:strRef>
          </c:cat>
          <c:val>
            <c:numRef>
              <c:f>Sheet1!$B$2:$B$9</c:f>
              <c:numCache>
                <c:formatCode>General</c:formatCode>
                <c:ptCount val="8"/>
                <c:pt idx="0">
                  <c:v>2.5</c:v>
                </c:pt>
                <c:pt idx="1">
                  <c:v>3.3</c:v>
                </c:pt>
                <c:pt idx="2">
                  <c:v>0.5</c:v>
                </c:pt>
                <c:pt idx="3">
                  <c:v>5.0999999999999996</c:v>
                </c:pt>
                <c:pt idx="4">
                  <c:v>2.5</c:v>
                </c:pt>
                <c:pt idx="5">
                  <c:v>12.9</c:v>
                </c:pt>
                <c:pt idx="6">
                  <c:v>2.9</c:v>
                </c:pt>
                <c:pt idx="7">
                  <c:v>2.1</c:v>
                </c:pt>
              </c:numCache>
            </c:numRef>
          </c:val>
        </c:ser>
        <c:ser>
          <c:idx val="2"/>
          <c:order val="1"/>
          <c:tx>
            <c:strRef>
              <c:f>Sheet1!$C$1</c:f>
              <c:strCache>
                <c:ptCount val="1"/>
                <c:pt idx="0">
                  <c:v>2012</c:v>
                </c:pt>
              </c:strCache>
            </c:strRef>
          </c:tx>
          <c:spPr>
            <a:solidFill>
              <a:sysClr val="windowText" lastClr="000000"/>
            </a:solidFill>
            <a:ln>
              <a:solidFill>
                <a:sysClr val="windowText" lastClr="000000"/>
              </a:solidFill>
            </a:ln>
          </c:spPr>
          <c:invertIfNegative val="0"/>
          <c:cat>
            <c:strRef>
              <c:f>Sheet1!$A$2:$A$9</c:f>
              <c:strCache>
                <c:ptCount val="8"/>
                <c:pt idx="0">
                  <c:v>Pakalpojumi</c:v>
                </c:pt>
                <c:pt idx="1">
                  <c:v>Veselības aprūpe un sociālā labklājība</c:v>
                </c:pt>
                <c:pt idx="2">
                  <c:v>Lauksaimniecība</c:v>
                </c:pt>
                <c:pt idx="3">
                  <c:v>Inženierzinātnes, ražošana un būvniecība</c:v>
                </c:pt>
                <c:pt idx="4">
                  <c:v>Dabas zinātnes, matemātika un informācijas tehnoloģijas</c:v>
                </c:pt>
                <c:pt idx="5">
                  <c:v>Sociālās zinātnes, komerczinības un tiesības</c:v>
                </c:pt>
                <c:pt idx="6">
                  <c:v>Humanitārās zinātnes un māksla</c:v>
                </c:pt>
                <c:pt idx="7">
                  <c:v>Izglītība</c:v>
                </c:pt>
              </c:strCache>
            </c:strRef>
          </c:cat>
          <c:val>
            <c:numRef>
              <c:f>Sheet1!$C$2:$C$9</c:f>
              <c:numCache>
                <c:formatCode>General</c:formatCode>
                <c:ptCount val="8"/>
                <c:pt idx="0">
                  <c:v>2.5</c:v>
                </c:pt>
                <c:pt idx="1">
                  <c:v>3.9</c:v>
                </c:pt>
                <c:pt idx="2">
                  <c:v>0.5</c:v>
                </c:pt>
                <c:pt idx="3">
                  <c:v>5.3</c:v>
                </c:pt>
                <c:pt idx="4">
                  <c:v>2.7</c:v>
                </c:pt>
                <c:pt idx="5">
                  <c:v>13.3</c:v>
                </c:pt>
                <c:pt idx="6">
                  <c:v>2.9</c:v>
                </c:pt>
                <c:pt idx="7">
                  <c:v>2.1</c:v>
                </c:pt>
              </c:numCache>
            </c:numRef>
          </c:val>
        </c:ser>
        <c:dLbls>
          <c:showLegendKey val="0"/>
          <c:showVal val="0"/>
          <c:showCatName val="0"/>
          <c:showSerName val="0"/>
          <c:showPercent val="0"/>
          <c:showBubbleSize val="0"/>
        </c:dLbls>
        <c:gapWidth val="55"/>
        <c:axId val="128918656"/>
        <c:axId val="128920192"/>
      </c:barChart>
      <c:catAx>
        <c:axId val="128918656"/>
        <c:scaling>
          <c:orientation val="minMax"/>
        </c:scaling>
        <c:delete val="0"/>
        <c:axPos val="l"/>
        <c:numFmt formatCode="General" sourceLinked="1"/>
        <c:majorTickMark val="none"/>
        <c:minorTickMark val="none"/>
        <c:tickLblPos val="nextTo"/>
        <c:txPr>
          <a:bodyPr rot="0" vert="horz"/>
          <a:lstStyle/>
          <a:p>
            <a:pPr>
              <a:defRPr/>
            </a:pPr>
            <a:endParaRPr lang="lv-LV"/>
          </a:p>
        </c:txPr>
        <c:crossAx val="128920192"/>
        <c:crosses val="autoZero"/>
        <c:auto val="1"/>
        <c:lblAlgn val="ctr"/>
        <c:lblOffset val="100"/>
        <c:tickLblSkip val="1"/>
        <c:noMultiLvlLbl val="0"/>
      </c:catAx>
      <c:valAx>
        <c:axId val="128920192"/>
        <c:scaling>
          <c:orientation val="minMax"/>
          <c:max val="15"/>
          <c:min val="0"/>
        </c:scaling>
        <c:delete val="0"/>
        <c:axPos val="b"/>
        <c:numFmt formatCode="#,##0" sourceLinked="0"/>
        <c:majorTickMark val="out"/>
        <c:minorTickMark val="none"/>
        <c:tickLblPos val="nextTo"/>
        <c:crossAx val="128918656"/>
        <c:crosses val="autoZero"/>
        <c:crossBetween val="between"/>
        <c:majorUnit val="5"/>
        <c:minorUnit val="1"/>
      </c:valAx>
      <c:spPr>
        <a:noFill/>
        <a:ln w="25400">
          <a:noFill/>
        </a:ln>
      </c:spPr>
    </c:plotArea>
    <c:legend>
      <c:legendPos val="r"/>
      <c:layout>
        <c:manualLayout>
          <c:xMode val="edge"/>
          <c:yMode val="edge"/>
          <c:x val="0.65424570063070475"/>
          <c:y val="0.64077015920455194"/>
          <c:w val="0.21525012731617504"/>
          <c:h val="9.8060297207374636E-2"/>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563713476218E-2"/>
          <c:y val="3.1819172113293777E-2"/>
          <c:w val="0.90836244807147448"/>
          <c:h val="0.89665122742010483"/>
        </c:manualLayout>
      </c:layout>
      <c:lineChart>
        <c:grouping val="standard"/>
        <c:varyColors val="0"/>
        <c:ser>
          <c:idx val="1"/>
          <c:order val="0"/>
          <c:tx>
            <c:strRef>
              <c:f>Sheet1!$A$3</c:f>
              <c:strCache>
                <c:ptCount val="1"/>
                <c:pt idx="0">
                  <c:v>Iekšzemes pieprasījums</c:v>
                </c:pt>
              </c:strCache>
            </c:strRef>
          </c:tx>
          <c:spPr>
            <a:ln>
              <a:solidFill>
                <a:schemeClr val="accent4">
                  <a:lumMod val="60000"/>
                  <a:lumOff val="40000"/>
                </a:schemeClr>
              </a:solidFill>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Sheet1!$B$3:$H$3</c:f>
              <c:numCache>
                <c:formatCode>0.0</c:formatCode>
                <c:ptCount val="7"/>
                <c:pt idx="0">
                  <c:v>117.50424529468306</c:v>
                </c:pt>
                <c:pt idx="1">
                  <c:v>130.66914308343908</c:v>
                </c:pt>
                <c:pt idx="2">
                  <c:v>121.12115147720755</c:v>
                </c:pt>
                <c:pt idx="3">
                  <c:v>90.823643145013222</c:v>
                </c:pt>
                <c:pt idx="4">
                  <c:v>87.292633209615019</c:v>
                </c:pt>
                <c:pt idx="5">
                  <c:v>94.925588777437554</c:v>
                </c:pt>
                <c:pt idx="6">
                  <c:v>100.84862834814825</c:v>
                </c:pt>
              </c:numCache>
            </c:numRef>
          </c:val>
          <c:smooth val="1"/>
        </c:ser>
        <c:ser>
          <c:idx val="0"/>
          <c:order val="1"/>
          <c:tx>
            <c:strRef>
              <c:f>Sheet1!$A$4</c:f>
              <c:strCache>
                <c:ptCount val="1"/>
                <c:pt idx="0">
                  <c:v>Eksports</c:v>
                </c:pt>
              </c:strCache>
            </c:strRef>
          </c:tx>
          <c:spPr>
            <a:ln>
              <a:solidFill>
                <a:schemeClr val="accent4">
                  <a:lumMod val="75000"/>
                </a:schemeClr>
              </a:solidFill>
              <a:prstDash val="sysDash"/>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Sheet1!$B$4:$H$4</c:f>
              <c:numCache>
                <c:formatCode>0.0</c:formatCode>
                <c:ptCount val="7"/>
                <c:pt idx="0">
                  <c:v>106.52682613360199</c:v>
                </c:pt>
                <c:pt idx="1">
                  <c:v>117.1701692865819</c:v>
                </c:pt>
                <c:pt idx="2">
                  <c:v>119.54109668726311</c:v>
                </c:pt>
                <c:pt idx="3">
                  <c:v>102.71063496406498</c:v>
                </c:pt>
                <c:pt idx="4">
                  <c:v>114.57748609957643</c:v>
                </c:pt>
                <c:pt idx="5">
                  <c:v>129.09921903677227</c:v>
                </c:pt>
                <c:pt idx="6">
                  <c:v>138.26958297601357</c:v>
                </c:pt>
              </c:numCache>
            </c:numRef>
          </c:val>
          <c:smooth val="1"/>
        </c:ser>
        <c:ser>
          <c:idx val="2"/>
          <c:order val="2"/>
          <c:tx>
            <c:strRef>
              <c:f>Sheet1!$A$5</c:f>
              <c:strCache>
                <c:ptCount val="1"/>
                <c:pt idx="0">
                  <c:v>IKP</c:v>
                </c:pt>
              </c:strCache>
            </c:strRef>
          </c:tx>
          <c:spPr>
            <a:ln>
              <a:solidFill>
                <a:schemeClr val="accent4">
                  <a:lumMod val="50000"/>
                </a:schemeClr>
              </a:solidFill>
            </a:ln>
          </c:spPr>
          <c:marker>
            <c:symbol val="none"/>
          </c:marker>
          <c:cat>
            <c:numRef>
              <c:f>Sheet1!$B$2:$H$2</c:f>
              <c:numCache>
                <c:formatCode>General</c:formatCode>
                <c:ptCount val="7"/>
                <c:pt idx="0">
                  <c:v>2006</c:v>
                </c:pt>
                <c:pt idx="1">
                  <c:v>2007</c:v>
                </c:pt>
                <c:pt idx="2">
                  <c:v>2008</c:v>
                </c:pt>
                <c:pt idx="3">
                  <c:v>2009</c:v>
                </c:pt>
                <c:pt idx="4">
                  <c:v>2010</c:v>
                </c:pt>
                <c:pt idx="5">
                  <c:v>2011</c:v>
                </c:pt>
                <c:pt idx="6">
                  <c:v>2012</c:v>
                </c:pt>
              </c:numCache>
            </c:numRef>
          </c:cat>
          <c:val>
            <c:numRef>
              <c:f>Sheet1!$B$5:$H$5</c:f>
              <c:numCache>
                <c:formatCode>0.0</c:formatCode>
                <c:ptCount val="7"/>
                <c:pt idx="0">
                  <c:v>111.15426274264044</c:v>
                </c:pt>
                <c:pt idx="1">
                  <c:v>121.82555823228016</c:v>
                </c:pt>
                <c:pt idx="2">
                  <c:v>117.83522643204924</c:v>
                </c:pt>
                <c:pt idx="3">
                  <c:v>96.943968543503175</c:v>
                </c:pt>
                <c:pt idx="4">
                  <c:v>96.031133728386649</c:v>
                </c:pt>
                <c:pt idx="5">
                  <c:v>101.29114511954141</c:v>
                </c:pt>
                <c:pt idx="6">
                  <c:v>106.94146351774167</c:v>
                </c:pt>
              </c:numCache>
            </c:numRef>
          </c:val>
          <c:smooth val="1"/>
        </c:ser>
        <c:dLbls>
          <c:showLegendKey val="0"/>
          <c:showVal val="0"/>
          <c:showCatName val="0"/>
          <c:showSerName val="0"/>
          <c:showPercent val="0"/>
          <c:showBubbleSize val="0"/>
        </c:dLbls>
        <c:marker val="1"/>
        <c:smooth val="0"/>
        <c:axId val="117798016"/>
        <c:axId val="127795200"/>
      </c:lineChart>
      <c:catAx>
        <c:axId val="117798016"/>
        <c:scaling>
          <c:orientation val="minMax"/>
        </c:scaling>
        <c:delete val="0"/>
        <c:axPos val="b"/>
        <c:numFmt formatCode="General" sourceLinked="1"/>
        <c:majorTickMark val="out"/>
        <c:minorTickMark val="none"/>
        <c:tickLblPos val="nextTo"/>
        <c:txPr>
          <a:bodyPr rot="0" vert="horz"/>
          <a:lstStyle/>
          <a:p>
            <a:pPr>
              <a:defRPr/>
            </a:pPr>
            <a:endParaRPr lang="lv-LV"/>
          </a:p>
        </c:txPr>
        <c:crossAx val="127795200"/>
        <c:crosses val="autoZero"/>
        <c:auto val="1"/>
        <c:lblAlgn val="ctr"/>
        <c:lblOffset val="0"/>
        <c:tickLblSkip val="1"/>
        <c:tickMarkSkip val="1"/>
        <c:noMultiLvlLbl val="1"/>
      </c:catAx>
      <c:valAx>
        <c:axId val="127795200"/>
        <c:scaling>
          <c:orientation val="minMax"/>
          <c:min val="80"/>
        </c:scaling>
        <c:delete val="0"/>
        <c:axPos val="l"/>
        <c:numFmt formatCode="0" sourceLinked="0"/>
        <c:majorTickMark val="out"/>
        <c:minorTickMark val="none"/>
        <c:tickLblPos val="nextTo"/>
        <c:txPr>
          <a:bodyPr rot="0" vert="horz"/>
          <a:lstStyle/>
          <a:p>
            <a:pPr>
              <a:defRPr/>
            </a:pPr>
            <a:endParaRPr lang="lv-LV"/>
          </a:p>
        </c:txPr>
        <c:crossAx val="117798016"/>
        <c:crosses val="autoZero"/>
        <c:crossBetween val="between"/>
        <c:majorUnit val="10"/>
      </c:valAx>
    </c:plotArea>
    <c:legend>
      <c:legendPos val="b"/>
      <c:layout>
        <c:manualLayout>
          <c:xMode val="edge"/>
          <c:yMode val="edge"/>
          <c:x val="0.34135092384975058"/>
          <c:y val="2.099737532808399E-5"/>
          <c:w val="0.6080540428041209"/>
          <c:h val="0.2664846894138232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200" b="1">
                <a:effectLst/>
              </a:rPr>
              <a:t>Par budžeta līdzekļiem uzņemto studentu skaits </a:t>
            </a:r>
            <a:r>
              <a:rPr lang="lv-LV" sz="1200" b="0">
                <a:effectLst/>
              </a:rPr>
              <a:t>(tūkst.)</a:t>
            </a:r>
            <a:endParaRPr lang="lv-LV" b="0"/>
          </a:p>
        </c:rich>
      </c:tx>
      <c:overlay val="0"/>
    </c:title>
    <c:autoTitleDeleted val="0"/>
    <c:plotArea>
      <c:layout>
        <c:manualLayout>
          <c:layoutTarget val="inner"/>
          <c:xMode val="edge"/>
          <c:yMode val="edge"/>
          <c:x val="0.51210966120401025"/>
          <c:y val="0.12635975247619596"/>
          <c:w val="0.40625729204344158"/>
          <c:h val="0.81511399847864974"/>
        </c:manualLayout>
      </c:layout>
      <c:barChart>
        <c:barDir val="bar"/>
        <c:grouping val="clustered"/>
        <c:varyColors val="0"/>
        <c:ser>
          <c:idx val="0"/>
          <c:order val="0"/>
          <c:tx>
            <c:strRef>
              <c:f>Sheet1!$B$1</c:f>
              <c:strCache>
                <c:ptCount val="1"/>
                <c:pt idx="0">
                  <c:v>2011</c:v>
                </c:pt>
              </c:strCache>
            </c:strRef>
          </c:tx>
          <c:spPr>
            <a:solidFill>
              <a:srgbClr val="8064A2">
                <a:lumMod val="75000"/>
              </a:srgbClr>
            </a:solidFill>
            <a:ln>
              <a:solidFill>
                <a:sysClr val="windowText" lastClr="000000"/>
              </a:solidFill>
            </a:ln>
          </c:spPr>
          <c:invertIfNegative val="0"/>
          <c:cat>
            <c:strRef>
              <c:f>Sheet1!$A$2:$A$9</c:f>
              <c:strCache>
                <c:ptCount val="8"/>
                <c:pt idx="0">
                  <c:v>Pakalpojumi</c:v>
                </c:pt>
                <c:pt idx="1">
                  <c:v>Veselības aprūpe un sociālā labklājība</c:v>
                </c:pt>
                <c:pt idx="2">
                  <c:v>Lauksaimniecība</c:v>
                </c:pt>
                <c:pt idx="3">
                  <c:v>Inženierzinātnes, ražošana un būvniecība</c:v>
                </c:pt>
                <c:pt idx="4">
                  <c:v>Dabas zinātnes, matemātika un informācijas tehnoloģijas</c:v>
                </c:pt>
                <c:pt idx="5">
                  <c:v>Sociālās zinātnes, komerczinības un tiesības</c:v>
                </c:pt>
                <c:pt idx="6">
                  <c:v>Humanitārās zinātnes un māksla</c:v>
                </c:pt>
                <c:pt idx="7">
                  <c:v>Izglītība</c:v>
                </c:pt>
              </c:strCache>
            </c:strRef>
          </c:cat>
          <c:val>
            <c:numRef>
              <c:f>Sheet1!$B$2:$B$9</c:f>
              <c:numCache>
                <c:formatCode>0.0</c:formatCode>
                <c:ptCount val="8"/>
                <c:pt idx="0">
                  <c:v>0.92300000000000004</c:v>
                </c:pt>
                <c:pt idx="1">
                  <c:v>1.9870000000000001</c:v>
                </c:pt>
                <c:pt idx="2">
                  <c:v>0.26</c:v>
                </c:pt>
                <c:pt idx="3">
                  <c:v>3.3239999999999998</c:v>
                </c:pt>
                <c:pt idx="4">
                  <c:v>1.849</c:v>
                </c:pt>
                <c:pt idx="5">
                  <c:v>1.625</c:v>
                </c:pt>
                <c:pt idx="6">
                  <c:v>1.484</c:v>
                </c:pt>
                <c:pt idx="7">
                  <c:v>0.75800000000000001</c:v>
                </c:pt>
              </c:numCache>
            </c:numRef>
          </c:val>
        </c:ser>
        <c:ser>
          <c:idx val="2"/>
          <c:order val="1"/>
          <c:tx>
            <c:strRef>
              <c:f>Sheet1!$C$1</c:f>
              <c:strCache>
                <c:ptCount val="1"/>
                <c:pt idx="0">
                  <c:v>2012</c:v>
                </c:pt>
              </c:strCache>
            </c:strRef>
          </c:tx>
          <c:spPr>
            <a:solidFill>
              <a:sysClr val="windowText" lastClr="000000"/>
            </a:solidFill>
            <a:ln>
              <a:solidFill>
                <a:sysClr val="windowText" lastClr="000000"/>
              </a:solidFill>
            </a:ln>
          </c:spPr>
          <c:invertIfNegative val="0"/>
          <c:cat>
            <c:strRef>
              <c:f>Sheet1!$A$2:$A$9</c:f>
              <c:strCache>
                <c:ptCount val="8"/>
                <c:pt idx="0">
                  <c:v>Pakalpojumi</c:v>
                </c:pt>
                <c:pt idx="1">
                  <c:v>Veselības aprūpe un sociālā labklājība</c:v>
                </c:pt>
                <c:pt idx="2">
                  <c:v>Lauksaimniecība</c:v>
                </c:pt>
                <c:pt idx="3">
                  <c:v>Inženierzinātnes, ražošana un būvniecība</c:v>
                </c:pt>
                <c:pt idx="4">
                  <c:v>Dabas zinātnes, matemātika un informācijas tehnoloģijas</c:v>
                </c:pt>
                <c:pt idx="5">
                  <c:v>Sociālās zinātnes, komerczinības un tiesības</c:v>
                </c:pt>
                <c:pt idx="6">
                  <c:v>Humanitārās zinātnes un māksla</c:v>
                </c:pt>
                <c:pt idx="7">
                  <c:v>Izglītība</c:v>
                </c:pt>
              </c:strCache>
            </c:strRef>
          </c:cat>
          <c:val>
            <c:numRef>
              <c:f>Sheet1!$C$2:$C$9</c:f>
              <c:numCache>
                <c:formatCode>0.0</c:formatCode>
                <c:ptCount val="8"/>
                <c:pt idx="0">
                  <c:v>0.85</c:v>
                </c:pt>
                <c:pt idx="1">
                  <c:v>1.9470000000000001</c:v>
                </c:pt>
                <c:pt idx="2">
                  <c:v>0.26600000000000001</c:v>
                </c:pt>
                <c:pt idx="3">
                  <c:v>3.5819999999999999</c:v>
                </c:pt>
                <c:pt idx="4">
                  <c:v>1.9490000000000001</c:v>
                </c:pt>
                <c:pt idx="5">
                  <c:v>1.621</c:v>
                </c:pt>
                <c:pt idx="6">
                  <c:v>1.5229999999999999</c:v>
                </c:pt>
                <c:pt idx="7">
                  <c:v>0.80200000000000005</c:v>
                </c:pt>
              </c:numCache>
            </c:numRef>
          </c:val>
        </c:ser>
        <c:dLbls>
          <c:showLegendKey val="0"/>
          <c:showVal val="0"/>
          <c:showCatName val="0"/>
          <c:showSerName val="0"/>
          <c:showPercent val="0"/>
          <c:showBubbleSize val="0"/>
        </c:dLbls>
        <c:gapWidth val="55"/>
        <c:axId val="128957824"/>
        <c:axId val="132396160"/>
      </c:barChart>
      <c:catAx>
        <c:axId val="128957824"/>
        <c:scaling>
          <c:orientation val="minMax"/>
        </c:scaling>
        <c:delete val="0"/>
        <c:axPos val="l"/>
        <c:numFmt formatCode="General" sourceLinked="1"/>
        <c:majorTickMark val="none"/>
        <c:minorTickMark val="none"/>
        <c:tickLblPos val="nextTo"/>
        <c:txPr>
          <a:bodyPr rot="0" vert="horz"/>
          <a:lstStyle/>
          <a:p>
            <a:pPr>
              <a:defRPr/>
            </a:pPr>
            <a:endParaRPr lang="lv-LV"/>
          </a:p>
        </c:txPr>
        <c:crossAx val="132396160"/>
        <c:crosses val="autoZero"/>
        <c:auto val="1"/>
        <c:lblAlgn val="ctr"/>
        <c:lblOffset val="100"/>
        <c:tickLblSkip val="1"/>
        <c:noMultiLvlLbl val="0"/>
      </c:catAx>
      <c:valAx>
        <c:axId val="132396160"/>
        <c:scaling>
          <c:orientation val="minMax"/>
          <c:max val="4"/>
          <c:min val="0"/>
        </c:scaling>
        <c:delete val="0"/>
        <c:axPos val="b"/>
        <c:numFmt formatCode="#,##0" sourceLinked="0"/>
        <c:majorTickMark val="out"/>
        <c:minorTickMark val="none"/>
        <c:tickLblPos val="nextTo"/>
        <c:crossAx val="128957824"/>
        <c:crosses val="autoZero"/>
        <c:crossBetween val="between"/>
        <c:majorUnit val="1"/>
        <c:minorUnit val="1"/>
      </c:valAx>
      <c:spPr>
        <a:noFill/>
        <a:ln w="25400">
          <a:noFill/>
        </a:ln>
      </c:spPr>
    </c:plotArea>
    <c:legend>
      <c:legendPos val="r"/>
      <c:layout>
        <c:manualLayout>
          <c:xMode val="edge"/>
          <c:yMode val="edge"/>
          <c:x val="0.71078267160067887"/>
          <c:y val="0.6472583992694344"/>
          <c:w val="0.21525012731617504"/>
          <c:h val="9.8060297207374636E-2"/>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4.0293081468934212E-2"/>
                  <c:y val="-4.0153087768631584E-3"/>
                </c:manualLayout>
              </c:layout>
              <c:dLblPos val="bestFit"/>
              <c:showLegendKey val="0"/>
              <c:showVal val="0"/>
              <c:showCatName val="1"/>
              <c:showSerName val="0"/>
              <c:showPercent val="1"/>
              <c:showBubbleSize val="0"/>
            </c:dLbl>
            <c:dLbl>
              <c:idx val="1"/>
              <c:layout>
                <c:manualLayout>
                  <c:x val="-1.0568314307323138E-2"/>
                  <c:y val="2.6768493795863772E-2"/>
                </c:manualLayout>
              </c:layout>
              <c:dLblPos val="bestFit"/>
              <c:showLegendKey val="0"/>
              <c:showVal val="0"/>
              <c:showCatName val="1"/>
              <c:showSerName val="0"/>
              <c:showPercent val="1"/>
              <c:showBubbleSize val="0"/>
            </c:dLbl>
            <c:dLbl>
              <c:idx val="2"/>
              <c:layout>
                <c:manualLayout>
                  <c:x val="1.5050319367889397E-2"/>
                  <c:y val="4.1215830916246289E-2"/>
                </c:manualLayout>
              </c:layout>
              <c:dLblPos val="bestFit"/>
              <c:showLegendKey val="0"/>
              <c:showVal val="0"/>
              <c:showCatName val="1"/>
              <c:showSerName val="0"/>
              <c:showPercent val="1"/>
              <c:showBubbleSize val="0"/>
            </c:dLbl>
            <c:dLbl>
              <c:idx val="3"/>
              <c:layout>
                <c:manualLayout>
                  <c:x val="-2.1375500269257535E-3"/>
                  <c:y val="3.7985952493090606E-2"/>
                </c:manualLayout>
              </c:layout>
              <c:numFmt formatCode="0%" sourceLinked="0"/>
              <c:spPr/>
              <c:txPr>
                <a:bodyPr/>
                <a:lstStyle/>
                <a:p>
                  <a:pPr>
                    <a:defRPr sz="830"/>
                  </a:pPr>
                  <a:endParaRPr lang="lv-LV"/>
                </a:p>
              </c:txPr>
              <c:dLblPos val="bestFit"/>
              <c:showLegendKey val="0"/>
              <c:showVal val="0"/>
              <c:showCatName val="1"/>
              <c:showSerName val="0"/>
              <c:showPercent val="1"/>
              <c:showBubbleSize val="0"/>
            </c:dLbl>
            <c:dLbl>
              <c:idx val="4"/>
              <c:layout>
                <c:manualLayout>
                  <c:x val="-7.3456546611412373E-3"/>
                  <c:y val="4.6021429094519929E-2"/>
                </c:manualLayout>
              </c:layout>
              <c:dLblPos val="bestFit"/>
              <c:showLegendKey val="0"/>
              <c:showVal val="0"/>
              <c:showCatName val="1"/>
              <c:showSerName val="0"/>
              <c:showPercent val="1"/>
              <c:showBubbleSize val="0"/>
            </c:dLbl>
            <c:dLbl>
              <c:idx val="5"/>
              <c:layout>
                <c:manualLayout>
                  <c:x val="1.933911941369653E-2"/>
                  <c:y val="4.5464373982853808E-2"/>
                </c:manualLayout>
              </c:layout>
              <c:dLblPos val="bestFit"/>
              <c:showLegendKey val="0"/>
              <c:showVal val="0"/>
              <c:showCatName val="1"/>
              <c:showSerName val="0"/>
              <c:showPercent val="1"/>
              <c:showBubbleSize val="0"/>
            </c:dLbl>
            <c:dLbl>
              <c:idx val="6"/>
              <c:layout>
                <c:manualLayout>
                  <c:x val="-8.1367413761185246E-3"/>
                  <c:y val="-2.4481270627091344E-2"/>
                </c:manualLayout>
              </c:layout>
              <c:dLblPos val="bestFit"/>
              <c:showLegendKey val="0"/>
              <c:showVal val="0"/>
              <c:showCatName val="1"/>
              <c:showSerName val="0"/>
              <c:showPercent val="1"/>
              <c:showBubbleSize val="0"/>
            </c:dLbl>
            <c:dLbl>
              <c:idx val="7"/>
              <c:layout>
                <c:manualLayout>
                  <c:x val="2.8218470610180076E-3"/>
                  <c:y val="1.1099106178175031E-2"/>
                </c:manualLayout>
              </c:layout>
              <c:dLblPos val="bestFit"/>
              <c:showLegendKey val="0"/>
              <c:showVal val="0"/>
              <c:showCatName val="1"/>
              <c:showSerName val="0"/>
              <c:showPercent val="1"/>
              <c:showBubbleSize val="0"/>
            </c:dLbl>
            <c:dLbl>
              <c:idx val="8"/>
              <c:delete val="1"/>
            </c:dLbl>
            <c:numFmt formatCode="0%" sourceLinked="0"/>
            <c:txPr>
              <a:bodyPr/>
              <a:lstStyle/>
              <a:p>
                <a:pPr>
                  <a:defRPr sz="900"/>
                </a:pPr>
                <a:endParaRPr lang="lv-LV"/>
              </a:p>
            </c:txPr>
            <c:showLegendKey val="0"/>
            <c:showVal val="0"/>
            <c:showCatName val="1"/>
            <c:showSerName val="0"/>
            <c:showPercent val="1"/>
            <c:showBubbleSize val="0"/>
            <c:showLeaderLines val="0"/>
          </c:dLbls>
          <c:cat>
            <c:strRef>
              <c:f>Sheet1!$A$2:$A$9</c:f>
              <c:strCache>
                <c:ptCount val="8"/>
                <c:pt idx="0">
                  <c:v>Vispārējā izglītība</c:v>
                </c:pt>
                <c:pt idx="1">
                  <c:v>Humanitā- rās zinātnes</c:v>
                </c:pt>
                <c:pt idx="2">
                  <c:v>Sociālās zinātnes</c:v>
                </c:pt>
                <c:pt idx="3">
                  <c:v>Dabas zinātnes, matemātika</c:v>
                </c:pt>
                <c:pt idx="4">
                  <c:v>Inženier-zinātnes</c:v>
                </c:pt>
                <c:pt idx="5">
                  <c:v>Lauksaim-niecība</c:v>
                </c:pt>
                <c:pt idx="6">
                  <c:v>Veselības aprūpe</c:v>
                </c:pt>
                <c:pt idx="7">
                  <c:v>Pakalpo-jumi</c:v>
                </c:pt>
              </c:strCache>
            </c:strRef>
          </c:cat>
          <c:val>
            <c:numRef>
              <c:f>Sheet1!$B$2:$B$9</c:f>
              <c:numCache>
                <c:formatCode>General</c:formatCode>
                <c:ptCount val="8"/>
                <c:pt idx="0">
                  <c:v>157</c:v>
                </c:pt>
                <c:pt idx="1">
                  <c:v>969</c:v>
                </c:pt>
                <c:pt idx="2">
                  <c:v>1450</c:v>
                </c:pt>
                <c:pt idx="3">
                  <c:v>585</c:v>
                </c:pt>
                <c:pt idx="4">
                  <c:v>4273</c:v>
                </c:pt>
                <c:pt idx="5">
                  <c:v>288</c:v>
                </c:pt>
                <c:pt idx="6">
                  <c:v>666</c:v>
                </c:pt>
                <c:pt idx="7">
                  <c:v>2978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1131271188331"/>
          <c:y val="0.21598333333333927"/>
          <c:w val="0.46441606031939298"/>
          <c:h val="0.61076508608230162"/>
        </c:manualLayout>
      </c:layout>
      <c:pieChart>
        <c:varyColors val="1"/>
        <c:ser>
          <c:idx val="0"/>
          <c:order val="0"/>
          <c:tx>
            <c:strRef>
              <c:f>Sheet1!$B$1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4.4754360900644496E-2"/>
                  <c:y val="-4.0153087768631584E-3"/>
                </c:manualLayout>
              </c:layout>
              <c:dLblPos val="bestFit"/>
              <c:showLegendKey val="0"/>
              <c:showVal val="0"/>
              <c:showCatName val="1"/>
              <c:showSerName val="0"/>
              <c:showPercent val="1"/>
              <c:showBubbleSize val="0"/>
            </c:dLbl>
            <c:dLbl>
              <c:idx val="1"/>
              <c:layout>
                <c:manualLayout>
                  <c:x val="2.8155239878077097E-3"/>
                  <c:y val="3.2139129807029861E-4"/>
                </c:manualLayout>
              </c:layout>
              <c:dLblPos val="bestFit"/>
              <c:showLegendKey val="0"/>
              <c:showVal val="0"/>
              <c:showCatName val="1"/>
              <c:showSerName val="0"/>
              <c:showPercent val="1"/>
              <c:showBubbleSize val="0"/>
            </c:dLbl>
            <c:dLbl>
              <c:idx val="2"/>
              <c:layout>
                <c:manualLayout>
                  <c:x val="1.5050319367889397E-2"/>
                  <c:y val="1.4768728418452899E-2"/>
                </c:manualLayout>
              </c:layout>
              <c:dLblPos val="bestFit"/>
              <c:showLegendKey val="0"/>
              <c:showVal val="0"/>
              <c:showCatName val="1"/>
              <c:showSerName val="0"/>
              <c:showPercent val="1"/>
              <c:showBubbleSize val="0"/>
            </c:dLbl>
            <c:dLbl>
              <c:idx val="3"/>
              <c:layout>
                <c:manualLayout>
                  <c:x val="-2.1375500269257535E-3"/>
                  <c:y val="1.1538849995297137E-2"/>
                </c:manualLayout>
              </c:layout>
              <c:numFmt formatCode="0%" sourceLinked="0"/>
              <c:spPr/>
              <c:txPr>
                <a:bodyPr/>
                <a:lstStyle/>
                <a:p>
                  <a:pPr>
                    <a:defRPr sz="830"/>
                  </a:pPr>
                  <a:endParaRPr lang="lv-LV"/>
                </a:p>
              </c:txPr>
              <c:dLblPos val="bestFit"/>
              <c:showLegendKey val="0"/>
              <c:showVal val="0"/>
              <c:showCatName val="1"/>
              <c:showSerName val="0"/>
              <c:showPercent val="1"/>
              <c:showBubbleSize val="0"/>
            </c:dLbl>
            <c:dLbl>
              <c:idx val="4"/>
              <c:layout>
                <c:manualLayout>
                  <c:x val="-7.3456546611412373E-3"/>
                  <c:y val="4.6021429094519929E-2"/>
                </c:manualLayout>
              </c:layout>
              <c:dLblPos val="bestFit"/>
              <c:showLegendKey val="0"/>
              <c:showVal val="0"/>
              <c:showCatName val="1"/>
              <c:showSerName val="0"/>
              <c:showPercent val="1"/>
              <c:showBubbleSize val="0"/>
            </c:dLbl>
            <c:dLbl>
              <c:idx val="5"/>
              <c:layout>
                <c:manualLayout>
                  <c:x val="1.0416209268430968E-2"/>
                  <c:y val="5.4280074815451634E-2"/>
                </c:manualLayout>
              </c:layout>
              <c:dLblPos val="bestFit"/>
              <c:showLegendKey val="0"/>
              <c:showVal val="0"/>
              <c:showCatName val="1"/>
              <c:showSerName val="0"/>
              <c:showPercent val="1"/>
              <c:showBubbleSize val="0"/>
            </c:dLbl>
            <c:dLbl>
              <c:idx val="6"/>
              <c:layout>
                <c:manualLayout>
                  <c:x val="7.858174873020395E-4"/>
                  <c:y val="-4.211267229228699E-2"/>
                </c:manualLayout>
              </c:layout>
              <c:dLblPos val="bestFit"/>
              <c:showLegendKey val="0"/>
              <c:showVal val="0"/>
              <c:showCatName val="1"/>
              <c:showSerName val="0"/>
              <c:showPercent val="1"/>
              <c:showBubbleSize val="0"/>
            </c:dLbl>
            <c:dLbl>
              <c:idx val="7"/>
              <c:layout>
                <c:manualLayout>
                  <c:x val="1.6205685356148854E-2"/>
                  <c:y val="1.9914807010772854E-2"/>
                </c:manualLayout>
              </c:layout>
              <c:dLblPos val="bestFit"/>
              <c:showLegendKey val="0"/>
              <c:showVal val="0"/>
              <c:showCatName val="1"/>
              <c:showSerName val="0"/>
              <c:showPercent val="1"/>
              <c:showBubbleSize val="0"/>
            </c:dLbl>
            <c:dLbl>
              <c:idx val="8"/>
              <c:delete val="1"/>
            </c:dLbl>
            <c:numFmt formatCode="0%" sourceLinked="0"/>
            <c:txPr>
              <a:bodyPr/>
              <a:lstStyle/>
              <a:p>
                <a:pPr>
                  <a:defRPr sz="900"/>
                </a:pPr>
                <a:endParaRPr lang="lv-LV"/>
              </a:p>
            </c:txPr>
            <c:showLegendKey val="0"/>
            <c:showVal val="0"/>
            <c:showCatName val="1"/>
            <c:showSerName val="0"/>
            <c:showPercent val="1"/>
            <c:showBubbleSize val="0"/>
            <c:showLeaderLines val="0"/>
          </c:dLbls>
          <c:cat>
            <c:strRef>
              <c:f>Sheet1!$A$2:$A$9</c:f>
              <c:strCache>
                <c:ptCount val="8"/>
                <c:pt idx="0">
                  <c:v>Vispārējā izglītība</c:v>
                </c:pt>
                <c:pt idx="1">
                  <c:v>Humanitā- rās zinātnes</c:v>
                </c:pt>
                <c:pt idx="2">
                  <c:v>Sociālās zinātnes</c:v>
                </c:pt>
                <c:pt idx="3">
                  <c:v>Dabas zinātnes, matemātika</c:v>
                </c:pt>
                <c:pt idx="4">
                  <c:v>Inženier-zinātnes</c:v>
                </c:pt>
                <c:pt idx="5">
                  <c:v>Lauksaim-niecība</c:v>
                </c:pt>
                <c:pt idx="6">
                  <c:v>Veselības aprūpe</c:v>
                </c:pt>
                <c:pt idx="7">
                  <c:v>Pakalpo-jumi</c:v>
                </c:pt>
              </c:strCache>
            </c:strRef>
          </c:cat>
          <c:val>
            <c:numRef>
              <c:f>Sheet1!$B$2:$B$9</c:f>
              <c:numCache>
                <c:formatCode>General</c:formatCode>
                <c:ptCount val="8"/>
                <c:pt idx="0">
                  <c:v>126</c:v>
                </c:pt>
                <c:pt idx="1">
                  <c:v>668</c:v>
                </c:pt>
                <c:pt idx="2">
                  <c:v>1476</c:v>
                </c:pt>
                <c:pt idx="3">
                  <c:v>533</c:v>
                </c:pt>
                <c:pt idx="4">
                  <c:v>3725</c:v>
                </c:pt>
                <c:pt idx="5">
                  <c:v>175</c:v>
                </c:pt>
                <c:pt idx="6">
                  <c:v>486</c:v>
                </c:pt>
                <c:pt idx="7">
                  <c:v>2284</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034243784330838E-2"/>
          <c:y val="2.9683191009575807E-2"/>
          <c:w val="0.94264516182801661"/>
          <c:h val="0.85033570913889345"/>
        </c:manualLayout>
      </c:layout>
      <c:barChart>
        <c:barDir val="col"/>
        <c:grouping val="clustered"/>
        <c:varyColors val="0"/>
        <c:ser>
          <c:idx val="1"/>
          <c:order val="0"/>
          <c:tx>
            <c:strRef>
              <c:f>Sheet1!$C$1</c:f>
              <c:strCache>
                <c:ptCount val="1"/>
                <c:pt idx="0">
                  <c:v>Brīvās darba vietas, CSP dati</c:v>
                </c:pt>
              </c:strCache>
            </c:strRef>
          </c:tx>
          <c:spPr>
            <a:solidFill>
              <a:schemeClr val="accent4">
                <a:lumMod val="75000"/>
              </a:schemeClr>
            </a:solidFill>
          </c:spPr>
          <c:invertIfNegative val="0"/>
          <c:dLbls>
            <c:numFmt formatCode="#,##0.0" sourceLinked="0"/>
            <c:txPr>
              <a:bodyPr/>
              <a:lstStyle/>
              <a:p>
                <a:pPr>
                  <a:defRPr sz="1000"/>
                </a:pPr>
                <a:endParaRPr lang="lv-LV"/>
              </a:p>
            </c:txPr>
            <c:dLblPos val="inBase"/>
            <c:showLegendKey val="0"/>
            <c:showVal val="1"/>
            <c:showCatName val="0"/>
            <c:showSerName val="0"/>
            <c:showPercent val="0"/>
            <c:showBubbleSize val="0"/>
            <c:showLeaderLines val="0"/>
          </c:dLbls>
          <c:cat>
            <c:multiLvlStrRef>
              <c:f>Sheet1!$A$2:$B$22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2008</c:v>
                  </c:pt>
                  <c:pt idx="4">
                    <c:v>2009</c:v>
                  </c:pt>
                  <c:pt idx="8">
                    <c:v>2010</c:v>
                  </c:pt>
                  <c:pt idx="12">
                    <c:v>2011</c:v>
                  </c:pt>
                  <c:pt idx="16">
                    <c:v>2012</c:v>
                  </c:pt>
                  <c:pt idx="20">
                    <c:v>2013</c:v>
                  </c:pt>
                </c:lvl>
              </c:multiLvlStrCache>
            </c:multiLvlStrRef>
          </c:cat>
          <c:val>
            <c:numRef>
              <c:f>Sheet1!$C$2:$C$22</c:f>
              <c:numCache>
                <c:formatCode>0.0</c:formatCode>
                <c:ptCount val="21"/>
                <c:pt idx="0">
                  <c:v>15.4</c:v>
                </c:pt>
                <c:pt idx="1">
                  <c:v>12.8</c:v>
                </c:pt>
                <c:pt idx="2">
                  <c:v>8.1</c:v>
                </c:pt>
                <c:pt idx="3">
                  <c:v>5.9</c:v>
                </c:pt>
                <c:pt idx="4">
                  <c:v>3.7</c:v>
                </c:pt>
                <c:pt idx="5">
                  <c:v>2.2000000000000002</c:v>
                </c:pt>
                <c:pt idx="6">
                  <c:v>1.9</c:v>
                </c:pt>
                <c:pt idx="7">
                  <c:v>1.7</c:v>
                </c:pt>
                <c:pt idx="8">
                  <c:v>1.7</c:v>
                </c:pt>
                <c:pt idx="9">
                  <c:v>1.8</c:v>
                </c:pt>
                <c:pt idx="10">
                  <c:v>2.2000000000000002</c:v>
                </c:pt>
                <c:pt idx="11">
                  <c:v>2.2999999999999998</c:v>
                </c:pt>
                <c:pt idx="12">
                  <c:v>2.9</c:v>
                </c:pt>
                <c:pt idx="13">
                  <c:v>3.1</c:v>
                </c:pt>
                <c:pt idx="14">
                  <c:v>3.1</c:v>
                </c:pt>
                <c:pt idx="15">
                  <c:v>2.8</c:v>
                </c:pt>
                <c:pt idx="16">
                  <c:v>3.3420000000000001</c:v>
                </c:pt>
                <c:pt idx="17">
                  <c:v>3.2440000000000002</c:v>
                </c:pt>
                <c:pt idx="18">
                  <c:v>3.335</c:v>
                </c:pt>
                <c:pt idx="19">
                  <c:v>3.484</c:v>
                </c:pt>
              </c:numCache>
            </c:numRef>
          </c:val>
        </c:ser>
        <c:dLbls>
          <c:showLegendKey val="0"/>
          <c:showVal val="0"/>
          <c:showCatName val="0"/>
          <c:showSerName val="0"/>
          <c:showPercent val="0"/>
          <c:showBubbleSize val="0"/>
        </c:dLbls>
        <c:gapWidth val="20"/>
        <c:axId val="139042816"/>
        <c:axId val="139044352"/>
      </c:barChart>
      <c:lineChart>
        <c:grouping val="standard"/>
        <c:varyColors val="0"/>
        <c:ser>
          <c:idx val="2"/>
          <c:order val="1"/>
          <c:tx>
            <c:strRef>
              <c:f>Sheet1!$D$1</c:f>
              <c:strCache>
                <c:ptCount val="1"/>
                <c:pt idx="0">
                  <c:v>NVA reģistrētās brīvās darbvietas</c:v>
                </c:pt>
              </c:strCache>
            </c:strRef>
          </c:tx>
          <c:spPr>
            <a:ln>
              <a:solidFill>
                <a:schemeClr val="accent4">
                  <a:lumMod val="60000"/>
                  <a:lumOff val="40000"/>
                </a:schemeClr>
              </a:solidFill>
            </a:ln>
          </c:spPr>
          <c:marker>
            <c:symbol val="none"/>
          </c:marker>
          <c:dLbls>
            <c:dLblPos val="t"/>
            <c:showLegendKey val="0"/>
            <c:showVal val="1"/>
            <c:showCatName val="0"/>
            <c:showSerName val="0"/>
            <c:showPercent val="0"/>
            <c:showBubbleSize val="0"/>
            <c:showLeaderLines val="0"/>
          </c:dLbls>
          <c:cat>
            <c:multiLvlStrRef>
              <c:f>Sheet1!$A$2:$B$22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2008</c:v>
                  </c:pt>
                  <c:pt idx="4">
                    <c:v>2009</c:v>
                  </c:pt>
                  <c:pt idx="8">
                    <c:v>2010</c:v>
                  </c:pt>
                  <c:pt idx="12">
                    <c:v>2011</c:v>
                  </c:pt>
                  <c:pt idx="16">
                    <c:v>2012</c:v>
                  </c:pt>
                  <c:pt idx="20">
                    <c:v>2013</c:v>
                  </c:pt>
                </c:lvl>
              </c:multiLvlStrCache>
            </c:multiLvlStrRef>
          </c:cat>
          <c:val>
            <c:numRef>
              <c:f>Sheet1!$D$2:$D$22</c:f>
              <c:numCache>
                <c:formatCode>0.0</c:formatCode>
                <c:ptCount val="21"/>
                <c:pt idx="0">
                  <c:v>13.1</c:v>
                </c:pt>
                <c:pt idx="1">
                  <c:v>11.4</c:v>
                </c:pt>
                <c:pt idx="2">
                  <c:v>8.3000000000000007</c:v>
                </c:pt>
                <c:pt idx="3">
                  <c:v>3.2</c:v>
                </c:pt>
                <c:pt idx="4">
                  <c:v>1.9</c:v>
                </c:pt>
                <c:pt idx="5">
                  <c:v>2</c:v>
                </c:pt>
                <c:pt idx="6">
                  <c:v>1.9</c:v>
                </c:pt>
                <c:pt idx="7">
                  <c:v>1.4</c:v>
                </c:pt>
                <c:pt idx="8">
                  <c:v>1.7</c:v>
                </c:pt>
                <c:pt idx="9">
                  <c:v>2.7</c:v>
                </c:pt>
                <c:pt idx="10">
                  <c:v>3.4</c:v>
                </c:pt>
                <c:pt idx="11">
                  <c:v>2.2999999999999998</c:v>
                </c:pt>
                <c:pt idx="12">
                  <c:v>2.6</c:v>
                </c:pt>
                <c:pt idx="13">
                  <c:v>3.7</c:v>
                </c:pt>
                <c:pt idx="14">
                  <c:v>3.7</c:v>
                </c:pt>
                <c:pt idx="15">
                  <c:v>2.5</c:v>
                </c:pt>
                <c:pt idx="16">
                  <c:v>3</c:v>
                </c:pt>
                <c:pt idx="17">
                  <c:v>4.0999999999999996</c:v>
                </c:pt>
                <c:pt idx="18">
                  <c:v>5.0999999999999996</c:v>
                </c:pt>
                <c:pt idx="19">
                  <c:v>3.14</c:v>
                </c:pt>
                <c:pt idx="20">
                  <c:v>4.4000000000000004</c:v>
                </c:pt>
              </c:numCache>
            </c:numRef>
          </c:val>
          <c:smooth val="0"/>
        </c:ser>
        <c:dLbls>
          <c:showLegendKey val="0"/>
          <c:showVal val="0"/>
          <c:showCatName val="0"/>
          <c:showSerName val="0"/>
          <c:showPercent val="0"/>
          <c:showBubbleSize val="0"/>
        </c:dLbls>
        <c:marker val="1"/>
        <c:smooth val="0"/>
        <c:axId val="139042816"/>
        <c:axId val="139044352"/>
      </c:lineChart>
      <c:catAx>
        <c:axId val="139042816"/>
        <c:scaling>
          <c:orientation val="minMax"/>
        </c:scaling>
        <c:delete val="0"/>
        <c:axPos val="b"/>
        <c:numFmt formatCode="General" sourceLinked="1"/>
        <c:majorTickMark val="out"/>
        <c:minorTickMark val="none"/>
        <c:tickLblPos val="nextTo"/>
        <c:txPr>
          <a:bodyPr rot="0" vert="horz"/>
          <a:lstStyle/>
          <a:p>
            <a:pPr>
              <a:defRPr/>
            </a:pPr>
            <a:endParaRPr lang="lv-LV"/>
          </a:p>
        </c:txPr>
        <c:crossAx val="139044352"/>
        <c:crosses val="autoZero"/>
        <c:auto val="1"/>
        <c:lblAlgn val="ctr"/>
        <c:lblOffset val="0"/>
        <c:tickLblSkip val="1"/>
        <c:noMultiLvlLbl val="1"/>
      </c:catAx>
      <c:valAx>
        <c:axId val="139044352"/>
        <c:scaling>
          <c:orientation val="minMax"/>
          <c:max val="16"/>
          <c:min val="0"/>
        </c:scaling>
        <c:delete val="0"/>
        <c:axPos val="l"/>
        <c:numFmt formatCode="0" sourceLinked="0"/>
        <c:majorTickMark val="out"/>
        <c:minorTickMark val="none"/>
        <c:tickLblPos val="nextTo"/>
        <c:txPr>
          <a:bodyPr rot="0" vert="horz"/>
          <a:lstStyle/>
          <a:p>
            <a:pPr>
              <a:defRPr/>
            </a:pPr>
            <a:endParaRPr lang="lv-LV"/>
          </a:p>
        </c:txPr>
        <c:crossAx val="139042816"/>
        <c:crosses val="autoZero"/>
        <c:crossBetween val="between"/>
        <c:majorUnit val="4"/>
      </c:valAx>
    </c:plotArea>
    <c:legend>
      <c:legendPos val="b"/>
      <c:layout>
        <c:manualLayout>
          <c:xMode val="edge"/>
          <c:yMode val="edge"/>
          <c:x val="0.51140095495443139"/>
          <c:y val="0.10250404869604066"/>
          <c:w val="0.48859902350477963"/>
          <c:h val="0.1630759069023656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2265424649923172"/>
          <c:y val="4.8895370370370367E-2"/>
          <c:w val="0.54500881160527481"/>
          <c:h val="0.84565540010233264"/>
        </c:manualLayout>
      </c:layout>
      <c:barChart>
        <c:barDir val="bar"/>
        <c:grouping val="clustered"/>
        <c:varyColors val="0"/>
        <c:ser>
          <c:idx val="2"/>
          <c:order val="0"/>
          <c:tx>
            <c:strRef>
              <c:f>Sheet1!$B$1</c:f>
              <c:strCache>
                <c:ptCount val="1"/>
                <c:pt idx="0">
                  <c:v>2012</c:v>
                </c:pt>
              </c:strCache>
            </c:strRef>
          </c:tx>
          <c:spPr>
            <a:solidFill>
              <a:schemeClr val="accent4">
                <a:lumMod val="75000"/>
              </a:schemeClr>
            </a:solidFill>
          </c:spPr>
          <c:invertIfNegative val="0"/>
          <c:dLbls>
            <c:dLbl>
              <c:idx val="2"/>
              <c:layout>
                <c:manualLayout>
                  <c:x val="-5.879758929883875E-2"/>
                  <c:y val="0"/>
                </c:manualLayout>
              </c:layout>
              <c:showLegendKey val="0"/>
              <c:showVal val="1"/>
              <c:showCatName val="0"/>
              <c:showSerName val="0"/>
              <c:showPercent val="0"/>
              <c:showBubbleSize val="0"/>
            </c:dLbl>
            <c:dLbl>
              <c:idx val="6"/>
              <c:layout>
                <c:manualLayout>
                  <c:x val="-2.3148148148147301E-3"/>
                  <c:y val="-1.9841269841270274E-2"/>
                </c:manualLayout>
              </c:layout>
              <c:dLblPos val="outEnd"/>
              <c:showLegendKey val="0"/>
              <c:showVal val="1"/>
              <c:showCatName val="0"/>
              <c:showSerName val="0"/>
              <c:showPercent val="0"/>
              <c:showBubbleSize val="0"/>
            </c:dLbl>
            <c:dLbl>
              <c:idx val="7"/>
              <c:layout>
                <c:manualLayout>
                  <c:x val="-3.048728611238839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Sheet1!$A$2:$A$9</c:f>
              <c:strCache>
                <c:ptCount val="8"/>
                <c:pt idx="0">
                  <c:v>Izglītība</c:v>
                </c:pt>
                <c:pt idx="1">
                  <c:v>Humanitārās zinātnes un māksla</c:v>
                </c:pt>
                <c:pt idx="2">
                  <c:v>Sociālās zinātnes, komerczinības un tiesības</c:v>
                </c:pt>
                <c:pt idx="3">
                  <c:v>Dabas zinātnes, matemātika un IT</c:v>
                </c:pt>
                <c:pt idx="4">
                  <c:v>Inženierzinātnes, ražošana un būvniecība</c:v>
                </c:pt>
                <c:pt idx="5">
                  <c:v>Lauksaimniecība</c:v>
                </c:pt>
                <c:pt idx="6">
                  <c:v>Veselības aprūpe un sociālā labklājība</c:v>
                </c:pt>
                <c:pt idx="7">
                  <c:v>Pakalpojumi</c:v>
                </c:pt>
              </c:strCache>
            </c:strRef>
          </c:cat>
          <c:val>
            <c:numRef>
              <c:f>Sheet1!$B$2:$B$9</c:f>
              <c:numCache>
                <c:formatCode>0.0</c:formatCode>
                <c:ptCount val="8"/>
                <c:pt idx="0">
                  <c:v>4.1548704910076584</c:v>
                </c:pt>
                <c:pt idx="1">
                  <c:v>8.6161500732353424</c:v>
                </c:pt>
                <c:pt idx="2">
                  <c:v>6.2349998746212236</c:v>
                </c:pt>
                <c:pt idx="3">
                  <c:v>8.9034853723273102</c:v>
                </c:pt>
                <c:pt idx="4">
                  <c:v>9.0224917254324595</c:v>
                </c:pt>
                <c:pt idx="5">
                  <c:v>16.55815581327013</c:v>
                </c:pt>
                <c:pt idx="6">
                  <c:v>3.1889304676599983</c:v>
                </c:pt>
                <c:pt idx="7">
                  <c:v>7.1268703570374399</c:v>
                </c:pt>
              </c:numCache>
            </c:numRef>
          </c:val>
        </c:ser>
        <c:dLbls>
          <c:showLegendKey val="0"/>
          <c:showVal val="0"/>
          <c:showCatName val="0"/>
          <c:showSerName val="0"/>
          <c:showPercent val="0"/>
          <c:showBubbleSize val="0"/>
        </c:dLbls>
        <c:gapWidth val="40"/>
        <c:axId val="139059968"/>
        <c:axId val="139061504"/>
      </c:barChart>
      <c:catAx>
        <c:axId val="139059968"/>
        <c:scaling>
          <c:orientation val="minMax"/>
        </c:scaling>
        <c:delete val="0"/>
        <c:axPos val="l"/>
        <c:numFmt formatCode="General" sourceLinked="1"/>
        <c:majorTickMark val="out"/>
        <c:minorTickMark val="none"/>
        <c:tickLblPos val="nextTo"/>
        <c:txPr>
          <a:bodyPr rot="0" vert="horz"/>
          <a:lstStyle/>
          <a:p>
            <a:pPr>
              <a:defRPr/>
            </a:pPr>
            <a:endParaRPr lang="lv-LV"/>
          </a:p>
        </c:txPr>
        <c:crossAx val="139061504"/>
        <c:crosses val="autoZero"/>
        <c:auto val="1"/>
        <c:lblAlgn val="ctr"/>
        <c:lblOffset val="100"/>
        <c:noMultiLvlLbl val="0"/>
      </c:catAx>
      <c:valAx>
        <c:axId val="139061504"/>
        <c:scaling>
          <c:orientation val="minMax"/>
          <c:max val="18"/>
        </c:scaling>
        <c:delete val="0"/>
        <c:axPos val="b"/>
        <c:numFmt formatCode="0" sourceLinked="0"/>
        <c:majorTickMark val="out"/>
        <c:minorTickMark val="none"/>
        <c:tickLblPos val="nextTo"/>
        <c:crossAx val="139059968"/>
        <c:crosses val="autoZero"/>
        <c:crossBetween val="between"/>
        <c:majorUnit val="3"/>
      </c:valAx>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963456484183361"/>
          <c:y val="4.8895505963458652E-2"/>
          <c:w val="0.51957218137148509"/>
          <c:h val="0.84565540010233264"/>
        </c:manualLayout>
      </c:layout>
      <c:barChart>
        <c:barDir val="bar"/>
        <c:grouping val="clustered"/>
        <c:varyColors val="0"/>
        <c:ser>
          <c:idx val="2"/>
          <c:order val="0"/>
          <c:tx>
            <c:strRef>
              <c:f>Sheet1!$B$1</c:f>
              <c:strCache>
                <c:ptCount val="1"/>
                <c:pt idx="0">
                  <c:v>2011</c:v>
                </c:pt>
              </c:strCache>
            </c:strRef>
          </c:tx>
          <c:spPr>
            <a:solidFill>
              <a:schemeClr val="accent4">
                <a:lumMod val="75000"/>
              </a:schemeClr>
            </a:solidFill>
          </c:spPr>
          <c:invertIfNegative val="0"/>
          <c:dLbls>
            <c:dLbl>
              <c:idx val="2"/>
              <c:layout>
                <c:manualLayout>
                  <c:x val="-6.9444444444444448E-2"/>
                  <c:y val="0"/>
                </c:manualLayout>
              </c:layout>
              <c:dLblPos val="outEnd"/>
              <c:showLegendKey val="0"/>
              <c:showVal val="1"/>
              <c:showCatName val="0"/>
              <c:showSerName val="0"/>
              <c:showPercent val="0"/>
              <c:showBubbleSize val="0"/>
            </c:dLbl>
            <c:dLbl>
              <c:idx val="4"/>
              <c:layout>
                <c:manualLayout>
                  <c:x val="-6.9444444444444337E-2"/>
                  <c:y val="5.376577456490084E-17"/>
                </c:manualLayout>
              </c:layout>
              <c:dLblPos val="outEnd"/>
              <c:showLegendKey val="0"/>
              <c:showVal val="1"/>
              <c:showCatName val="0"/>
              <c:showSerName val="0"/>
              <c:showPercent val="0"/>
              <c:showBubbleSize val="0"/>
            </c:dLbl>
            <c:dLbl>
              <c:idx val="7"/>
              <c:layout>
                <c:manualLayout>
                  <c:x val="-6.3888888888888787E-2"/>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Sheet1!$A$2:$A$10</c:f>
              <c:strCache>
                <c:ptCount val="9"/>
                <c:pt idx="0">
                  <c:v>Izglītība</c:v>
                </c:pt>
                <c:pt idx="1">
                  <c:v>Humanitārās zinātnes un māksla</c:v>
                </c:pt>
                <c:pt idx="2">
                  <c:v>Sociālās zinātnes, komerczinības un tiesības</c:v>
                </c:pt>
                <c:pt idx="3">
                  <c:v>Dabas zinātnes, matemātika un IT</c:v>
                </c:pt>
                <c:pt idx="4">
                  <c:v>Inženierzinātnes, ražošana un būvniecība</c:v>
                </c:pt>
                <c:pt idx="5">
                  <c:v>Lauksaimniecība</c:v>
                </c:pt>
                <c:pt idx="6">
                  <c:v>Veselības aprūpe un sociālā labklājība</c:v>
                </c:pt>
                <c:pt idx="7">
                  <c:v>Pakalpojumi</c:v>
                </c:pt>
                <c:pt idx="8">
                  <c:v>Vispārējās izgl. un citur neklasificētās grupas</c:v>
                </c:pt>
              </c:strCache>
            </c:strRef>
          </c:cat>
          <c:val>
            <c:numRef>
              <c:f>Sheet1!$B$2:$B$10</c:f>
              <c:numCache>
                <c:formatCode>0.0</c:formatCode>
                <c:ptCount val="9"/>
                <c:pt idx="0">
                  <c:v>18.026593306263809</c:v>
                </c:pt>
                <c:pt idx="1">
                  <c:v>27.789220507067743</c:v>
                </c:pt>
                <c:pt idx="2">
                  <c:v>14.561074527940551</c:v>
                </c:pt>
                <c:pt idx="3">
                  <c:v>23.465623259469879</c:v>
                </c:pt>
                <c:pt idx="4">
                  <c:v>16.528992353938701</c:v>
                </c:pt>
                <c:pt idx="5">
                  <c:v>11.554549998149202</c:v>
                </c:pt>
                <c:pt idx="6">
                  <c:v>4.1630494155369204</c:v>
                </c:pt>
                <c:pt idx="7">
                  <c:v>15.680983841266659</c:v>
                </c:pt>
                <c:pt idx="8">
                  <c:v>19.909989000035921</c:v>
                </c:pt>
              </c:numCache>
            </c:numRef>
          </c:val>
        </c:ser>
        <c:dLbls>
          <c:showLegendKey val="0"/>
          <c:showVal val="0"/>
          <c:showCatName val="0"/>
          <c:showSerName val="0"/>
          <c:showPercent val="0"/>
          <c:showBubbleSize val="0"/>
        </c:dLbls>
        <c:gapWidth val="40"/>
        <c:axId val="139131520"/>
        <c:axId val="141697408"/>
      </c:barChart>
      <c:catAx>
        <c:axId val="139131520"/>
        <c:scaling>
          <c:orientation val="minMax"/>
        </c:scaling>
        <c:delete val="0"/>
        <c:axPos val="l"/>
        <c:numFmt formatCode="General" sourceLinked="1"/>
        <c:majorTickMark val="out"/>
        <c:minorTickMark val="none"/>
        <c:tickLblPos val="nextTo"/>
        <c:txPr>
          <a:bodyPr rot="0" vert="horz"/>
          <a:lstStyle/>
          <a:p>
            <a:pPr algn="just">
              <a:defRPr/>
            </a:pPr>
            <a:endParaRPr lang="lv-LV"/>
          </a:p>
        </c:txPr>
        <c:crossAx val="141697408"/>
        <c:crosses val="autoZero"/>
        <c:auto val="1"/>
        <c:lblAlgn val="ctr"/>
        <c:lblOffset val="100"/>
        <c:noMultiLvlLbl val="0"/>
      </c:catAx>
      <c:valAx>
        <c:axId val="141697408"/>
        <c:scaling>
          <c:orientation val="minMax"/>
          <c:max val="30"/>
        </c:scaling>
        <c:delete val="0"/>
        <c:axPos val="b"/>
        <c:numFmt formatCode="0" sourceLinked="0"/>
        <c:majorTickMark val="out"/>
        <c:minorTickMark val="none"/>
        <c:tickLblPos val="nextTo"/>
        <c:crossAx val="139131520"/>
        <c:crosses val="autoZero"/>
        <c:crossBetween val="between"/>
        <c:majorUnit val="6"/>
      </c:valAx>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7712743131443E-2"/>
          <c:y val="3.3478893740902474E-2"/>
          <c:w val="0.89769286249310676"/>
          <c:h val="0.8120990719599962"/>
        </c:manualLayout>
      </c:layout>
      <c:barChart>
        <c:barDir val="col"/>
        <c:grouping val="clustered"/>
        <c:varyColors val="0"/>
        <c:ser>
          <c:idx val="0"/>
          <c:order val="0"/>
          <c:tx>
            <c:strRef>
              <c:f>Sheet1!$B$1</c:f>
              <c:strCache>
                <c:ptCount val="1"/>
                <c:pt idx="0">
                  <c:v>Profesiju kvalifikācijas pakāpe</c:v>
                </c:pt>
              </c:strCache>
            </c:strRef>
          </c:tx>
          <c:spPr>
            <a:solidFill>
              <a:schemeClr val="accent4">
                <a:lumMod val="75000"/>
              </a:schemeClr>
            </a:solidFill>
          </c:spPr>
          <c:invertIfNegative val="0"/>
          <c:cat>
            <c:strRef>
              <c:f>Sheet1!$A$2:$A$4</c:f>
              <c:strCache>
                <c:ptCount val="3"/>
                <c:pt idx="0">
                  <c:v>Augstas kvalifikācijas prof./augstākā izglītība</c:v>
                </c:pt>
                <c:pt idx="1">
                  <c:v>Vidējas kvalifikācijas prof./ vidējā izgl.</c:v>
                </c:pt>
                <c:pt idx="2">
                  <c:v>Zemas kvalifikācijas prof./ pamatizglītība un zemāka izgl.</c:v>
                </c:pt>
              </c:strCache>
            </c:strRef>
          </c:cat>
          <c:val>
            <c:numRef>
              <c:f>Sheet1!$B$2:$B$4</c:f>
              <c:numCache>
                <c:formatCode>0.0</c:formatCode>
                <c:ptCount val="3"/>
                <c:pt idx="0">
                  <c:v>351.00393695000002</c:v>
                </c:pt>
                <c:pt idx="1">
                  <c:v>415.85091964000003</c:v>
                </c:pt>
                <c:pt idx="2">
                  <c:v>118.75221659999997</c:v>
                </c:pt>
              </c:numCache>
            </c:numRef>
          </c:val>
        </c:ser>
        <c:ser>
          <c:idx val="1"/>
          <c:order val="1"/>
          <c:tx>
            <c:strRef>
              <c:f>Sheet1!$C$1</c:f>
              <c:strCache>
                <c:ptCount val="1"/>
                <c:pt idx="0">
                  <c:v>Izglītības līmenis</c:v>
                </c:pt>
              </c:strCache>
            </c:strRef>
          </c:tx>
          <c:spPr>
            <a:solidFill>
              <a:schemeClr val="accent4">
                <a:lumMod val="60000"/>
                <a:lumOff val="40000"/>
              </a:schemeClr>
            </a:solidFill>
          </c:spPr>
          <c:invertIfNegative val="0"/>
          <c:cat>
            <c:strRef>
              <c:f>Sheet1!$A$2:$A$4</c:f>
              <c:strCache>
                <c:ptCount val="3"/>
                <c:pt idx="0">
                  <c:v>Augstas kvalifikācijas prof./augstākā izglītība</c:v>
                </c:pt>
                <c:pt idx="1">
                  <c:v>Vidējas kvalifikācijas prof./ vidējā izgl.</c:v>
                </c:pt>
                <c:pt idx="2">
                  <c:v>Zemas kvalifikācijas prof./ pamatizglītība un zemāka izgl.</c:v>
                </c:pt>
              </c:strCache>
            </c:strRef>
          </c:cat>
          <c:val>
            <c:numRef>
              <c:f>Sheet1!$C$2:$C$4</c:f>
              <c:numCache>
                <c:formatCode>0.0</c:formatCode>
                <c:ptCount val="3"/>
                <c:pt idx="0">
                  <c:v>302.73696521999955</c:v>
                </c:pt>
                <c:pt idx="1">
                  <c:v>504.35893501999954</c:v>
                </c:pt>
                <c:pt idx="2">
                  <c:v>78.403825220000002</c:v>
                </c:pt>
              </c:numCache>
            </c:numRef>
          </c:val>
        </c:ser>
        <c:dLbls>
          <c:showLegendKey val="0"/>
          <c:showVal val="0"/>
          <c:showCatName val="0"/>
          <c:showSerName val="0"/>
          <c:showPercent val="0"/>
          <c:showBubbleSize val="0"/>
        </c:dLbls>
        <c:gapWidth val="120"/>
        <c:axId val="141714944"/>
        <c:axId val="141716480"/>
      </c:barChart>
      <c:catAx>
        <c:axId val="141714944"/>
        <c:scaling>
          <c:orientation val="minMax"/>
        </c:scaling>
        <c:delete val="0"/>
        <c:axPos val="b"/>
        <c:numFmt formatCode="General" sourceLinked="1"/>
        <c:majorTickMark val="out"/>
        <c:minorTickMark val="none"/>
        <c:tickLblPos val="nextTo"/>
        <c:crossAx val="141716480"/>
        <c:crosses val="autoZero"/>
        <c:auto val="1"/>
        <c:lblAlgn val="ctr"/>
        <c:lblOffset val="100"/>
        <c:tickLblSkip val="1"/>
        <c:noMultiLvlLbl val="0"/>
      </c:catAx>
      <c:valAx>
        <c:axId val="141716480"/>
        <c:scaling>
          <c:orientation val="minMax"/>
        </c:scaling>
        <c:delete val="0"/>
        <c:axPos val="l"/>
        <c:numFmt formatCode="0" sourceLinked="0"/>
        <c:majorTickMark val="out"/>
        <c:minorTickMark val="none"/>
        <c:tickLblPos val="nextTo"/>
        <c:crossAx val="141714944"/>
        <c:crosses val="autoZero"/>
        <c:crossBetween val="between"/>
      </c:valAx>
    </c:plotArea>
    <c:legend>
      <c:legendPos val="r"/>
      <c:layout>
        <c:manualLayout>
          <c:xMode val="edge"/>
          <c:yMode val="edge"/>
          <c:x val="9.8689120099834243E-2"/>
          <c:y val="3.5538412741041886E-2"/>
          <c:w val="0.40841083310859888"/>
          <c:h val="0.1270291434077906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7712743131443E-2"/>
          <c:y val="4.239312347330404E-2"/>
          <c:w val="0.68941027355042583"/>
          <c:h val="0.72791325560600406"/>
        </c:manualLayout>
      </c:layout>
      <c:barChart>
        <c:barDir val="col"/>
        <c:grouping val="stacked"/>
        <c:varyColors val="0"/>
        <c:ser>
          <c:idx val="2"/>
          <c:order val="0"/>
          <c:tx>
            <c:strRef>
              <c:f>Sheet1!$A$4</c:f>
              <c:strCache>
                <c:ptCount val="1"/>
                <c:pt idx="0">
                  <c:v>Pamatizglītība un zemāks izglītības līmenis</c:v>
                </c:pt>
              </c:strCache>
            </c:strRef>
          </c:tx>
          <c:spPr>
            <a:solidFill>
              <a:schemeClr val="accent4">
                <a:lumMod val="40000"/>
                <a:lumOff val="60000"/>
              </a:schemeClr>
            </a:solidFill>
          </c:spPr>
          <c:invertIfNegative val="0"/>
          <c:dLbls>
            <c:dLbl>
              <c:idx val="1"/>
              <c:layout>
                <c:manualLayout>
                  <c:x val="-2.2031865363444244E-3"/>
                  <c:y val="-1.94522208654170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Sheet1!$B$1:$E$1</c:f>
              <c:strCache>
                <c:ptCount val="4"/>
                <c:pt idx="0">
                  <c:v>Kopā</c:v>
                </c:pt>
                <c:pt idx="1">
                  <c:v>Augstas kvalifikācijas profesijas</c:v>
                </c:pt>
                <c:pt idx="2">
                  <c:v>Vidējas kvalifikācijas profesijas</c:v>
                </c:pt>
                <c:pt idx="3">
                  <c:v>Zemas kvalifikācijas profesijas</c:v>
                </c:pt>
              </c:strCache>
            </c:strRef>
          </c:cat>
          <c:val>
            <c:numRef>
              <c:f>Sheet1!$B$4:$E$4</c:f>
              <c:numCache>
                <c:formatCode>0</c:formatCode>
                <c:ptCount val="4"/>
                <c:pt idx="0">
                  <c:v>8.8652377930089141</c:v>
                </c:pt>
                <c:pt idx="1">
                  <c:v>1.2331959568795652</c:v>
                </c:pt>
                <c:pt idx="2">
                  <c:v>11.020019984799578</c:v>
                </c:pt>
                <c:pt idx="3">
                  <c:v>23.847420060736376</c:v>
                </c:pt>
              </c:numCache>
            </c:numRef>
          </c:val>
        </c:ser>
        <c:ser>
          <c:idx val="1"/>
          <c:order val="1"/>
          <c:tx>
            <c:strRef>
              <c:f>Sheet1!$A$3</c:f>
              <c:strCache>
                <c:ptCount val="1"/>
                <c:pt idx="0">
                  <c:v>Vidējā izglītība</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Sheet1!$B$1:$E$1</c:f>
              <c:strCache>
                <c:ptCount val="4"/>
                <c:pt idx="0">
                  <c:v>Kopā</c:v>
                </c:pt>
                <c:pt idx="1">
                  <c:v>Augstas kvalifikācijas profesijas</c:v>
                </c:pt>
                <c:pt idx="2">
                  <c:v>Vidējas kvalifikācijas profesijas</c:v>
                </c:pt>
                <c:pt idx="3">
                  <c:v>Zemas kvalifikācijas profesijas</c:v>
                </c:pt>
              </c:strCache>
            </c:strRef>
          </c:cat>
          <c:val>
            <c:numRef>
              <c:f>Sheet1!$B$3:$E$3</c:f>
              <c:numCache>
                <c:formatCode>0</c:formatCode>
                <c:ptCount val="4"/>
                <c:pt idx="0">
                  <c:v>56.950644398454763</c:v>
                </c:pt>
                <c:pt idx="1">
                  <c:v>31.157260199826904</c:v>
                </c:pt>
                <c:pt idx="2">
                  <c:v>75.240635229905408</c:v>
                </c:pt>
                <c:pt idx="3">
                  <c:v>69.269070439389182</c:v>
                </c:pt>
              </c:numCache>
            </c:numRef>
          </c:val>
        </c:ser>
        <c:ser>
          <c:idx val="0"/>
          <c:order val="2"/>
          <c:tx>
            <c:strRef>
              <c:f>Sheet1!$A$2</c:f>
              <c:strCache>
                <c:ptCount val="1"/>
                <c:pt idx="0">
                  <c:v>Augstākā izglītība</c:v>
                </c:pt>
              </c:strCache>
            </c:strRef>
          </c:tx>
          <c:spPr>
            <a:solidFill>
              <a:schemeClr val="accent4">
                <a:lumMod val="75000"/>
              </a:schemeClr>
            </a:solidFill>
          </c:spPr>
          <c:invertIfNegative val="0"/>
          <c:dLbls>
            <c:showLegendKey val="0"/>
            <c:showVal val="1"/>
            <c:showCatName val="0"/>
            <c:showSerName val="0"/>
            <c:showPercent val="0"/>
            <c:showBubbleSize val="0"/>
            <c:showLeaderLines val="0"/>
          </c:dLbls>
          <c:cat>
            <c:strRef>
              <c:f>Sheet1!$B$1:$E$1</c:f>
              <c:strCache>
                <c:ptCount val="4"/>
                <c:pt idx="0">
                  <c:v>Kopā</c:v>
                </c:pt>
                <c:pt idx="1">
                  <c:v>Augstas kvalifikācijas profesijas</c:v>
                </c:pt>
                <c:pt idx="2">
                  <c:v>Vidējas kvalifikācijas profesijas</c:v>
                </c:pt>
                <c:pt idx="3">
                  <c:v>Zemas kvalifikācijas profesijas</c:v>
                </c:pt>
              </c:strCache>
            </c:strRef>
          </c:cat>
          <c:val>
            <c:numRef>
              <c:f>Sheet1!$B$2:$E$2</c:f>
              <c:numCache>
                <c:formatCode>0</c:formatCode>
                <c:ptCount val="4"/>
                <c:pt idx="0">
                  <c:v>34.184117808536314</c:v>
                </c:pt>
                <c:pt idx="1">
                  <c:v>67.609543843293523</c:v>
                </c:pt>
                <c:pt idx="2">
                  <c:v>13.739344785295016</c:v>
                </c:pt>
                <c:pt idx="3">
                  <c:v>6.8835094998744406</c:v>
                </c:pt>
              </c:numCache>
            </c:numRef>
          </c:val>
        </c:ser>
        <c:dLbls>
          <c:showLegendKey val="0"/>
          <c:showVal val="0"/>
          <c:showCatName val="0"/>
          <c:showSerName val="0"/>
          <c:showPercent val="0"/>
          <c:showBubbleSize val="0"/>
        </c:dLbls>
        <c:gapWidth val="50"/>
        <c:overlap val="100"/>
        <c:axId val="141796480"/>
        <c:axId val="141798016"/>
      </c:barChart>
      <c:catAx>
        <c:axId val="141796480"/>
        <c:scaling>
          <c:orientation val="minMax"/>
        </c:scaling>
        <c:delete val="0"/>
        <c:axPos val="b"/>
        <c:numFmt formatCode="General" sourceLinked="1"/>
        <c:majorTickMark val="out"/>
        <c:minorTickMark val="none"/>
        <c:tickLblPos val="nextTo"/>
        <c:crossAx val="141798016"/>
        <c:crosses val="autoZero"/>
        <c:auto val="1"/>
        <c:lblAlgn val="ctr"/>
        <c:lblOffset val="100"/>
        <c:tickLblSkip val="1"/>
        <c:noMultiLvlLbl val="0"/>
      </c:catAx>
      <c:valAx>
        <c:axId val="141798016"/>
        <c:scaling>
          <c:orientation val="minMax"/>
          <c:max val="100"/>
        </c:scaling>
        <c:delete val="0"/>
        <c:axPos val="l"/>
        <c:numFmt formatCode="0" sourceLinked="1"/>
        <c:majorTickMark val="out"/>
        <c:minorTickMark val="none"/>
        <c:tickLblPos val="nextTo"/>
        <c:crossAx val="141796480"/>
        <c:crosses val="autoZero"/>
        <c:crossBetween val="between"/>
        <c:majorUnit val="20"/>
      </c:valAx>
    </c:plotArea>
    <c:legend>
      <c:legendPos val="r"/>
      <c:layout>
        <c:manualLayout>
          <c:xMode val="edge"/>
          <c:yMode val="edge"/>
          <c:x val="0.78940293573300913"/>
          <c:y val="2.5614131781584031E-4"/>
          <c:w val="0.19408762989521569"/>
          <c:h val="0.8183055661799055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786111111111838E-2"/>
          <c:y val="4.2380279678100374E-2"/>
          <c:w val="0.96057613465509262"/>
          <c:h val="0.90696682381086358"/>
        </c:manualLayout>
      </c:layout>
      <c:lineChart>
        <c:grouping val="standard"/>
        <c:varyColors val="0"/>
        <c:ser>
          <c:idx val="0"/>
          <c:order val="0"/>
          <c:tx>
            <c:strRef>
              <c:f>Sheet1!$A$2</c:f>
              <c:strCache>
                <c:ptCount val="1"/>
                <c:pt idx="0">
                  <c:v>Fakts</c:v>
                </c:pt>
              </c:strCache>
            </c:strRef>
          </c:tx>
          <c:spPr>
            <a:ln w="24822">
              <a:solidFill>
                <a:srgbClr val="8064A2">
                  <a:lumMod val="75000"/>
                </a:srgbClr>
              </a:solidFill>
              <a:prstDash val="solid"/>
            </a:ln>
          </c:spPr>
          <c:marker>
            <c:symbol val="none"/>
          </c:marker>
          <c:cat>
            <c:numRef>
              <c:f>Sheet1!$B$1:$AF$1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Sheet1!$B$2:$AF$2</c:f>
              <c:numCache>
                <c:formatCode>0.0</c:formatCode>
                <c:ptCount val="31"/>
                <c:pt idx="0">
                  <c:v>100</c:v>
                </c:pt>
                <c:pt idx="1">
                  <c:v>107.34886654013414</c:v>
                </c:pt>
                <c:pt idx="2">
                  <c:v>115.10425998723082</c:v>
                </c:pt>
                <c:pt idx="3">
                  <c:v>123.85200995664376</c:v>
                </c:pt>
                <c:pt idx="4">
                  <c:v>134.82202361426846</c:v>
                </c:pt>
                <c:pt idx="5">
                  <c:v>148.47019124279294</c:v>
                </c:pt>
                <c:pt idx="6">
                  <c:v>165.0309464685148</c:v>
                </c:pt>
                <c:pt idx="7">
                  <c:v>180.87463929006643</c:v>
                </c:pt>
                <c:pt idx="8">
                  <c:v>174.95018603504164</c:v>
                </c:pt>
                <c:pt idx="9">
                  <c:v>143.93289549489219</c:v>
                </c:pt>
                <c:pt idx="10">
                  <c:v>143.4504363506131</c:v>
                </c:pt>
                <c:pt idx="11">
                  <c:v>151.3077936468886</c:v>
                </c:pt>
                <c:pt idx="12">
                  <c:v>159.74818800934867</c:v>
                </c:pt>
              </c:numCache>
            </c:numRef>
          </c:val>
          <c:smooth val="1"/>
        </c:ser>
        <c:ser>
          <c:idx val="1"/>
          <c:order val="1"/>
          <c:tx>
            <c:strRef>
              <c:f>Sheet1!$A$3</c:f>
              <c:strCache>
                <c:ptCount val="1"/>
                <c:pt idx="0">
                  <c:v>Prognozes</c:v>
                </c:pt>
              </c:strCache>
            </c:strRef>
          </c:tx>
          <c:spPr>
            <a:ln w="27924">
              <a:solidFill>
                <a:srgbClr val="8064A2">
                  <a:lumMod val="50000"/>
                </a:srgbClr>
              </a:solidFill>
              <a:prstDash val="dash"/>
            </a:ln>
          </c:spPr>
          <c:marker>
            <c:symbol val="none"/>
          </c:marker>
          <c:cat>
            <c:numRef>
              <c:f>Sheet1!$B$1:$AF$1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Sheet1!$B$3:$AF$3</c:f>
              <c:numCache>
                <c:formatCode>General</c:formatCode>
                <c:ptCount val="31"/>
                <c:pt idx="12" formatCode="0.0">
                  <c:v>159.74818800934867</c:v>
                </c:pt>
                <c:pt idx="13" formatCode="0.0">
                  <c:v>166.1794270197388</c:v>
                </c:pt>
                <c:pt idx="14" formatCode="0.0">
                  <c:v>174.44205763918399</c:v>
                </c:pt>
                <c:pt idx="15" formatCode="0.0">
                  <c:v>183.23229462384367</c:v>
                </c:pt>
                <c:pt idx="16" formatCode="0.0">
                  <c:v>192.38273728694486</c:v>
                </c:pt>
                <c:pt idx="17" formatCode="0.0">
                  <c:v>201.93960840967506</c:v>
                </c:pt>
                <c:pt idx="18" formatCode="0.0">
                  <c:v>211.12074775500622</c:v>
                </c:pt>
                <c:pt idx="19" formatCode="0.0">
                  <c:v>219.65497686928092</c:v>
                </c:pt>
                <c:pt idx="20" formatCode="0.0">
                  <c:v>228.48953820985867</c:v>
                </c:pt>
                <c:pt idx="21" formatCode="0.0">
                  <c:v>237.44906688705464</c:v>
                </c:pt>
                <c:pt idx="22" formatCode="0.0">
                  <c:v>246.37024896350536</c:v>
                </c:pt>
                <c:pt idx="23" formatCode="0.0">
                  <c:v>255.40624306210773</c:v>
                </c:pt>
                <c:pt idx="24" formatCode="0.0">
                  <c:v>264.52509777724578</c:v>
                </c:pt>
                <c:pt idx="25" formatCode="0.0">
                  <c:v>273.66456712775954</c:v>
                </c:pt>
                <c:pt idx="26" formatCode="0.0">
                  <c:v>282.8934297009514</c:v>
                </c:pt>
                <c:pt idx="27" formatCode="0.0">
                  <c:v>292.11365878919889</c:v>
                </c:pt>
                <c:pt idx="28" formatCode="0.0">
                  <c:v>301.31922298676892</c:v>
                </c:pt>
                <c:pt idx="29" formatCode="0.0">
                  <c:v>310.53533664008825</c:v>
                </c:pt>
                <c:pt idx="30" formatCode="0.0">
                  <c:v>319.71293355961654</c:v>
                </c:pt>
              </c:numCache>
            </c:numRef>
          </c:val>
          <c:smooth val="0"/>
        </c:ser>
        <c:dLbls>
          <c:showLegendKey val="0"/>
          <c:showVal val="0"/>
          <c:showCatName val="0"/>
          <c:showSerName val="0"/>
          <c:showPercent val="0"/>
          <c:showBubbleSize val="0"/>
        </c:dLbls>
        <c:marker val="1"/>
        <c:smooth val="0"/>
        <c:axId val="148055552"/>
        <c:axId val="148057088"/>
      </c:lineChart>
      <c:catAx>
        <c:axId val="148055552"/>
        <c:scaling>
          <c:orientation val="minMax"/>
        </c:scaling>
        <c:delete val="0"/>
        <c:axPos val="b"/>
        <c:numFmt formatCode="General" sourceLinked="1"/>
        <c:majorTickMark val="out"/>
        <c:minorTickMark val="none"/>
        <c:tickLblPos val="low"/>
        <c:txPr>
          <a:bodyPr rot="0" vert="horz"/>
          <a:lstStyle/>
          <a:p>
            <a:pPr>
              <a:defRPr sz="977">
                <a:latin typeface="Times New Roman" pitchFamily="18" charset="0"/>
                <a:cs typeface="Times New Roman" pitchFamily="18" charset="0"/>
              </a:defRPr>
            </a:pPr>
            <a:endParaRPr lang="lv-LV"/>
          </a:p>
        </c:txPr>
        <c:crossAx val="148057088"/>
        <c:crosses val="autoZero"/>
        <c:auto val="0"/>
        <c:lblAlgn val="ctr"/>
        <c:lblOffset val="100"/>
        <c:tickLblSkip val="3"/>
        <c:tickMarkSkip val="1"/>
        <c:noMultiLvlLbl val="0"/>
      </c:catAx>
      <c:valAx>
        <c:axId val="148057088"/>
        <c:scaling>
          <c:orientation val="minMax"/>
          <c:min val="100"/>
        </c:scaling>
        <c:delete val="0"/>
        <c:axPos val="l"/>
        <c:numFmt formatCode="0" sourceLinked="0"/>
        <c:majorTickMark val="out"/>
        <c:minorTickMark val="none"/>
        <c:tickLblPos val="nextTo"/>
        <c:txPr>
          <a:bodyPr rot="0" vert="horz"/>
          <a:lstStyle/>
          <a:p>
            <a:pPr>
              <a:defRPr sz="977">
                <a:latin typeface="Times New Roman" pitchFamily="18" charset="0"/>
                <a:cs typeface="Times New Roman" pitchFamily="18" charset="0"/>
              </a:defRPr>
            </a:pPr>
            <a:endParaRPr lang="lv-LV"/>
          </a:p>
        </c:txPr>
        <c:crossAx val="148055552"/>
        <c:crosses val="autoZero"/>
        <c:crossBetween val="between"/>
      </c:valAx>
      <c:spPr>
        <a:noFill/>
        <a:ln w="24822">
          <a:noFill/>
        </a:ln>
      </c:spPr>
    </c:plotArea>
    <c:legend>
      <c:legendPos val="r"/>
      <c:layout>
        <c:manualLayout>
          <c:xMode val="edge"/>
          <c:yMode val="edge"/>
          <c:x val="0.20975137184729756"/>
          <c:y val="0.15005267093745009"/>
          <c:w val="0.34400615121347711"/>
          <c:h val="0.18691965266456231"/>
        </c:manualLayout>
      </c:layout>
      <c:overlay val="0"/>
      <c:txPr>
        <a:bodyPr/>
        <a:lstStyle/>
        <a:p>
          <a:pPr>
            <a:defRPr sz="90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1759" b="0" i="0" u="none" strike="noStrike" baseline="0">
          <a:solidFill>
            <a:srgbClr val="000000"/>
          </a:solidFill>
          <a:latin typeface="Calibri" pitchFamily="34" charset="0"/>
          <a:ea typeface="Arial"/>
          <a:cs typeface="Arial"/>
        </a:defRPr>
      </a:pPr>
      <a:endParaRPr lang="lv-LV"/>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73656405943913E-2"/>
          <c:y val="3.0412499999999988E-2"/>
          <c:w val="0.89568205016039715"/>
          <c:h val="0.91188476440444943"/>
        </c:manualLayout>
      </c:layout>
      <c:barChart>
        <c:barDir val="col"/>
        <c:grouping val="clustered"/>
        <c:varyColors val="0"/>
        <c:ser>
          <c:idx val="0"/>
          <c:order val="0"/>
          <c:tx>
            <c:strRef>
              <c:f>Sheet1!$A$2</c:f>
              <c:strCache>
                <c:ptCount val="1"/>
                <c:pt idx="0">
                  <c:v>Mērķa scenārijs</c:v>
                </c:pt>
              </c:strCache>
            </c:strRef>
          </c:tx>
          <c:spPr>
            <a:solidFill>
              <a:srgbClr val="8064A2">
                <a:lumMod val="75000"/>
              </a:srgbClr>
            </a:solidFill>
            <a:ln w="3175">
              <a:solidFill>
                <a:sysClr val="windowText" lastClr="000000"/>
              </a:solidFill>
            </a:ln>
          </c:spPr>
          <c:invertIfNegative val="0"/>
          <c:cat>
            <c:strRef>
              <c:f>Sheet1!$B$1:$S$1</c:f>
              <c:strCach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strCache>
            </c:strRef>
          </c:cat>
          <c:val>
            <c:numRef>
              <c:f>Sheet1!$B$2:$S$2</c:f>
              <c:numCache>
                <c:formatCode>General</c:formatCode>
                <c:ptCount val="18"/>
                <c:pt idx="0">
                  <c:v>-13.211</c:v>
                </c:pt>
                <c:pt idx="1">
                  <c:v>-8.9730000000000008</c:v>
                </c:pt>
                <c:pt idx="2">
                  <c:v>-5.5570000000000004</c:v>
                </c:pt>
                <c:pt idx="3">
                  <c:v>-2.7989999999999999</c:v>
                </c:pt>
                <c:pt idx="4">
                  <c:v>-0.56399999999999995</c:v>
                </c:pt>
                <c:pt idx="5">
                  <c:v>0.92800000000000005</c:v>
                </c:pt>
                <c:pt idx="6">
                  <c:v>2.319</c:v>
                </c:pt>
                <c:pt idx="7">
                  <c:v>3.7080000000000002</c:v>
                </c:pt>
                <c:pt idx="8">
                  <c:v>5.1589999999999998</c:v>
                </c:pt>
                <c:pt idx="9">
                  <c:v>6.5960000000000001</c:v>
                </c:pt>
                <c:pt idx="10">
                  <c:v>8.016</c:v>
                </c:pt>
                <c:pt idx="11">
                  <c:v>9.4559999999999995</c:v>
                </c:pt>
                <c:pt idx="12">
                  <c:v>10.744</c:v>
                </c:pt>
                <c:pt idx="13">
                  <c:v>11.826000000000001</c:v>
                </c:pt>
                <c:pt idx="14">
                  <c:v>12.475</c:v>
                </c:pt>
                <c:pt idx="15">
                  <c:v>13.11</c:v>
                </c:pt>
                <c:pt idx="16">
                  <c:v>13.53</c:v>
                </c:pt>
                <c:pt idx="17">
                  <c:v>13.92</c:v>
                </c:pt>
              </c:numCache>
            </c:numRef>
          </c:val>
        </c:ser>
        <c:dLbls>
          <c:showLegendKey val="0"/>
          <c:showVal val="0"/>
          <c:showCatName val="0"/>
          <c:showSerName val="0"/>
          <c:showPercent val="0"/>
          <c:showBubbleSize val="0"/>
        </c:dLbls>
        <c:gapWidth val="40"/>
        <c:axId val="148064896"/>
        <c:axId val="148066688"/>
      </c:barChart>
      <c:dateAx>
        <c:axId val="148064896"/>
        <c:scaling>
          <c:orientation val="minMax"/>
        </c:scaling>
        <c:delete val="0"/>
        <c:axPos val="b"/>
        <c:numFmt formatCode="dd/mm/yyyy" sourceLinked="0"/>
        <c:majorTickMark val="out"/>
        <c:minorTickMark val="none"/>
        <c:tickLblPos val="low"/>
        <c:txPr>
          <a:bodyPr/>
          <a:lstStyle/>
          <a:p>
            <a:pPr>
              <a:defRPr sz="900" baseline="0"/>
            </a:pPr>
            <a:endParaRPr lang="lv-LV"/>
          </a:p>
        </c:txPr>
        <c:crossAx val="148066688"/>
        <c:crosses val="autoZero"/>
        <c:auto val="0"/>
        <c:lblOffset val="100"/>
        <c:baseTimeUnit val="days"/>
        <c:majorUnit val="2"/>
      </c:dateAx>
      <c:valAx>
        <c:axId val="148066688"/>
        <c:scaling>
          <c:orientation val="minMax"/>
          <c:max val="15"/>
          <c:min val="-15"/>
        </c:scaling>
        <c:delete val="0"/>
        <c:axPos val="l"/>
        <c:numFmt formatCode="General" sourceLinked="1"/>
        <c:majorTickMark val="out"/>
        <c:minorTickMark val="none"/>
        <c:tickLblPos val="nextTo"/>
        <c:txPr>
          <a:bodyPr/>
          <a:lstStyle/>
          <a:p>
            <a:pPr>
              <a:defRPr sz="900" baseline="0"/>
            </a:pPr>
            <a:endParaRPr lang="lv-LV"/>
          </a:p>
        </c:txPr>
        <c:crossAx val="148064896"/>
        <c:crosses val="autoZero"/>
        <c:crossBetween val="between"/>
      </c:valAx>
    </c:plotArea>
    <c:plotVisOnly val="1"/>
    <c:dispBlanksAs val="gap"/>
    <c:showDLblsOverMax val="0"/>
  </c:chart>
  <c:spPr>
    <a:ln>
      <a:noFill/>
    </a:ln>
  </c:spPr>
  <c:txPr>
    <a:bodyPr/>
    <a:lstStyle/>
    <a:p>
      <a:pPr>
        <a:defRPr sz="1098">
          <a:latin typeface="Times New Roman" pitchFamily="18" charset="0"/>
          <a:cs typeface="Times New Roman"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84832525073437"/>
          <c:y val="0.27967411159756156"/>
          <c:w val="0.35657293665193723"/>
          <c:h val="0.47546553005484715"/>
        </c:manualLayout>
      </c:layout>
      <c:pieChart>
        <c:varyColors val="1"/>
        <c:ser>
          <c:idx val="0"/>
          <c:order val="0"/>
          <c:tx>
            <c:strRef>
              <c:f>Sheet1!$B$1</c:f>
              <c:strCache>
                <c:ptCount val="1"/>
                <c:pt idx="0">
                  <c:v>2012</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6.8411465123150994E-2"/>
                  <c:y val="-4.1146530692474023E-2"/>
                </c:manualLayout>
              </c:layout>
              <c:dLblPos val="bestFit"/>
              <c:showLegendKey val="0"/>
              <c:showVal val="0"/>
              <c:showCatName val="1"/>
              <c:showSerName val="0"/>
              <c:showPercent val="1"/>
              <c:showBubbleSize val="0"/>
            </c:dLbl>
            <c:dLbl>
              <c:idx val="1"/>
              <c:layout>
                <c:manualLayout>
                  <c:x val="-5.9352349168274497E-2"/>
                  <c:y val="-4.9144958201810677E-3"/>
                </c:manualLayout>
              </c:layout>
              <c:dLblPos val="bestFit"/>
              <c:showLegendKey val="0"/>
              <c:showVal val="0"/>
              <c:showCatName val="1"/>
              <c:showSerName val="0"/>
              <c:showPercent val="1"/>
              <c:showBubbleSize val="0"/>
            </c:dLbl>
            <c:dLbl>
              <c:idx val="2"/>
              <c:layout>
                <c:manualLayout>
                  <c:x val="9.2923814986702817E-4"/>
                  <c:y val="-6.8842716246372291E-3"/>
                </c:manualLayout>
              </c:layout>
              <c:dLblPos val="bestFit"/>
              <c:showLegendKey val="0"/>
              <c:showVal val="0"/>
              <c:showCatName val="1"/>
              <c:showSerName val="0"/>
              <c:showPercent val="1"/>
              <c:showBubbleSize val="0"/>
            </c:dLbl>
            <c:dLbl>
              <c:idx val="3"/>
              <c:layout>
                <c:manualLayout>
                  <c:x val="2.2029862161269575E-2"/>
                  <c:y val="9.9472059384647399E-2"/>
                </c:manualLayout>
              </c:layout>
              <c:dLblPos val="bestFit"/>
              <c:showLegendKey val="0"/>
              <c:showVal val="0"/>
              <c:showCatName val="1"/>
              <c:showSerName val="0"/>
              <c:showPercent val="1"/>
              <c:showBubbleSize val="0"/>
            </c:dLbl>
            <c:dLbl>
              <c:idx val="4"/>
              <c:layout>
                <c:manualLayout>
                  <c:x val="-7.5854061288696442E-2"/>
                  <c:y val="5.1682218136829917E-2"/>
                </c:manualLayout>
              </c:layout>
              <c:dLblPos val="bestFit"/>
              <c:showLegendKey val="0"/>
              <c:showVal val="0"/>
              <c:showCatName val="1"/>
              <c:showSerName val="0"/>
              <c:showPercent val="1"/>
              <c:showBubbleSize val="0"/>
            </c:dLbl>
            <c:dLbl>
              <c:idx val="5"/>
              <c:layout>
                <c:manualLayout>
                  <c:x val="6.0891230933509278E-3"/>
                  <c:y val="5.6564187929904933E-2"/>
                </c:manualLayout>
              </c:layout>
              <c:dLblPos val="bestFit"/>
              <c:showLegendKey val="0"/>
              <c:showVal val="0"/>
              <c:showCatName val="1"/>
              <c:showSerName val="0"/>
              <c:showPercent val="1"/>
              <c:showBubbleSize val="0"/>
            </c:dLbl>
            <c:dLbl>
              <c:idx val="6"/>
              <c:layout>
                <c:manualLayout>
                  <c:x val="-9.3306217517512297E-3"/>
                  <c:y val="2.4134031704186758E-2"/>
                </c:manualLayout>
              </c:layout>
              <c:dLblPos val="bestFit"/>
              <c:showLegendKey val="0"/>
              <c:showVal val="0"/>
              <c:showCatName val="1"/>
              <c:showSerName val="0"/>
              <c:showPercent val="1"/>
              <c:showBubbleSize val="0"/>
            </c:dLbl>
            <c:dLbl>
              <c:idx val="7"/>
              <c:layout>
                <c:manualLayout>
                  <c:x val="-1.9972188906850218E-2"/>
                  <c:y val="1.9805519904725566E-2"/>
                </c:manualLayout>
              </c:layout>
              <c:tx>
                <c:rich>
                  <a:bodyPr/>
                  <a:lstStyle/>
                  <a:p>
                    <a:r>
                      <a:rPr lang="en-US"/>
                      <a:t>Sabiedris- kie pakal-</a:t>
                    </a:r>
                    <a:r>
                      <a:rPr lang="lv-LV"/>
                      <a:t/>
                    </a:r>
                    <a:br>
                      <a:rPr lang="lv-LV"/>
                    </a:br>
                    <a:r>
                      <a:rPr lang="en-US"/>
                      <a:t>pojumi
13,2%</a:t>
                    </a:r>
                  </a:p>
                </c:rich>
              </c:tx>
              <c:dLblPos val="bestFit"/>
              <c:showLegendKey val="0"/>
              <c:showVal val="0"/>
              <c:showCatName val="1"/>
              <c:showSerName val="0"/>
              <c:showPercent val="1"/>
              <c:showBubbleSize val="0"/>
            </c:dLbl>
            <c:numFmt formatCode="0.0%" sourceLinked="0"/>
            <c:txPr>
              <a:bodyPr/>
              <a:lstStyle/>
              <a:p>
                <a:pPr>
                  <a:defRPr sz="900"/>
                </a:pPr>
                <a:endParaRPr lang="lv-LV"/>
              </a:p>
            </c:txPr>
            <c:showLegendKey val="0"/>
            <c:showVal val="0"/>
            <c:showCatName val="1"/>
            <c:showSerName val="0"/>
            <c:showPercent val="1"/>
            <c:showBubbleSize val="0"/>
            <c:showLeaderLines val="0"/>
          </c:dLbls>
          <c:cat>
            <c:strRef>
              <c:f>Sheet1!$A$2:$A$9</c:f>
              <c:strCache>
                <c:ptCount val="8"/>
                <c:pt idx="0">
                  <c:v>Lauksaim- niecība</c:v>
                </c:pt>
                <c:pt idx="1">
                  <c:v>Apstrādes rūpniecība</c:v>
                </c:pt>
                <c:pt idx="2">
                  <c:v>Pārējā rūpniecība</c:v>
                </c:pt>
                <c:pt idx="3">
                  <c:v>Būvnie- cība</c:v>
                </c:pt>
                <c:pt idx="4">
                  <c:v>Tirdznie- cība</c:v>
                </c:pt>
                <c:pt idx="5">
                  <c:v>Transports</c:v>
                </c:pt>
                <c:pt idx="6">
                  <c:v>Citi komerc-pakalpo- jumi</c:v>
                </c:pt>
                <c:pt idx="7">
                  <c:v>Sabiedris- kie pakal- pojumi</c:v>
                </c:pt>
              </c:strCache>
            </c:strRef>
          </c:cat>
          <c:val>
            <c:numRef>
              <c:f>Sheet1!$B$2:$B$9</c:f>
              <c:numCache>
                <c:formatCode>0.00</c:formatCode>
                <c:ptCount val="8"/>
                <c:pt idx="0">
                  <c:v>5.0058146149855876E-2</c:v>
                </c:pt>
                <c:pt idx="1">
                  <c:v>0.14499702081595417</c:v>
                </c:pt>
                <c:pt idx="2">
                  <c:v>5.0489765751611494E-2</c:v>
                </c:pt>
                <c:pt idx="3">
                  <c:v>6.1498587580697192E-2</c:v>
                </c:pt>
                <c:pt idx="4">
                  <c:v>0.1790734244029076</c:v>
                </c:pt>
                <c:pt idx="5">
                  <c:v>0.12085824423342882</c:v>
                </c:pt>
                <c:pt idx="6">
                  <c:v>0.26067979294652865</c:v>
                </c:pt>
                <c:pt idx="7">
                  <c:v>0.13234501811901619</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928447405612772E-2"/>
          <c:y val="7.6454142291774649E-2"/>
          <c:w val="0.90044950691843162"/>
          <c:h val="0.82699907025728725"/>
        </c:manualLayout>
      </c:layout>
      <c:areaChart>
        <c:grouping val="stacked"/>
        <c:varyColors val="0"/>
        <c:ser>
          <c:idx val="0"/>
          <c:order val="0"/>
          <c:tx>
            <c:strRef>
              <c:f>Sheet1!$A$2</c:f>
              <c:strCache>
                <c:ptCount val="1"/>
                <c:pt idx="0">
                  <c:v>0-14</c:v>
                </c:pt>
              </c:strCache>
            </c:strRef>
          </c:tx>
          <c:spPr>
            <a:solidFill>
              <a:srgbClr val="8064A2">
                <a:lumMod val="50000"/>
              </a:srgbClr>
            </a:solidFill>
            <a:ln w="3175">
              <a:noFill/>
            </a:ln>
          </c:spPr>
          <c:dLbls>
            <c:dLbl>
              <c:idx val="0"/>
              <c:layout>
                <c:manualLayout>
                  <c:x val="5.1282051282051273E-2"/>
                  <c:y val="4.1797283176593534E-3"/>
                </c:manualLayout>
              </c:layout>
              <c:tx>
                <c:rich>
                  <a:bodyPr/>
                  <a:lstStyle/>
                  <a:p>
                    <a:r>
                      <a:rPr lang="lv-LV" sz="900" b="0"/>
                      <a:t>15</a:t>
                    </a:r>
                    <a:r>
                      <a:rPr lang="lv-LV" b="0"/>
                      <a:t>%</a:t>
                    </a:r>
                    <a:endParaRPr lang="en-US"/>
                  </a:p>
                </c:rich>
              </c:tx>
              <c:showLegendKey val="0"/>
              <c:showVal val="0"/>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4.1025641025641034E-3"/>
                  <c:y val="0"/>
                </c:manualLayout>
              </c:layout>
              <c:tx>
                <c:rich>
                  <a:bodyPr/>
                  <a:lstStyle/>
                  <a:p>
                    <a:r>
                      <a:rPr lang="lv-LV" sz="900" b="0"/>
                      <a:t>15%</a:t>
                    </a:r>
                    <a:endParaRPr lang="en-US" sz="900"/>
                  </a:p>
                </c:rich>
              </c:tx>
              <c:showLegendKey val="0"/>
              <c:showVal val="0"/>
              <c:showCatName val="0"/>
              <c:showSerName val="0"/>
              <c:showPercent val="0"/>
              <c:showBubbleSize val="0"/>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layout>
                <c:manualLayout>
                  <c:x val="-3.6923076923077051E-2"/>
                  <c:y val="0"/>
                </c:manualLayout>
              </c:layout>
              <c:tx>
                <c:rich>
                  <a:bodyPr/>
                  <a:lstStyle/>
                  <a:p>
                    <a:r>
                      <a:rPr lang="lv-LV" sz="900" b="0"/>
                      <a:t>14%</a:t>
                    </a:r>
                    <a:endParaRPr lang="en-US" sz="900"/>
                  </a:p>
                </c:rich>
              </c:tx>
              <c:showLegendKey val="0"/>
              <c:showVal val="0"/>
              <c:showCatName val="0"/>
              <c:showSerName val="0"/>
              <c:showPercent val="0"/>
              <c:showBubbleSize val="0"/>
            </c:dLbl>
            <c:txPr>
              <a:bodyPr/>
              <a:lstStyle/>
              <a:p>
                <a:pPr>
                  <a:defRPr sz="900" b="0">
                    <a:solidFill>
                      <a:schemeClr val="bg1"/>
                    </a:solidFill>
                  </a:defRPr>
                </a:pPr>
                <a:endParaRPr lang="lv-LV"/>
              </a:p>
            </c:txPr>
            <c:showLegendKey val="0"/>
            <c:showVal val="1"/>
            <c:showCatName val="0"/>
            <c:showSerName val="0"/>
            <c:showPercent val="0"/>
            <c:showBubbleSize val="0"/>
            <c:showLeaderLines val="0"/>
          </c:dLbls>
          <c:cat>
            <c:numRef>
              <c:f>Sheet1!$B$1:$T$1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Sheet1!$B$2:$T$2</c:f>
              <c:numCache>
                <c:formatCode>0.0</c:formatCode>
                <c:ptCount val="19"/>
                <c:pt idx="0">
                  <c:v>292.18400000000003</c:v>
                </c:pt>
                <c:pt idx="1">
                  <c:v>293.00099999999998</c:v>
                </c:pt>
                <c:pt idx="2">
                  <c:v>294.661</c:v>
                </c:pt>
                <c:pt idx="3">
                  <c:v>295.62799999999999</c:v>
                </c:pt>
                <c:pt idx="4">
                  <c:v>295.77699999999999</c:v>
                </c:pt>
                <c:pt idx="5">
                  <c:v>296.51299999999998</c:v>
                </c:pt>
                <c:pt idx="6">
                  <c:v>296.61099999999999</c:v>
                </c:pt>
                <c:pt idx="7">
                  <c:v>295.68400000000003</c:v>
                </c:pt>
                <c:pt idx="8">
                  <c:v>294.89600000000002</c:v>
                </c:pt>
                <c:pt idx="9">
                  <c:v>292.70699999999999</c:v>
                </c:pt>
                <c:pt idx="10">
                  <c:v>289.34300000000002</c:v>
                </c:pt>
                <c:pt idx="11">
                  <c:v>284.43299999999999</c:v>
                </c:pt>
                <c:pt idx="12">
                  <c:v>278.40100000000001</c:v>
                </c:pt>
                <c:pt idx="13">
                  <c:v>273.65600000000001</c:v>
                </c:pt>
                <c:pt idx="14">
                  <c:v>270.50299999999999</c:v>
                </c:pt>
                <c:pt idx="15">
                  <c:v>267.666</c:v>
                </c:pt>
                <c:pt idx="16">
                  <c:v>264.84899999999999</c:v>
                </c:pt>
                <c:pt idx="17">
                  <c:v>261.892</c:v>
                </c:pt>
                <c:pt idx="18">
                  <c:v>259.57600000000002</c:v>
                </c:pt>
              </c:numCache>
            </c:numRef>
          </c:val>
        </c:ser>
        <c:ser>
          <c:idx val="1"/>
          <c:order val="1"/>
          <c:tx>
            <c:strRef>
              <c:f>Sheet1!$A$3</c:f>
              <c:strCache>
                <c:ptCount val="1"/>
                <c:pt idx="0">
                  <c:v>15-64</c:v>
                </c:pt>
              </c:strCache>
            </c:strRef>
          </c:tx>
          <c:spPr>
            <a:solidFill>
              <a:srgbClr val="8064A2">
                <a:lumMod val="20000"/>
                <a:lumOff val="80000"/>
              </a:srgbClr>
            </a:solidFill>
            <a:ln w="3175">
              <a:noFill/>
            </a:ln>
          </c:spPr>
          <c:dLbls>
            <c:dLbl>
              <c:idx val="0"/>
              <c:layout>
                <c:manualLayout>
                  <c:x val="5.3333333333333774E-2"/>
                  <c:y val="-2.0898641588296792E-2"/>
                </c:manualLayout>
              </c:layout>
              <c:tx>
                <c:rich>
                  <a:bodyPr/>
                  <a:lstStyle/>
                  <a:p>
                    <a:r>
                      <a:rPr lang="lv-LV" sz="900" b="0" baseline="0">
                        <a:solidFill>
                          <a:schemeClr val="tx1"/>
                        </a:solidFill>
                      </a:rPr>
                      <a:t>67%</a:t>
                    </a:r>
                    <a:endParaRPr lang="en-US" sz="900" b="1">
                      <a:solidFill>
                        <a:schemeClr val="bg1">
                          <a:lumMod val="95000"/>
                        </a:schemeClr>
                      </a:solidFill>
                    </a:endParaRPr>
                  </a:p>
                </c:rich>
              </c:tx>
              <c:showLegendKey val="0"/>
              <c:showVal val="0"/>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1.0256410256410263E-2"/>
                  <c:y val="-4.1797283176592814E-3"/>
                </c:manualLayout>
              </c:layout>
              <c:tx>
                <c:rich>
                  <a:bodyPr/>
                  <a:lstStyle/>
                  <a:p>
                    <a:r>
                      <a:rPr lang="lv-LV" sz="900" b="0" baseline="0">
                        <a:solidFill>
                          <a:schemeClr val="tx1"/>
                        </a:solidFill>
                      </a:rPr>
                      <a:t>6</a:t>
                    </a:r>
                    <a:r>
                      <a:rPr lang="lv-LV" b="0" baseline="0">
                        <a:solidFill>
                          <a:schemeClr val="tx1"/>
                        </a:solidFill>
                      </a:rPr>
                      <a:t>5%</a:t>
                    </a:r>
                    <a:endParaRPr lang="en-US"/>
                  </a:p>
                </c:rich>
              </c:tx>
              <c:showLegendKey val="0"/>
              <c:showVal val="0"/>
              <c:showCatName val="0"/>
              <c:showSerName val="0"/>
              <c:showPercent val="0"/>
              <c:showBubbleSize val="0"/>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layout>
                <c:manualLayout>
                  <c:x val="-3.4871794871794891E-2"/>
                  <c:y val="1.2539184952978056E-2"/>
                </c:manualLayout>
              </c:layout>
              <c:tx>
                <c:rich>
                  <a:bodyPr/>
                  <a:lstStyle/>
                  <a:p>
                    <a:r>
                      <a:rPr lang="lv-LV" sz="900" b="0" baseline="0">
                        <a:solidFill>
                          <a:schemeClr val="tx1"/>
                        </a:solidFill>
                      </a:rPr>
                      <a:t>6</a:t>
                    </a:r>
                    <a:r>
                      <a:rPr lang="lv-LV" b="0" baseline="0">
                        <a:solidFill>
                          <a:schemeClr val="tx1"/>
                        </a:solidFill>
                      </a:rPr>
                      <a:t>4%</a:t>
                    </a:r>
                    <a:endParaRPr lang="en-US"/>
                  </a:p>
                </c:rich>
              </c:tx>
              <c:showLegendKey val="0"/>
              <c:showVal val="0"/>
              <c:showCatName val="0"/>
              <c:showSerName val="0"/>
              <c:showPercent val="0"/>
              <c:showBubbleSize val="0"/>
            </c:dLbl>
            <c:txPr>
              <a:bodyPr/>
              <a:lstStyle/>
              <a:p>
                <a:pPr>
                  <a:defRPr sz="900" b="0" baseline="0">
                    <a:solidFill>
                      <a:schemeClr val="tx1"/>
                    </a:solidFill>
                  </a:defRPr>
                </a:pPr>
                <a:endParaRPr lang="lv-LV"/>
              </a:p>
            </c:txPr>
            <c:showLegendKey val="0"/>
            <c:showVal val="1"/>
            <c:showCatName val="0"/>
            <c:showSerName val="0"/>
            <c:showPercent val="0"/>
            <c:showBubbleSize val="0"/>
            <c:showLeaderLines val="0"/>
          </c:dLbls>
          <c:cat>
            <c:numRef>
              <c:f>Sheet1!$B$1:$T$1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Sheet1!$B$3:$T$3</c:f>
              <c:numCache>
                <c:formatCode>0.0</c:formatCode>
                <c:ptCount val="19"/>
                <c:pt idx="0">
                  <c:v>1370.0830000000001</c:v>
                </c:pt>
                <c:pt idx="1">
                  <c:v>1346</c:v>
                </c:pt>
                <c:pt idx="2">
                  <c:v>1323.886</c:v>
                </c:pt>
                <c:pt idx="3">
                  <c:v>1304.3050000000001</c:v>
                </c:pt>
                <c:pt idx="4">
                  <c:v>1289.72</c:v>
                </c:pt>
                <c:pt idx="5">
                  <c:v>1276.1849999999999</c:v>
                </c:pt>
                <c:pt idx="6">
                  <c:v>1264.7829999999999</c:v>
                </c:pt>
                <c:pt idx="7">
                  <c:v>1256.175</c:v>
                </c:pt>
                <c:pt idx="8">
                  <c:v>1246.7570000000001</c:v>
                </c:pt>
                <c:pt idx="9">
                  <c:v>1239.268</c:v>
                </c:pt>
                <c:pt idx="10">
                  <c:v>1233.991</c:v>
                </c:pt>
                <c:pt idx="11">
                  <c:v>1230.192</c:v>
                </c:pt>
                <c:pt idx="12">
                  <c:v>1227.7909999999999</c:v>
                </c:pt>
                <c:pt idx="13">
                  <c:v>1224.981</c:v>
                </c:pt>
                <c:pt idx="14">
                  <c:v>1221.0119999999999</c:v>
                </c:pt>
                <c:pt idx="15">
                  <c:v>1217.258</c:v>
                </c:pt>
                <c:pt idx="16">
                  <c:v>1214.797</c:v>
                </c:pt>
                <c:pt idx="17">
                  <c:v>1213.7570000000001</c:v>
                </c:pt>
                <c:pt idx="18">
                  <c:v>1213.307</c:v>
                </c:pt>
              </c:numCache>
            </c:numRef>
          </c:val>
        </c:ser>
        <c:ser>
          <c:idx val="2"/>
          <c:order val="2"/>
          <c:tx>
            <c:strRef>
              <c:f>Sheet1!$A$4</c:f>
              <c:strCache>
                <c:ptCount val="1"/>
                <c:pt idx="0">
                  <c:v>65+</c:v>
                </c:pt>
              </c:strCache>
            </c:strRef>
          </c:tx>
          <c:spPr>
            <a:solidFill>
              <a:srgbClr val="8064A2">
                <a:lumMod val="60000"/>
                <a:lumOff val="40000"/>
              </a:srgbClr>
            </a:solidFill>
            <a:ln w="3175">
              <a:noFill/>
            </a:ln>
          </c:spPr>
          <c:dLbls>
            <c:dLbl>
              <c:idx val="0"/>
              <c:layout>
                <c:manualLayout>
                  <c:x val="5.7435897435897484E-2"/>
                  <c:y val="0"/>
                </c:manualLayout>
              </c:layout>
              <c:tx>
                <c:rich>
                  <a:bodyPr/>
                  <a:lstStyle/>
                  <a:p>
                    <a:r>
                      <a:rPr lang="lv-LV" sz="900" b="0">
                        <a:solidFill>
                          <a:sysClr val="windowText" lastClr="000000"/>
                        </a:solidFill>
                      </a:rPr>
                      <a:t>19</a:t>
                    </a:r>
                    <a:r>
                      <a:rPr lang="lv-LV" b="0"/>
                      <a:t>%</a:t>
                    </a:r>
                    <a:endParaRPr lang="en-US"/>
                  </a:p>
                </c:rich>
              </c:tx>
              <c:showLegendKey val="0"/>
              <c:showVal val="0"/>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1.2307692307692308E-2"/>
                  <c:y val="4.1797283176593534E-3"/>
                </c:manualLayout>
              </c:layout>
              <c:tx>
                <c:rich>
                  <a:bodyPr/>
                  <a:lstStyle/>
                  <a:p>
                    <a:r>
                      <a:rPr lang="lv-LV" sz="900" b="0">
                        <a:solidFill>
                          <a:sysClr val="windowText" lastClr="000000"/>
                        </a:solidFill>
                      </a:rPr>
                      <a:t>20</a:t>
                    </a:r>
                    <a:r>
                      <a:rPr lang="lv-LV" b="0"/>
                      <a:t>%</a:t>
                    </a:r>
                    <a:endParaRPr lang="en-US"/>
                  </a:p>
                </c:rich>
              </c:tx>
              <c:showLegendKey val="0"/>
              <c:showVal val="0"/>
              <c:showCatName val="0"/>
              <c:showSerName val="0"/>
              <c:showPercent val="0"/>
              <c:showBubbleSize val="0"/>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layout>
                <c:manualLayout>
                  <c:x val="-3.6923076923077051E-2"/>
                  <c:y val="4.1797283176593534E-3"/>
                </c:manualLayout>
              </c:layout>
              <c:tx>
                <c:rich>
                  <a:bodyPr/>
                  <a:lstStyle/>
                  <a:p>
                    <a:r>
                      <a:rPr lang="lv-LV" sz="900" b="0">
                        <a:solidFill>
                          <a:sysClr val="windowText" lastClr="000000"/>
                        </a:solidFill>
                      </a:rPr>
                      <a:t>22</a:t>
                    </a:r>
                    <a:r>
                      <a:rPr lang="lv-LV" b="0"/>
                      <a:t>%</a:t>
                    </a:r>
                    <a:endParaRPr lang="en-US"/>
                  </a:p>
                </c:rich>
              </c:tx>
              <c:showLegendKey val="0"/>
              <c:showVal val="0"/>
              <c:showCatName val="0"/>
              <c:showSerName val="0"/>
              <c:showPercent val="0"/>
              <c:showBubbleSize val="0"/>
            </c:dLbl>
            <c:txPr>
              <a:bodyPr/>
              <a:lstStyle/>
              <a:p>
                <a:pPr>
                  <a:defRPr sz="900" b="0">
                    <a:solidFill>
                      <a:sysClr val="windowText" lastClr="000000"/>
                    </a:solidFill>
                  </a:defRPr>
                </a:pPr>
                <a:endParaRPr lang="lv-LV"/>
              </a:p>
            </c:txPr>
            <c:showLegendKey val="0"/>
            <c:showVal val="1"/>
            <c:showCatName val="0"/>
            <c:showSerName val="0"/>
            <c:showPercent val="0"/>
            <c:showBubbleSize val="0"/>
            <c:showLeaderLines val="0"/>
          </c:dLbls>
          <c:cat>
            <c:numRef>
              <c:f>Sheet1!$B$1:$T$1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Sheet1!$B$4:$T$4</c:f>
              <c:numCache>
                <c:formatCode>0.0</c:formatCode>
                <c:ptCount val="19"/>
                <c:pt idx="0">
                  <c:v>379.49599999999998</c:v>
                </c:pt>
                <c:pt idx="1">
                  <c:v>380.42200000000003</c:v>
                </c:pt>
                <c:pt idx="2">
                  <c:v>382.40300000000002</c:v>
                </c:pt>
                <c:pt idx="3">
                  <c:v>385.45499999999998</c:v>
                </c:pt>
                <c:pt idx="4">
                  <c:v>386.58699999999999</c:v>
                </c:pt>
                <c:pt idx="5">
                  <c:v>387.80799999999999</c:v>
                </c:pt>
                <c:pt idx="6">
                  <c:v>388.52800000000002</c:v>
                </c:pt>
                <c:pt idx="7">
                  <c:v>388.38499999999999</c:v>
                </c:pt>
                <c:pt idx="8">
                  <c:v>389.80099999999999</c:v>
                </c:pt>
                <c:pt idx="9">
                  <c:v>391.69499999999999</c:v>
                </c:pt>
                <c:pt idx="10">
                  <c:v>393.548</c:v>
                </c:pt>
                <c:pt idx="11">
                  <c:v>396.46199999999999</c:v>
                </c:pt>
                <c:pt idx="12">
                  <c:v>400.15800000000002</c:v>
                </c:pt>
                <c:pt idx="13">
                  <c:v>403.93299999999999</c:v>
                </c:pt>
                <c:pt idx="14">
                  <c:v>408.08699999999999</c:v>
                </c:pt>
                <c:pt idx="15">
                  <c:v>412.108</c:v>
                </c:pt>
                <c:pt idx="16">
                  <c:v>415.29</c:v>
                </c:pt>
                <c:pt idx="17">
                  <c:v>417.51799999999997</c:v>
                </c:pt>
                <c:pt idx="18">
                  <c:v>418.89199999999994</c:v>
                </c:pt>
              </c:numCache>
            </c:numRef>
          </c:val>
        </c:ser>
        <c:dLbls>
          <c:showLegendKey val="0"/>
          <c:showVal val="0"/>
          <c:showCatName val="0"/>
          <c:showSerName val="0"/>
          <c:showPercent val="0"/>
          <c:showBubbleSize val="0"/>
        </c:dLbls>
        <c:axId val="148199680"/>
        <c:axId val="148201472"/>
      </c:areaChart>
      <c:catAx>
        <c:axId val="148199680"/>
        <c:scaling>
          <c:orientation val="minMax"/>
        </c:scaling>
        <c:delete val="0"/>
        <c:axPos val="b"/>
        <c:numFmt formatCode="General" sourceLinked="1"/>
        <c:majorTickMark val="out"/>
        <c:minorTickMark val="none"/>
        <c:tickLblPos val="nextTo"/>
        <c:txPr>
          <a:bodyPr/>
          <a:lstStyle/>
          <a:p>
            <a:pPr>
              <a:defRPr sz="900" b="0">
                <a:latin typeface="Times New Roman" pitchFamily="18" charset="0"/>
                <a:cs typeface="Times New Roman" pitchFamily="18" charset="0"/>
              </a:defRPr>
            </a:pPr>
            <a:endParaRPr lang="lv-LV"/>
          </a:p>
        </c:txPr>
        <c:crossAx val="148201472"/>
        <c:crosses val="autoZero"/>
        <c:auto val="1"/>
        <c:lblAlgn val="ctr"/>
        <c:lblOffset val="100"/>
        <c:tickLblSkip val="2"/>
        <c:noMultiLvlLbl val="0"/>
      </c:catAx>
      <c:valAx>
        <c:axId val="148201472"/>
        <c:scaling>
          <c:orientation val="minMax"/>
          <c:max val="2200"/>
          <c:min val="0"/>
        </c:scaling>
        <c:delete val="0"/>
        <c:axPos val="l"/>
        <c:numFmt formatCode="0" sourceLinked="0"/>
        <c:majorTickMark val="out"/>
        <c:minorTickMark val="none"/>
        <c:tickLblPos val="nextTo"/>
        <c:txPr>
          <a:bodyPr/>
          <a:lstStyle/>
          <a:p>
            <a:pPr>
              <a:defRPr sz="898" b="0">
                <a:latin typeface="Times New Roman" pitchFamily="18" charset="0"/>
                <a:cs typeface="Times New Roman" pitchFamily="18" charset="0"/>
              </a:defRPr>
            </a:pPr>
            <a:endParaRPr lang="lv-LV"/>
          </a:p>
        </c:txPr>
        <c:crossAx val="148199680"/>
        <c:crosses val="autoZero"/>
        <c:crossBetween val="midCat"/>
        <c:majorUnit val="500"/>
      </c:valAx>
      <c:spPr>
        <a:solidFill>
          <a:srgbClr val="FFFFFF"/>
        </a:solidFill>
      </c:spPr>
    </c:plotArea>
    <c:legend>
      <c:legendPos val="b"/>
      <c:layout>
        <c:manualLayout>
          <c:xMode val="edge"/>
          <c:yMode val="edge"/>
          <c:x val="0.65878036768583015"/>
          <c:y val="2.886089238845144E-2"/>
          <c:w val="0.29908292782326129"/>
          <c:h val="9.1818654826736859E-2"/>
        </c:manualLayout>
      </c:layout>
      <c:overlay val="0"/>
      <c:txPr>
        <a:bodyPr/>
        <a:lstStyle/>
        <a:p>
          <a:pPr>
            <a:defRPr sz="900"/>
          </a:pPr>
          <a:endParaRPr lang="lv-LV"/>
        </a:p>
      </c:txPr>
    </c:legend>
    <c:plotVisOnly val="1"/>
    <c:dispBlanksAs val="zero"/>
    <c:showDLblsOverMax val="0"/>
  </c:chart>
  <c:spPr>
    <a:solidFill>
      <a:srgbClr val="FFFFFF"/>
    </a:solidFill>
    <a:ln>
      <a:noFill/>
    </a:ln>
  </c:spPr>
  <c:txPr>
    <a:bodyPr/>
    <a:lstStyle/>
    <a:p>
      <a:pPr>
        <a:defRPr>
          <a:latin typeface="Times New Roman" pitchFamily="18" charset="0"/>
          <a:cs typeface="Times New Roman" pitchFamily="18" charset="0"/>
        </a:defRPr>
      </a:pPr>
      <a:endParaRPr lang="lv-LV"/>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2376786235064E-2"/>
          <c:y val="2.9580162264000516E-2"/>
          <c:w val="0.93455625466218062"/>
          <c:h val="0.89184795439395625"/>
        </c:manualLayout>
      </c:layout>
      <c:lineChart>
        <c:grouping val="standard"/>
        <c:varyColors val="0"/>
        <c:ser>
          <c:idx val="0"/>
          <c:order val="0"/>
          <c:tx>
            <c:strRef>
              <c:f>Sheet1!$A$2</c:f>
              <c:strCache>
                <c:ptCount val="1"/>
                <c:pt idx="0">
                  <c:v>Mērķa scenārijs</c:v>
                </c:pt>
              </c:strCache>
            </c:strRef>
          </c:tx>
          <c:spPr>
            <a:ln w="38026">
              <a:solidFill>
                <a:srgbClr val="8064A2">
                  <a:lumMod val="75000"/>
                </a:srgbClr>
              </a:solidFill>
              <a:prstDash val="solid"/>
            </a:ln>
          </c:spPr>
          <c:marker>
            <c:symbol val="none"/>
          </c:marker>
          <c:cat>
            <c:numRef>
              <c:f>Sheet1!$B$1:$T$1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Sheet1!$B$2:$T$2</c:f>
              <c:numCache>
                <c:formatCode>0.0</c:formatCode>
                <c:ptCount val="19"/>
                <c:pt idx="0">
                  <c:v>542.70548812046889</c:v>
                </c:pt>
                <c:pt idx="1">
                  <c:v>557.26792584361328</c:v>
                </c:pt>
                <c:pt idx="2">
                  <c:v>569.29746890540923</c:v>
                </c:pt>
                <c:pt idx="3">
                  <c:v>579.59734106667622</c:v>
                </c:pt>
                <c:pt idx="4">
                  <c:v>587.35642360971372</c:v>
                </c:pt>
                <c:pt idx="5">
                  <c:v>593.9760005918954</c:v>
                </c:pt>
                <c:pt idx="6">
                  <c:v>601.39844633499149</c:v>
                </c:pt>
                <c:pt idx="7">
                  <c:v>607.71673273496231</c:v>
                </c:pt>
                <c:pt idx="8">
                  <c:v>613.68544791176691</c:v>
                </c:pt>
                <c:pt idx="9">
                  <c:v>618.75077311975167</c:v>
                </c:pt>
                <c:pt idx="10">
                  <c:v>622.76136997596609</c:v>
                </c:pt>
                <c:pt idx="11">
                  <c:v>624.16798112617448</c:v>
                </c:pt>
                <c:pt idx="12">
                  <c:v>624.03712961117162</c:v>
                </c:pt>
                <c:pt idx="13">
                  <c:v>625.08370688241405</c:v>
                </c:pt>
                <c:pt idx="14">
                  <c:v>626.8465365316415</c:v>
                </c:pt>
                <c:pt idx="15">
                  <c:v>627.56012519218098</c:v>
                </c:pt>
                <c:pt idx="16">
                  <c:v>626.90502417258995</c:v>
                </c:pt>
                <c:pt idx="17">
                  <c:v>624.05882812144796</c:v>
                </c:pt>
                <c:pt idx="18">
                  <c:v>622.49446167858957</c:v>
                </c:pt>
              </c:numCache>
            </c:numRef>
          </c:val>
          <c:smooth val="1"/>
        </c:ser>
        <c:dLbls>
          <c:showLegendKey val="0"/>
          <c:showVal val="0"/>
          <c:showCatName val="0"/>
          <c:showSerName val="0"/>
          <c:showPercent val="0"/>
          <c:showBubbleSize val="0"/>
        </c:dLbls>
        <c:marker val="1"/>
        <c:smooth val="0"/>
        <c:axId val="148221312"/>
        <c:axId val="148223104"/>
      </c:lineChart>
      <c:catAx>
        <c:axId val="148221312"/>
        <c:scaling>
          <c:orientation val="minMax"/>
        </c:scaling>
        <c:delete val="0"/>
        <c:axPos val="b"/>
        <c:numFmt formatCode="General" sourceLinked="1"/>
        <c:majorTickMark val="out"/>
        <c:minorTickMark val="none"/>
        <c:tickLblPos val="nextTo"/>
        <c:txPr>
          <a:bodyPr rot="0" vert="horz"/>
          <a:lstStyle/>
          <a:p>
            <a:pPr>
              <a:defRPr sz="900" b="0"/>
            </a:pPr>
            <a:endParaRPr lang="lv-LV"/>
          </a:p>
        </c:txPr>
        <c:crossAx val="148223104"/>
        <c:crosses val="autoZero"/>
        <c:auto val="1"/>
        <c:lblAlgn val="ctr"/>
        <c:lblOffset val="100"/>
        <c:tickLblSkip val="2"/>
        <c:tickMarkSkip val="1"/>
        <c:noMultiLvlLbl val="0"/>
      </c:catAx>
      <c:valAx>
        <c:axId val="148223104"/>
        <c:scaling>
          <c:orientation val="minMax"/>
          <c:max val="640"/>
          <c:min val="540"/>
        </c:scaling>
        <c:delete val="0"/>
        <c:axPos val="l"/>
        <c:numFmt formatCode="0" sourceLinked="0"/>
        <c:majorTickMark val="out"/>
        <c:minorTickMark val="none"/>
        <c:tickLblPos val="nextTo"/>
        <c:txPr>
          <a:bodyPr rot="0" vert="horz"/>
          <a:lstStyle/>
          <a:p>
            <a:pPr>
              <a:defRPr sz="900" b="0"/>
            </a:pPr>
            <a:endParaRPr lang="lv-LV"/>
          </a:p>
        </c:txPr>
        <c:crossAx val="148221312"/>
        <c:crosses val="autoZero"/>
        <c:crossBetween val="between"/>
        <c:majorUnit val="2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2376786235064E-2"/>
          <c:y val="2.9580162264000516E-2"/>
          <c:w val="0.93455625466218062"/>
          <c:h val="0.89184795439395625"/>
        </c:manualLayout>
      </c:layout>
      <c:lineChart>
        <c:grouping val="standard"/>
        <c:varyColors val="0"/>
        <c:ser>
          <c:idx val="0"/>
          <c:order val="0"/>
          <c:tx>
            <c:strRef>
              <c:f>Sheet1!$A$2</c:f>
              <c:strCache>
                <c:ptCount val="1"/>
                <c:pt idx="0">
                  <c:v>Mērķa scenārijs</c:v>
                </c:pt>
              </c:strCache>
            </c:strRef>
          </c:tx>
          <c:spPr>
            <a:ln w="38023">
              <a:solidFill>
                <a:srgbClr val="8064A2">
                  <a:lumMod val="75000"/>
                </a:srgbClr>
              </a:solidFill>
              <a:prstDash val="solid"/>
            </a:ln>
          </c:spPr>
          <c:marker>
            <c:symbol val="none"/>
          </c:marker>
          <c:cat>
            <c:numRef>
              <c:f>Sheet1!$B$1:$T$1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Sheet1!$B$2:$T$2</c:f>
              <c:numCache>
                <c:formatCode>General</c:formatCode>
                <c:ptCount val="19"/>
                <c:pt idx="0">
                  <c:v>1041.1075560100005</c:v>
                </c:pt>
                <c:pt idx="1">
                  <c:v>1031.5114856407079</c:v>
                </c:pt>
                <c:pt idx="2">
                  <c:v>1021.3687310192344</c:v>
                </c:pt>
                <c:pt idx="3">
                  <c:v>1011.6550542595894</c:v>
                </c:pt>
                <c:pt idx="4">
                  <c:v>1004.7830968498705</c:v>
                </c:pt>
                <c:pt idx="5">
                  <c:v>999.62241679225644</c:v>
                </c:pt>
                <c:pt idx="6">
                  <c:v>997.39892509029369</c:v>
                </c:pt>
                <c:pt idx="7">
                  <c:v>998.85254826262667</c:v>
                </c:pt>
                <c:pt idx="8">
                  <c:v>999.51903008001568</c:v>
                </c:pt>
                <c:pt idx="9">
                  <c:v>1000.1217159452667</c:v>
                </c:pt>
                <c:pt idx="10">
                  <c:v>1000.8972042059576</c:v>
                </c:pt>
                <c:pt idx="11">
                  <c:v>1002.6709434634539</c:v>
                </c:pt>
                <c:pt idx="12">
                  <c:v>1004.8144817974155</c:v>
                </c:pt>
                <c:pt idx="13">
                  <c:v>1007.8254903287652</c:v>
                </c:pt>
                <c:pt idx="14">
                  <c:v>1010.3044424986307</c:v>
                </c:pt>
                <c:pt idx="15">
                  <c:v>1011.5357573861096</c:v>
                </c:pt>
                <c:pt idx="16">
                  <c:v>1014.3140434939452</c:v>
                </c:pt>
                <c:pt idx="17">
                  <c:v>1018.1133332904492</c:v>
                </c:pt>
                <c:pt idx="18">
                  <c:v>1021.4151290224167</c:v>
                </c:pt>
              </c:numCache>
            </c:numRef>
          </c:val>
          <c:smooth val="1"/>
        </c:ser>
        <c:dLbls>
          <c:showLegendKey val="0"/>
          <c:showVal val="0"/>
          <c:showCatName val="0"/>
          <c:showSerName val="0"/>
          <c:showPercent val="0"/>
          <c:showBubbleSize val="0"/>
        </c:dLbls>
        <c:marker val="1"/>
        <c:smooth val="0"/>
        <c:axId val="148291968"/>
        <c:axId val="148293504"/>
      </c:lineChart>
      <c:catAx>
        <c:axId val="148291968"/>
        <c:scaling>
          <c:orientation val="minMax"/>
        </c:scaling>
        <c:delete val="0"/>
        <c:axPos val="b"/>
        <c:numFmt formatCode="General" sourceLinked="1"/>
        <c:majorTickMark val="out"/>
        <c:minorTickMark val="none"/>
        <c:tickLblPos val="nextTo"/>
        <c:txPr>
          <a:bodyPr rot="0" vert="horz"/>
          <a:lstStyle/>
          <a:p>
            <a:pPr>
              <a:defRPr sz="900"/>
            </a:pPr>
            <a:endParaRPr lang="lv-LV"/>
          </a:p>
        </c:txPr>
        <c:crossAx val="148293504"/>
        <c:crosses val="autoZero"/>
        <c:auto val="1"/>
        <c:lblAlgn val="ctr"/>
        <c:lblOffset val="100"/>
        <c:tickLblSkip val="2"/>
        <c:tickMarkSkip val="1"/>
        <c:noMultiLvlLbl val="0"/>
      </c:catAx>
      <c:valAx>
        <c:axId val="148293504"/>
        <c:scaling>
          <c:orientation val="minMax"/>
          <c:max val="1050"/>
          <c:min val="990"/>
        </c:scaling>
        <c:delete val="0"/>
        <c:axPos val="l"/>
        <c:numFmt formatCode="0" sourceLinked="0"/>
        <c:majorTickMark val="out"/>
        <c:minorTickMark val="none"/>
        <c:tickLblPos val="nextTo"/>
        <c:txPr>
          <a:bodyPr rot="0" vert="horz"/>
          <a:lstStyle/>
          <a:p>
            <a:pPr>
              <a:defRPr sz="900"/>
            </a:pPr>
            <a:endParaRPr lang="lv-LV"/>
          </a:p>
        </c:txPr>
        <c:crossAx val="148291968"/>
        <c:crosses val="autoZero"/>
        <c:crossBetween val="between"/>
        <c:majorUnit val="10"/>
      </c:valAx>
    </c:plotArea>
    <c:plotVisOnly val="1"/>
    <c:dispBlanksAs val="gap"/>
    <c:showDLblsOverMax val="0"/>
  </c:chart>
  <c:spPr>
    <a:ln>
      <a:noFill/>
    </a:ln>
  </c:spPr>
  <c:txPr>
    <a:bodyPr/>
    <a:lstStyle/>
    <a:p>
      <a:pPr>
        <a:defRPr sz="1098" b="0">
          <a:latin typeface="Times New Roman" pitchFamily="18" charset="0"/>
          <a:cs typeface="Times New Roman" pitchFamily="18" charset="0"/>
        </a:defRPr>
      </a:pPr>
      <a:endParaRPr lang="lv-LV"/>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8873324557412"/>
          <c:y val="3.6866359447004601E-2"/>
          <c:w val="0.76932780843947224"/>
          <c:h val="0.90177944103140961"/>
        </c:manualLayout>
      </c:layout>
      <c:barChart>
        <c:barDir val="bar"/>
        <c:grouping val="clustered"/>
        <c:varyColors val="0"/>
        <c:ser>
          <c:idx val="1"/>
          <c:order val="0"/>
          <c:tx>
            <c:strRef>
              <c:f>Sheet1!$B$1</c:f>
              <c:strCache>
                <c:ptCount val="1"/>
              </c:strCache>
            </c:strRef>
          </c:tx>
          <c:spPr>
            <a:solidFill>
              <a:schemeClr val="accent4">
                <a:lumMod val="60000"/>
                <a:lumOff val="40000"/>
              </a:schemeClr>
            </a:solidFill>
            <a:ln w="3175">
              <a:solidFill>
                <a:sysClr val="windowText" lastClr="000000"/>
              </a:solidFill>
              <a:prstDash val="solid"/>
            </a:ln>
          </c:spPr>
          <c:invertIfNegative val="0"/>
          <c:dPt>
            <c:idx val="9"/>
            <c:invertIfNegative val="0"/>
            <c:bubble3D val="0"/>
            <c:spPr>
              <a:solidFill>
                <a:schemeClr val="accent4">
                  <a:lumMod val="50000"/>
                </a:schemeClr>
              </a:solidFill>
              <a:ln w="3175">
                <a:solidFill>
                  <a:sysClr val="windowText" lastClr="000000"/>
                </a:solidFill>
                <a:prstDash val="solid"/>
              </a:ln>
            </c:spPr>
          </c:dPt>
          <c:dLbls>
            <c:dLbl>
              <c:idx val="4"/>
              <c:layout>
                <c:manualLayout>
                  <c:x val="-2.1788990225044481E-2"/>
                  <c:y val="5.1824212271973456E-3"/>
                </c:manualLayout>
              </c:layout>
              <c:dLblPos val="outEnd"/>
              <c:showLegendKey val="0"/>
              <c:showVal val="1"/>
              <c:showCatName val="0"/>
              <c:showSerName val="0"/>
              <c:showPercent val="0"/>
              <c:showBubbleSize val="0"/>
            </c:dLbl>
            <c:dLbl>
              <c:idx val="17"/>
              <c:layout>
                <c:manualLayout>
                  <c:x val="0"/>
                  <c:y val="-8.241758241758242E-3"/>
                </c:manualLayout>
              </c:layout>
              <c:dLblPos val="outEnd"/>
              <c:showLegendKey val="0"/>
              <c:showVal val="1"/>
              <c:showCatName val="0"/>
              <c:showSerName val="0"/>
              <c:showPercent val="0"/>
              <c:showBubbleSize val="0"/>
            </c:dLbl>
            <c:dLbl>
              <c:idx val="18"/>
              <c:layout>
                <c:manualLayout>
                  <c:x val="0"/>
                  <c:y val="-1.6483516483516487E-2"/>
                </c:manualLayout>
              </c:layout>
              <c:dLblPos val="outEnd"/>
              <c:showLegendKey val="0"/>
              <c:showVal val="1"/>
              <c:showCatName val="0"/>
              <c:showSerName val="0"/>
              <c:showPercent val="0"/>
              <c:showBubbleSize val="0"/>
            </c:dLbl>
            <c:dLbl>
              <c:idx val="19"/>
              <c:layout>
                <c:manualLayout>
                  <c:x val="0"/>
                  <c:y val="-2.7472527472527961E-2"/>
                </c:manualLayout>
              </c:layout>
              <c:dLblPos val="outEnd"/>
              <c:showLegendKey val="0"/>
              <c:showVal val="1"/>
              <c:showCatName val="0"/>
              <c:showSerName val="0"/>
              <c:showPercent val="0"/>
              <c:showBubbleSize val="0"/>
            </c:dLbl>
            <c:dLbl>
              <c:idx val="20"/>
              <c:layout>
                <c:manualLayout>
                  <c:x val="0"/>
                  <c:y val="-2.7472527472527961E-2"/>
                </c:manualLayout>
              </c:layout>
              <c:dLblPos val="outEnd"/>
              <c:showLegendKey val="0"/>
              <c:showVal val="1"/>
              <c:showCatName val="0"/>
              <c:showSerName val="0"/>
              <c:showPercent val="0"/>
              <c:showBubbleSize val="0"/>
            </c:dLbl>
            <c:dLbl>
              <c:idx val="21"/>
              <c:layout>
                <c:manualLayout>
                  <c:x val="1.065879159741259E-16"/>
                  <c:y val="-2.7472527472527961E-2"/>
                </c:manualLayout>
              </c:layout>
              <c:dLblPos val="outEnd"/>
              <c:showLegendKey val="0"/>
              <c:showVal val="1"/>
              <c:showCatName val="0"/>
              <c:showSerName val="0"/>
              <c:showPercent val="0"/>
              <c:showBubbleSize val="0"/>
            </c:dLbl>
            <c:dLbl>
              <c:idx val="22"/>
              <c:layout>
                <c:manualLayout>
                  <c:x val="0"/>
                  <c:y val="-3.5714285714285712E-2"/>
                </c:manualLayout>
              </c:layout>
              <c:dLblPos val="outEnd"/>
              <c:showLegendKey val="0"/>
              <c:showVal val="1"/>
              <c:showCatName val="0"/>
              <c:showSerName val="0"/>
              <c:showPercent val="0"/>
              <c:showBubbleSize val="0"/>
            </c:dLbl>
            <c:dLbl>
              <c:idx val="23"/>
              <c:layout>
                <c:manualLayout>
                  <c:x val="1.065879159741259E-16"/>
                  <c:y val="-3.8461538461538464E-2"/>
                </c:manualLayout>
              </c:layout>
              <c:dLblPos val="outEnd"/>
              <c:showLegendKey val="0"/>
              <c:showVal val="1"/>
              <c:showCatName val="0"/>
              <c:showSerName val="0"/>
              <c:showPercent val="0"/>
              <c:showBubbleSize val="0"/>
            </c:dLbl>
            <c:numFmt formatCode="#,##0.0" sourceLinked="0"/>
            <c:spPr>
              <a:noFill/>
              <a:ln w="25402">
                <a:noFill/>
              </a:ln>
            </c:spPr>
            <c:txPr>
              <a:bodyPr/>
              <a:lstStyle/>
              <a:p>
                <a:pPr>
                  <a:defRPr sz="1000">
                    <a:latin typeface="Times New Roman" pitchFamily="18" charset="0"/>
                    <a:cs typeface="Times New Roman" pitchFamily="18" charset="0"/>
                  </a:defRPr>
                </a:pPr>
                <a:endParaRPr lang="lv-LV"/>
              </a:p>
            </c:txPr>
            <c:dLblPos val="outEnd"/>
            <c:showLegendKey val="0"/>
            <c:showVal val="1"/>
            <c:showCatName val="0"/>
            <c:showSerName val="0"/>
            <c:showPercent val="0"/>
            <c:showBubbleSize val="0"/>
            <c:showLeaderLines val="0"/>
          </c:dLbls>
          <c:cat>
            <c:numRef>
              <c:f>Sheet1!$A$2:$A$11</c:f>
              <c:numCache>
                <c:formatCode>General</c:formatCode>
                <c:ptCount val="10"/>
              </c:numCache>
            </c:numRef>
          </c:cat>
          <c:val>
            <c:numRef>
              <c:f>Sheet1!$B$2:$B$11</c:f>
              <c:numCache>
                <c:formatCode>0.0</c:formatCode>
                <c:ptCount val="10"/>
                <c:pt idx="0">
                  <c:v>-0.56587207487794444</c:v>
                </c:pt>
                <c:pt idx="1">
                  <c:v>9.7401310182001026</c:v>
                </c:pt>
                <c:pt idx="2">
                  <c:v>5.1586321654468321</c:v>
                </c:pt>
                <c:pt idx="3">
                  <c:v>5.9362627858251074</c:v>
                </c:pt>
                <c:pt idx="4">
                  <c:v>12.028576343075088</c:v>
                </c:pt>
                <c:pt idx="5">
                  <c:v>15.298993799712491</c:v>
                </c:pt>
                <c:pt idx="6">
                  <c:v>12.281051158695107</c:v>
                </c:pt>
                <c:pt idx="7">
                  <c:v>-6.1500265097632507</c:v>
                </c:pt>
                <c:pt idx="9">
                  <c:v>5.6133326819966385</c:v>
                </c:pt>
              </c:numCache>
            </c:numRef>
          </c:val>
        </c:ser>
        <c:dLbls>
          <c:showLegendKey val="0"/>
          <c:showVal val="0"/>
          <c:showCatName val="0"/>
          <c:showSerName val="0"/>
          <c:showPercent val="0"/>
          <c:showBubbleSize val="0"/>
        </c:dLbls>
        <c:gapWidth val="40"/>
        <c:axId val="148305792"/>
        <c:axId val="148307328"/>
      </c:barChart>
      <c:catAx>
        <c:axId val="148305792"/>
        <c:scaling>
          <c:orientation val="minMax"/>
        </c:scaling>
        <c:delete val="0"/>
        <c:axPos val="l"/>
        <c:numFmt formatCode="General" sourceLinked="1"/>
        <c:majorTickMark val="out"/>
        <c:minorTickMark val="none"/>
        <c:tickLblPos val="nextTo"/>
        <c:crossAx val="148307328"/>
        <c:crosses val="autoZero"/>
        <c:auto val="0"/>
        <c:lblAlgn val="ctr"/>
        <c:lblOffset val="100"/>
        <c:noMultiLvlLbl val="0"/>
      </c:catAx>
      <c:valAx>
        <c:axId val="148307328"/>
        <c:scaling>
          <c:orientation val="minMax"/>
          <c:max val="100"/>
          <c:min val="-20"/>
        </c:scaling>
        <c:delete val="0"/>
        <c:axPos val="b"/>
        <c:numFmt formatCode="0" sourceLinked="0"/>
        <c:majorTickMark val="out"/>
        <c:minorTickMark val="none"/>
        <c:tickLblPos val="nextTo"/>
        <c:spPr>
          <a:ln w="3175">
            <a:solidFill>
              <a:srgbClr val="808080"/>
            </a:solidFill>
            <a:prstDash val="solid"/>
          </a:ln>
        </c:spPr>
        <c:txPr>
          <a:bodyPr rot="0" vert="horz"/>
          <a:lstStyle/>
          <a:p>
            <a:pPr>
              <a:defRPr sz="900">
                <a:latin typeface="Times New Roman" pitchFamily="18" charset="0"/>
                <a:cs typeface="Times New Roman" pitchFamily="18" charset="0"/>
              </a:defRPr>
            </a:pPr>
            <a:endParaRPr lang="lv-LV"/>
          </a:p>
        </c:txPr>
        <c:crossAx val="148305792"/>
        <c:crosses val="autoZero"/>
        <c:crossBetween val="between"/>
        <c:majorUnit val="20"/>
      </c:valAx>
      <c:spPr>
        <a:noFill/>
        <a:ln w="25402">
          <a:noFill/>
        </a:ln>
      </c:spPr>
    </c:plotArea>
    <c:plotVisOnly val="1"/>
    <c:dispBlanksAs val="gap"/>
    <c:showDLblsOverMax val="0"/>
  </c:chart>
  <c:spPr>
    <a:solidFill>
      <a:srgbClr val="FFFFFF"/>
    </a:solidFill>
    <a:ln>
      <a:noFill/>
    </a:ln>
  </c:spPr>
  <c:txPr>
    <a:bodyPr/>
    <a:lstStyle/>
    <a:p>
      <a:pPr algn="just">
        <a:defRPr sz="1400" b="0" i="0" u="none" strike="noStrike" baseline="0">
          <a:solidFill>
            <a:srgbClr val="000000"/>
          </a:solidFill>
          <a:latin typeface="Garamond"/>
          <a:ea typeface="Garamond"/>
          <a:cs typeface="Garamond"/>
        </a:defRPr>
      </a:pPr>
      <a:endParaRPr lang="lv-LV"/>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8873324557412"/>
          <c:y val="3.6866359447004601E-2"/>
          <c:w val="0.76932780843947224"/>
          <c:h val="0.90177944103140961"/>
        </c:manualLayout>
      </c:layout>
      <c:barChart>
        <c:barDir val="bar"/>
        <c:grouping val="clustered"/>
        <c:varyColors val="0"/>
        <c:ser>
          <c:idx val="1"/>
          <c:order val="0"/>
          <c:tx>
            <c:strRef>
              <c:f>Sheet1!$B$1</c:f>
              <c:strCache>
                <c:ptCount val="1"/>
              </c:strCache>
            </c:strRef>
          </c:tx>
          <c:spPr>
            <a:solidFill>
              <a:schemeClr val="accent4">
                <a:lumMod val="60000"/>
                <a:lumOff val="40000"/>
              </a:schemeClr>
            </a:solidFill>
            <a:ln w="3175">
              <a:solidFill>
                <a:sysClr val="windowText" lastClr="000000"/>
              </a:solidFill>
              <a:prstDash val="solid"/>
            </a:ln>
          </c:spPr>
          <c:invertIfNegative val="0"/>
          <c:dPt>
            <c:idx val="9"/>
            <c:invertIfNegative val="0"/>
            <c:bubble3D val="0"/>
            <c:spPr>
              <a:solidFill>
                <a:schemeClr val="accent4">
                  <a:lumMod val="50000"/>
                </a:schemeClr>
              </a:solidFill>
              <a:ln w="3175">
                <a:solidFill>
                  <a:sysClr val="windowText" lastClr="000000"/>
                </a:solidFill>
                <a:prstDash val="solid"/>
              </a:ln>
            </c:spPr>
          </c:dPt>
          <c:dLbls>
            <c:dLbl>
              <c:idx val="4"/>
              <c:layout>
                <c:manualLayout>
                  <c:x val="-2.1788990225044481E-2"/>
                  <c:y val="5.1824212271973456E-3"/>
                </c:manualLayout>
              </c:layout>
              <c:dLblPos val="outEnd"/>
              <c:showLegendKey val="0"/>
              <c:showVal val="1"/>
              <c:showCatName val="0"/>
              <c:showSerName val="0"/>
              <c:showPercent val="0"/>
              <c:showBubbleSize val="0"/>
            </c:dLbl>
            <c:dLbl>
              <c:idx val="17"/>
              <c:layout>
                <c:manualLayout>
                  <c:x val="0"/>
                  <c:y val="-8.241758241758242E-3"/>
                </c:manualLayout>
              </c:layout>
              <c:dLblPos val="outEnd"/>
              <c:showLegendKey val="0"/>
              <c:showVal val="1"/>
              <c:showCatName val="0"/>
              <c:showSerName val="0"/>
              <c:showPercent val="0"/>
              <c:showBubbleSize val="0"/>
            </c:dLbl>
            <c:dLbl>
              <c:idx val="18"/>
              <c:layout>
                <c:manualLayout>
                  <c:x val="0"/>
                  <c:y val="-1.6483516483516487E-2"/>
                </c:manualLayout>
              </c:layout>
              <c:dLblPos val="outEnd"/>
              <c:showLegendKey val="0"/>
              <c:showVal val="1"/>
              <c:showCatName val="0"/>
              <c:showSerName val="0"/>
              <c:showPercent val="0"/>
              <c:showBubbleSize val="0"/>
            </c:dLbl>
            <c:dLbl>
              <c:idx val="19"/>
              <c:layout>
                <c:manualLayout>
                  <c:x val="0"/>
                  <c:y val="-2.7472527472527961E-2"/>
                </c:manualLayout>
              </c:layout>
              <c:dLblPos val="outEnd"/>
              <c:showLegendKey val="0"/>
              <c:showVal val="1"/>
              <c:showCatName val="0"/>
              <c:showSerName val="0"/>
              <c:showPercent val="0"/>
              <c:showBubbleSize val="0"/>
            </c:dLbl>
            <c:dLbl>
              <c:idx val="20"/>
              <c:layout>
                <c:manualLayout>
                  <c:x val="0"/>
                  <c:y val="-2.7472527472527961E-2"/>
                </c:manualLayout>
              </c:layout>
              <c:dLblPos val="outEnd"/>
              <c:showLegendKey val="0"/>
              <c:showVal val="1"/>
              <c:showCatName val="0"/>
              <c:showSerName val="0"/>
              <c:showPercent val="0"/>
              <c:showBubbleSize val="0"/>
            </c:dLbl>
            <c:dLbl>
              <c:idx val="21"/>
              <c:layout>
                <c:manualLayout>
                  <c:x val="1.065879159741259E-16"/>
                  <c:y val="-2.7472527472527961E-2"/>
                </c:manualLayout>
              </c:layout>
              <c:dLblPos val="outEnd"/>
              <c:showLegendKey val="0"/>
              <c:showVal val="1"/>
              <c:showCatName val="0"/>
              <c:showSerName val="0"/>
              <c:showPercent val="0"/>
              <c:showBubbleSize val="0"/>
            </c:dLbl>
            <c:dLbl>
              <c:idx val="22"/>
              <c:layout>
                <c:manualLayout>
                  <c:x val="0"/>
                  <c:y val="-3.5714285714285712E-2"/>
                </c:manualLayout>
              </c:layout>
              <c:dLblPos val="outEnd"/>
              <c:showLegendKey val="0"/>
              <c:showVal val="1"/>
              <c:showCatName val="0"/>
              <c:showSerName val="0"/>
              <c:showPercent val="0"/>
              <c:showBubbleSize val="0"/>
            </c:dLbl>
            <c:dLbl>
              <c:idx val="23"/>
              <c:layout>
                <c:manualLayout>
                  <c:x val="1.065879159741259E-16"/>
                  <c:y val="-3.8461538461538464E-2"/>
                </c:manualLayout>
              </c:layout>
              <c:dLblPos val="outEnd"/>
              <c:showLegendKey val="0"/>
              <c:showVal val="1"/>
              <c:showCatName val="0"/>
              <c:showSerName val="0"/>
              <c:showPercent val="0"/>
              <c:showBubbleSize val="0"/>
            </c:dLbl>
            <c:numFmt formatCode="#,##0.0" sourceLinked="0"/>
            <c:spPr>
              <a:noFill/>
              <a:ln w="25402">
                <a:noFill/>
              </a:ln>
            </c:spPr>
            <c:txPr>
              <a:bodyPr/>
              <a:lstStyle/>
              <a:p>
                <a:pPr>
                  <a:defRPr sz="1000">
                    <a:latin typeface="Times New Roman" pitchFamily="18" charset="0"/>
                    <a:cs typeface="Times New Roman" pitchFamily="18" charset="0"/>
                  </a:defRPr>
                </a:pPr>
                <a:endParaRPr lang="lv-LV"/>
              </a:p>
            </c:txPr>
            <c:dLblPos val="outEnd"/>
            <c:showLegendKey val="0"/>
            <c:showVal val="1"/>
            <c:showCatName val="0"/>
            <c:showSerName val="0"/>
            <c:showPercent val="0"/>
            <c:showBubbleSize val="0"/>
            <c:showLeaderLines val="0"/>
          </c:dLbls>
          <c:cat>
            <c:numRef>
              <c:f>Sheet1!$A$2:$A$11</c:f>
              <c:numCache>
                <c:formatCode>General</c:formatCode>
                <c:ptCount val="10"/>
              </c:numCache>
            </c:numRef>
          </c:cat>
          <c:val>
            <c:numRef>
              <c:f>Sheet1!$B$2:$B$11</c:f>
              <c:numCache>
                <c:formatCode>0.0</c:formatCode>
                <c:ptCount val="10"/>
                <c:pt idx="0">
                  <c:v>28.34135652870475</c:v>
                </c:pt>
                <c:pt idx="1">
                  <c:v>33.674679348401824</c:v>
                </c:pt>
                <c:pt idx="2">
                  <c:v>25.475976786213707</c:v>
                </c:pt>
                <c:pt idx="3">
                  <c:v>43.086721145743553</c:v>
                </c:pt>
                <c:pt idx="4">
                  <c:v>61.415068083527927</c:v>
                </c:pt>
                <c:pt idx="5">
                  <c:v>17.060356881192604</c:v>
                </c:pt>
                <c:pt idx="6">
                  <c:v>36.492537023971693</c:v>
                </c:pt>
                <c:pt idx="7">
                  <c:v>34.90845696909912</c:v>
                </c:pt>
                <c:pt idx="9">
                  <c:v>37.417734560210249</c:v>
                </c:pt>
              </c:numCache>
            </c:numRef>
          </c:val>
        </c:ser>
        <c:dLbls>
          <c:showLegendKey val="0"/>
          <c:showVal val="0"/>
          <c:showCatName val="0"/>
          <c:showSerName val="0"/>
          <c:showPercent val="0"/>
          <c:showBubbleSize val="0"/>
        </c:dLbls>
        <c:gapWidth val="40"/>
        <c:axId val="148516224"/>
        <c:axId val="148522112"/>
      </c:barChart>
      <c:catAx>
        <c:axId val="148516224"/>
        <c:scaling>
          <c:orientation val="minMax"/>
        </c:scaling>
        <c:delete val="0"/>
        <c:axPos val="l"/>
        <c:numFmt formatCode="General" sourceLinked="1"/>
        <c:majorTickMark val="out"/>
        <c:minorTickMark val="none"/>
        <c:tickLblPos val="nextTo"/>
        <c:crossAx val="148522112"/>
        <c:crosses val="autoZero"/>
        <c:auto val="0"/>
        <c:lblAlgn val="ctr"/>
        <c:lblOffset val="100"/>
        <c:noMultiLvlLbl val="0"/>
      </c:catAx>
      <c:valAx>
        <c:axId val="148522112"/>
        <c:scaling>
          <c:orientation val="minMax"/>
          <c:max val="100"/>
          <c:min val="-20"/>
        </c:scaling>
        <c:delete val="0"/>
        <c:axPos val="b"/>
        <c:numFmt formatCode="0" sourceLinked="0"/>
        <c:majorTickMark val="out"/>
        <c:minorTickMark val="none"/>
        <c:tickLblPos val="nextTo"/>
        <c:spPr>
          <a:ln w="3175">
            <a:solidFill>
              <a:srgbClr val="808080"/>
            </a:solidFill>
            <a:prstDash val="solid"/>
          </a:ln>
        </c:spPr>
        <c:txPr>
          <a:bodyPr rot="0" vert="horz"/>
          <a:lstStyle/>
          <a:p>
            <a:pPr>
              <a:defRPr sz="900">
                <a:latin typeface="Times New Roman" pitchFamily="18" charset="0"/>
                <a:cs typeface="Times New Roman" pitchFamily="18" charset="0"/>
              </a:defRPr>
            </a:pPr>
            <a:endParaRPr lang="lv-LV"/>
          </a:p>
        </c:txPr>
        <c:crossAx val="148516224"/>
        <c:crosses val="autoZero"/>
        <c:crossBetween val="between"/>
        <c:majorUnit val="20"/>
      </c:valAx>
      <c:spPr>
        <a:noFill/>
        <a:ln w="25402">
          <a:noFill/>
        </a:ln>
      </c:spPr>
    </c:plotArea>
    <c:plotVisOnly val="1"/>
    <c:dispBlanksAs val="gap"/>
    <c:showDLblsOverMax val="0"/>
  </c:chart>
  <c:spPr>
    <a:solidFill>
      <a:srgbClr val="FFFFFF"/>
    </a:solidFill>
    <a:ln>
      <a:noFill/>
    </a:ln>
  </c:spPr>
  <c:txPr>
    <a:bodyPr/>
    <a:lstStyle/>
    <a:p>
      <a:pPr algn="just">
        <a:defRPr sz="1400" b="0" i="0" u="none" strike="noStrike" baseline="0">
          <a:solidFill>
            <a:srgbClr val="000000"/>
          </a:solidFill>
          <a:latin typeface="Garamond"/>
          <a:ea typeface="Garamond"/>
          <a:cs typeface="Garamond"/>
        </a:defRPr>
      </a:pPr>
      <a:endParaRPr lang="lv-LV"/>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8873324557412"/>
          <c:y val="3.6866359447004601E-2"/>
          <c:w val="0.76932780843947224"/>
          <c:h val="0.90177944103140961"/>
        </c:manualLayout>
      </c:layout>
      <c:barChart>
        <c:barDir val="bar"/>
        <c:grouping val="clustered"/>
        <c:varyColors val="0"/>
        <c:ser>
          <c:idx val="1"/>
          <c:order val="0"/>
          <c:tx>
            <c:strRef>
              <c:f>Sheet1!$B$1</c:f>
              <c:strCache>
                <c:ptCount val="1"/>
              </c:strCache>
            </c:strRef>
          </c:tx>
          <c:spPr>
            <a:solidFill>
              <a:schemeClr val="accent4">
                <a:lumMod val="60000"/>
                <a:lumOff val="40000"/>
              </a:schemeClr>
            </a:solidFill>
            <a:ln w="3175">
              <a:solidFill>
                <a:sysClr val="windowText" lastClr="000000"/>
              </a:solidFill>
              <a:prstDash val="solid"/>
            </a:ln>
          </c:spPr>
          <c:invertIfNegative val="0"/>
          <c:dPt>
            <c:idx val="9"/>
            <c:invertIfNegative val="0"/>
            <c:bubble3D val="0"/>
            <c:spPr>
              <a:solidFill>
                <a:schemeClr val="accent4">
                  <a:lumMod val="50000"/>
                </a:schemeClr>
              </a:solidFill>
              <a:ln w="3175">
                <a:solidFill>
                  <a:sysClr val="windowText" lastClr="000000"/>
                </a:solidFill>
                <a:prstDash val="solid"/>
              </a:ln>
            </c:spPr>
          </c:dPt>
          <c:dLbls>
            <c:dLbl>
              <c:idx val="4"/>
              <c:layout>
                <c:manualLayout>
                  <c:x val="-2.1788990225044481E-2"/>
                  <c:y val="5.1824212271973456E-3"/>
                </c:manualLayout>
              </c:layout>
              <c:dLblPos val="outEnd"/>
              <c:showLegendKey val="0"/>
              <c:showVal val="1"/>
              <c:showCatName val="0"/>
              <c:showSerName val="0"/>
              <c:showPercent val="0"/>
              <c:showBubbleSize val="0"/>
            </c:dLbl>
            <c:dLbl>
              <c:idx val="17"/>
              <c:layout>
                <c:manualLayout>
                  <c:x val="0"/>
                  <c:y val="-8.241758241758242E-3"/>
                </c:manualLayout>
              </c:layout>
              <c:dLblPos val="outEnd"/>
              <c:showLegendKey val="0"/>
              <c:showVal val="1"/>
              <c:showCatName val="0"/>
              <c:showSerName val="0"/>
              <c:showPercent val="0"/>
              <c:showBubbleSize val="0"/>
            </c:dLbl>
            <c:dLbl>
              <c:idx val="18"/>
              <c:layout>
                <c:manualLayout>
                  <c:x val="0"/>
                  <c:y val="-1.6483516483516487E-2"/>
                </c:manualLayout>
              </c:layout>
              <c:dLblPos val="outEnd"/>
              <c:showLegendKey val="0"/>
              <c:showVal val="1"/>
              <c:showCatName val="0"/>
              <c:showSerName val="0"/>
              <c:showPercent val="0"/>
              <c:showBubbleSize val="0"/>
            </c:dLbl>
            <c:dLbl>
              <c:idx val="19"/>
              <c:layout>
                <c:manualLayout>
                  <c:x val="0"/>
                  <c:y val="-2.7472527472527961E-2"/>
                </c:manualLayout>
              </c:layout>
              <c:dLblPos val="outEnd"/>
              <c:showLegendKey val="0"/>
              <c:showVal val="1"/>
              <c:showCatName val="0"/>
              <c:showSerName val="0"/>
              <c:showPercent val="0"/>
              <c:showBubbleSize val="0"/>
            </c:dLbl>
            <c:dLbl>
              <c:idx val="20"/>
              <c:layout>
                <c:manualLayout>
                  <c:x val="0"/>
                  <c:y val="-2.7472527472527961E-2"/>
                </c:manualLayout>
              </c:layout>
              <c:dLblPos val="outEnd"/>
              <c:showLegendKey val="0"/>
              <c:showVal val="1"/>
              <c:showCatName val="0"/>
              <c:showSerName val="0"/>
              <c:showPercent val="0"/>
              <c:showBubbleSize val="0"/>
            </c:dLbl>
            <c:dLbl>
              <c:idx val="21"/>
              <c:layout>
                <c:manualLayout>
                  <c:x val="1.065879159741259E-16"/>
                  <c:y val="-2.7472527472527961E-2"/>
                </c:manualLayout>
              </c:layout>
              <c:dLblPos val="outEnd"/>
              <c:showLegendKey val="0"/>
              <c:showVal val="1"/>
              <c:showCatName val="0"/>
              <c:showSerName val="0"/>
              <c:showPercent val="0"/>
              <c:showBubbleSize val="0"/>
            </c:dLbl>
            <c:dLbl>
              <c:idx val="22"/>
              <c:layout>
                <c:manualLayout>
                  <c:x val="0"/>
                  <c:y val="-3.5714285714285712E-2"/>
                </c:manualLayout>
              </c:layout>
              <c:dLblPos val="outEnd"/>
              <c:showLegendKey val="0"/>
              <c:showVal val="1"/>
              <c:showCatName val="0"/>
              <c:showSerName val="0"/>
              <c:showPercent val="0"/>
              <c:showBubbleSize val="0"/>
            </c:dLbl>
            <c:dLbl>
              <c:idx val="23"/>
              <c:layout>
                <c:manualLayout>
                  <c:x val="1.065879159741259E-16"/>
                  <c:y val="-3.8461538461538464E-2"/>
                </c:manualLayout>
              </c:layout>
              <c:dLblPos val="outEnd"/>
              <c:showLegendKey val="0"/>
              <c:showVal val="1"/>
              <c:showCatName val="0"/>
              <c:showSerName val="0"/>
              <c:showPercent val="0"/>
              <c:showBubbleSize val="0"/>
            </c:dLbl>
            <c:numFmt formatCode="#,##0.0" sourceLinked="0"/>
            <c:spPr>
              <a:noFill/>
              <a:ln w="25402">
                <a:noFill/>
              </a:ln>
            </c:spPr>
            <c:txPr>
              <a:bodyPr/>
              <a:lstStyle/>
              <a:p>
                <a:pPr>
                  <a:defRPr sz="1000">
                    <a:latin typeface="Times New Roman" pitchFamily="18" charset="0"/>
                    <a:cs typeface="Times New Roman" pitchFamily="18" charset="0"/>
                  </a:defRPr>
                </a:pPr>
                <a:endParaRPr lang="lv-LV"/>
              </a:p>
            </c:txPr>
            <c:dLblPos val="outEnd"/>
            <c:showLegendKey val="0"/>
            <c:showVal val="1"/>
            <c:showCatName val="0"/>
            <c:showSerName val="0"/>
            <c:showPercent val="0"/>
            <c:showBubbleSize val="0"/>
            <c:showLeaderLines val="0"/>
          </c:dLbls>
          <c:cat>
            <c:numRef>
              <c:f>Sheet1!$A$2:$A$11</c:f>
              <c:numCache>
                <c:formatCode>General</c:formatCode>
                <c:ptCount val="10"/>
              </c:numCache>
            </c:numRef>
          </c:cat>
          <c:val>
            <c:numRef>
              <c:f>Sheet1!$B$2:$B$11</c:f>
              <c:numCache>
                <c:formatCode>0.0</c:formatCode>
                <c:ptCount val="10"/>
                <c:pt idx="0">
                  <c:v>27.775484453826806</c:v>
                </c:pt>
                <c:pt idx="1">
                  <c:v>43.414810366601927</c:v>
                </c:pt>
                <c:pt idx="2">
                  <c:v>30.634608951660539</c:v>
                </c:pt>
                <c:pt idx="3">
                  <c:v>49.02298393156866</c:v>
                </c:pt>
                <c:pt idx="4">
                  <c:v>73.443644426603015</c:v>
                </c:pt>
                <c:pt idx="5">
                  <c:v>32.359350680905095</c:v>
                </c:pt>
                <c:pt idx="6">
                  <c:v>48.773588182666799</c:v>
                </c:pt>
                <c:pt idx="7">
                  <c:v>28.75843045933587</c:v>
                </c:pt>
                <c:pt idx="9">
                  <c:v>43.031067242206888</c:v>
                </c:pt>
              </c:numCache>
            </c:numRef>
          </c:val>
        </c:ser>
        <c:dLbls>
          <c:showLegendKey val="0"/>
          <c:showVal val="0"/>
          <c:showCatName val="0"/>
          <c:showSerName val="0"/>
          <c:showPercent val="0"/>
          <c:showBubbleSize val="0"/>
        </c:dLbls>
        <c:gapWidth val="40"/>
        <c:axId val="148583552"/>
        <c:axId val="148585088"/>
      </c:barChart>
      <c:catAx>
        <c:axId val="148583552"/>
        <c:scaling>
          <c:orientation val="minMax"/>
        </c:scaling>
        <c:delete val="0"/>
        <c:axPos val="l"/>
        <c:numFmt formatCode="General" sourceLinked="1"/>
        <c:majorTickMark val="out"/>
        <c:minorTickMark val="none"/>
        <c:tickLblPos val="nextTo"/>
        <c:crossAx val="148585088"/>
        <c:crosses val="autoZero"/>
        <c:auto val="0"/>
        <c:lblAlgn val="ctr"/>
        <c:lblOffset val="100"/>
        <c:noMultiLvlLbl val="0"/>
      </c:catAx>
      <c:valAx>
        <c:axId val="148585088"/>
        <c:scaling>
          <c:orientation val="minMax"/>
          <c:max val="100"/>
          <c:min val="-20"/>
        </c:scaling>
        <c:delete val="0"/>
        <c:axPos val="b"/>
        <c:numFmt formatCode="0" sourceLinked="0"/>
        <c:majorTickMark val="out"/>
        <c:minorTickMark val="none"/>
        <c:tickLblPos val="nextTo"/>
        <c:spPr>
          <a:ln w="3175">
            <a:solidFill>
              <a:srgbClr val="808080"/>
            </a:solidFill>
            <a:prstDash val="solid"/>
          </a:ln>
        </c:spPr>
        <c:txPr>
          <a:bodyPr rot="0" vert="horz"/>
          <a:lstStyle/>
          <a:p>
            <a:pPr>
              <a:defRPr sz="900">
                <a:latin typeface="Times New Roman" pitchFamily="18" charset="0"/>
                <a:cs typeface="Times New Roman" pitchFamily="18" charset="0"/>
              </a:defRPr>
            </a:pPr>
            <a:endParaRPr lang="lv-LV"/>
          </a:p>
        </c:txPr>
        <c:crossAx val="148583552"/>
        <c:crosses val="autoZero"/>
        <c:crossBetween val="between"/>
        <c:majorUnit val="20"/>
      </c:valAx>
      <c:spPr>
        <a:noFill/>
        <a:ln w="25402">
          <a:noFill/>
        </a:ln>
      </c:spPr>
    </c:plotArea>
    <c:plotVisOnly val="1"/>
    <c:dispBlanksAs val="gap"/>
    <c:showDLblsOverMax val="0"/>
  </c:chart>
  <c:spPr>
    <a:solidFill>
      <a:srgbClr val="FFFFFF"/>
    </a:solidFill>
    <a:ln>
      <a:noFill/>
    </a:ln>
  </c:spPr>
  <c:txPr>
    <a:bodyPr/>
    <a:lstStyle/>
    <a:p>
      <a:pPr algn="just">
        <a:defRPr sz="1400" b="0" i="0" u="none" strike="noStrike" baseline="0">
          <a:solidFill>
            <a:srgbClr val="000000"/>
          </a:solidFill>
          <a:latin typeface="Garamond"/>
          <a:ea typeface="Garamond"/>
          <a:cs typeface="Garamond"/>
        </a:defRPr>
      </a:pPr>
      <a:endParaRPr lang="lv-LV"/>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24986830329497E-2"/>
          <c:y val="3.3265806490448614E-2"/>
          <c:w val="0.93229128084877955"/>
          <c:h val="0.85877862595420063"/>
        </c:manualLayout>
      </c:layout>
      <c:barChart>
        <c:barDir val="col"/>
        <c:grouping val="clustered"/>
        <c:varyColors val="0"/>
        <c:ser>
          <c:idx val="2"/>
          <c:order val="0"/>
          <c:tx>
            <c:strRef>
              <c:f>Sheet1!$A$7</c:f>
              <c:strCache>
                <c:ptCount val="1"/>
              </c:strCache>
            </c:strRef>
          </c:tx>
          <c:spPr>
            <a:solidFill>
              <a:srgbClr val="9BBB59">
                <a:lumMod val="50000"/>
              </a:srgbClr>
            </a:solidFill>
            <a:ln w="3175">
              <a:solidFill>
                <a:sysClr val="windowText" lastClr="000000"/>
              </a:solidFill>
              <a:prstDash val="solid"/>
            </a:ln>
          </c:spPr>
          <c:invertIfNegative val="0"/>
          <c:dPt>
            <c:idx val="0"/>
            <c:invertIfNegative val="0"/>
            <c:bubble3D val="0"/>
            <c:spPr>
              <a:solidFill>
                <a:srgbClr val="8064A2">
                  <a:lumMod val="20000"/>
                  <a:lumOff val="80000"/>
                </a:srgbClr>
              </a:solidFill>
              <a:ln w="3175">
                <a:solidFill>
                  <a:sysClr val="windowText" lastClr="000000"/>
                </a:solidFill>
                <a:prstDash val="solid"/>
              </a:ln>
            </c:spPr>
          </c:dPt>
          <c:dPt>
            <c:idx val="1"/>
            <c:invertIfNegative val="0"/>
            <c:bubble3D val="0"/>
            <c:spPr>
              <a:solidFill>
                <a:srgbClr val="8064A2">
                  <a:lumMod val="75000"/>
                </a:srgbClr>
              </a:solidFill>
              <a:ln w="3175">
                <a:solidFill>
                  <a:sysClr val="windowText" lastClr="000000"/>
                </a:solidFill>
                <a:prstDash val="solid"/>
              </a:ln>
            </c:spPr>
          </c:dPt>
          <c:dPt>
            <c:idx val="2"/>
            <c:invertIfNegative val="0"/>
            <c:bubble3D val="0"/>
            <c:spPr>
              <a:solidFill>
                <a:srgbClr val="8064A2">
                  <a:lumMod val="75000"/>
                </a:srgbClr>
              </a:solidFill>
              <a:ln w="3175">
                <a:solidFill>
                  <a:sysClr val="windowText" lastClr="000000"/>
                </a:solidFill>
                <a:prstDash val="solid"/>
              </a:ln>
            </c:spPr>
          </c:dPt>
          <c:dPt>
            <c:idx val="3"/>
            <c:invertIfNegative val="0"/>
            <c:bubble3D val="0"/>
            <c:spPr>
              <a:solidFill>
                <a:srgbClr val="8064A2">
                  <a:lumMod val="75000"/>
                </a:srgbClr>
              </a:solidFill>
              <a:ln w="3175">
                <a:solidFill>
                  <a:sysClr val="windowText" lastClr="000000"/>
                </a:solidFill>
                <a:prstDash val="solid"/>
              </a:ln>
            </c:spPr>
          </c:dPt>
          <c:dLbls>
            <c:dLbl>
              <c:idx val="3"/>
              <c:layout>
                <c:manualLayout>
                  <c:x val="3.0307824883775377E-3"/>
                  <c:y val="1.8150246886232263E-2"/>
                </c:manualLayout>
              </c:layout>
              <c:showLegendKey val="0"/>
              <c:showVal val="1"/>
              <c:showCatName val="0"/>
              <c:showSerName val="0"/>
              <c:showPercent val="0"/>
              <c:showBubbleSize val="0"/>
            </c:dLbl>
            <c:numFmt formatCode="#,##0" sourceLinked="0"/>
            <c:txPr>
              <a:bodyPr/>
              <a:lstStyle/>
              <a:p>
                <a:pPr>
                  <a:defRPr sz="900"/>
                </a:pPr>
                <a:endParaRPr lang="lv-LV"/>
              </a:p>
            </c:txPr>
            <c:showLegendKey val="0"/>
            <c:showVal val="1"/>
            <c:showCatName val="0"/>
            <c:showSerName val="0"/>
            <c:showPercent val="0"/>
            <c:showBubbleSize val="0"/>
            <c:showLeaderLines val="0"/>
          </c:dLbls>
          <c:cat>
            <c:numRef>
              <c:f>Sheet1!$B$6:$E$6</c:f>
              <c:numCache>
                <c:formatCode>General</c:formatCode>
                <c:ptCount val="4"/>
                <c:pt idx="0">
                  <c:v>2012</c:v>
                </c:pt>
                <c:pt idx="1">
                  <c:v>2015</c:v>
                </c:pt>
                <c:pt idx="2">
                  <c:v>2020</c:v>
                </c:pt>
                <c:pt idx="3">
                  <c:v>2030</c:v>
                </c:pt>
              </c:numCache>
            </c:numRef>
          </c:cat>
          <c:val>
            <c:numRef>
              <c:f>Sheet1!$B$7:$E$7</c:f>
              <c:numCache>
                <c:formatCode>0.0</c:formatCode>
                <c:ptCount val="4"/>
                <c:pt idx="0">
                  <c:v>885.60707411250007</c:v>
                </c:pt>
                <c:pt idx="1">
                  <c:v>915.63219266487124</c:v>
                </c:pt>
                <c:pt idx="2">
                  <c:v>935.31914543773144</c:v>
                </c:pt>
                <c:pt idx="3">
                  <c:v>965.69447021635722</c:v>
                </c:pt>
              </c:numCache>
            </c:numRef>
          </c:val>
        </c:ser>
        <c:dLbls>
          <c:showLegendKey val="0"/>
          <c:showVal val="1"/>
          <c:showCatName val="0"/>
          <c:showSerName val="0"/>
          <c:showPercent val="0"/>
          <c:showBubbleSize val="0"/>
        </c:dLbls>
        <c:gapWidth val="60"/>
        <c:axId val="148599936"/>
        <c:axId val="148612608"/>
      </c:barChart>
      <c:catAx>
        <c:axId val="14859993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00"/>
            </a:pPr>
            <a:endParaRPr lang="lv-LV"/>
          </a:p>
        </c:txPr>
        <c:crossAx val="148612608"/>
        <c:crosses val="autoZero"/>
        <c:auto val="1"/>
        <c:lblAlgn val="ctr"/>
        <c:lblOffset val="100"/>
        <c:tickLblSkip val="1"/>
        <c:tickMarkSkip val="1"/>
        <c:noMultiLvlLbl val="0"/>
      </c:catAx>
      <c:valAx>
        <c:axId val="148612608"/>
        <c:scaling>
          <c:orientation val="minMax"/>
          <c:max val="1000"/>
          <c:min val="800"/>
        </c:scaling>
        <c:delete val="0"/>
        <c:axPos val="l"/>
        <c:numFmt formatCode="0" sourceLinked="0"/>
        <c:majorTickMark val="out"/>
        <c:minorTickMark val="none"/>
        <c:tickLblPos val="nextTo"/>
        <c:spPr>
          <a:ln w="3173">
            <a:solidFill>
              <a:srgbClr val="000000"/>
            </a:solidFill>
            <a:prstDash val="solid"/>
          </a:ln>
        </c:spPr>
        <c:txPr>
          <a:bodyPr rot="0" vert="horz"/>
          <a:lstStyle/>
          <a:p>
            <a:pPr>
              <a:defRPr sz="900"/>
            </a:pPr>
            <a:endParaRPr lang="lv-LV"/>
          </a:p>
        </c:txPr>
        <c:crossAx val="148599936"/>
        <c:crosses val="autoZero"/>
        <c:crossBetween val="between"/>
        <c:majorUnit val="40"/>
      </c:valAx>
      <c:spPr>
        <a:solidFill>
          <a:srgbClr val="FFFFFF"/>
        </a:solidFill>
        <a:ln w="12689">
          <a:noFill/>
          <a:prstDash val="solid"/>
        </a:ln>
      </c:spPr>
    </c:plotArea>
    <c:plotVisOnly val="1"/>
    <c:dispBlanksAs val="gap"/>
    <c:showDLblsOverMax val="0"/>
  </c:chart>
  <c:spPr>
    <a:noFill/>
    <a:ln>
      <a:noFill/>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v-LV"/>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88363052032222"/>
          <c:y val="5.0107409349375853E-2"/>
          <c:w val="0.86289364539841162"/>
          <c:h val="0.84101248590618327"/>
        </c:manualLayout>
      </c:layout>
      <c:barChart>
        <c:barDir val="col"/>
        <c:grouping val="clustered"/>
        <c:varyColors val="0"/>
        <c:ser>
          <c:idx val="0"/>
          <c:order val="0"/>
          <c:tx>
            <c:strRef>
              <c:f>Sheet1!$A$2</c:f>
              <c:strCache>
                <c:ptCount val="1"/>
                <c:pt idx="0">
                  <c:v>Piedāvājums</c:v>
                </c:pt>
              </c:strCache>
            </c:strRef>
          </c:tx>
          <c:spPr>
            <a:solidFill>
              <a:schemeClr val="accent4">
                <a:lumMod val="75000"/>
              </a:schemeClr>
            </a:solidFill>
            <a:ln w="11440">
              <a:solidFill>
                <a:srgbClr val="000000"/>
              </a:solidFill>
              <a:prstDash val="solid"/>
            </a:ln>
          </c:spPr>
          <c:invertIfNegative val="0"/>
          <c:dLbls>
            <c:numFmt formatCode="#,##0" sourceLinked="0"/>
            <c:spPr>
              <a:noFill/>
              <a:ln w="22880">
                <a:noFill/>
              </a:ln>
            </c:spPr>
            <c:showLegendKey val="0"/>
            <c:showVal val="1"/>
            <c:showCatName val="0"/>
            <c:showSerName val="0"/>
            <c:showPercent val="0"/>
            <c:showBubbleSize val="0"/>
            <c:showLeaderLines val="0"/>
          </c:dLbls>
          <c:cat>
            <c:numRef>
              <c:f>Sheet1!$B$1:$C$1</c:f>
              <c:numCache>
                <c:formatCode>General</c:formatCode>
                <c:ptCount val="2"/>
                <c:pt idx="0">
                  <c:v>2020</c:v>
                </c:pt>
                <c:pt idx="1">
                  <c:v>2030</c:v>
                </c:pt>
              </c:numCache>
            </c:numRef>
          </c:cat>
          <c:val>
            <c:numRef>
              <c:f>Sheet1!$B$2:$C$2</c:f>
              <c:numCache>
                <c:formatCode>0.0</c:formatCode>
                <c:ptCount val="2"/>
                <c:pt idx="0">
                  <c:v>999.51903008001568</c:v>
                </c:pt>
                <c:pt idx="1">
                  <c:v>1021.4151290224167</c:v>
                </c:pt>
              </c:numCache>
            </c:numRef>
          </c:val>
        </c:ser>
        <c:ser>
          <c:idx val="1"/>
          <c:order val="1"/>
          <c:tx>
            <c:strRef>
              <c:f>Sheet1!$A$3</c:f>
              <c:strCache>
                <c:ptCount val="1"/>
                <c:pt idx="0">
                  <c:v>Pieprasījums</c:v>
                </c:pt>
              </c:strCache>
            </c:strRef>
          </c:tx>
          <c:spPr>
            <a:solidFill>
              <a:schemeClr val="accent4">
                <a:lumMod val="20000"/>
                <a:lumOff val="80000"/>
              </a:schemeClr>
            </a:solidFill>
            <a:ln w="11440">
              <a:solidFill>
                <a:srgbClr val="000000"/>
              </a:solidFill>
              <a:prstDash val="solid"/>
            </a:ln>
          </c:spPr>
          <c:invertIfNegative val="0"/>
          <c:dLbls>
            <c:numFmt formatCode="#,##0" sourceLinked="0"/>
            <c:spPr>
              <a:noFill/>
              <a:ln w="22880">
                <a:noFill/>
              </a:ln>
            </c:spPr>
            <c:showLegendKey val="0"/>
            <c:showVal val="1"/>
            <c:showCatName val="0"/>
            <c:showSerName val="0"/>
            <c:showPercent val="0"/>
            <c:showBubbleSize val="0"/>
            <c:showLeaderLines val="0"/>
          </c:dLbls>
          <c:cat>
            <c:numRef>
              <c:f>Sheet1!$B$1:$C$1</c:f>
              <c:numCache>
                <c:formatCode>General</c:formatCode>
                <c:ptCount val="2"/>
                <c:pt idx="0">
                  <c:v>2020</c:v>
                </c:pt>
                <c:pt idx="1">
                  <c:v>2030</c:v>
                </c:pt>
              </c:numCache>
            </c:numRef>
          </c:cat>
          <c:val>
            <c:numRef>
              <c:f>Sheet1!$B$3:$C$3</c:f>
              <c:numCache>
                <c:formatCode>0.0</c:formatCode>
                <c:ptCount val="2"/>
                <c:pt idx="0">
                  <c:v>935.31914543773144</c:v>
                </c:pt>
                <c:pt idx="1">
                  <c:v>965.69447021635722</c:v>
                </c:pt>
              </c:numCache>
            </c:numRef>
          </c:val>
        </c:ser>
        <c:dLbls>
          <c:showLegendKey val="0"/>
          <c:showVal val="1"/>
          <c:showCatName val="0"/>
          <c:showSerName val="0"/>
          <c:showPercent val="0"/>
          <c:showBubbleSize val="0"/>
        </c:dLbls>
        <c:gapWidth val="59"/>
        <c:axId val="148683392"/>
        <c:axId val="148693376"/>
      </c:barChart>
      <c:catAx>
        <c:axId val="148683392"/>
        <c:scaling>
          <c:orientation val="minMax"/>
        </c:scaling>
        <c:delete val="0"/>
        <c:axPos val="b"/>
        <c:numFmt formatCode="General" sourceLinked="1"/>
        <c:majorTickMark val="out"/>
        <c:minorTickMark val="none"/>
        <c:tickLblPos val="nextTo"/>
        <c:txPr>
          <a:bodyPr rot="0" vert="horz"/>
          <a:lstStyle/>
          <a:p>
            <a:pPr>
              <a:defRPr/>
            </a:pPr>
            <a:endParaRPr lang="lv-LV"/>
          </a:p>
        </c:txPr>
        <c:crossAx val="148693376"/>
        <c:crosses val="autoZero"/>
        <c:auto val="1"/>
        <c:lblAlgn val="ctr"/>
        <c:lblOffset val="100"/>
        <c:tickLblSkip val="1"/>
        <c:tickMarkSkip val="1"/>
        <c:noMultiLvlLbl val="0"/>
      </c:catAx>
      <c:valAx>
        <c:axId val="148693376"/>
        <c:scaling>
          <c:orientation val="minMax"/>
          <c:max val="1100"/>
          <c:min val="800"/>
        </c:scaling>
        <c:delete val="0"/>
        <c:axPos val="l"/>
        <c:numFmt formatCode="0" sourceLinked="0"/>
        <c:majorTickMark val="out"/>
        <c:minorTickMark val="none"/>
        <c:tickLblPos val="nextTo"/>
        <c:txPr>
          <a:bodyPr rot="0" vert="horz"/>
          <a:lstStyle/>
          <a:p>
            <a:pPr>
              <a:defRPr/>
            </a:pPr>
            <a:endParaRPr lang="lv-LV"/>
          </a:p>
        </c:txPr>
        <c:crossAx val="148683392"/>
        <c:crosses val="autoZero"/>
        <c:crossBetween val="between"/>
        <c:majorUnit val="50"/>
      </c:valAx>
      <c:spPr>
        <a:solidFill>
          <a:srgbClr val="FFFFFF"/>
        </a:solidFill>
        <a:ln w="11440">
          <a:noFill/>
          <a:prstDash val="solid"/>
        </a:ln>
      </c:spPr>
    </c:plotArea>
    <c:legend>
      <c:legendPos val="t"/>
      <c:layout>
        <c:manualLayout>
          <c:xMode val="edge"/>
          <c:yMode val="edge"/>
          <c:x val="0.2552428388681085"/>
          <c:y val="3.0934615169830482E-2"/>
          <c:w val="0.53655070974233054"/>
          <c:h val="0.13924884660946182"/>
        </c:manualLayout>
      </c:layout>
      <c:overlay val="0"/>
      <c:spPr>
        <a:noFill/>
        <a:ln w="22880">
          <a:noFill/>
        </a:ln>
      </c:spPr>
    </c:legend>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82173642340268E-2"/>
          <c:y val="2.7980535279805412E-2"/>
          <c:w val="0.87707998325196523"/>
          <c:h val="0.7781459115951842"/>
        </c:manualLayout>
      </c:layout>
      <c:lineChart>
        <c:grouping val="standard"/>
        <c:varyColors val="0"/>
        <c:ser>
          <c:idx val="1"/>
          <c:order val="0"/>
          <c:tx>
            <c:strRef>
              <c:f>Sheet1!$A$2</c:f>
              <c:strCache>
                <c:ptCount val="1"/>
                <c:pt idx="0">
                  <c:v>Pieprasījums</c:v>
                </c:pt>
              </c:strCache>
            </c:strRef>
          </c:tx>
          <c:spPr>
            <a:ln w="19683">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46.487683513689646</c:v>
                </c:pt>
                <c:pt idx="1">
                  <c:v>46.057682965225808</c:v>
                </c:pt>
                <c:pt idx="2" formatCode="General">
                  <c:v>45.538005138543646</c:v>
                </c:pt>
                <c:pt idx="3" formatCode="General">
                  <c:v>45.077250559046078</c:v>
                </c:pt>
                <c:pt idx="4" formatCode="General">
                  <c:v>44.620683632608809</c:v>
                </c:pt>
                <c:pt idx="5" formatCode="General">
                  <c:v>44.17563218784386</c:v>
                </c:pt>
                <c:pt idx="6" formatCode="General">
                  <c:v>43.729332805962144</c:v>
                </c:pt>
                <c:pt idx="7" formatCode="General">
                  <c:v>43.283182260630824</c:v>
                </c:pt>
                <c:pt idx="8" formatCode="General">
                  <c:v>42.833253231144482</c:v>
                </c:pt>
              </c:numCache>
            </c:numRef>
          </c:val>
          <c:smooth val="0"/>
        </c:ser>
        <c:ser>
          <c:idx val="0"/>
          <c:order val="1"/>
          <c:tx>
            <c:strRef>
              <c:f>Sheet1!$A$3</c:f>
              <c:strCache>
                <c:ptCount val="1"/>
                <c:pt idx="0">
                  <c:v>Piedāvājums</c:v>
                </c:pt>
              </c:strCache>
            </c:strRef>
          </c:tx>
          <c:spPr>
            <a:ln w="19683">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48.482442390000031</c:v>
                </c:pt>
                <c:pt idx="1">
                  <c:v>48.080021337669514</c:v>
                </c:pt>
                <c:pt idx="2">
                  <c:v>47.601005355327025</c:v>
                </c:pt>
                <c:pt idx="3">
                  <c:v>47.093968933017635</c:v>
                </c:pt>
                <c:pt idx="4">
                  <c:v>46.686312104949927</c:v>
                </c:pt>
                <c:pt idx="5">
                  <c:v>46.356246976186824</c:v>
                </c:pt>
                <c:pt idx="6">
                  <c:v>46.152886190335764</c:v>
                </c:pt>
                <c:pt idx="7">
                  <c:v>46.116921529072492</c:v>
                </c:pt>
                <c:pt idx="8">
                  <c:v>46.015904839001337</c:v>
                </c:pt>
              </c:numCache>
            </c:numRef>
          </c:val>
          <c:smooth val="0"/>
        </c:ser>
        <c:dLbls>
          <c:showLegendKey val="0"/>
          <c:showVal val="0"/>
          <c:showCatName val="0"/>
          <c:showSerName val="0"/>
          <c:showPercent val="0"/>
          <c:showBubbleSize val="0"/>
        </c:dLbls>
        <c:marker val="1"/>
        <c:smooth val="0"/>
        <c:axId val="149660416"/>
        <c:axId val="149661952"/>
      </c:lineChart>
      <c:catAx>
        <c:axId val="149660416"/>
        <c:scaling>
          <c:orientation val="minMax"/>
        </c:scaling>
        <c:delete val="0"/>
        <c:axPos val="b"/>
        <c:numFmt formatCode="General" sourceLinked="1"/>
        <c:majorTickMark val="none"/>
        <c:minorTickMark val="none"/>
        <c:tickLblPos val="nextTo"/>
        <c:spPr>
          <a:solidFill>
            <a:sysClr val="window" lastClr="FFFFFF"/>
          </a:solidFill>
          <a:ln w="5624">
            <a:solidFill>
              <a:sysClr val="windowText" lastClr="000000"/>
            </a:solidFill>
            <a:prstDash val="solid"/>
          </a:ln>
        </c:spPr>
        <c:txPr>
          <a:bodyPr rot="-5400000" vert="horz"/>
          <a:lstStyle/>
          <a:p>
            <a:pPr>
              <a:defRPr sz="800" b="0" i="0" u="none" strike="noStrike" baseline="0">
                <a:solidFill>
                  <a:srgbClr val="000000"/>
                </a:solidFill>
                <a:latin typeface="Times New Roman"/>
                <a:ea typeface="Times New Roman"/>
                <a:cs typeface="Times New Roman"/>
              </a:defRPr>
            </a:pPr>
            <a:endParaRPr lang="lv-LV"/>
          </a:p>
        </c:txPr>
        <c:crossAx val="149661952"/>
        <c:crosses val="autoZero"/>
        <c:auto val="1"/>
        <c:lblAlgn val="ctr"/>
        <c:lblOffset val="0"/>
        <c:tickLblSkip val="1"/>
        <c:tickMarkSkip val="1"/>
        <c:noMultiLvlLbl val="1"/>
      </c:catAx>
      <c:valAx>
        <c:axId val="149661952"/>
        <c:scaling>
          <c:orientation val="minMax"/>
          <c:min val="10"/>
        </c:scaling>
        <c:delete val="0"/>
        <c:axPos val="l"/>
        <c:numFmt formatCode="0" sourceLinked="0"/>
        <c:majorTickMark val="out"/>
        <c:minorTickMark val="none"/>
        <c:tickLblPos val="nextTo"/>
        <c:spPr>
          <a:ln w="5624">
            <a:solidFill>
              <a:sysClr val="windowText" lastClr="000000"/>
            </a:solidFill>
          </a:ln>
        </c:spPr>
        <c:txPr>
          <a:bodyPr rot="0" vert="horz"/>
          <a:lstStyle/>
          <a:p>
            <a:pPr>
              <a:defRPr sz="700" b="0" i="0" u="none" strike="noStrike" baseline="0">
                <a:solidFill>
                  <a:srgbClr val="000000"/>
                </a:solidFill>
                <a:latin typeface="Times New Roman"/>
                <a:ea typeface="Times New Roman"/>
                <a:cs typeface="Times New Roman"/>
              </a:defRPr>
            </a:pPr>
            <a:endParaRPr lang="lv-LV"/>
          </a:p>
        </c:txPr>
        <c:crossAx val="149660416"/>
        <c:crossesAt val="1"/>
        <c:crossBetween val="between"/>
        <c:majorUnit val="10"/>
      </c:valAx>
      <c:spPr>
        <a:noFill/>
        <a:ln w="5624">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00" b="0" i="0" u="none" strike="noStrike" baseline="0">
              <a:solidFill>
                <a:srgbClr val="000000"/>
              </a:solidFill>
              <a:latin typeface="Times New Roman"/>
              <a:ea typeface="Times New Roman"/>
              <a:cs typeface="Times New Roman"/>
            </a:defRPr>
          </a:pPr>
          <a:endParaRPr lang="lv-LV"/>
        </a:p>
      </c:txPr>
    </c:legend>
    <c:plotVisOnly val="1"/>
    <c:dispBlanksAs val="gap"/>
    <c:showDLblsOverMax val="0"/>
  </c:chart>
  <c:spPr>
    <a:noFill/>
    <a:ln>
      <a:noFill/>
    </a:ln>
  </c:spPr>
  <c:txPr>
    <a:bodyPr/>
    <a:lstStyle/>
    <a:p>
      <a:pPr>
        <a:defRPr sz="709" b="1" i="0" u="none" strike="noStrike" baseline="0">
          <a:solidFill>
            <a:srgbClr val="000000"/>
          </a:solidFill>
          <a:latin typeface="Arial"/>
          <a:ea typeface="Arial"/>
          <a:cs typeface="Arial"/>
        </a:defRPr>
      </a:pPr>
      <a:endParaRPr lang="lv-LV"/>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75056096023699E-2"/>
          <c:y val="2.7980535279805412E-2"/>
          <c:w val="0.86278674922201759"/>
          <c:h val="0.77812735810381828"/>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19.735417947110488</c:v>
                </c:pt>
                <c:pt idx="1">
                  <c:v>20.228692619055945</c:v>
                </c:pt>
                <c:pt idx="2">
                  <c:v>20.634466579879327</c:v>
                </c:pt>
                <c:pt idx="3" formatCode="General">
                  <c:v>20.988002481843161</c:v>
                </c:pt>
                <c:pt idx="4" formatCode="General">
                  <c:v>21.20107331598772</c:v>
                </c:pt>
                <c:pt idx="5" formatCode="General">
                  <c:v>21.407592700382278</c:v>
                </c:pt>
                <c:pt idx="6" formatCode="General">
                  <c:v>21.575649242407081</c:v>
                </c:pt>
                <c:pt idx="7" formatCode="General">
                  <c:v>21.701411964849335</c:v>
                </c:pt>
                <c:pt idx="8" formatCode="General">
                  <c:v>21.830925496294743</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21.410213900000013</c:v>
                </c:pt>
                <c:pt idx="1">
                  <c:v>22.304491442216374</c:v>
                </c:pt>
                <c:pt idx="2">
                  <c:v>23.13834130034347</c:v>
                </c:pt>
                <c:pt idx="3" formatCode="General">
                  <c:v>23.891689698511218</c:v>
                </c:pt>
                <c:pt idx="4" formatCode="General">
                  <c:v>24.634222113667917</c:v>
                </c:pt>
                <c:pt idx="5" formatCode="General">
                  <c:v>25.349701803848252</c:v>
                </c:pt>
                <c:pt idx="6" formatCode="General">
                  <c:v>26.104325001004483</c:v>
                </c:pt>
                <c:pt idx="7" formatCode="General">
                  <c:v>26.880462368787125</c:v>
                </c:pt>
                <c:pt idx="8" formatCode="General">
                  <c:v>27.576756095407369</c:v>
                </c:pt>
              </c:numCache>
            </c:numRef>
          </c:val>
          <c:smooth val="0"/>
        </c:ser>
        <c:dLbls>
          <c:showLegendKey val="0"/>
          <c:showVal val="0"/>
          <c:showCatName val="0"/>
          <c:showSerName val="0"/>
          <c:showPercent val="0"/>
          <c:showBubbleSize val="0"/>
        </c:dLbls>
        <c:marker val="1"/>
        <c:smooth val="0"/>
        <c:axId val="149723776"/>
        <c:axId val="149725568"/>
      </c:lineChart>
      <c:catAx>
        <c:axId val="14972377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49725568"/>
        <c:crosses val="autoZero"/>
        <c:auto val="1"/>
        <c:lblAlgn val="ctr"/>
        <c:lblOffset val="0"/>
        <c:tickLblSkip val="1"/>
        <c:tickMarkSkip val="1"/>
        <c:noMultiLvlLbl val="1"/>
      </c:catAx>
      <c:valAx>
        <c:axId val="149725568"/>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49723776"/>
        <c:crossesAt val="1"/>
        <c:crossBetween val="between"/>
      </c:valAx>
      <c:spPr>
        <a:noFill/>
        <a:ln w="6335">
          <a:solidFill>
            <a:sysClr val="window" lastClr="FFFFFF">
              <a:lumMod val="85000"/>
            </a:sysClr>
          </a:solidFill>
        </a:ln>
      </c:spPr>
    </c:plotArea>
    <c:legend>
      <c:legendPos val="t"/>
      <c:layout>
        <c:manualLayout>
          <c:xMode val="edge"/>
          <c:yMode val="edge"/>
          <c:x val="0.20266372410602856"/>
          <c:y val="0.48944472778362264"/>
          <c:w val="0.47660559257015955"/>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1307469016697E-2"/>
          <c:y val="2.9308939323761E-2"/>
          <c:w val="0.88604300290278282"/>
          <c:h val="0.86811106506423541"/>
        </c:manualLayout>
      </c:layout>
      <c:barChart>
        <c:barDir val="col"/>
        <c:grouping val="clustered"/>
        <c:varyColors val="0"/>
        <c:ser>
          <c:idx val="1"/>
          <c:order val="0"/>
          <c:tx>
            <c:strRef>
              <c:f>Sheet1!$A$3</c:f>
              <c:strCache>
                <c:ptCount val="1"/>
                <c:pt idx="0">
                  <c:v>Nodarbināto skaits</c:v>
                </c:pt>
              </c:strCache>
            </c:strRef>
          </c:tx>
          <c:spPr>
            <a:solidFill>
              <a:schemeClr val="accent4">
                <a:lumMod val="60000"/>
                <a:lumOff val="40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spPr>
              <a:solidFill>
                <a:schemeClr val="accent4">
                  <a:lumMod val="50000"/>
                </a:schemeClr>
              </a:solidFill>
            </c:spPr>
          </c:dPt>
          <c:dPt>
            <c:idx val="7"/>
            <c:invertIfNegative val="0"/>
            <c:bubble3D val="0"/>
            <c:spPr>
              <a:solidFill>
                <a:schemeClr val="accent4">
                  <a:lumMod val="50000"/>
                </a:schemeClr>
              </a:solidFill>
            </c:spPr>
          </c:dPt>
          <c:dLbls>
            <c:numFmt formatCode="#,##0" sourceLinked="0"/>
            <c:showLegendKey val="0"/>
            <c:showVal val="1"/>
            <c:showCatName val="0"/>
            <c:showSerName val="0"/>
            <c:showPercent val="0"/>
            <c:showBubbleSize val="0"/>
            <c:showLeaderLines val="0"/>
          </c:dLbls>
          <c:cat>
            <c:numRef>
              <c:f>Sheet1!$B$2:$J$2</c:f>
              <c:numCache>
                <c:formatCode>General</c:formatCode>
                <c:ptCount val="8"/>
                <c:pt idx="0">
                  <c:v>2005</c:v>
                </c:pt>
                <c:pt idx="1">
                  <c:v>2006</c:v>
                </c:pt>
                <c:pt idx="2">
                  <c:v>2007</c:v>
                </c:pt>
                <c:pt idx="3">
                  <c:v>2008</c:v>
                </c:pt>
                <c:pt idx="4">
                  <c:v>2009</c:v>
                </c:pt>
                <c:pt idx="5">
                  <c:v>2010</c:v>
                </c:pt>
                <c:pt idx="6">
                  <c:v>2011</c:v>
                </c:pt>
                <c:pt idx="7">
                  <c:v>2012</c:v>
                </c:pt>
              </c:numCache>
            </c:numRef>
          </c:cat>
          <c:val>
            <c:numRef>
              <c:f>Sheet1!$B$3:$J$3</c:f>
              <c:numCache>
                <c:formatCode>General</c:formatCode>
                <c:ptCount val="8"/>
                <c:pt idx="0">
                  <c:v>1033.2</c:v>
                </c:pt>
                <c:pt idx="1">
                  <c:v>1087.5999999999999</c:v>
                </c:pt>
                <c:pt idx="2">
                  <c:v>1119</c:v>
                </c:pt>
                <c:pt idx="3">
                  <c:v>1124.0999999999999</c:v>
                </c:pt>
                <c:pt idx="4">
                  <c:v>986.7</c:v>
                </c:pt>
                <c:pt idx="5">
                  <c:v>940.9</c:v>
                </c:pt>
                <c:pt idx="6">
                  <c:v>861.6</c:v>
                </c:pt>
                <c:pt idx="7">
                  <c:v>885.6</c:v>
                </c:pt>
              </c:numCache>
            </c:numRef>
          </c:val>
        </c:ser>
        <c:dLbls>
          <c:showLegendKey val="0"/>
          <c:showVal val="0"/>
          <c:showCatName val="0"/>
          <c:showSerName val="0"/>
          <c:showPercent val="0"/>
          <c:showBubbleSize val="0"/>
        </c:dLbls>
        <c:gapWidth val="40"/>
        <c:axId val="139070080"/>
        <c:axId val="139102848"/>
      </c:barChart>
      <c:catAx>
        <c:axId val="139070080"/>
        <c:scaling>
          <c:orientation val="minMax"/>
        </c:scaling>
        <c:delete val="0"/>
        <c:axPos val="b"/>
        <c:numFmt formatCode="General" sourceLinked="1"/>
        <c:majorTickMark val="out"/>
        <c:minorTickMark val="none"/>
        <c:tickLblPos val="low"/>
        <c:txPr>
          <a:bodyPr rot="0" vert="horz"/>
          <a:lstStyle/>
          <a:p>
            <a:pPr>
              <a:defRPr/>
            </a:pPr>
            <a:endParaRPr lang="lv-LV"/>
          </a:p>
        </c:txPr>
        <c:crossAx val="139102848"/>
        <c:crosses val="autoZero"/>
        <c:auto val="1"/>
        <c:lblAlgn val="ctr"/>
        <c:lblOffset val="0"/>
        <c:tickLblSkip val="1"/>
        <c:tickMarkSkip val="1"/>
        <c:noMultiLvlLbl val="1"/>
      </c:catAx>
      <c:valAx>
        <c:axId val="139102848"/>
        <c:scaling>
          <c:orientation val="minMax"/>
          <c:max val="1200"/>
          <c:min val="700"/>
        </c:scaling>
        <c:delete val="0"/>
        <c:axPos val="l"/>
        <c:numFmt formatCode="0" sourceLinked="0"/>
        <c:majorTickMark val="out"/>
        <c:minorTickMark val="none"/>
        <c:tickLblPos val="nextTo"/>
        <c:txPr>
          <a:bodyPr rot="0" vert="horz"/>
          <a:lstStyle/>
          <a:p>
            <a:pPr>
              <a:defRPr/>
            </a:pPr>
            <a:endParaRPr lang="lv-LV"/>
          </a:p>
        </c:txPr>
        <c:crossAx val="139070080"/>
        <c:crosses val="autoZero"/>
        <c:crossBetween val="between"/>
        <c:majorUnit val="100"/>
      </c:valAx>
      <c:spPr>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12668934899068"/>
          <c:y val="3.0912181735451467E-2"/>
          <c:w val="0.87631678235987465"/>
          <c:h val="0.78665853665429875"/>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124.73200121570642</c:v>
                </c:pt>
                <c:pt idx="1">
                  <c:v>129.82770712844749</c:v>
                </c:pt>
                <c:pt idx="2" formatCode="General">
                  <c:v>133.90108865543553</c:v>
                </c:pt>
                <c:pt idx="3" formatCode="General">
                  <c:v>137.30994890123375</c:v>
                </c:pt>
                <c:pt idx="4" formatCode="General">
                  <c:v>139.9862583784433</c:v>
                </c:pt>
                <c:pt idx="5" formatCode="General">
                  <c:v>142.36716203514183</c:v>
                </c:pt>
                <c:pt idx="6" formatCode="General">
                  <c:v>144.30823589110383</c:v>
                </c:pt>
                <c:pt idx="7" formatCode="General">
                  <c:v>145.86188267627611</c:v>
                </c:pt>
                <c:pt idx="8" formatCode="General">
                  <c:v>147.41863503565105</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132.28602243000003</c:v>
                </c:pt>
                <c:pt idx="1">
                  <c:v>136.07106059688499</c:v>
                </c:pt>
                <c:pt idx="2" formatCode="General">
                  <c:v>139.44510107924654</c:v>
                </c:pt>
                <c:pt idx="3" formatCode="General">
                  <c:v>142.59543681374734</c:v>
                </c:pt>
                <c:pt idx="4" formatCode="General">
                  <c:v>145.86745632924746</c:v>
                </c:pt>
                <c:pt idx="5" formatCode="General">
                  <c:v>149.14784520110476</c:v>
                </c:pt>
                <c:pt idx="6" formatCode="General">
                  <c:v>152.81486876900189</c:v>
                </c:pt>
                <c:pt idx="7" formatCode="General">
                  <c:v>156.91658205703285</c:v>
                </c:pt>
                <c:pt idx="8" formatCode="General">
                  <c:v>160.86319052255908</c:v>
                </c:pt>
              </c:numCache>
            </c:numRef>
          </c:val>
          <c:smooth val="0"/>
        </c:ser>
        <c:dLbls>
          <c:showLegendKey val="0"/>
          <c:showVal val="0"/>
          <c:showCatName val="0"/>
          <c:showSerName val="0"/>
          <c:showPercent val="0"/>
          <c:showBubbleSize val="0"/>
        </c:dLbls>
        <c:marker val="1"/>
        <c:smooth val="0"/>
        <c:axId val="149922560"/>
        <c:axId val="149924096"/>
      </c:lineChart>
      <c:catAx>
        <c:axId val="149922560"/>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49924096"/>
        <c:crosses val="autoZero"/>
        <c:auto val="1"/>
        <c:lblAlgn val="ctr"/>
        <c:lblOffset val="0"/>
        <c:tickLblSkip val="1"/>
        <c:tickMarkSkip val="1"/>
        <c:noMultiLvlLbl val="1"/>
      </c:catAx>
      <c:valAx>
        <c:axId val="149924096"/>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49922560"/>
        <c:crossesAt val="1"/>
        <c:crossBetween val="between"/>
      </c:valAx>
      <c:spPr>
        <a:noFill/>
        <a:ln w="6335">
          <a:solidFill>
            <a:sysClr val="window" lastClr="FFFFFF">
              <a:lumMod val="85000"/>
            </a:sysClr>
          </a:solidFill>
        </a:ln>
      </c:spPr>
    </c:plotArea>
    <c:legend>
      <c:legendPos val="t"/>
      <c:layout>
        <c:manualLayout>
          <c:xMode val="edge"/>
          <c:yMode val="edge"/>
          <c:x val="0.19654400274467534"/>
          <c:y val="0.48840342760567884"/>
          <c:w val="0.52607688172581546"/>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74879763850277E-2"/>
          <c:y val="2.7980535279805412E-2"/>
          <c:w val="0.86778721634700984"/>
          <c:h val="0.7784135540850079"/>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15.897707177564955</c:v>
                </c:pt>
                <c:pt idx="1">
                  <c:v>18.571711717710645</c:v>
                </c:pt>
                <c:pt idx="2">
                  <c:v>20.931831912040682</c:v>
                </c:pt>
                <c:pt idx="3" formatCode="General">
                  <c:v>23.147339330102941</c:v>
                </c:pt>
                <c:pt idx="4" formatCode="General">
                  <c:v>25.153899985446277</c:v>
                </c:pt>
                <c:pt idx="5" formatCode="General">
                  <c:v>27.098704231221479</c:v>
                </c:pt>
                <c:pt idx="6" formatCode="General">
                  <c:v>28.906092492266193</c:v>
                </c:pt>
                <c:pt idx="7" formatCode="General">
                  <c:v>30.620163424277678</c:v>
                </c:pt>
                <c:pt idx="8" formatCode="General">
                  <c:v>32.348785100230401</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17.32579127</c:v>
                </c:pt>
                <c:pt idx="1">
                  <c:v>17.778082354870921</c:v>
                </c:pt>
                <c:pt idx="2">
                  <c:v>18.32410542338248</c:v>
                </c:pt>
                <c:pt idx="3" formatCode="General">
                  <c:v>18.978668201972408</c:v>
                </c:pt>
                <c:pt idx="4" formatCode="General">
                  <c:v>19.763570510970521</c:v>
                </c:pt>
                <c:pt idx="5" formatCode="General">
                  <c:v>20.642734454702993</c:v>
                </c:pt>
                <c:pt idx="6" formatCode="General">
                  <c:v>21.659633026556659</c:v>
                </c:pt>
                <c:pt idx="7" formatCode="General">
                  <c:v>22.796609613281294</c:v>
                </c:pt>
                <c:pt idx="8" formatCode="General">
                  <c:v>23.958477305647488</c:v>
                </c:pt>
              </c:numCache>
            </c:numRef>
          </c:val>
          <c:smooth val="0"/>
        </c:ser>
        <c:dLbls>
          <c:showLegendKey val="0"/>
          <c:showVal val="0"/>
          <c:showCatName val="0"/>
          <c:showSerName val="0"/>
          <c:showPercent val="0"/>
          <c:showBubbleSize val="0"/>
        </c:dLbls>
        <c:marker val="1"/>
        <c:smooth val="0"/>
        <c:axId val="150301312"/>
        <c:axId val="150311296"/>
      </c:lineChart>
      <c:catAx>
        <c:axId val="150301312"/>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0311296"/>
        <c:crosses val="autoZero"/>
        <c:auto val="1"/>
        <c:lblAlgn val="ctr"/>
        <c:lblOffset val="0"/>
        <c:tickLblSkip val="1"/>
        <c:tickMarkSkip val="1"/>
        <c:noMultiLvlLbl val="1"/>
      </c:catAx>
      <c:valAx>
        <c:axId val="150311296"/>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0301312"/>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655296368218737E-2"/>
          <c:y val="2.7980535279805412E-2"/>
          <c:w val="0.87390677929349736"/>
          <c:h val="0.77798125395200735"/>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49.775526999316739</c:v>
                </c:pt>
                <c:pt idx="1">
                  <c:v>52.719512051107515</c:v>
                </c:pt>
                <c:pt idx="2" formatCode="General">
                  <c:v>55.600555867166939</c:v>
                </c:pt>
                <c:pt idx="3" formatCode="General">
                  <c:v>58.43828463810334</c:v>
                </c:pt>
                <c:pt idx="4" formatCode="General">
                  <c:v>61.115949529129885</c:v>
                </c:pt>
                <c:pt idx="5" formatCode="General">
                  <c:v>63.72784545924813</c:v>
                </c:pt>
                <c:pt idx="6" formatCode="General">
                  <c:v>66.223232769990133</c:v>
                </c:pt>
                <c:pt idx="7" formatCode="General">
                  <c:v>68.636293872206522</c:v>
                </c:pt>
                <c:pt idx="8" formatCode="General">
                  <c:v>71.005292161226407</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54.165072850000016</c:v>
                </c:pt>
                <c:pt idx="1">
                  <c:v>54.440223930374387</c:v>
                </c:pt>
                <c:pt idx="2" formatCode="General">
                  <c:v>54.548933646516701</c:v>
                </c:pt>
                <c:pt idx="3" formatCode="General">
                  <c:v>54.627867996175361</c:v>
                </c:pt>
                <c:pt idx="4" formatCode="General">
                  <c:v>54.864915927108285</c:v>
                </c:pt>
                <c:pt idx="5" formatCode="General">
                  <c:v>55.235933338652458</c:v>
                </c:pt>
                <c:pt idx="6" formatCode="General">
                  <c:v>55.854223738067894</c:v>
                </c:pt>
                <c:pt idx="7" formatCode="General">
                  <c:v>56.743444647300009</c:v>
                </c:pt>
                <c:pt idx="8" formatCode="General">
                  <c:v>57.688987426590018</c:v>
                </c:pt>
              </c:numCache>
            </c:numRef>
          </c:val>
          <c:smooth val="0"/>
        </c:ser>
        <c:dLbls>
          <c:showLegendKey val="0"/>
          <c:showVal val="0"/>
          <c:showCatName val="0"/>
          <c:showSerName val="0"/>
          <c:showPercent val="0"/>
          <c:showBubbleSize val="0"/>
        </c:dLbls>
        <c:marker val="1"/>
        <c:smooth val="0"/>
        <c:axId val="150323968"/>
        <c:axId val="150325504"/>
      </c:lineChart>
      <c:catAx>
        <c:axId val="15032396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0325504"/>
        <c:crosses val="autoZero"/>
        <c:auto val="1"/>
        <c:lblAlgn val="ctr"/>
        <c:lblOffset val="0"/>
        <c:tickLblSkip val="1"/>
        <c:tickMarkSkip val="1"/>
        <c:noMultiLvlLbl val="1"/>
      </c:catAx>
      <c:valAx>
        <c:axId val="15032550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0323968"/>
        <c:crossesAt val="1"/>
        <c:crossBetween val="between"/>
      </c:valAx>
      <c:spPr>
        <a:noFill/>
        <a:ln w="6335">
          <a:solidFill>
            <a:sysClr val="window" lastClr="FFFFFF">
              <a:lumMod val="85000"/>
            </a:sysClr>
          </a:solidFill>
        </a:ln>
      </c:spPr>
    </c:plotArea>
    <c:legend>
      <c:legendPos val="t"/>
      <c:layout>
        <c:manualLayout>
          <c:xMode val="edge"/>
          <c:yMode val="edge"/>
          <c:x val="0.11086932428720805"/>
          <c:y val="0.5778359249179903"/>
          <c:w val="0.47660559257015955"/>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42976197992519E-2"/>
          <c:y val="2.7980535279805412E-2"/>
          <c:w val="0.90715929035923981"/>
          <c:h val="0.77812735810381828"/>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8.6421702138849437</c:v>
                </c:pt>
                <c:pt idx="1">
                  <c:v>8.5503193478940531</c:v>
                </c:pt>
                <c:pt idx="2" formatCode="General">
                  <c:v>8.4721167792312713</c:v>
                </c:pt>
                <c:pt idx="3" formatCode="General">
                  <c:v>8.4187480445303233</c:v>
                </c:pt>
                <c:pt idx="4" formatCode="General">
                  <c:v>8.3782226188904829</c:v>
                </c:pt>
                <c:pt idx="5" formatCode="General">
                  <c:v>8.3621970194895852</c:v>
                </c:pt>
                <c:pt idx="6" formatCode="General">
                  <c:v>8.3707321866130684</c:v>
                </c:pt>
                <c:pt idx="7" formatCode="General">
                  <c:v>8.4013192721757939</c:v>
                </c:pt>
                <c:pt idx="8" formatCode="General">
                  <c:v>8.443820026600223</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10.043538540000005</c:v>
                </c:pt>
                <c:pt idx="1">
                  <c:v>9.7066823418494117</c:v>
                </c:pt>
                <c:pt idx="2" formatCode="General">
                  <c:v>9.4250516325323925</c:v>
                </c:pt>
                <c:pt idx="3" formatCode="General">
                  <c:v>9.1747186536487781</c:v>
                </c:pt>
                <c:pt idx="4" formatCode="General">
                  <c:v>8.9601413371218293</c:v>
                </c:pt>
                <c:pt idx="5" formatCode="General">
                  <c:v>8.7758941920510676</c:v>
                </c:pt>
                <c:pt idx="6" formatCode="General">
                  <c:v>8.6092322440004345</c:v>
                </c:pt>
                <c:pt idx="7" formatCode="General">
                  <c:v>8.4732936859636965</c:v>
                </c:pt>
                <c:pt idx="8" formatCode="General">
                  <c:v>8.3437367677402161</c:v>
                </c:pt>
              </c:numCache>
            </c:numRef>
          </c:val>
          <c:smooth val="0"/>
        </c:ser>
        <c:dLbls>
          <c:showLegendKey val="0"/>
          <c:showVal val="0"/>
          <c:showCatName val="0"/>
          <c:showSerName val="0"/>
          <c:showPercent val="0"/>
          <c:showBubbleSize val="0"/>
        </c:dLbls>
        <c:marker val="1"/>
        <c:smooth val="0"/>
        <c:axId val="150596224"/>
        <c:axId val="151724416"/>
      </c:lineChart>
      <c:catAx>
        <c:axId val="15059622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1724416"/>
        <c:crosses val="autoZero"/>
        <c:auto val="1"/>
        <c:lblAlgn val="ctr"/>
        <c:lblOffset val="0"/>
        <c:tickLblSkip val="1"/>
        <c:tickMarkSkip val="1"/>
        <c:noMultiLvlLbl val="1"/>
      </c:catAx>
      <c:valAx>
        <c:axId val="151724416"/>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059622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8651348748528598"/>
          <c:w val="0.47660559257015955"/>
          <c:h val="0.16145863008672984"/>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894503469634074E-2"/>
          <c:y val="2.7980535279805412E-2"/>
          <c:w val="0.86166759264122472"/>
          <c:h val="0.79906081046146193"/>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23.129512975288737</c:v>
                </c:pt>
                <c:pt idx="1">
                  <c:v>24.119591270166726</c:v>
                </c:pt>
                <c:pt idx="2" formatCode="General">
                  <c:v>25.123393691126417</c:v>
                </c:pt>
                <c:pt idx="3" formatCode="General">
                  <c:v>26.037658207339909</c:v>
                </c:pt>
                <c:pt idx="4" formatCode="General">
                  <c:v>26.900100661593999</c:v>
                </c:pt>
                <c:pt idx="5" formatCode="General">
                  <c:v>27.761803292749878</c:v>
                </c:pt>
                <c:pt idx="6" formatCode="General">
                  <c:v>28.546291935779156</c:v>
                </c:pt>
                <c:pt idx="7" formatCode="General">
                  <c:v>29.238947734657959</c:v>
                </c:pt>
                <c:pt idx="8" formatCode="General">
                  <c:v>29.962123489483236</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23.84405374000001</c:v>
                </c:pt>
                <c:pt idx="1">
                  <c:v>24.843583122105979</c:v>
                </c:pt>
                <c:pt idx="2" formatCode="General">
                  <c:v>25.547825366046325</c:v>
                </c:pt>
                <c:pt idx="3" formatCode="General">
                  <c:v>26.140437592897861</c:v>
                </c:pt>
                <c:pt idx="4" formatCode="General">
                  <c:v>26.770612971498615</c:v>
                </c:pt>
                <c:pt idx="5" formatCode="General">
                  <c:v>27.407093501917561</c:v>
                </c:pt>
                <c:pt idx="6" formatCode="General">
                  <c:v>28.163224450743954</c:v>
                </c:pt>
                <c:pt idx="7" formatCode="General">
                  <c:v>29.086470715984621</c:v>
                </c:pt>
                <c:pt idx="8" formatCode="General">
                  <c:v>30.088611782628661</c:v>
                </c:pt>
              </c:numCache>
            </c:numRef>
          </c:val>
          <c:smooth val="0"/>
        </c:ser>
        <c:dLbls>
          <c:showLegendKey val="0"/>
          <c:showVal val="0"/>
          <c:showCatName val="0"/>
          <c:showSerName val="0"/>
          <c:showPercent val="0"/>
          <c:showBubbleSize val="0"/>
        </c:dLbls>
        <c:marker val="1"/>
        <c:smooth val="0"/>
        <c:axId val="151749376"/>
        <c:axId val="151750912"/>
      </c:lineChart>
      <c:catAx>
        <c:axId val="15174937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1750912"/>
        <c:crosses val="autoZero"/>
        <c:auto val="1"/>
        <c:lblAlgn val="ctr"/>
        <c:lblOffset val="0"/>
        <c:tickLblSkip val="1"/>
        <c:tickMarkSkip val="1"/>
        <c:noMultiLvlLbl val="1"/>
      </c:catAx>
      <c:valAx>
        <c:axId val="151750912"/>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1749376"/>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13380298657077"/>
          <c:y val="2.7980535279805412E-2"/>
          <c:w val="0.84942827267514576"/>
          <c:h val="0.77798125395200735"/>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14.569167349877329</c:v>
                </c:pt>
                <c:pt idx="1">
                  <c:v>14.901566787872358</c:v>
                </c:pt>
                <c:pt idx="2" formatCode="General">
                  <c:v>15.207038612554806</c:v>
                </c:pt>
                <c:pt idx="3" formatCode="General">
                  <c:v>15.475759152502933</c:v>
                </c:pt>
                <c:pt idx="4" formatCode="General">
                  <c:v>15.689988476460728</c:v>
                </c:pt>
                <c:pt idx="5" formatCode="General">
                  <c:v>15.901554334675227</c:v>
                </c:pt>
                <c:pt idx="6" formatCode="General">
                  <c:v>16.098811434047612</c:v>
                </c:pt>
                <c:pt idx="7" formatCode="General">
                  <c:v>16.282307615169458</c:v>
                </c:pt>
                <c:pt idx="8" formatCode="General">
                  <c:v>16.458762788329192</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15.703641259999999</c:v>
                </c:pt>
                <c:pt idx="1">
                  <c:v>16.622043139541947</c:v>
                </c:pt>
                <c:pt idx="2" formatCode="General">
                  <c:v>17.311411630157647</c:v>
                </c:pt>
                <c:pt idx="3" formatCode="General">
                  <c:v>17.92544120606787</c:v>
                </c:pt>
                <c:pt idx="4" formatCode="General">
                  <c:v>18.530412839456918</c:v>
                </c:pt>
                <c:pt idx="5" formatCode="General">
                  <c:v>19.118365969707522</c:v>
                </c:pt>
                <c:pt idx="6" formatCode="General">
                  <c:v>19.732345161830583</c:v>
                </c:pt>
                <c:pt idx="7" formatCode="General">
                  <c:v>20.358350463003323</c:v>
                </c:pt>
                <c:pt idx="8" formatCode="General">
                  <c:v>20.951365204886297</c:v>
                </c:pt>
              </c:numCache>
            </c:numRef>
          </c:val>
          <c:smooth val="0"/>
        </c:ser>
        <c:dLbls>
          <c:showLegendKey val="0"/>
          <c:showVal val="0"/>
          <c:showCatName val="0"/>
          <c:showSerName val="0"/>
          <c:showPercent val="0"/>
          <c:showBubbleSize val="0"/>
        </c:dLbls>
        <c:marker val="1"/>
        <c:smooth val="0"/>
        <c:axId val="152070784"/>
        <c:axId val="152084864"/>
      </c:lineChart>
      <c:catAx>
        <c:axId val="15207078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2084864"/>
        <c:crosses val="autoZero"/>
        <c:auto val="1"/>
        <c:lblAlgn val="ctr"/>
        <c:lblOffset val="0"/>
        <c:tickLblSkip val="1"/>
        <c:tickMarkSkip val="1"/>
        <c:noMultiLvlLbl val="1"/>
      </c:catAx>
      <c:valAx>
        <c:axId val="15208486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207078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52205498921278859"/>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664082498607238E-2"/>
          <c:y val="2.7980535279805412E-2"/>
          <c:w val="0.86285090210643745"/>
          <c:h val="0.79582306305484563"/>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302.96918739243921</c:v>
                </c:pt>
                <c:pt idx="1">
                  <c:v>314.97678388748056</c:v>
                </c:pt>
                <c:pt idx="2" formatCode="General">
                  <c:v>325.40849723597859</c:v>
                </c:pt>
                <c:pt idx="3" formatCode="General">
                  <c:v>334.89299131470244</c:v>
                </c:pt>
                <c:pt idx="4" formatCode="General">
                  <c:v>343.0461765985612</c:v>
                </c:pt>
                <c:pt idx="5" formatCode="General">
                  <c:v>350.80249126075233</c:v>
                </c:pt>
                <c:pt idx="6" formatCode="General">
                  <c:v>357.75837875816921</c:v>
                </c:pt>
                <c:pt idx="7" formatCode="General">
                  <c:v>364.02550882024366</c:v>
                </c:pt>
                <c:pt idx="8" formatCode="General">
                  <c:v>370.30159732895976</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323.26077638000004</c:v>
                </c:pt>
                <c:pt idx="1">
                  <c:v>329.84618826551355</c:v>
                </c:pt>
                <c:pt idx="2" formatCode="General">
                  <c:v>335.34177543355258</c:v>
                </c:pt>
                <c:pt idx="3" formatCode="General">
                  <c:v>340.42822909603848</c:v>
                </c:pt>
                <c:pt idx="4" formatCode="General">
                  <c:v>346.07764413402145</c:v>
                </c:pt>
                <c:pt idx="5" formatCode="General">
                  <c:v>352.03381543817142</c:v>
                </c:pt>
                <c:pt idx="6" formatCode="General">
                  <c:v>359.0907385815417</c:v>
                </c:pt>
                <c:pt idx="7" formatCode="General">
                  <c:v>367.37213508042544</c:v>
                </c:pt>
                <c:pt idx="8" formatCode="General">
                  <c:v>375.48702994446052</c:v>
                </c:pt>
              </c:numCache>
            </c:numRef>
          </c:val>
          <c:smooth val="0"/>
        </c:ser>
        <c:dLbls>
          <c:showLegendKey val="0"/>
          <c:showVal val="0"/>
          <c:showCatName val="0"/>
          <c:showSerName val="0"/>
          <c:showPercent val="0"/>
          <c:showBubbleSize val="0"/>
        </c:dLbls>
        <c:marker val="1"/>
        <c:smooth val="0"/>
        <c:axId val="152097536"/>
        <c:axId val="152099072"/>
      </c:lineChart>
      <c:catAx>
        <c:axId val="15209753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2099072"/>
        <c:crosses val="autoZero"/>
        <c:auto val="1"/>
        <c:lblAlgn val="ctr"/>
        <c:lblOffset val="0"/>
        <c:tickLblSkip val="1"/>
        <c:tickMarkSkip val="1"/>
        <c:noMultiLvlLbl val="1"/>
      </c:catAx>
      <c:valAx>
        <c:axId val="152099072"/>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700" b="0" i="0" u="none" strike="noStrike" baseline="0">
                <a:solidFill>
                  <a:srgbClr val="000000"/>
                </a:solidFill>
                <a:latin typeface="Times New Roman" pitchFamily="18" charset="0"/>
                <a:ea typeface="Times New Roman"/>
                <a:cs typeface="Times New Roman" pitchFamily="18" charset="0"/>
              </a:defRPr>
            </a:pPr>
            <a:endParaRPr lang="lv-LV"/>
          </a:p>
        </c:txPr>
        <c:crossAx val="152097536"/>
        <c:crossesAt val="1"/>
        <c:crossBetween val="between"/>
      </c:valAx>
      <c:spPr>
        <a:noFill/>
        <a:ln w="6335">
          <a:solidFill>
            <a:sysClr val="window" lastClr="FFFFFF">
              <a:lumMod val="85000"/>
            </a:sysClr>
          </a:solidFill>
        </a:ln>
      </c:spPr>
    </c:plotArea>
    <c:legend>
      <c:legendPos val="t"/>
      <c:layout>
        <c:manualLayout>
          <c:xMode val="edge"/>
          <c:yMode val="edge"/>
          <c:x val="0.20266365561490257"/>
          <c:y val="0.49855956968828846"/>
          <c:w val="0.47660559257015955"/>
          <c:h val="0.19675645807431971"/>
        </c:manualLayout>
      </c:layout>
      <c:overlay val="0"/>
      <c:txPr>
        <a:bodyPr/>
        <a:lstStyle/>
        <a:p>
          <a:pPr>
            <a:defRPr sz="700"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0077">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211.82072891344427</c:v>
                </c:pt>
                <c:pt idx="1">
                  <c:v>211.59869590867618</c:v>
                </c:pt>
                <c:pt idx="2">
                  <c:v>211.09887186454003</c:v>
                </c:pt>
                <c:pt idx="3" formatCode="General">
                  <c:v>210.31191590971531</c:v>
                </c:pt>
                <c:pt idx="4" formatCode="General">
                  <c:v>209.22670770838823</c:v>
                </c:pt>
                <c:pt idx="5" formatCode="General">
                  <c:v>207.96911595416907</c:v>
                </c:pt>
                <c:pt idx="6" formatCode="General">
                  <c:v>206.47572040629476</c:v>
                </c:pt>
                <c:pt idx="7" formatCode="General">
                  <c:v>204.81534675991816</c:v>
                </c:pt>
                <c:pt idx="8" formatCode="General">
                  <c:v>202.90535158479145</c:v>
                </c:pt>
              </c:numCache>
            </c:numRef>
          </c:val>
          <c:smooth val="0"/>
        </c:ser>
        <c:ser>
          <c:idx val="0"/>
          <c:order val="1"/>
          <c:tx>
            <c:strRef>
              <c:f>Sheet1!$A$3</c:f>
              <c:strCache>
                <c:ptCount val="1"/>
                <c:pt idx="0">
                  <c:v>Piedāvājums</c:v>
                </c:pt>
              </c:strCache>
            </c:strRef>
          </c:tx>
          <c:spPr>
            <a:ln w="20077">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264.60060892000018</c:v>
                </c:pt>
                <c:pt idx="1">
                  <c:v>257.33247710354061</c:v>
                </c:pt>
                <c:pt idx="2">
                  <c:v>251.33682409775321</c:v>
                </c:pt>
                <c:pt idx="3" formatCode="General">
                  <c:v>245.99857138598063</c:v>
                </c:pt>
                <c:pt idx="4" formatCode="General">
                  <c:v>241.68754734006714</c:v>
                </c:pt>
                <c:pt idx="5" formatCode="General">
                  <c:v>238.01449134837608</c:v>
                </c:pt>
                <c:pt idx="6" formatCode="General">
                  <c:v>235.21452533448092</c:v>
                </c:pt>
                <c:pt idx="7" formatCode="General">
                  <c:v>233.20249218050449</c:v>
                </c:pt>
                <c:pt idx="8" formatCode="General">
                  <c:v>231.18091477743309</c:v>
                </c:pt>
              </c:numCache>
            </c:numRef>
          </c:val>
          <c:smooth val="0"/>
        </c:ser>
        <c:dLbls>
          <c:showLegendKey val="0"/>
          <c:showVal val="0"/>
          <c:showCatName val="0"/>
          <c:showSerName val="0"/>
          <c:showPercent val="0"/>
          <c:showBubbleSize val="0"/>
        </c:dLbls>
        <c:marker val="1"/>
        <c:smooth val="0"/>
        <c:axId val="152747008"/>
        <c:axId val="152748800"/>
      </c:lineChart>
      <c:catAx>
        <c:axId val="152747008"/>
        <c:scaling>
          <c:orientation val="minMax"/>
        </c:scaling>
        <c:delete val="0"/>
        <c:axPos val="b"/>
        <c:numFmt formatCode="General" sourceLinked="1"/>
        <c:majorTickMark val="none"/>
        <c:minorTickMark val="none"/>
        <c:tickLblPos val="nextTo"/>
        <c:spPr>
          <a:solidFill>
            <a:sysClr val="window" lastClr="FFFFFF"/>
          </a:solidFill>
          <a:ln w="5736">
            <a:solidFill>
              <a:sysClr val="windowText" lastClr="000000"/>
            </a:solidFill>
            <a:prstDash val="solid"/>
          </a:ln>
        </c:spPr>
        <c:txPr>
          <a:bodyPr rot="-5400000" vert="horz"/>
          <a:lstStyle/>
          <a:p>
            <a:pPr>
              <a:defRPr sz="723" b="0" i="0" u="none" strike="noStrike" baseline="0">
                <a:solidFill>
                  <a:srgbClr val="000000"/>
                </a:solidFill>
                <a:latin typeface="Times New Roman"/>
                <a:ea typeface="Times New Roman"/>
                <a:cs typeface="Times New Roman"/>
              </a:defRPr>
            </a:pPr>
            <a:endParaRPr lang="lv-LV"/>
          </a:p>
        </c:txPr>
        <c:crossAx val="152748800"/>
        <c:crosses val="autoZero"/>
        <c:auto val="1"/>
        <c:lblAlgn val="ctr"/>
        <c:lblOffset val="0"/>
        <c:tickLblSkip val="1"/>
        <c:tickMarkSkip val="1"/>
        <c:noMultiLvlLbl val="1"/>
      </c:catAx>
      <c:valAx>
        <c:axId val="152748800"/>
        <c:scaling>
          <c:orientation val="minMax"/>
        </c:scaling>
        <c:delete val="0"/>
        <c:axPos val="l"/>
        <c:numFmt formatCode="0" sourceLinked="0"/>
        <c:majorTickMark val="out"/>
        <c:minorTickMark val="none"/>
        <c:tickLblPos val="nextTo"/>
        <c:spPr>
          <a:ln w="5736">
            <a:solidFill>
              <a:sysClr val="windowText" lastClr="000000"/>
            </a:solidFill>
          </a:ln>
        </c:spPr>
        <c:txPr>
          <a:bodyPr rot="0" vert="horz"/>
          <a:lstStyle/>
          <a:p>
            <a:pPr>
              <a:defRPr sz="542" b="0" i="0" u="none" strike="noStrike" baseline="0">
                <a:solidFill>
                  <a:srgbClr val="000000"/>
                </a:solidFill>
                <a:latin typeface="Times New Roman"/>
                <a:ea typeface="Times New Roman"/>
                <a:cs typeface="Times New Roman"/>
              </a:defRPr>
            </a:pPr>
            <a:endParaRPr lang="lv-LV"/>
          </a:p>
        </c:txPr>
        <c:crossAx val="152747008"/>
        <c:crossesAt val="1"/>
        <c:crossBetween val="between"/>
      </c:valAx>
      <c:spPr>
        <a:noFill/>
        <a:ln w="5736">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664" b="0" i="0" u="none" strike="noStrike" baseline="0">
              <a:solidFill>
                <a:srgbClr val="000000"/>
              </a:solidFill>
              <a:latin typeface="Times New Roman"/>
              <a:ea typeface="Times New Roman"/>
              <a:cs typeface="Times New Roman"/>
            </a:defRPr>
          </a:pPr>
          <a:endParaRPr lang="lv-LV"/>
        </a:p>
      </c:txPr>
    </c:legend>
    <c:plotVisOnly val="1"/>
    <c:dispBlanksAs val="gap"/>
    <c:showDLblsOverMax val="0"/>
  </c:chart>
  <c:spPr>
    <a:noFill/>
    <a:ln>
      <a:noFill/>
    </a:ln>
  </c:spPr>
  <c:txPr>
    <a:bodyPr/>
    <a:lstStyle/>
    <a:p>
      <a:pPr>
        <a:defRPr sz="723" b="1" i="0" u="none" strike="noStrike" baseline="0">
          <a:solidFill>
            <a:srgbClr val="000000"/>
          </a:solidFill>
          <a:latin typeface="Arial"/>
          <a:ea typeface="Arial"/>
          <a:cs typeface="Arial"/>
        </a:defRPr>
      </a:pPr>
      <a:endParaRPr lang="lv-LV"/>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5.6830130914500732</c:v>
                </c:pt>
                <c:pt idx="1">
                  <c:v>5.5399643698721563</c:v>
                </c:pt>
                <c:pt idx="2" formatCode="General">
                  <c:v>5.4147062447714873</c:v>
                </c:pt>
                <c:pt idx="3" formatCode="General">
                  <c:v>5.295009732183507</c:v>
                </c:pt>
                <c:pt idx="4" formatCode="General">
                  <c:v>5.1832440992289532</c:v>
                </c:pt>
                <c:pt idx="5" formatCode="General">
                  <c:v>5.0736701455030246</c:v>
                </c:pt>
                <c:pt idx="6" formatCode="General">
                  <c:v>4.9666838102083233</c:v>
                </c:pt>
                <c:pt idx="7" formatCode="General">
                  <c:v>4.8644134330099975</c:v>
                </c:pt>
                <c:pt idx="8" formatCode="General">
                  <c:v>4.7508099743099947</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7.9226242400000029</c:v>
                </c:pt>
                <c:pt idx="1">
                  <c:v>7.8091567372239803</c:v>
                </c:pt>
                <c:pt idx="2" formatCode="General">
                  <c:v>7.7649261872318096</c:v>
                </c:pt>
                <c:pt idx="3" formatCode="General">
                  <c:v>7.7372322252738952</c:v>
                </c:pt>
                <c:pt idx="4" formatCode="General">
                  <c:v>7.7195351100743528</c:v>
                </c:pt>
                <c:pt idx="5" formatCode="General">
                  <c:v>7.6941134831303852</c:v>
                </c:pt>
                <c:pt idx="6" formatCode="General">
                  <c:v>7.6806176070604888</c:v>
                </c:pt>
                <c:pt idx="7" formatCode="General">
                  <c:v>7.6886280720550984</c:v>
                </c:pt>
                <c:pt idx="8" formatCode="General">
                  <c:v>7.6909462342317534</c:v>
                </c:pt>
              </c:numCache>
            </c:numRef>
          </c:val>
          <c:smooth val="0"/>
        </c:ser>
        <c:dLbls>
          <c:showLegendKey val="0"/>
          <c:showVal val="0"/>
          <c:showCatName val="0"/>
          <c:showSerName val="0"/>
          <c:showPercent val="0"/>
          <c:showBubbleSize val="0"/>
        </c:dLbls>
        <c:marker val="1"/>
        <c:smooth val="0"/>
        <c:axId val="152769664"/>
        <c:axId val="152771200"/>
      </c:lineChart>
      <c:catAx>
        <c:axId val="15276966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2771200"/>
        <c:crosses val="autoZero"/>
        <c:auto val="1"/>
        <c:lblAlgn val="ctr"/>
        <c:lblOffset val="0"/>
        <c:tickLblSkip val="1"/>
        <c:tickMarkSkip val="1"/>
        <c:noMultiLvlLbl val="1"/>
      </c:catAx>
      <c:valAx>
        <c:axId val="152771200"/>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276966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37.509020041779543</c:v>
                </c:pt>
                <c:pt idx="1">
                  <c:v>36.281442161561593</c:v>
                </c:pt>
                <c:pt idx="2" formatCode="General">
                  <c:v>35.205747130020441</c:v>
                </c:pt>
                <c:pt idx="3" formatCode="General">
                  <c:v>34.180328627624313</c:v>
                </c:pt>
                <c:pt idx="4" formatCode="General">
                  <c:v>33.225895129055381</c:v>
                </c:pt>
                <c:pt idx="5" formatCode="General">
                  <c:v>32.301767096355341</c:v>
                </c:pt>
                <c:pt idx="6" formatCode="General">
                  <c:v>31.414937578369091</c:v>
                </c:pt>
                <c:pt idx="7" formatCode="General">
                  <c:v>30.571299033101457</c:v>
                </c:pt>
                <c:pt idx="8" formatCode="General">
                  <c:v>29.654730609937232</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43.944868270000015</c:v>
                </c:pt>
                <c:pt idx="1">
                  <c:v>42.356982285214499</c:v>
                </c:pt>
                <c:pt idx="2" formatCode="General">
                  <c:v>40.849083023739425</c:v>
                </c:pt>
                <c:pt idx="3" formatCode="General">
                  <c:v>39.3920996575808</c:v>
                </c:pt>
                <c:pt idx="4" formatCode="General">
                  <c:v>38.063067117481225</c:v>
                </c:pt>
                <c:pt idx="5" formatCode="General">
                  <c:v>36.819378031223302</c:v>
                </c:pt>
                <c:pt idx="6" formatCode="General">
                  <c:v>35.668299976104244</c:v>
                </c:pt>
                <c:pt idx="7" formatCode="General">
                  <c:v>34.663106842386782</c:v>
                </c:pt>
                <c:pt idx="8" formatCode="General">
                  <c:v>33.658893356614222</c:v>
                </c:pt>
              </c:numCache>
            </c:numRef>
          </c:val>
          <c:smooth val="0"/>
        </c:ser>
        <c:dLbls>
          <c:showLegendKey val="0"/>
          <c:showVal val="0"/>
          <c:showCatName val="0"/>
          <c:showSerName val="0"/>
          <c:showPercent val="0"/>
          <c:showBubbleSize val="0"/>
        </c:dLbls>
        <c:marker val="1"/>
        <c:smooth val="0"/>
        <c:axId val="152902656"/>
        <c:axId val="152904448"/>
      </c:lineChart>
      <c:catAx>
        <c:axId val="15290265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2904448"/>
        <c:crosses val="autoZero"/>
        <c:auto val="1"/>
        <c:lblAlgn val="ctr"/>
        <c:lblOffset val="0"/>
        <c:tickLblSkip val="1"/>
        <c:tickMarkSkip val="1"/>
        <c:noMultiLvlLbl val="1"/>
      </c:catAx>
      <c:valAx>
        <c:axId val="152904448"/>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2902656"/>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1307469016697E-2"/>
          <c:y val="2.9308939323761E-2"/>
          <c:w val="0.88604300290278282"/>
          <c:h val="0.86811106506423541"/>
        </c:manualLayout>
      </c:layout>
      <c:barChart>
        <c:barDir val="col"/>
        <c:grouping val="clustered"/>
        <c:varyColors val="0"/>
        <c:ser>
          <c:idx val="1"/>
          <c:order val="0"/>
          <c:tx>
            <c:strRef>
              <c:f>Sheet1!$A$3</c:f>
              <c:strCache>
                <c:ptCount val="1"/>
                <c:pt idx="0">
                  <c:v>Bezdarba līmenis</c:v>
                </c:pt>
              </c:strCache>
            </c:strRef>
          </c:tx>
          <c:spPr>
            <a:solidFill>
              <a:schemeClr val="accent4">
                <a:lumMod val="60000"/>
                <a:lumOff val="40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spPr>
              <a:solidFill>
                <a:schemeClr val="accent4">
                  <a:lumMod val="50000"/>
                </a:schemeClr>
              </a:solidFill>
            </c:spPr>
          </c:dPt>
          <c:dPt>
            <c:idx val="7"/>
            <c:invertIfNegative val="0"/>
            <c:bubble3D val="0"/>
            <c:spPr>
              <a:solidFill>
                <a:schemeClr val="accent4">
                  <a:lumMod val="50000"/>
                </a:schemeClr>
              </a:solidFill>
            </c:spPr>
          </c:dPt>
          <c:dLbls>
            <c:numFmt formatCode="#,##0.0" sourceLinked="0"/>
            <c:showLegendKey val="0"/>
            <c:showVal val="1"/>
            <c:showCatName val="0"/>
            <c:showSerName val="0"/>
            <c:showPercent val="0"/>
            <c:showBubbleSize val="0"/>
            <c:showLeaderLines val="0"/>
          </c:dLbls>
          <c:cat>
            <c:numRef>
              <c:f>Sheet1!$B$2:$J$2</c:f>
              <c:numCache>
                <c:formatCode>General</c:formatCode>
                <c:ptCount val="8"/>
                <c:pt idx="0">
                  <c:v>2005</c:v>
                </c:pt>
                <c:pt idx="1">
                  <c:v>2006</c:v>
                </c:pt>
                <c:pt idx="2">
                  <c:v>2007</c:v>
                </c:pt>
                <c:pt idx="3">
                  <c:v>2008</c:v>
                </c:pt>
                <c:pt idx="4">
                  <c:v>2009</c:v>
                </c:pt>
                <c:pt idx="5">
                  <c:v>2010</c:v>
                </c:pt>
                <c:pt idx="6">
                  <c:v>2011</c:v>
                </c:pt>
                <c:pt idx="7">
                  <c:v>2012</c:v>
                </c:pt>
              </c:numCache>
            </c:numRef>
          </c:cat>
          <c:val>
            <c:numRef>
              <c:f>Sheet1!$B$3:$J$3</c:f>
              <c:numCache>
                <c:formatCode>General</c:formatCode>
                <c:ptCount val="8"/>
                <c:pt idx="0">
                  <c:v>9.0172595984501598</c:v>
                </c:pt>
                <c:pt idx="1">
                  <c:v>6.8436830835117783</c:v>
                </c:pt>
                <c:pt idx="2">
                  <c:v>6.0532281084711617</c:v>
                </c:pt>
                <c:pt idx="3">
                  <c:v>7.5341339036025659</c:v>
                </c:pt>
                <c:pt idx="4">
                  <c:v>16.902475997978776</c:v>
                </c:pt>
                <c:pt idx="5">
                  <c:v>18.677614520311149</c:v>
                </c:pt>
                <c:pt idx="6">
                  <c:v>16.203073332036571</c:v>
                </c:pt>
                <c:pt idx="7">
                  <c:v>14.936125252137163</c:v>
                </c:pt>
              </c:numCache>
            </c:numRef>
          </c:val>
        </c:ser>
        <c:dLbls>
          <c:showLegendKey val="0"/>
          <c:showVal val="0"/>
          <c:showCatName val="0"/>
          <c:showSerName val="0"/>
          <c:showPercent val="0"/>
          <c:showBubbleSize val="0"/>
        </c:dLbls>
        <c:gapWidth val="40"/>
        <c:axId val="152527232"/>
        <c:axId val="152529536"/>
      </c:barChart>
      <c:catAx>
        <c:axId val="152527232"/>
        <c:scaling>
          <c:orientation val="minMax"/>
        </c:scaling>
        <c:delete val="0"/>
        <c:axPos val="b"/>
        <c:numFmt formatCode="General" sourceLinked="1"/>
        <c:majorTickMark val="out"/>
        <c:minorTickMark val="none"/>
        <c:tickLblPos val="low"/>
        <c:txPr>
          <a:bodyPr rot="0" vert="horz"/>
          <a:lstStyle/>
          <a:p>
            <a:pPr>
              <a:defRPr/>
            </a:pPr>
            <a:endParaRPr lang="lv-LV"/>
          </a:p>
        </c:txPr>
        <c:crossAx val="152529536"/>
        <c:crosses val="autoZero"/>
        <c:auto val="1"/>
        <c:lblAlgn val="ctr"/>
        <c:lblOffset val="0"/>
        <c:tickLblSkip val="1"/>
        <c:tickMarkSkip val="1"/>
        <c:noMultiLvlLbl val="1"/>
      </c:catAx>
      <c:valAx>
        <c:axId val="152529536"/>
        <c:scaling>
          <c:orientation val="minMax"/>
          <c:min val="0"/>
        </c:scaling>
        <c:delete val="0"/>
        <c:axPos val="l"/>
        <c:numFmt formatCode="#,##0" sourceLinked="0"/>
        <c:majorTickMark val="out"/>
        <c:minorTickMark val="none"/>
        <c:tickLblPos val="nextTo"/>
        <c:txPr>
          <a:bodyPr rot="0" vert="horz"/>
          <a:lstStyle/>
          <a:p>
            <a:pPr>
              <a:defRPr/>
            </a:pPr>
            <a:endParaRPr lang="lv-LV"/>
          </a:p>
        </c:txPr>
        <c:crossAx val="152527232"/>
        <c:crosses val="autoZero"/>
        <c:crossBetween val="between"/>
        <c:majorUnit val="4"/>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4.8169759658341924</c:v>
                </c:pt>
                <c:pt idx="1">
                  <c:v>4.9290768351522276</c:v>
                </c:pt>
                <c:pt idx="2" formatCode="General">
                  <c:v>5.0598904913869234</c:v>
                </c:pt>
                <c:pt idx="3" formatCode="General">
                  <c:v>5.1582411698716406</c:v>
                </c:pt>
                <c:pt idx="4" formatCode="General">
                  <c:v>5.2351138753713533</c:v>
                </c:pt>
                <c:pt idx="5" formatCode="General">
                  <c:v>5.3406828396225068</c:v>
                </c:pt>
                <c:pt idx="6" formatCode="General">
                  <c:v>5.4530420636404706</c:v>
                </c:pt>
                <c:pt idx="7" formatCode="General">
                  <c:v>5.5647720324740222</c:v>
                </c:pt>
                <c:pt idx="8" formatCode="General">
                  <c:v>5.7115068719684858</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6.2904326200000034</c:v>
                </c:pt>
                <c:pt idx="1">
                  <c:v>6.1365904087060779</c:v>
                </c:pt>
                <c:pt idx="2" formatCode="General">
                  <c:v>5.9696058136177887</c:v>
                </c:pt>
                <c:pt idx="3" formatCode="General">
                  <c:v>5.7973357048003908</c:v>
                </c:pt>
                <c:pt idx="4" formatCode="General">
                  <c:v>5.6520169181678055</c:v>
                </c:pt>
                <c:pt idx="5" formatCode="General">
                  <c:v>5.5253256130387891</c:v>
                </c:pt>
                <c:pt idx="6" formatCode="General">
                  <c:v>5.433449998039432</c:v>
                </c:pt>
                <c:pt idx="7" formatCode="General">
                  <c:v>5.3708247559329845</c:v>
                </c:pt>
                <c:pt idx="8" formatCode="General">
                  <c:v>5.3182932919894466</c:v>
                </c:pt>
              </c:numCache>
            </c:numRef>
          </c:val>
          <c:smooth val="0"/>
        </c:ser>
        <c:dLbls>
          <c:showLegendKey val="0"/>
          <c:showVal val="0"/>
          <c:showCatName val="0"/>
          <c:showSerName val="0"/>
          <c:showPercent val="0"/>
          <c:showBubbleSize val="0"/>
        </c:dLbls>
        <c:marker val="1"/>
        <c:smooth val="0"/>
        <c:axId val="153687168"/>
        <c:axId val="153688704"/>
      </c:lineChart>
      <c:catAx>
        <c:axId val="15368716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3688704"/>
        <c:crosses val="autoZero"/>
        <c:auto val="1"/>
        <c:lblAlgn val="ctr"/>
        <c:lblOffset val="0"/>
        <c:tickLblSkip val="1"/>
        <c:tickMarkSkip val="1"/>
        <c:noMultiLvlLbl val="1"/>
      </c:catAx>
      <c:valAx>
        <c:axId val="15368870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3687168"/>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170.05313628782554</c:v>
                </c:pt>
                <c:pt idx="1">
                  <c:v>171.12269969367642</c:v>
                </c:pt>
                <c:pt idx="2" formatCode="General">
                  <c:v>172.10313821828379</c:v>
                </c:pt>
                <c:pt idx="3" formatCode="General">
                  <c:v>172.86868895970511</c:v>
                </c:pt>
                <c:pt idx="4" formatCode="General">
                  <c:v>173.11748376732453</c:v>
                </c:pt>
                <c:pt idx="5" formatCode="General">
                  <c:v>173.09451381260968</c:v>
                </c:pt>
                <c:pt idx="6" formatCode="General">
                  <c:v>172.70522310258926</c:v>
                </c:pt>
                <c:pt idx="7" formatCode="General">
                  <c:v>172.03240996067089</c:v>
                </c:pt>
                <c:pt idx="8" formatCode="General">
                  <c:v>171.23877781572736</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203.6357045200001</c:v>
                </c:pt>
                <c:pt idx="1">
                  <c:v>194.44461060138644</c:v>
                </c:pt>
                <c:pt idx="2" formatCode="General">
                  <c:v>186.14211717568355</c:v>
                </c:pt>
                <c:pt idx="3" formatCode="General">
                  <c:v>178.47894533789787</c:v>
                </c:pt>
                <c:pt idx="4" formatCode="General">
                  <c:v>171.7923721016104</c:v>
                </c:pt>
                <c:pt idx="5" formatCode="General">
                  <c:v>165.81091476795964</c:v>
                </c:pt>
                <c:pt idx="6" formatCode="General">
                  <c:v>160.5343756302866</c:v>
                </c:pt>
                <c:pt idx="7" formatCode="General">
                  <c:v>156.12993672457563</c:v>
                </c:pt>
                <c:pt idx="8" formatCode="General">
                  <c:v>151.74777506551121</c:v>
                </c:pt>
              </c:numCache>
            </c:numRef>
          </c:val>
          <c:smooth val="0"/>
        </c:ser>
        <c:dLbls>
          <c:showLegendKey val="0"/>
          <c:showVal val="0"/>
          <c:showCatName val="0"/>
          <c:showSerName val="0"/>
          <c:showPercent val="0"/>
          <c:showBubbleSize val="0"/>
        </c:dLbls>
        <c:marker val="1"/>
        <c:smooth val="0"/>
        <c:axId val="153910272"/>
        <c:axId val="153928448"/>
      </c:lineChart>
      <c:catAx>
        <c:axId val="153910272"/>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3928448"/>
        <c:crosses val="autoZero"/>
        <c:auto val="1"/>
        <c:lblAlgn val="ctr"/>
        <c:lblOffset val="0"/>
        <c:tickLblSkip val="1"/>
        <c:tickMarkSkip val="1"/>
        <c:noMultiLvlLbl val="1"/>
      </c:catAx>
      <c:valAx>
        <c:axId val="153928448"/>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3910272"/>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20.535485405934683</c:v>
                </c:pt>
                <c:pt idx="1">
                  <c:v>19.893139751328903</c:v>
                </c:pt>
                <c:pt idx="2" formatCode="General">
                  <c:v>19.293540497369971</c:v>
                </c:pt>
                <c:pt idx="3" formatCode="General">
                  <c:v>18.728964702147795</c:v>
                </c:pt>
                <c:pt idx="4" formatCode="General">
                  <c:v>18.17934304090927</c:v>
                </c:pt>
                <c:pt idx="5" formatCode="General">
                  <c:v>17.638725960317078</c:v>
                </c:pt>
                <c:pt idx="6" formatCode="General">
                  <c:v>17.113774573307808</c:v>
                </c:pt>
                <c:pt idx="7" formatCode="General">
                  <c:v>16.605354695164852</c:v>
                </c:pt>
                <c:pt idx="8" formatCode="General">
                  <c:v>16.05919195839051</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23.242383740000012</c:v>
                </c:pt>
                <c:pt idx="1">
                  <c:v>22.301203251734194</c:v>
                </c:pt>
                <c:pt idx="2" formatCode="General">
                  <c:v>21.463424901159144</c:v>
                </c:pt>
                <c:pt idx="3" formatCode="General">
                  <c:v>20.690951899003188</c:v>
                </c:pt>
                <c:pt idx="4" formatCode="General">
                  <c:v>19.999678307606654</c:v>
                </c:pt>
                <c:pt idx="5" formatCode="General">
                  <c:v>19.34855347366037</c:v>
                </c:pt>
                <c:pt idx="6" formatCode="General">
                  <c:v>18.734378056485976</c:v>
                </c:pt>
                <c:pt idx="7" formatCode="General">
                  <c:v>18.180457322774917</c:v>
                </c:pt>
                <c:pt idx="8" formatCode="General">
                  <c:v>17.611026099746141</c:v>
                </c:pt>
              </c:numCache>
            </c:numRef>
          </c:val>
          <c:smooth val="0"/>
        </c:ser>
        <c:dLbls>
          <c:showLegendKey val="0"/>
          <c:showVal val="0"/>
          <c:showCatName val="0"/>
          <c:showSerName val="0"/>
          <c:showPercent val="0"/>
          <c:showBubbleSize val="0"/>
        </c:dLbls>
        <c:marker val="1"/>
        <c:smooth val="0"/>
        <c:axId val="153949312"/>
        <c:axId val="153950848"/>
      </c:lineChart>
      <c:catAx>
        <c:axId val="153949312"/>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3950848"/>
        <c:crosses val="autoZero"/>
        <c:auto val="1"/>
        <c:lblAlgn val="ctr"/>
        <c:lblOffset val="0"/>
        <c:tickLblSkip val="1"/>
        <c:tickMarkSkip val="1"/>
        <c:noMultiLvlLbl val="1"/>
      </c:catAx>
      <c:valAx>
        <c:axId val="153950848"/>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3949312"/>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18.013193868386988</c:v>
                </c:pt>
                <c:pt idx="1">
                  <c:v>17.228396295376559</c:v>
                </c:pt>
                <c:pt idx="2" formatCode="General">
                  <c:v>16.550625056576497</c:v>
                </c:pt>
                <c:pt idx="3" formatCode="General">
                  <c:v>15.929332642902468</c:v>
                </c:pt>
                <c:pt idx="4" formatCode="General">
                  <c:v>15.382854923610662</c:v>
                </c:pt>
                <c:pt idx="5" formatCode="General">
                  <c:v>14.853058336560522</c:v>
                </c:pt>
                <c:pt idx="6" formatCode="General">
                  <c:v>14.385281640804639</c:v>
                </c:pt>
                <c:pt idx="7" formatCode="General">
                  <c:v>13.996745842665495</c:v>
                </c:pt>
                <c:pt idx="8" formatCode="General">
                  <c:v>13.551928882726909</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18.77165539000001</c:v>
                </c:pt>
                <c:pt idx="1">
                  <c:v>17.771120742920854</c:v>
                </c:pt>
                <c:pt idx="2" formatCode="General">
                  <c:v>16.872784159196016</c:v>
                </c:pt>
                <c:pt idx="3" formatCode="General">
                  <c:v>16.047583293086536</c:v>
                </c:pt>
                <c:pt idx="4" formatCode="General">
                  <c:v>15.311400325551142</c:v>
                </c:pt>
                <c:pt idx="5" formatCode="General">
                  <c:v>14.643606939584341</c:v>
                </c:pt>
                <c:pt idx="6" formatCode="General">
                  <c:v>14.028069314889015</c:v>
                </c:pt>
                <c:pt idx="7" formatCode="General">
                  <c:v>13.481583741704064</c:v>
                </c:pt>
                <c:pt idx="8" formatCode="General">
                  <c:v>12.934918786966762</c:v>
                </c:pt>
              </c:numCache>
            </c:numRef>
          </c:val>
          <c:smooth val="0"/>
        </c:ser>
        <c:dLbls>
          <c:showLegendKey val="0"/>
          <c:showVal val="0"/>
          <c:showCatName val="0"/>
          <c:showSerName val="0"/>
          <c:showPercent val="0"/>
          <c:showBubbleSize val="0"/>
        </c:dLbls>
        <c:marker val="1"/>
        <c:smooth val="0"/>
        <c:axId val="154008576"/>
        <c:axId val="154018560"/>
      </c:lineChart>
      <c:catAx>
        <c:axId val="15400857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018560"/>
        <c:crosses val="autoZero"/>
        <c:auto val="1"/>
        <c:lblAlgn val="ctr"/>
        <c:lblOffset val="0"/>
        <c:tickLblSkip val="1"/>
        <c:tickMarkSkip val="1"/>
        <c:noMultiLvlLbl val="1"/>
      </c:catAx>
      <c:valAx>
        <c:axId val="154018560"/>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008576"/>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32.119012783009843</c:v>
                </c:pt>
                <c:pt idx="1">
                  <c:v>34.197777365016947</c:v>
                </c:pt>
                <c:pt idx="2" formatCode="General">
                  <c:v>35.646744178502644</c:v>
                </c:pt>
                <c:pt idx="3" formatCode="General">
                  <c:v>36.936845583701974</c:v>
                </c:pt>
                <c:pt idx="4" formatCode="General">
                  <c:v>37.908305398481716</c:v>
                </c:pt>
                <c:pt idx="5" formatCode="General">
                  <c:v>38.750203705096624</c:v>
                </c:pt>
                <c:pt idx="6" formatCode="General">
                  <c:v>39.430196794469751</c:v>
                </c:pt>
                <c:pt idx="7" formatCode="General">
                  <c:v>39.976340304303456</c:v>
                </c:pt>
                <c:pt idx="8" formatCode="General">
                  <c:v>40.552699028330991</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38.13086813000001</c:v>
                </c:pt>
                <c:pt idx="1">
                  <c:v>37.019461206314716</c:v>
                </c:pt>
                <c:pt idx="2" formatCode="General">
                  <c:v>36.131519099071305</c:v>
                </c:pt>
                <c:pt idx="3" formatCode="General">
                  <c:v>35.407378302115347</c:v>
                </c:pt>
                <c:pt idx="4" formatCode="General">
                  <c:v>34.892965384013635</c:v>
                </c:pt>
                <c:pt idx="5" formatCode="General">
                  <c:v>34.536967552985224</c:v>
                </c:pt>
                <c:pt idx="6" formatCode="General">
                  <c:v>34.383147544673882</c:v>
                </c:pt>
                <c:pt idx="7" formatCode="General">
                  <c:v>34.496957953181756</c:v>
                </c:pt>
                <c:pt idx="8" formatCode="General">
                  <c:v>34.685429973188974</c:v>
                </c:pt>
              </c:numCache>
            </c:numRef>
          </c:val>
          <c:smooth val="0"/>
        </c:ser>
        <c:dLbls>
          <c:showLegendKey val="0"/>
          <c:showVal val="0"/>
          <c:showCatName val="0"/>
          <c:showSerName val="0"/>
          <c:showPercent val="0"/>
          <c:showBubbleSize val="0"/>
        </c:dLbls>
        <c:marker val="1"/>
        <c:smooth val="0"/>
        <c:axId val="154035328"/>
        <c:axId val="154036864"/>
      </c:lineChart>
      <c:catAx>
        <c:axId val="15403532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036864"/>
        <c:crosses val="autoZero"/>
        <c:auto val="1"/>
        <c:lblAlgn val="ctr"/>
        <c:lblOffset val="0"/>
        <c:tickLblSkip val="1"/>
        <c:tickMarkSkip val="1"/>
        <c:noMultiLvlLbl val="1"/>
      </c:catAx>
      <c:valAx>
        <c:axId val="15403686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035328"/>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504.23557386305242</c:v>
                </c:pt>
                <c:pt idx="1">
                  <c:v>504.35528758439216</c:v>
                </c:pt>
                <c:pt idx="2" formatCode="General">
                  <c:v>503.82333885335299</c:v>
                </c:pt>
                <c:pt idx="3" formatCode="General">
                  <c:v>502.75149069699927</c:v>
                </c:pt>
                <c:pt idx="4" formatCode="General">
                  <c:v>500.70012189350422</c:v>
                </c:pt>
                <c:pt idx="5" formatCode="General">
                  <c:v>498.16572207599518</c:v>
                </c:pt>
                <c:pt idx="6" formatCode="General">
                  <c:v>494.99562233224879</c:v>
                </c:pt>
                <c:pt idx="7" formatCode="General">
                  <c:v>491.38892967228242</c:v>
                </c:pt>
                <c:pt idx="8" formatCode="General">
                  <c:v>487.29212678110309</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611.0327525600004</c:v>
                </c:pt>
                <c:pt idx="1">
                  <c:v>589.34514431199023</c:v>
                </c:pt>
                <c:pt idx="2" formatCode="General">
                  <c:v>570.38754269536639</c:v>
                </c:pt>
                <c:pt idx="3" formatCode="General">
                  <c:v>553.09893507845277</c:v>
                </c:pt>
                <c:pt idx="4" formatCode="General">
                  <c:v>538.382654507854</c:v>
                </c:pt>
                <c:pt idx="5" formatCode="General">
                  <c:v>525.39320639306891</c:v>
                </c:pt>
                <c:pt idx="6" formatCode="General">
                  <c:v>514.43470694364362</c:v>
                </c:pt>
                <c:pt idx="7" formatCode="General">
                  <c:v>505.75475483291973</c:v>
                </c:pt>
                <c:pt idx="8" formatCode="General">
                  <c:v>497.16193161686232</c:v>
                </c:pt>
              </c:numCache>
            </c:numRef>
          </c:val>
          <c:smooth val="0"/>
        </c:ser>
        <c:dLbls>
          <c:showLegendKey val="0"/>
          <c:showVal val="0"/>
          <c:showCatName val="0"/>
          <c:showSerName val="0"/>
          <c:showPercent val="0"/>
          <c:showBubbleSize val="0"/>
        </c:dLbls>
        <c:marker val="1"/>
        <c:smooth val="0"/>
        <c:axId val="154102784"/>
        <c:axId val="154116864"/>
      </c:lineChart>
      <c:catAx>
        <c:axId val="15410278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116864"/>
        <c:crosses val="autoZero"/>
        <c:auto val="1"/>
        <c:lblAlgn val="ctr"/>
        <c:lblOffset val="0"/>
        <c:tickLblSkip val="1"/>
        <c:tickMarkSkip val="1"/>
        <c:noMultiLvlLbl val="1"/>
      </c:catAx>
      <c:valAx>
        <c:axId val="15411686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10278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6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80.972906795125795</c:v>
                </c:pt>
                <c:pt idx="1">
                  <c:v>82.655597875619961</c:v>
                </c:pt>
                <c:pt idx="2">
                  <c:v>84.070748397069551</c:v>
                </c:pt>
                <c:pt idx="3">
                  <c:v>85.3057970851372</c:v>
                </c:pt>
                <c:pt idx="4">
                  <c:v>86.293641270066146</c:v>
                </c:pt>
                <c:pt idx="5">
                  <c:v>87.204779859675909</c:v>
                </c:pt>
                <c:pt idx="6">
                  <c:v>87.966738169896772</c:v>
                </c:pt>
                <c:pt idx="7">
                  <c:v>88.613923347257042</c:v>
                </c:pt>
                <c:pt idx="8">
                  <c:v>89.222252905198516</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88.797116631965622</c:v>
                </c:pt>
                <c:pt idx="1">
                  <c:v>89.998212295624171</c:v>
                </c:pt>
                <c:pt idx="2">
                  <c:v>91.003829032897187</c:v>
                </c:pt>
                <c:pt idx="3">
                  <c:v>91.836115093082356</c:v>
                </c:pt>
                <c:pt idx="4">
                  <c:v>92.838091859558048</c:v>
                </c:pt>
                <c:pt idx="5">
                  <c:v>94.001395236313911</c:v>
                </c:pt>
                <c:pt idx="6">
                  <c:v>95.438290557600155</c:v>
                </c:pt>
                <c:pt idx="7">
                  <c:v>97.172002602924039</c:v>
                </c:pt>
                <c:pt idx="8">
                  <c:v>98.75018535662862</c:v>
                </c:pt>
              </c:numCache>
            </c:numRef>
          </c:val>
          <c:smooth val="0"/>
        </c:ser>
        <c:dLbls>
          <c:showLegendKey val="0"/>
          <c:showVal val="0"/>
          <c:showCatName val="0"/>
          <c:showSerName val="0"/>
          <c:showPercent val="0"/>
          <c:showBubbleSize val="0"/>
        </c:dLbls>
        <c:marker val="1"/>
        <c:smooth val="0"/>
        <c:axId val="154129536"/>
        <c:axId val="154131072"/>
      </c:lineChart>
      <c:catAx>
        <c:axId val="154129536"/>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131072"/>
        <c:crosses val="autoZero"/>
        <c:auto val="1"/>
        <c:lblAlgn val="ctr"/>
        <c:lblOffset val="0"/>
        <c:tickLblSkip val="1"/>
        <c:tickMarkSkip val="1"/>
        <c:noMultiLvlLbl val="1"/>
      </c:catAx>
      <c:valAx>
        <c:axId val="154131072"/>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129536"/>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152.74043485811924</c:v>
                </c:pt>
                <c:pt idx="1">
                  <c:v>156.4938417767406</c:v>
                </c:pt>
                <c:pt idx="2">
                  <c:v>159.70433251607241</c:v>
                </c:pt>
                <c:pt idx="3">
                  <c:v>162.72646414052943</c:v>
                </c:pt>
                <c:pt idx="4">
                  <c:v>165.39607905026023</c:v>
                </c:pt>
                <c:pt idx="5">
                  <c:v>168.03123840098007</c:v>
                </c:pt>
                <c:pt idx="6">
                  <c:v>170.46221979465085</c:v>
                </c:pt>
                <c:pt idx="7">
                  <c:v>172.75363313241994</c:v>
                </c:pt>
                <c:pt idx="8">
                  <c:v>175.03414875077584</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162.54632468625402</c:v>
                </c:pt>
                <c:pt idx="1">
                  <c:v>166.81046405633995</c:v>
                </c:pt>
                <c:pt idx="2">
                  <c:v>170.94212246071893</c:v>
                </c:pt>
                <c:pt idx="3">
                  <c:v>175.0615223030407</c:v>
                </c:pt>
                <c:pt idx="4">
                  <c:v>179.40566108720617</c:v>
                </c:pt>
                <c:pt idx="5">
                  <c:v>183.7294439899359</c:v>
                </c:pt>
                <c:pt idx="6">
                  <c:v>188.37182734093022</c:v>
                </c:pt>
                <c:pt idx="7">
                  <c:v>193.37757657948609</c:v>
                </c:pt>
                <c:pt idx="8">
                  <c:v>198.08567785204474</c:v>
                </c:pt>
              </c:numCache>
            </c:numRef>
          </c:val>
          <c:smooth val="0"/>
        </c:ser>
        <c:dLbls>
          <c:showLegendKey val="0"/>
          <c:showVal val="0"/>
          <c:showCatName val="0"/>
          <c:showSerName val="0"/>
          <c:showPercent val="0"/>
          <c:showBubbleSize val="0"/>
        </c:dLbls>
        <c:marker val="1"/>
        <c:smooth val="0"/>
        <c:axId val="154733952"/>
        <c:axId val="154739840"/>
      </c:lineChart>
      <c:catAx>
        <c:axId val="154733952"/>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739840"/>
        <c:crosses val="autoZero"/>
        <c:auto val="1"/>
        <c:lblAlgn val="ctr"/>
        <c:lblOffset val="0"/>
        <c:tickLblSkip val="1"/>
        <c:tickMarkSkip val="1"/>
        <c:noMultiLvlLbl val="1"/>
      </c:catAx>
      <c:valAx>
        <c:axId val="154739840"/>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733952"/>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116.99421948322238</c:v>
                </c:pt>
                <c:pt idx="1">
                  <c:v>120.75890123284799</c:v>
                </c:pt>
                <c:pt idx="2">
                  <c:v>124.1657486923642</c:v>
                </c:pt>
                <c:pt idx="3">
                  <c:v>127.31393445888023</c:v>
                </c:pt>
                <c:pt idx="4">
                  <c:v>130.14853868212148</c:v>
                </c:pt>
                <c:pt idx="5">
                  <c:v>132.92466557071572</c:v>
                </c:pt>
                <c:pt idx="6">
                  <c:v>135.51653343760839</c:v>
                </c:pt>
                <c:pt idx="7">
                  <c:v>137.96528754549738</c:v>
                </c:pt>
                <c:pt idx="8">
                  <c:v>140.36425104215127</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130.747658586217</c:v>
                </c:pt>
                <c:pt idx="1">
                  <c:v>135.0091893612375</c:v>
                </c:pt>
                <c:pt idx="2">
                  <c:v>138.45947015671908</c:v>
                </c:pt>
                <c:pt idx="3">
                  <c:v>141.35501717644246</c:v>
                </c:pt>
                <c:pt idx="4">
                  <c:v>144.16648134578199</c:v>
                </c:pt>
                <c:pt idx="5">
                  <c:v>146.86935853443043</c:v>
                </c:pt>
                <c:pt idx="6">
                  <c:v>149.89732428640116</c:v>
                </c:pt>
                <c:pt idx="7">
                  <c:v>153.43332169275484</c:v>
                </c:pt>
                <c:pt idx="8">
                  <c:v>156.93869717535543</c:v>
                </c:pt>
              </c:numCache>
            </c:numRef>
          </c:val>
          <c:smooth val="0"/>
        </c:ser>
        <c:dLbls>
          <c:showLegendKey val="0"/>
          <c:showVal val="0"/>
          <c:showCatName val="0"/>
          <c:showSerName val="0"/>
          <c:showPercent val="0"/>
          <c:showBubbleSize val="0"/>
        </c:dLbls>
        <c:marker val="1"/>
        <c:smooth val="0"/>
        <c:axId val="154772992"/>
        <c:axId val="154774528"/>
      </c:lineChart>
      <c:catAx>
        <c:axId val="154772992"/>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4774528"/>
        <c:crosses val="autoZero"/>
        <c:auto val="1"/>
        <c:lblAlgn val="ctr"/>
        <c:lblOffset val="0"/>
        <c:tickLblSkip val="1"/>
        <c:tickMarkSkip val="1"/>
        <c:noMultiLvlLbl val="1"/>
      </c:catAx>
      <c:valAx>
        <c:axId val="154774528"/>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4772992"/>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54.572214243437088</c:v>
                </c:pt>
                <c:pt idx="1">
                  <c:v>54.829257581431776</c:v>
                </c:pt>
                <c:pt idx="2">
                  <c:v>54.863897228217695</c:v>
                </c:pt>
                <c:pt idx="3">
                  <c:v>54.755671773044149</c:v>
                </c:pt>
                <c:pt idx="4">
                  <c:v>54.484407458804739</c:v>
                </c:pt>
                <c:pt idx="5">
                  <c:v>54.148784038461578</c:v>
                </c:pt>
                <c:pt idx="6">
                  <c:v>53.710785259202503</c:v>
                </c:pt>
                <c:pt idx="7">
                  <c:v>53.192688585424186</c:v>
                </c:pt>
                <c:pt idx="8">
                  <c:v>52.645098433710601</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63.476427294540898</c:v>
                </c:pt>
                <c:pt idx="1">
                  <c:v>62.561675672396291</c:v>
                </c:pt>
                <c:pt idx="2">
                  <c:v>61.644256383345535</c:v>
                </c:pt>
                <c:pt idx="3">
                  <c:v>60.746042475222296</c:v>
                </c:pt>
                <c:pt idx="4">
                  <c:v>60.025139394853895</c:v>
                </c:pt>
                <c:pt idx="5">
                  <c:v>59.354390625345765</c:v>
                </c:pt>
                <c:pt idx="6">
                  <c:v>58.624294089007506</c:v>
                </c:pt>
                <c:pt idx="7">
                  <c:v>58.065518620770263</c:v>
                </c:pt>
                <c:pt idx="8">
                  <c:v>57.5070871843688</c:v>
                </c:pt>
              </c:numCache>
            </c:numRef>
          </c:val>
          <c:smooth val="0"/>
        </c:ser>
        <c:dLbls>
          <c:showLegendKey val="0"/>
          <c:showVal val="0"/>
          <c:showCatName val="0"/>
          <c:showSerName val="0"/>
          <c:showPercent val="0"/>
          <c:showBubbleSize val="0"/>
        </c:dLbls>
        <c:marker val="1"/>
        <c:smooth val="0"/>
        <c:axId val="155299200"/>
        <c:axId val="155305088"/>
      </c:lineChart>
      <c:catAx>
        <c:axId val="155299200"/>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5305088"/>
        <c:crosses val="autoZero"/>
        <c:auto val="1"/>
        <c:lblAlgn val="ctr"/>
        <c:lblOffset val="0"/>
        <c:tickLblSkip val="1"/>
        <c:tickMarkSkip val="1"/>
        <c:noMultiLvlLbl val="1"/>
      </c:catAx>
      <c:valAx>
        <c:axId val="155305088"/>
        <c:scaling>
          <c:orientation val="minMax"/>
          <c:min val="0"/>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5299200"/>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03009259259235E-2"/>
          <c:y val="6.5185185185185165E-2"/>
          <c:w val="0.91869699074074052"/>
          <c:h val="0.82094381689498441"/>
        </c:manualLayout>
      </c:layout>
      <c:barChart>
        <c:barDir val="col"/>
        <c:grouping val="clustered"/>
        <c:varyColors val="0"/>
        <c:ser>
          <c:idx val="1"/>
          <c:order val="0"/>
          <c:tx>
            <c:strRef>
              <c:f>Sheet1!$A$2</c:f>
              <c:strCache>
                <c:ptCount val="1"/>
                <c:pt idx="0">
                  <c:v>Darba samaksa</c:v>
                </c:pt>
              </c:strCache>
            </c:strRef>
          </c:tx>
          <c:spPr>
            <a:solidFill>
              <a:schemeClr val="accent4">
                <a:lumMod val="75000"/>
              </a:schemeClr>
            </a:solidFill>
          </c:spPr>
          <c:invertIfNegative val="0"/>
          <c:dLbls>
            <c:showLegendKey val="0"/>
            <c:showVal val="1"/>
            <c:showCatName val="0"/>
            <c:showSerName val="0"/>
            <c:showPercent val="0"/>
            <c:showBubbleSize val="0"/>
            <c:showLeaderLines val="0"/>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Sheet1!$B$2:$I$2</c:f>
              <c:numCache>
                <c:formatCode>General</c:formatCode>
                <c:ptCount val="8"/>
                <c:pt idx="0">
                  <c:v>246</c:v>
                </c:pt>
                <c:pt idx="1">
                  <c:v>302</c:v>
                </c:pt>
                <c:pt idx="2">
                  <c:v>398</c:v>
                </c:pt>
                <c:pt idx="3">
                  <c:v>479</c:v>
                </c:pt>
                <c:pt idx="4">
                  <c:v>461</c:v>
                </c:pt>
                <c:pt idx="5">
                  <c:v>445</c:v>
                </c:pt>
                <c:pt idx="6">
                  <c:v>464</c:v>
                </c:pt>
                <c:pt idx="7">
                  <c:v>481</c:v>
                </c:pt>
              </c:numCache>
            </c:numRef>
          </c:val>
        </c:ser>
        <c:dLbls>
          <c:showLegendKey val="0"/>
          <c:showVal val="0"/>
          <c:showCatName val="0"/>
          <c:showSerName val="0"/>
          <c:showPercent val="0"/>
          <c:showBubbleSize val="0"/>
        </c:dLbls>
        <c:gapWidth val="50"/>
        <c:axId val="166768640"/>
        <c:axId val="166770560"/>
      </c:barChart>
      <c:catAx>
        <c:axId val="166768640"/>
        <c:scaling>
          <c:orientation val="minMax"/>
        </c:scaling>
        <c:delete val="0"/>
        <c:axPos val="b"/>
        <c:numFmt formatCode="General" sourceLinked="1"/>
        <c:majorTickMark val="out"/>
        <c:minorTickMark val="none"/>
        <c:tickLblPos val="nextTo"/>
        <c:crossAx val="166770560"/>
        <c:crosses val="autoZero"/>
        <c:auto val="1"/>
        <c:lblAlgn val="ctr"/>
        <c:lblOffset val="100"/>
        <c:tickLblSkip val="1"/>
        <c:noMultiLvlLbl val="1"/>
      </c:catAx>
      <c:valAx>
        <c:axId val="166770560"/>
        <c:scaling>
          <c:orientation val="minMax"/>
          <c:max val="500"/>
          <c:min val="0"/>
        </c:scaling>
        <c:delete val="0"/>
        <c:axPos val="l"/>
        <c:numFmt formatCode="General" sourceLinked="1"/>
        <c:majorTickMark val="out"/>
        <c:minorTickMark val="none"/>
        <c:tickLblPos val="nextTo"/>
        <c:crossAx val="166768640"/>
        <c:crosses val="autoZero"/>
        <c:crossBetween val="between"/>
        <c:majorUnit val="10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133.8491834969673</c:v>
                </c:pt>
                <c:pt idx="1">
                  <c:v>135.32093710592088</c:v>
                </c:pt>
                <c:pt idx="2">
                  <c:v>136.38246504284126</c:v>
                </c:pt>
                <c:pt idx="3">
                  <c:v>137.19451193121893</c:v>
                </c:pt>
                <c:pt idx="4">
                  <c:v>137.76147872821721</c:v>
                </c:pt>
                <c:pt idx="5">
                  <c:v>138.23066083332262</c:v>
                </c:pt>
                <c:pt idx="6">
                  <c:v>138.5334258378906</c:v>
                </c:pt>
                <c:pt idx="7">
                  <c:v>138.67926749027589</c:v>
                </c:pt>
                <c:pt idx="8">
                  <c:v>138.78234984628753</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163.10466047676653</c:v>
                </c:pt>
                <c:pt idx="1">
                  <c:v>160.14270682616979</c:v>
                </c:pt>
                <c:pt idx="2">
                  <c:v>157.2436143820145</c:v>
                </c:pt>
                <c:pt idx="3">
                  <c:v>154.58235069187714</c:v>
                </c:pt>
                <c:pt idx="4">
                  <c:v>152.38875510309904</c:v>
                </c:pt>
                <c:pt idx="5">
                  <c:v>150.54835170820527</c:v>
                </c:pt>
                <c:pt idx="6">
                  <c:v>149.15656065069041</c:v>
                </c:pt>
                <c:pt idx="7">
                  <c:v>148.53208534647879</c:v>
                </c:pt>
                <c:pt idx="8">
                  <c:v>148.08929727311485</c:v>
                </c:pt>
              </c:numCache>
            </c:numRef>
          </c:val>
          <c:smooth val="0"/>
        </c:ser>
        <c:dLbls>
          <c:showLegendKey val="0"/>
          <c:showVal val="0"/>
          <c:showCatName val="0"/>
          <c:showSerName val="0"/>
          <c:showPercent val="0"/>
          <c:showBubbleSize val="0"/>
        </c:dLbls>
        <c:marker val="1"/>
        <c:smooth val="0"/>
        <c:axId val="155452928"/>
        <c:axId val="155454464"/>
      </c:lineChart>
      <c:catAx>
        <c:axId val="15545292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5454464"/>
        <c:crosses val="autoZero"/>
        <c:auto val="1"/>
        <c:lblAlgn val="ctr"/>
        <c:lblOffset val="0"/>
        <c:tickLblSkip val="1"/>
        <c:tickMarkSkip val="1"/>
        <c:noMultiLvlLbl val="1"/>
      </c:catAx>
      <c:valAx>
        <c:axId val="15545446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5452928"/>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26641623925449"/>
          <c:y val="2.7181321712090371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0.0</c:formatCode>
                <c:ptCount val="9"/>
                <c:pt idx="0">
                  <c:v>31.567303706721933</c:v>
                </c:pt>
                <c:pt idx="1">
                  <c:v>30.682229515113804</c:v>
                </c:pt>
                <c:pt idx="2">
                  <c:v>29.752423088462205</c:v>
                </c:pt>
                <c:pt idx="3">
                  <c:v>28.939853599000656</c:v>
                </c:pt>
                <c:pt idx="4">
                  <c:v>28.095093233129116</c:v>
                </c:pt>
                <c:pt idx="5">
                  <c:v>27.302186247749717</c:v>
                </c:pt>
                <c:pt idx="6">
                  <c:v>26.586414011207022</c:v>
                </c:pt>
                <c:pt idx="7">
                  <c:v>25.911545828250446</c:v>
                </c:pt>
                <c:pt idx="8">
                  <c:v>25.273594231099022</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0.0</c:formatCode>
                <c:ptCount val="9"/>
                <c:pt idx="0">
                  <c:v>35.18998882961376</c:v>
                </c:pt>
                <c:pt idx="1">
                  <c:v>32.989656714941773</c:v>
                </c:pt>
                <c:pt idx="2">
                  <c:v>31.104888942371812</c:v>
                </c:pt>
                <c:pt idx="3">
                  <c:v>29.417761756149179</c:v>
                </c:pt>
                <c:pt idx="4">
                  <c:v>27.941501568397165</c:v>
                </c:pt>
                <c:pt idx="5">
                  <c:v>26.618284347461</c:v>
                </c:pt>
                <c:pt idx="6">
                  <c:v>25.458863029292619</c:v>
                </c:pt>
                <c:pt idx="7">
                  <c:v>24.464022234793276</c:v>
                </c:pt>
                <c:pt idx="8">
                  <c:v>23.498433348186548</c:v>
                </c:pt>
              </c:numCache>
            </c:numRef>
          </c:val>
          <c:smooth val="0"/>
        </c:ser>
        <c:dLbls>
          <c:showLegendKey val="0"/>
          <c:showVal val="0"/>
          <c:showCatName val="0"/>
          <c:showSerName val="0"/>
          <c:showPercent val="0"/>
          <c:showBubbleSize val="0"/>
        </c:dLbls>
        <c:marker val="1"/>
        <c:smooth val="0"/>
        <c:axId val="156970368"/>
        <c:axId val="156972160"/>
      </c:lineChart>
      <c:catAx>
        <c:axId val="15697036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6972160"/>
        <c:crosses val="autoZero"/>
        <c:auto val="1"/>
        <c:lblAlgn val="ctr"/>
        <c:lblOffset val="0"/>
        <c:tickLblSkip val="1"/>
        <c:tickMarkSkip val="1"/>
        <c:noMultiLvlLbl val="1"/>
      </c:catAx>
      <c:valAx>
        <c:axId val="156972160"/>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6970368"/>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113.66595215413199</c:v>
                </c:pt>
                <c:pt idx="1">
                  <c:v>115.41654821926237</c:v>
                </c:pt>
                <c:pt idx="2">
                  <c:v>117.16184965376314</c:v>
                </c:pt>
                <c:pt idx="3">
                  <c:v>118.64052362209395</c:v>
                </c:pt>
                <c:pt idx="4">
                  <c:v>119.6989978206138</c:v>
                </c:pt>
                <c:pt idx="5">
                  <c:v>120.50947394598639</c:v>
                </c:pt>
                <c:pt idx="6">
                  <c:v>120.97804203754954</c:v>
                </c:pt>
                <c:pt idx="7">
                  <c:v>121.18139211087161</c:v>
                </c:pt>
                <c:pt idx="8">
                  <c:v>121.25992541628518</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139.88992806931407</c:v>
                </c:pt>
                <c:pt idx="1">
                  <c:v>135.53677757178539</c:v>
                </c:pt>
                <c:pt idx="2">
                  <c:v>131.04967204287931</c:v>
                </c:pt>
                <c:pt idx="3">
                  <c:v>126.59057837051895</c:v>
                </c:pt>
                <c:pt idx="4">
                  <c:v>122.6881460875133</c:v>
                </c:pt>
                <c:pt idx="5">
                  <c:v>119.52200436153143</c:v>
                </c:pt>
                <c:pt idx="6">
                  <c:v>116.93022236084713</c:v>
                </c:pt>
                <c:pt idx="7">
                  <c:v>114.75589458944398</c:v>
                </c:pt>
                <c:pt idx="8">
                  <c:v>112.44344006627243</c:v>
                </c:pt>
              </c:numCache>
            </c:numRef>
          </c:val>
          <c:smooth val="0"/>
        </c:ser>
        <c:dLbls>
          <c:showLegendKey val="0"/>
          <c:showVal val="0"/>
          <c:showCatName val="0"/>
          <c:showSerName val="0"/>
          <c:showPercent val="0"/>
          <c:showBubbleSize val="0"/>
        </c:dLbls>
        <c:marker val="1"/>
        <c:smooth val="0"/>
        <c:axId val="157013504"/>
        <c:axId val="157015040"/>
      </c:lineChart>
      <c:catAx>
        <c:axId val="15701350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7015040"/>
        <c:crosses val="autoZero"/>
        <c:auto val="1"/>
        <c:lblAlgn val="ctr"/>
        <c:lblOffset val="0"/>
        <c:tickLblSkip val="1"/>
        <c:tickMarkSkip val="1"/>
        <c:noMultiLvlLbl val="1"/>
      </c:catAx>
      <c:valAx>
        <c:axId val="157015040"/>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701350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80.316147243368192</c:v>
                </c:pt>
                <c:pt idx="1">
                  <c:v>80.825238913566011</c:v>
                </c:pt>
                <c:pt idx="2">
                  <c:v>81.242557639289856</c:v>
                </c:pt>
                <c:pt idx="3">
                  <c:v>81.648523831244091</c:v>
                </c:pt>
                <c:pt idx="4">
                  <c:v>81.857352775083697</c:v>
                </c:pt>
                <c:pt idx="5">
                  <c:v>81.935308630546899</c:v>
                </c:pt>
                <c:pt idx="6">
                  <c:v>81.862974594512991</c:v>
                </c:pt>
                <c:pt idx="7">
                  <c:v>81.673962624135356</c:v>
                </c:pt>
                <c:pt idx="8">
                  <c:v>81.436148423562244</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92.265540050386051</c:v>
                </c:pt>
                <c:pt idx="1">
                  <c:v>89.474250883674657</c:v>
                </c:pt>
                <c:pt idx="2">
                  <c:v>86.613481682094871</c:v>
                </c:pt>
                <c:pt idx="3">
                  <c:v>83.946127641150184</c:v>
                </c:pt>
                <c:pt idx="4">
                  <c:v>81.576636055626821</c:v>
                </c:pt>
                <c:pt idx="5">
                  <c:v>79.118729043223979</c:v>
                </c:pt>
                <c:pt idx="6">
                  <c:v>77.058255523742147</c:v>
                </c:pt>
                <c:pt idx="7">
                  <c:v>75.426767598006933</c:v>
                </c:pt>
                <c:pt idx="8">
                  <c:v>73.719398058111025</c:v>
                </c:pt>
              </c:numCache>
            </c:numRef>
          </c:val>
          <c:smooth val="0"/>
        </c:ser>
        <c:dLbls>
          <c:showLegendKey val="0"/>
          <c:showVal val="0"/>
          <c:showCatName val="0"/>
          <c:showSerName val="0"/>
          <c:showPercent val="0"/>
          <c:showBubbleSize val="0"/>
        </c:dLbls>
        <c:marker val="1"/>
        <c:smooth val="0"/>
        <c:axId val="159001984"/>
        <c:axId val="159007872"/>
      </c:lineChart>
      <c:catAx>
        <c:axId val="159001984"/>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9007872"/>
        <c:crosses val="autoZero"/>
        <c:auto val="1"/>
        <c:lblAlgn val="ctr"/>
        <c:lblOffset val="0"/>
        <c:tickLblSkip val="1"/>
        <c:tickMarkSkip val="1"/>
        <c:noMultiLvlLbl val="1"/>
      </c:catAx>
      <c:valAx>
        <c:axId val="159007872"/>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9001984"/>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5153256704991"/>
          <c:y val="2.7980535279805412E-2"/>
          <c:w val="0.81271072796934851"/>
          <c:h val="0.80433564814814862"/>
        </c:manualLayout>
      </c:layout>
      <c:lineChart>
        <c:grouping val="standard"/>
        <c:varyColors val="0"/>
        <c:ser>
          <c:idx val="1"/>
          <c:order val="0"/>
          <c:tx>
            <c:strRef>
              <c:f>Sheet1!$A$2</c:f>
              <c:strCache>
                <c:ptCount val="1"/>
                <c:pt idx="0">
                  <c:v>Pieprasījums</c:v>
                </c:pt>
              </c:strCache>
            </c:strRef>
          </c:tx>
          <c:spPr>
            <a:ln w="22172">
              <a:solidFill>
                <a:srgbClr val="8064A2">
                  <a:lumMod val="75000"/>
                </a:srgbClr>
              </a:solidFill>
              <a:prstDash val="solid"/>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0</c:formatCode>
                <c:ptCount val="9"/>
                <c:pt idx="0">
                  <c:v>116.77982054004761</c:v>
                </c:pt>
                <c:pt idx="1">
                  <c:v>116.57722365242388</c:v>
                </c:pt>
                <c:pt idx="2">
                  <c:v>115.79782015071373</c:v>
                </c:pt>
                <c:pt idx="3">
                  <c:v>114.83701015922387</c:v>
                </c:pt>
                <c:pt idx="4">
                  <c:v>113.51885660828822</c:v>
                </c:pt>
                <c:pt idx="5">
                  <c:v>112.07508436593974</c:v>
                </c:pt>
                <c:pt idx="6">
                  <c:v>110.46689021735843</c:v>
                </c:pt>
                <c:pt idx="7">
                  <c:v>108.72071164118306</c:v>
                </c:pt>
                <c:pt idx="8">
                  <c:v>106.92807434749845</c:v>
                </c:pt>
              </c:numCache>
            </c:numRef>
          </c:val>
          <c:smooth val="0"/>
        </c:ser>
        <c:ser>
          <c:idx val="0"/>
          <c:order val="1"/>
          <c:tx>
            <c:strRef>
              <c:f>Sheet1!$A$3</c:f>
              <c:strCache>
                <c:ptCount val="1"/>
                <c:pt idx="0">
                  <c:v>Piedāvājums</c:v>
                </c:pt>
              </c:strCache>
            </c:strRef>
          </c:tx>
          <c:spPr>
            <a:ln w="22172">
              <a:solidFill>
                <a:srgbClr val="8064A2">
                  <a:lumMod val="50000"/>
                </a:srgbClr>
              </a:solidFill>
              <a:prstDash val="dash"/>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0</c:formatCode>
                <c:ptCount val="9"/>
                <c:pt idx="0">
                  <c:v>160.69593381041636</c:v>
                </c:pt>
                <c:pt idx="1">
                  <c:v>154.67780582331818</c:v>
                </c:pt>
                <c:pt idx="2">
                  <c:v>149.06213271322645</c:v>
                </c:pt>
                <c:pt idx="3">
                  <c:v>143.91136364487738</c:v>
                </c:pt>
                <c:pt idx="4">
                  <c:v>139.54075225366995</c:v>
                </c:pt>
                <c:pt idx="5">
                  <c:v>135.62415599341097</c:v>
                </c:pt>
                <c:pt idx="6">
                  <c:v>132.18457838696975</c:v>
                </c:pt>
                <c:pt idx="7">
                  <c:v>129.29434820778872</c:v>
                </c:pt>
                <c:pt idx="8">
                  <c:v>126.12113517918927</c:v>
                </c:pt>
              </c:numCache>
            </c:numRef>
          </c:val>
          <c:smooth val="0"/>
        </c:ser>
        <c:dLbls>
          <c:showLegendKey val="0"/>
          <c:showVal val="0"/>
          <c:showCatName val="0"/>
          <c:showSerName val="0"/>
          <c:showPercent val="0"/>
          <c:showBubbleSize val="0"/>
        </c:dLbls>
        <c:marker val="1"/>
        <c:smooth val="0"/>
        <c:axId val="159016448"/>
        <c:axId val="159017984"/>
      </c:lineChart>
      <c:catAx>
        <c:axId val="159016448"/>
        <c:scaling>
          <c:orientation val="minMax"/>
        </c:scaling>
        <c:delete val="0"/>
        <c:axPos val="b"/>
        <c:numFmt formatCode="General" sourceLinked="1"/>
        <c:majorTickMark val="none"/>
        <c:minorTickMark val="none"/>
        <c:tickLblPos val="nextTo"/>
        <c:spPr>
          <a:solidFill>
            <a:sysClr val="window" lastClr="FFFFFF"/>
          </a:solidFill>
          <a:ln w="6335">
            <a:solidFill>
              <a:sysClr val="windowText" lastClr="000000"/>
            </a:solidFill>
            <a:prstDash val="solid"/>
          </a:ln>
        </c:spPr>
        <c:txPr>
          <a:bodyPr rot="-5400000" vert="horz"/>
          <a:lstStyle/>
          <a:p>
            <a:pPr>
              <a:defRPr lang="lv-LV" sz="798" b="0" i="0" u="none" strike="noStrike" baseline="0">
                <a:solidFill>
                  <a:srgbClr val="000000"/>
                </a:solidFill>
                <a:latin typeface="Times New Roman" pitchFamily="18" charset="0"/>
                <a:ea typeface="Times New Roman"/>
                <a:cs typeface="Times New Roman" pitchFamily="18" charset="0"/>
              </a:defRPr>
            </a:pPr>
            <a:endParaRPr lang="lv-LV"/>
          </a:p>
        </c:txPr>
        <c:crossAx val="159017984"/>
        <c:crosses val="autoZero"/>
        <c:auto val="1"/>
        <c:lblAlgn val="ctr"/>
        <c:lblOffset val="0"/>
        <c:tickLblSkip val="1"/>
        <c:tickMarkSkip val="1"/>
        <c:noMultiLvlLbl val="1"/>
      </c:catAx>
      <c:valAx>
        <c:axId val="159017984"/>
        <c:scaling>
          <c:orientation val="minMax"/>
        </c:scaling>
        <c:delete val="0"/>
        <c:axPos val="l"/>
        <c:numFmt formatCode="0" sourceLinked="0"/>
        <c:majorTickMark val="out"/>
        <c:minorTickMark val="none"/>
        <c:tickLblPos val="nextTo"/>
        <c:spPr>
          <a:ln w="6335">
            <a:solidFill>
              <a:sysClr val="windowText" lastClr="000000"/>
            </a:solidFill>
          </a:ln>
        </c:spPr>
        <c:txPr>
          <a:bodyPr rot="0" vert="horz"/>
          <a:lstStyle/>
          <a:p>
            <a:pPr>
              <a:defRPr lang="lv-LV" sz="599" b="0" i="0" u="none" strike="noStrike" baseline="0">
                <a:solidFill>
                  <a:srgbClr val="000000"/>
                </a:solidFill>
                <a:latin typeface="Times New Roman" pitchFamily="18" charset="0"/>
                <a:ea typeface="Times New Roman"/>
                <a:cs typeface="Times New Roman" pitchFamily="18" charset="0"/>
              </a:defRPr>
            </a:pPr>
            <a:endParaRPr lang="lv-LV"/>
          </a:p>
        </c:txPr>
        <c:crossAx val="159016448"/>
        <c:crossesAt val="1"/>
        <c:crossBetween val="between"/>
      </c:valAx>
      <c:spPr>
        <a:noFill/>
        <a:ln w="6335">
          <a:solidFill>
            <a:sysClr val="window" lastClr="FFFFFF">
              <a:lumMod val="85000"/>
            </a:sysClr>
          </a:solidFill>
        </a:ln>
      </c:spPr>
    </c:plotArea>
    <c:legend>
      <c:legendPos val="t"/>
      <c:layout>
        <c:manualLayout>
          <c:xMode val="edge"/>
          <c:yMode val="edge"/>
          <c:x val="0.20266353725015138"/>
          <c:y val="0.55121548402940868"/>
          <c:w val="0.47660559257015955"/>
          <c:h val="0.19675645807431971"/>
        </c:manualLayout>
      </c:layout>
      <c:overlay val="0"/>
      <c:txPr>
        <a:bodyPr/>
        <a:lstStyle/>
        <a:p>
          <a:pPr>
            <a:defRPr sz="798" b="0">
              <a:latin typeface="Times New Roman" pitchFamily="18" charset="0"/>
              <a:cs typeface="Times New Roman" pitchFamily="18" charset="0"/>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lv-LV"/>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10707372149199E-2"/>
          <c:y val="4.5830834613165623E-2"/>
          <c:w val="0.90202187584726656"/>
          <c:h val="0.4655787685981978"/>
        </c:manualLayout>
      </c:layout>
      <c:barChart>
        <c:barDir val="col"/>
        <c:grouping val="clustered"/>
        <c:varyColors val="0"/>
        <c:ser>
          <c:idx val="0"/>
          <c:order val="0"/>
          <c:tx>
            <c:strRef>
              <c:f>Sheet1!$A$2</c:f>
              <c:strCache>
                <c:ptCount val="1"/>
                <c:pt idx="0">
                  <c:v>Piedāvājums</c:v>
                </c:pt>
              </c:strCache>
            </c:strRef>
          </c:tx>
          <c:spPr>
            <a:solidFill>
              <a:schemeClr val="accent4">
                <a:lumMod val="50000"/>
              </a:schemeClr>
            </a:solidFill>
            <a:ln w="3175">
              <a:solidFill>
                <a:srgbClr val="000000"/>
              </a:solidFill>
            </a:ln>
          </c:spPr>
          <c:invertIfNegative val="0"/>
          <c:cat>
            <c:strRef>
              <c:f>Sheet1!$B$1:$K$1</c:f>
              <c:strCache>
                <c:ptCount val="10"/>
                <c:pt idx="0">
                  <c:v>Kopā</c:v>
                </c:pt>
                <c:pt idx="1">
                  <c:v>Vadītāji</c:v>
                </c:pt>
                <c:pt idx="2">
                  <c:v>Vecākie speciālisti</c:v>
                </c:pt>
                <c:pt idx="3">
                  <c:v>Speciālisti</c:v>
                </c:pt>
                <c:pt idx="4">
                  <c:v>Kalpotāji</c:v>
                </c:pt>
                <c:pt idx="5">
                  <c:v>Pakalpojumu un tirdzniecības darbinieki</c:v>
                </c:pt>
                <c:pt idx="6">
                  <c:v>Kvalificēti lauksaimniecības, mežsaimniecības un zivsaimniecības darbinieki</c:v>
                </c:pt>
                <c:pt idx="7">
                  <c:v>Kvalificēti strādnieki un amatnieki</c:v>
                </c:pt>
                <c:pt idx="8">
                  <c:v>Iekārtu un mašīnu operatori un izstrādājumu montieri</c:v>
                </c:pt>
                <c:pt idx="9">
                  <c:v>Vienkāršās profesijas</c:v>
                </c:pt>
              </c:strCache>
            </c:strRef>
          </c:cat>
          <c:val>
            <c:numRef>
              <c:f>Sheet1!$B$2:$K$2</c:f>
              <c:numCache>
                <c:formatCode>0</c:formatCode>
                <c:ptCount val="10"/>
                <c:pt idx="0" formatCode="General">
                  <c:v>100</c:v>
                </c:pt>
                <c:pt idx="1">
                  <c:v>100</c:v>
                </c:pt>
                <c:pt idx="2">
                  <c:v>100</c:v>
                </c:pt>
                <c:pt idx="3">
                  <c:v>100</c:v>
                </c:pt>
                <c:pt idx="4">
                  <c:v>100</c:v>
                </c:pt>
                <c:pt idx="5">
                  <c:v>100</c:v>
                </c:pt>
                <c:pt idx="6">
                  <c:v>100</c:v>
                </c:pt>
                <c:pt idx="7">
                  <c:v>100</c:v>
                </c:pt>
                <c:pt idx="8">
                  <c:v>100</c:v>
                </c:pt>
                <c:pt idx="9">
                  <c:v>100</c:v>
                </c:pt>
              </c:numCache>
            </c:numRef>
          </c:val>
        </c:ser>
        <c:ser>
          <c:idx val="1"/>
          <c:order val="1"/>
          <c:tx>
            <c:strRef>
              <c:f>Sheet1!$A$3</c:f>
              <c:strCache>
                <c:ptCount val="1"/>
                <c:pt idx="0">
                  <c:v>Pieprasījums</c:v>
                </c:pt>
              </c:strCache>
            </c:strRef>
          </c:tx>
          <c:spPr>
            <a:solidFill>
              <a:schemeClr val="accent4">
                <a:lumMod val="60000"/>
                <a:lumOff val="40000"/>
              </a:schemeClr>
            </a:solidFill>
            <a:ln>
              <a:solidFill>
                <a:srgbClr val="000000"/>
              </a:solidFill>
            </a:ln>
          </c:spPr>
          <c:invertIfNegative val="0"/>
          <c:dLbls>
            <c:dLblPos val="inEnd"/>
            <c:showLegendKey val="0"/>
            <c:showVal val="1"/>
            <c:showCatName val="0"/>
            <c:showSerName val="0"/>
            <c:showPercent val="0"/>
            <c:showBubbleSize val="0"/>
            <c:showLeaderLines val="0"/>
          </c:dLbls>
          <c:cat>
            <c:strRef>
              <c:f>Sheet1!$B$1:$K$1</c:f>
              <c:strCache>
                <c:ptCount val="10"/>
                <c:pt idx="0">
                  <c:v>Kopā</c:v>
                </c:pt>
                <c:pt idx="1">
                  <c:v>Vadītāji</c:v>
                </c:pt>
                <c:pt idx="2">
                  <c:v>Vecākie speciālisti</c:v>
                </c:pt>
                <c:pt idx="3">
                  <c:v>Speciālisti</c:v>
                </c:pt>
                <c:pt idx="4">
                  <c:v>Kalpotāji</c:v>
                </c:pt>
                <c:pt idx="5">
                  <c:v>Pakalpojumu un tirdzniecības darbinieki</c:v>
                </c:pt>
                <c:pt idx="6">
                  <c:v>Kvalificēti lauksaimniecības, mežsaimniecības un zivsaimniecības darbinieki</c:v>
                </c:pt>
                <c:pt idx="7">
                  <c:v>Kvalificēti strādnieki un amatnieki</c:v>
                </c:pt>
                <c:pt idx="8">
                  <c:v>Iekārtu un mašīnu operatori un izstrādājumu montieri</c:v>
                </c:pt>
                <c:pt idx="9">
                  <c:v>Vienkāršās profesijas</c:v>
                </c:pt>
              </c:strCache>
            </c:strRef>
          </c:cat>
          <c:val>
            <c:numRef>
              <c:f>Sheet1!$B$3:$K$3</c:f>
              <c:numCache>
                <c:formatCode>0</c:formatCode>
                <c:ptCount val="10"/>
                <c:pt idx="0">
                  <c:v>94.54475881325763</c:v>
                </c:pt>
                <c:pt idx="1">
                  <c:v>85.23910854798072</c:v>
                </c:pt>
                <c:pt idx="2">
                  <c:v>83.784978764569146</c:v>
                </c:pt>
                <c:pt idx="3">
                  <c:v>87.526154453495892</c:v>
                </c:pt>
                <c:pt idx="4">
                  <c:v>87.958482009183925</c:v>
                </c:pt>
                <c:pt idx="5">
                  <c:v>92.981207939985637</c:v>
                </c:pt>
                <c:pt idx="6">
                  <c:v>122.55741815906309</c:v>
                </c:pt>
                <c:pt idx="7">
                  <c:v>130.0197742757525</c:v>
                </c:pt>
                <c:pt idx="8">
                  <c:v>136.7261578376642</c:v>
                </c:pt>
                <c:pt idx="9">
                  <c:v>88.226897020849847</c:v>
                </c:pt>
              </c:numCache>
            </c:numRef>
          </c:val>
        </c:ser>
        <c:dLbls>
          <c:showLegendKey val="0"/>
          <c:showVal val="0"/>
          <c:showCatName val="0"/>
          <c:showSerName val="0"/>
          <c:showPercent val="0"/>
          <c:showBubbleSize val="0"/>
        </c:dLbls>
        <c:gapWidth val="43"/>
        <c:overlap val="61"/>
        <c:axId val="160539008"/>
        <c:axId val="160540544"/>
      </c:barChart>
      <c:catAx>
        <c:axId val="160539008"/>
        <c:scaling>
          <c:orientation val="minMax"/>
        </c:scaling>
        <c:delete val="0"/>
        <c:axPos val="b"/>
        <c:majorTickMark val="out"/>
        <c:minorTickMark val="none"/>
        <c:tickLblPos val="nextTo"/>
        <c:txPr>
          <a:bodyPr rot="-5400000" vert="horz"/>
          <a:lstStyle/>
          <a:p>
            <a:pPr>
              <a:defRPr/>
            </a:pPr>
            <a:endParaRPr lang="lv-LV"/>
          </a:p>
        </c:txPr>
        <c:crossAx val="160540544"/>
        <c:crosses val="autoZero"/>
        <c:auto val="1"/>
        <c:lblAlgn val="ctr"/>
        <c:lblOffset val="100"/>
        <c:noMultiLvlLbl val="0"/>
      </c:catAx>
      <c:valAx>
        <c:axId val="160540544"/>
        <c:scaling>
          <c:orientation val="minMax"/>
          <c:max val="150"/>
        </c:scaling>
        <c:delete val="0"/>
        <c:axPos val="l"/>
        <c:numFmt formatCode="General" sourceLinked="1"/>
        <c:majorTickMark val="out"/>
        <c:minorTickMark val="none"/>
        <c:tickLblPos val="nextTo"/>
        <c:crossAx val="160539008"/>
        <c:crosses val="autoZero"/>
        <c:crossBetween val="between"/>
        <c:majorUnit val="30"/>
      </c:valAx>
    </c:plotArea>
    <c:legend>
      <c:legendPos val="r"/>
      <c:layout>
        <c:manualLayout>
          <c:xMode val="edge"/>
          <c:yMode val="edge"/>
          <c:x val="4.7183991839691436E-2"/>
          <c:y val="3.7325272421442887E-2"/>
          <c:w val="0.601262914011501"/>
          <c:h val="0.10801166882003527"/>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lv-LV"/>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lv-LV" sz="1200" b="1" i="0" baseline="0">
                <a:effectLst/>
                <a:latin typeface="Times New Roman" pitchFamily="18" charset="0"/>
                <a:cs typeface="Times New Roman" pitchFamily="18" charset="0"/>
              </a:rPr>
              <a:t>Nodarbināto skaita izmaiņas ES un LV pa nozarēm 2020.gadā, salīdzinājumā ar 2010.gadu, %</a:t>
            </a:r>
            <a:endParaRPr lang="lv-LV" sz="1200">
              <a:latin typeface="Times New Roman" pitchFamily="18" charset="0"/>
              <a:cs typeface="Times New Roman" pitchFamily="18" charset="0"/>
            </a:endParaRPr>
          </a:p>
        </c:rich>
      </c:tx>
      <c:overlay val="0"/>
    </c:title>
    <c:autoTitleDeleted val="0"/>
    <c:plotArea>
      <c:layout>
        <c:manualLayout>
          <c:layoutTarget val="inner"/>
          <c:xMode val="edge"/>
          <c:yMode val="edge"/>
          <c:x val="0.40351697417133203"/>
          <c:y val="0.29606481481481484"/>
          <c:w val="0.46854336987780831"/>
          <c:h val="0.58795530766987458"/>
        </c:manualLayout>
      </c:layout>
      <c:barChart>
        <c:barDir val="bar"/>
        <c:grouping val="clustered"/>
        <c:varyColors val="0"/>
        <c:ser>
          <c:idx val="0"/>
          <c:order val="0"/>
          <c:tx>
            <c:strRef>
              <c:f>employed_sectors!$M$24</c:f>
              <c:strCache>
                <c:ptCount val="1"/>
                <c:pt idx="0">
                  <c:v>Latvija</c:v>
                </c:pt>
              </c:strCache>
            </c:strRef>
          </c:tx>
          <c:spPr>
            <a:solidFill>
              <a:srgbClr val="8064A2">
                <a:lumMod val="75000"/>
              </a:srgbClr>
            </a:solidFill>
            <a:ln>
              <a:solidFill>
                <a:schemeClr val="tx1"/>
              </a:solidFill>
            </a:ln>
          </c:spPr>
          <c:invertIfNegative val="0"/>
          <c:cat>
            <c:strRef>
              <c:f>employed_sectors!$L$25:$L$31</c:f>
              <c:strCache>
                <c:ptCount val="7"/>
                <c:pt idx="0">
                  <c:v>Sabiedriskie pakalpojumi</c:v>
                </c:pt>
                <c:pt idx="1">
                  <c:v>Komercpakalpojumi</c:v>
                </c:pt>
                <c:pt idx="2">
                  <c:v>Transports un sakari</c:v>
                </c:pt>
                <c:pt idx="3">
                  <c:v>Tirdzniecība, izmitināšana un ēdināšanas pakalpojumi</c:v>
                </c:pt>
                <c:pt idx="4">
                  <c:v>Būvniecība</c:v>
                </c:pt>
                <c:pt idx="5">
                  <c:v>Apstrādes rūpniecība</c:v>
                </c:pt>
                <c:pt idx="6">
                  <c:v>Primārais sektors</c:v>
                </c:pt>
              </c:strCache>
            </c:strRef>
          </c:cat>
          <c:val>
            <c:numRef>
              <c:f>employed_sectors!$M$25:$M$31</c:f>
              <c:numCache>
                <c:formatCode>General</c:formatCode>
                <c:ptCount val="7"/>
                <c:pt idx="0">
                  <c:v>-4.9000000000000004</c:v>
                </c:pt>
                <c:pt idx="1">
                  <c:v>21.1</c:v>
                </c:pt>
                <c:pt idx="2">
                  <c:v>9.3000000000000007</c:v>
                </c:pt>
                <c:pt idx="3">
                  <c:v>8</c:v>
                </c:pt>
                <c:pt idx="4">
                  <c:v>17.3</c:v>
                </c:pt>
                <c:pt idx="5">
                  <c:v>17.100000000000001</c:v>
                </c:pt>
                <c:pt idx="6">
                  <c:v>-7.8</c:v>
                </c:pt>
              </c:numCache>
            </c:numRef>
          </c:val>
        </c:ser>
        <c:ser>
          <c:idx val="1"/>
          <c:order val="1"/>
          <c:tx>
            <c:strRef>
              <c:f>employed_sectors!$N$24</c:f>
              <c:strCache>
                <c:ptCount val="1"/>
                <c:pt idx="0">
                  <c:v>ES-27</c:v>
                </c:pt>
              </c:strCache>
            </c:strRef>
          </c:tx>
          <c:spPr>
            <a:solidFill>
              <a:schemeClr val="bg1">
                <a:lumMod val="75000"/>
              </a:schemeClr>
            </a:solidFill>
            <a:ln>
              <a:solidFill>
                <a:schemeClr val="tx1"/>
              </a:solidFill>
            </a:ln>
          </c:spPr>
          <c:invertIfNegative val="0"/>
          <c:cat>
            <c:strRef>
              <c:f>employed_sectors!$L$25:$L$31</c:f>
              <c:strCache>
                <c:ptCount val="7"/>
                <c:pt idx="0">
                  <c:v>Sabiedriskie pakalpojumi</c:v>
                </c:pt>
                <c:pt idx="1">
                  <c:v>Komercpakalpojumi</c:v>
                </c:pt>
                <c:pt idx="2">
                  <c:v>Transports un sakari</c:v>
                </c:pt>
                <c:pt idx="3">
                  <c:v>Tirdzniecība, izmitināšana un ēdināšanas pakalpojumi</c:v>
                </c:pt>
                <c:pt idx="4">
                  <c:v>Būvniecība</c:v>
                </c:pt>
                <c:pt idx="5">
                  <c:v>Apstrādes rūpniecība</c:v>
                </c:pt>
                <c:pt idx="6">
                  <c:v>Primārais sektors</c:v>
                </c:pt>
              </c:strCache>
            </c:strRef>
          </c:cat>
          <c:val>
            <c:numRef>
              <c:f>employed_sectors!$N$25:$N$31</c:f>
              <c:numCache>
                <c:formatCode>General</c:formatCode>
                <c:ptCount val="7"/>
                <c:pt idx="0">
                  <c:v>1.3</c:v>
                </c:pt>
                <c:pt idx="1">
                  <c:v>11</c:v>
                </c:pt>
                <c:pt idx="2">
                  <c:v>3.6</c:v>
                </c:pt>
                <c:pt idx="3">
                  <c:v>6.3</c:v>
                </c:pt>
                <c:pt idx="4">
                  <c:v>1.1000000000000001</c:v>
                </c:pt>
                <c:pt idx="5">
                  <c:v>-1.4</c:v>
                </c:pt>
                <c:pt idx="6">
                  <c:v>-10.1</c:v>
                </c:pt>
              </c:numCache>
            </c:numRef>
          </c:val>
        </c:ser>
        <c:dLbls>
          <c:showLegendKey val="0"/>
          <c:showVal val="0"/>
          <c:showCatName val="0"/>
          <c:showSerName val="0"/>
          <c:showPercent val="0"/>
          <c:showBubbleSize val="0"/>
        </c:dLbls>
        <c:gapWidth val="150"/>
        <c:axId val="166590720"/>
        <c:axId val="166731776"/>
      </c:barChart>
      <c:catAx>
        <c:axId val="166590720"/>
        <c:scaling>
          <c:orientation val="minMax"/>
        </c:scaling>
        <c:delete val="0"/>
        <c:axPos val="l"/>
        <c:majorTickMark val="out"/>
        <c:minorTickMark val="none"/>
        <c:tickLblPos val="low"/>
        <c:txPr>
          <a:bodyPr/>
          <a:lstStyle/>
          <a:p>
            <a:pPr>
              <a:defRPr>
                <a:latin typeface="Times New Roman" pitchFamily="18" charset="0"/>
                <a:cs typeface="Times New Roman" pitchFamily="18" charset="0"/>
              </a:defRPr>
            </a:pPr>
            <a:endParaRPr lang="lv-LV"/>
          </a:p>
        </c:txPr>
        <c:crossAx val="166731776"/>
        <c:crosses val="autoZero"/>
        <c:auto val="1"/>
        <c:lblAlgn val="ctr"/>
        <c:lblOffset val="100"/>
        <c:noMultiLvlLbl val="0"/>
      </c:catAx>
      <c:valAx>
        <c:axId val="16673177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v-LV"/>
          </a:p>
        </c:txPr>
        <c:crossAx val="166590720"/>
        <c:crosses val="autoZero"/>
        <c:crossBetween val="between"/>
      </c:valAx>
      <c:spPr>
        <a:noFill/>
        <a:ln w="25400">
          <a:noFill/>
        </a:ln>
      </c:spPr>
    </c:plotArea>
    <c:legend>
      <c:legendPos val="r"/>
      <c:layout>
        <c:manualLayout>
          <c:xMode val="edge"/>
          <c:yMode val="edge"/>
          <c:x val="0.83299618648147467"/>
          <c:y val="0.57847713184788074"/>
          <c:w val="0.12034623797025372"/>
          <c:h val="0.14510631227984569"/>
        </c:manualLayout>
      </c:layout>
      <c:overlay val="0"/>
      <c:txPr>
        <a:bodyPr/>
        <a:lstStyle/>
        <a:p>
          <a:pPr>
            <a:defRPr>
              <a:latin typeface="Times New Roman" pitchFamily="18" charset="0"/>
              <a:cs typeface="Times New Roman" pitchFamily="18" charset="0"/>
            </a:defRPr>
          </a:pPr>
          <a:endParaRPr lang="lv-LV"/>
        </a:p>
      </c:txPr>
    </c:legend>
    <c:plotVisOnly val="1"/>
    <c:dispBlanksAs val="gap"/>
    <c:showDLblsOverMax val="0"/>
  </c:chart>
  <c:spPr>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ES</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0.12721467702443234"/>
                  <c:y val="1.9294068241469817E-2"/>
                </c:manualLayout>
              </c:layout>
              <c:showLegendKey val="0"/>
              <c:showVal val="0"/>
              <c:showCatName val="1"/>
              <c:showSerName val="0"/>
              <c:showPercent val="1"/>
              <c:showBubbleSize val="0"/>
            </c:dLbl>
            <c:dLbl>
              <c:idx val="1"/>
              <c:layout>
                <c:manualLayout>
                  <c:x val="0.12331518962814211"/>
                  <c:y val="4.2596535433070869E-2"/>
                </c:manualLayout>
              </c:layout>
              <c:showLegendKey val="0"/>
              <c:showVal val="0"/>
              <c:showCatName val="1"/>
              <c:showSerName val="0"/>
              <c:showPercent val="1"/>
              <c:showBubbleSize val="0"/>
            </c:dLbl>
            <c:dLbl>
              <c:idx val="2"/>
              <c:layout>
                <c:manualLayout>
                  <c:x val="1.5206362627490356E-2"/>
                  <c:y val="1.5494600060238372E-2"/>
                </c:manualLayout>
              </c:layout>
              <c:showLegendKey val="0"/>
              <c:showVal val="0"/>
              <c:showCatName val="1"/>
              <c:showSerName val="0"/>
              <c:showPercent val="1"/>
              <c:showBubbleSize val="0"/>
            </c:dLbl>
            <c:dLbl>
              <c:idx val="3"/>
              <c:layout>
                <c:manualLayout>
                  <c:x val="7.7088728002959364E-2"/>
                  <c:y val="-0.12622194225721783"/>
                </c:manualLayout>
              </c:layout>
              <c:showLegendKey val="0"/>
              <c:showVal val="0"/>
              <c:showCatName val="1"/>
              <c:showSerName val="0"/>
              <c:showPercent val="1"/>
              <c:showBubbleSize val="0"/>
            </c:dLbl>
            <c:dLbl>
              <c:idx val="4"/>
              <c:layout>
                <c:manualLayout>
                  <c:x val="-5.828004720886399E-2"/>
                  <c:y val="-5.947758530183727E-2"/>
                </c:manualLayout>
              </c:layout>
              <c:tx>
                <c:rich>
                  <a:bodyPr/>
                  <a:lstStyle/>
                  <a:p>
                    <a:r>
                      <a:rPr lang="en-US"/>
                      <a:t>Komerc</a:t>
                    </a:r>
                    <a:r>
                      <a:rPr lang="lv-LV"/>
                      <a:t>-</a:t>
                    </a:r>
                    <a:r>
                      <a:rPr lang="en-US"/>
                      <a:t>pakalpo</a:t>
                    </a:r>
                    <a:r>
                      <a:rPr lang="lv-LV"/>
                      <a:t>-</a:t>
                    </a:r>
                    <a:r>
                      <a:rPr lang="en-US"/>
                      <a:t>jumi
28%</a:t>
                    </a:r>
                  </a:p>
                </c:rich>
              </c:tx>
              <c:showLegendKey val="0"/>
              <c:showVal val="0"/>
              <c:showCatName val="1"/>
              <c:showSerName val="0"/>
              <c:showPercent val="1"/>
              <c:showBubbleSize val="0"/>
            </c:dLbl>
            <c:dLbl>
              <c:idx val="5"/>
              <c:layout>
                <c:manualLayout>
                  <c:x val="-0.10140569677112508"/>
                  <c:y val="0.16069795275590551"/>
                </c:manualLayout>
              </c:layout>
              <c:tx>
                <c:rich>
                  <a:bodyPr/>
                  <a:lstStyle/>
                  <a:p>
                    <a:r>
                      <a:rPr lang="en-US"/>
                      <a:t>Sabied</a:t>
                    </a:r>
                    <a:r>
                      <a:rPr lang="lv-LV"/>
                      <a:t>-</a:t>
                    </a:r>
                    <a:r>
                      <a:rPr lang="en-US"/>
                      <a:t>riskie pakal</a:t>
                    </a:r>
                    <a:r>
                      <a:rPr lang="lv-LV"/>
                      <a:t>-</a:t>
                    </a:r>
                    <a:r>
                      <a:rPr lang="en-US"/>
                      <a:t>pojumi
22%</a:t>
                    </a:r>
                  </a:p>
                </c:rich>
              </c:tx>
              <c:showLegendKey val="0"/>
              <c:showVal val="0"/>
              <c:showCatName val="1"/>
              <c:showSerName val="0"/>
              <c:showPercent val="1"/>
              <c:showBubbleSize val="0"/>
            </c:dLbl>
            <c:txPr>
              <a:bodyPr/>
              <a:lstStyle/>
              <a:p>
                <a:pPr>
                  <a:defRPr sz="800">
                    <a:latin typeface="Times New Roman" pitchFamily="18" charset="0"/>
                    <a:cs typeface="Times New Roman" pitchFamily="18" charset="0"/>
                  </a:defRPr>
                </a:pPr>
                <a:endParaRPr lang="lv-LV"/>
              </a:p>
            </c:txPr>
            <c:showLegendKey val="0"/>
            <c:showVal val="0"/>
            <c:showCatName val="1"/>
            <c:showSerName val="0"/>
            <c:showPercent val="1"/>
            <c:showBubbleSize val="0"/>
            <c:showLeaderLines val="1"/>
            <c:leaderLines>
              <c:spPr>
                <a:ln w="3175"/>
              </c:spPr>
            </c:leaderLines>
          </c:dLbls>
          <c:cat>
            <c:strRef>
              <c:f>Sheet1!$A$2:$A$7</c:f>
              <c:strCache>
                <c:ptCount val="6"/>
                <c:pt idx="0">
                  <c:v>Primārais sektors </c:v>
                </c:pt>
                <c:pt idx="1">
                  <c:v>Apstrādes rūpniecība</c:v>
                </c:pt>
                <c:pt idx="2">
                  <c:v>Būvniecība</c:v>
                </c:pt>
                <c:pt idx="3">
                  <c:v>Transports un sakari</c:v>
                </c:pt>
                <c:pt idx="4">
                  <c:v>Komercpakalpojumi</c:v>
                </c:pt>
                <c:pt idx="5">
                  <c:v>Sabiedriskie pakalpojumi</c:v>
                </c:pt>
              </c:strCache>
            </c:strRef>
          </c:cat>
          <c:val>
            <c:numRef>
              <c:f>Sheet1!$B$2:$B$7</c:f>
              <c:numCache>
                <c:formatCode>General</c:formatCode>
                <c:ptCount val="6"/>
                <c:pt idx="0">
                  <c:v>7</c:v>
                </c:pt>
                <c:pt idx="1">
                  <c:v>11</c:v>
                </c:pt>
                <c:pt idx="2">
                  <c:v>6</c:v>
                </c:pt>
                <c:pt idx="3">
                  <c:v>26</c:v>
                </c:pt>
                <c:pt idx="4">
                  <c:v>27</c:v>
                </c:pt>
                <c:pt idx="5">
                  <c:v>22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latin typeface="Times New Roman" pitchFamily="18" charset="0"/>
              <a:cs typeface="Times New Roman" pitchFamily="18" charset="0"/>
            </a:defRPr>
          </a:pPr>
          <a:endParaRPr lang="lv-LV"/>
        </a:p>
      </c:txPr>
    </c:title>
    <c:autoTitleDeleted val="0"/>
    <c:plotArea>
      <c:layout/>
      <c:pieChart>
        <c:varyColors val="1"/>
        <c:ser>
          <c:idx val="0"/>
          <c:order val="0"/>
          <c:tx>
            <c:strRef>
              <c:f>Sheet1!$B$1</c:f>
              <c:strCache>
                <c:ptCount val="1"/>
                <c:pt idx="0">
                  <c:v>Latvija</c:v>
                </c:pt>
              </c:strCache>
            </c:strRef>
          </c:tx>
          <c:dLbls>
            <c:dLbl>
              <c:idx val="0"/>
              <c:layout>
                <c:manualLayout>
                  <c:x val="0.19607023260023532"/>
                  <c:y val="3.6331052880685E-2"/>
                </c:manualLayout>
              </c:layout>
              <c:showLegendKey val="0"/>
              <c:showVal val="0"/>
              <c:showCatName val="1"/>
              <c:showSerName val="0"/>
              <c:showPercent val="1"/>
              <c:showBubbleSize val="0"/>
            </c:dLbl>
            <c:dLbl>
              <c:idx val="1"/>
              <c:layout>
                <c:manualLayout>
                  <c:x val="8.2101366639514894E-2"/>
                  <c:y val="7.1538660126500578E-2"/>
                </c:manualLayout>
              </c:layout>
              <c:showLegendKey val="0"/>
              <c:showVal val="0"/>
              <c:showCatName val="1"/>
              <c:showSerName val="0"/>
              <c:showPercent val="1"/>
              <c:showBubbleSize val="0"/>
            </c:dLbl>
            <c:dLbl>
              <c:idx val="2"/>
              <c:layout>
                <c:manualLayout>
                  <c:x val="2.7672911575708208E-2"/>
                  <c:y val="-9.8803838044834568E-3"/>
                </c:manualLayout>
              </c:layout>
              <c:showLegendKey val="0"/>
              <c:showVal val="0"/>
              <c:showCatName val="1"/>
              <c:showSerName val="0"/>
              <c:showPercent val="1"/>
              <c:showBubbleSize val="0"/>
            </c:dLbl>
            <c:dLbl>
              <c:idx val="3"/>
              <c:layout>
                <c:manualLayout>
                  <c:x val="0.22399275952574893"/>
                  <c:y val="-3.8522438793511466E-3"/>
                </c:manualLayout>
              </c:layout>
              <c:showLegendKey val="0"/>
              <c:showVal val="0"/>
              <c:showCatName val="1"/>
              <c:showSerName val="0"/>
              <c:showPercent val="1"/>
              <c:showBubbleSize val="0"/>
            </c:dLbl>
            <c:dLbl>
              <c:idx val="4"/>
              <c:layout>
                <c:manualLayout>
                  <c:x val="5.8179744773282652E-2"/>
                  <c:y val="0.11644808743169399"/>
                </c:manualLayout>
              </c:layout>
              <c:tx>
                <c:rich>
                  <a:bodyPr/>
                  <a:lstStyle/>
                  <a:p>
                    <a:r>
                      <a:rPr lang="en-US"/>
                      <a:t>Komerc</a:t>
                    </a:r>
                    <a:r>
                      <a:rPr lang="lv-LV"/>
                      <a:t>-</a:t>
                    </a:r>
                    <a:r>
                      <a:rPr lang="en-US"/>
                      <a:t>pakal</a:t>
                    </a:r>
                    <a:r>
                      <a:rPr lang="lv-LV"/>
                      <a:t>-</a:t>
                    </a:r>
                    <a:r>
                      <a:rPr lang="en-US"/>
                      <a:t>pojumi
23%</a:t>
                    </a:r>
                  </a:p>
                </c:rich>
              </c:tx>
              <c:showLegendKey val="0"/>
              <c:showVal val="0"/>
              <c:showCatName val="1"/>
              <c:showSerName val="0"/>
              <c:showPercent val="1"/>
              <c:showBubbleSize val="0"/>
            </c:dLbl>
            <c:dLbl>
              <c:idx val="5"/>
              <c:layout>
                <c:manualLayout>
                  <c:x val="-0.13978025160648022"/>
                  <c:y val="0.15068026332773976"/>
                </c:manualLayout>
              </c:layout>
              <c:tx>
                <c:rich>
                  <a:bodyPr/>
                  <a:lstStyle/>
                  <a:p>
                    <a:r>
                      <a:rPr lang="en-US"/>
                      <a:t>Sabied</a:t>
                    </a:r>
                    <a:r>
                      <a:rPr lang="lv-LV"/>
                      <a:t>-</a:t>
                    </a:r>
                    <a:r>
                      <a:rPr lang="en-US"/>
                      <a:t>riskie pakal</a:t>
                    </a:r>
                    <a:r>
                      <a:rPr lang="lv-LV"/>
                      <a:t>-</a:t>
                    </a:r>
                    <a:r>
                      <a:rPr lang="en-US"/>
                      <a:t>pojumi
14%</a:t>
                    </a:r>
                  </a:p>
                </c:rich>
              </c:tx>
              <c:showLegendKey val="0"/>
              <c:showVal val="0"/>
              <c:showCatName val="1"/>
              <c:showSerName val="0"/>
              <c:showPercent val="1"/>
              <c:showBubbleSize val="0"/>
            </c:dLbl>
            <c:txPr>
              <a:bodyPr/>
              <a:lstStyle/>
              <a:p>
                <a:pPr>
                  <a:defRPr sz="800">
                    <a:latin typeface="Times New Roman" pitchFamily="18" charset="0"/>
                    <a:cs typeface="Times New Roman" pitchFamily="18" charset="0"/>
                  </a:defRPr>
                </a:pPr>
                <a:endParaRPr lang="lv-LV"/>
              </a:p>
            </c:txPr>
            <c:showLegendKey val="0"/>
            <c:showVal val="0"/>
            <c:showCatName val="1"/>
            <c:showSerName val="0"/>
            <c:showPercent val="1"/>
            <c:showBubbleSize val="0"/>
            <c:showLeaderLines val="1"/>
            <c:leaderLines>
              <c:spPr>
                <a:ln w="3175"/>
              </c:spPr>
            </c:leaderLines>
          </c:dLbls>
          <c:cat>
            <c:strRef>
              <c:f>Sheet1!$A$2:$A$7</c:f>
              <c:strCache>
                <c:ptCount val="6"/>
                <c:pt idx="0">
                  <c:v>Primārais sektors </c:v>
                </c:pt>
                <c:pt idx="1">
                  <c:v>Apstrādes rūpniecība</c:v>
                </c:pt>
                <c:pt idx="2">
                  <c:v>Būvniecība</c:v>
                </c:pt>
                <c:pt idx="3">
                  <c:v>Transports un sakari</c:v>
                </c:pt>
                <c:pt idx="4">
                  <c:v>Komercpakalpojumi</c:v>
                </c:pt>
                <c:pt idx="5">
                  <c:v>Sabiedriskie pakalpojumi</c:v>
                </c:pt>
              </c:strCache>
            </c:strRef>
          </c:cat>
          <c:val>
            <c:numRef>
              <c:f>Sheet1!$B$2:$B$7</c:f>
              <c:numCache>
                <c:formatCode>General</c:formatCode>
                <c:ptCount val="6"/>
                <c:pt idx="0">
                  <c:v>7</c:v>
                </c:pt>
                <c:pt idx="1">
                  <c:v>18</c:v>
                </c:pt>
                <c:pt idx="2">
                  <c:v>7</c:v>
                </c:pt>
                <c:pt idx="3">
                  <c:v>31</c:v>
                </c:pt>
                <c:pt idx="4">
                  <c:v>23</c:v>
                </c:pt>
                <c:pt idx="5">
                  <c:v>14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lv-LV" sz="1050" b="1">
                <a:effectLst/>
                <a:latin typeface="Times New Roman" pitchFamily="18" charset="0"/>
                <a:cs typeface="Times New Roman" pitchFamily="18" charset="0"/>
              </a:rPr>
              <a:t>Darbaspēka pieprasījums </a:t>
            </a:r>
            <a:br>
              <a:rPr lang="lv-LV" sz="1050" b="1">
                <a:effectLst/>
                <a:latin typeface="Times New Roman" pitchFamily="18" charset="0"/>
                <a:cs typeface="Times New Roman" pitchFamily="18" charset="0"/>
              </a:rPr>
            </a:br>
            <a:r>
              <a:rPr lang="lv-LV" sz="1050" b="1">
                <a:effectLst/>
                <a:latin typeface="Times New Roman" pitchFamily="18" charset="0"/>
                <a:cs typeface="Times New Roman" pitchFamily="18" charset="0"/>
              </a:rPr>
              <a:t>2010-2020,</a:t>
            </a:r>
            <a:r>
              <a:rPr lang="lv-LV" sz="1050" b="1" baseline="0">
                <a:effectLst/>
                <a:latin typeface="Times New Roman" pitchFamily="18" charset="0"/>
                <a:cs typeface="Times New Roman" pitchFamily="18" charset="0"/>
              </a:rPr>
              <a:t> </a:t>
            </a:r>
            <a:r>
              <a:rPr lang="lv-LV" sz="1050" b="1">
                <a:effectLst/>
                <a:latin typeface="Times New Roman" pitchFamily="18" charset="0"/>
                <a:cs typeface="Times New Roman" pitchFamily="18" charset="0"/>
              </a:rPr>
              <a:t>%</a:t>
            </a:r>
            <a:endParaRPr lang="lv-LV" sz="1050">
              <a:effectLst/>
              <a:latin typeface="Times New Roman" pitchFamily="18" charset="0"/>
              <a:cs typeface="Times New Roman" pitchFamily="18" charset="0"/>
            </a:endParaRPr>
          </a:p>
        </c:rich>
      </c:tx>
      <c:layout>
        <c:manualLayout>
          <c:xMode val="edge"/>
          <c:yMode val="edge"/>
          <c:x val="0.13242525223620202"/>
          <c:y val="1.3447826895653815E-3"/>
        </c:manualLayout>
      </c:layout>
      <c:overlay val="0"/>
    </c:title>
    <c:autoTitleDeleted val="0"/>
    <c:plotArea>
      <c:layout>
        <c:manualLayout>
          <c:layoutTarget val="inner"/>
          <c:xMode val="edge"/>
          <c:yMode val="edge"/>
          <c:x val="7.8099122297803511E-2"/>
          <c:y val="0.25009891005003687"/>
          <c:w val="0.54618114596140599"/>
          <c:h val="0.58535820953415307"/>
        </c:manualLayout>
      </c:layout>
      <c:barChart>
        <c:barDir val="col"/>
        <c:grouping val="stacked"/>
        <c:varyColors val="0"/>
        <c:ser>
          <c:idx val="0"/>
          <c:order val="0"/>
          <c:tx>
            <c:strRef>
              <c:f>Sheet1!$B$1</c:f>
              <c:strCache>
                <c:ptCount val="1"/>
                <c:pt idx="0">
                  <c:v>Aizvietojošais pieprasījums</c:v>
                </c:pt>
              </c:strCache>
            </c:strRef>
          </c:tx>
          <c:spPr>
            <a:solidFill>
              <a:schemeClr val="accent4">
                <a:lumMod val="75000"/>
              </a:schemeClr>
            </a:solidFill>
            <a:ln>
              <a:solidFill>
                <a:schemeClr val="tx1"/>
              </a:solidFill>
            </a:ln>
          </c:spPr>
          <c:invertIfNegative val="0"/>
          <c:dLbls>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Sheet1!$A$2:$A$3</c:f>
              <c:strCache>
                <c:ptCount val="2"/>
                <c:pt idx="0">
                  <c:v>ES</c:v>
                </c:pt>
                <c:pt idx="1">
                  <c:v>LV</c:v>
                </c:pt>
              </c:strCache>
            </c:strRef>
          </c:cat>
          <c:val>
            <c:numRef>
              <c:f>Sheet1!$B$2:$B$3</c:f>
              <c:numCache>
                <c:formatCode>General</c:formatCode>
                <c:ptCount val="2"/>
                <c:pt idx="0">
                  <c:v>90</c:v>
                </c:pt>
                <c:pt idx="1">
                  <c:v>77</c:v>
                </c:pt>
              </c:numCache>
            </c:numRef>
          </c:val>
        </c:ser>
        <c:ser>
          <c:idx val="1"/>
          <c:order val="1"/>
          <c:tx>
            <c:strRef>
              <c:f>Sheet1!$C$1</c:f>
              <c:strCache>
                <c:ptCount val="1"/>
                <c:pt idx="0">
                  <c:v>Paplašinošais pieprasījums</c:v>
                </c:pt>
              </c:strCache>
            </c:strRef>
          </c:tx>
          <c:spPr>
            <a:solidFill>
              <a:schemeClr val="bg1">
                <a:lumMod val="75000"/>
              </a:schemeClr>
            </a:solidFill>
            <a:ln>
              <a:solidFill>
                <a:schemeClr val="tx1"/>
              </a:solidFill>
            </a:ln>
          </c:spPr>
          <c:invertIfNegative val="0"/>
          <c:dLbls>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Sheet1!$A$2:$A$3</c:f>
              <c:strCache>
                <c:ptCount val="2"/>
                <c:pt idx="0">
                  <c:v>ES</c:v>
                </c:pt>
                <c:pt idx="1">
                  <c:v>LV</c:v>
                </c:pt>
              </c:strCache>
            </c:strRef>
          </c:cat>
          <c:val>
            <c:numRef>
              <c:f>Sheet1!$C$2:$C$3</c:f>
              <c:numCache>
                <c:formatCode>General</c:formatCode>
                <c:ptCount val="2"/>
                <c:pt idx="0">
                  <c:v>10</c:v>
                </c:pt>
                <c:pt idx="1">
                  <c:v>23</c:v>
                </c:pt>
              </c:numCache>
            </c:numRef>
          </c:val>
        </c:ser>
        <c:dLbls>
          <c:showLegendKey val="0"/>
          <c:showVal val="0"/>
          <c:showCatName val="0"/>
          <c:showSerName val="0"/>
          <c:showPercent val="0"/>
          <c:showBubbleSize val="0"/>
        </c:dLbls>
        <c:gapWidth val="107"/>
        <c:overlap val="100"/>
        <c:axId val="181705344"/>
        <c:axId val="181715328"/>
      </c:barChart>
      <c:catAx>
        <c:axId val="181705344"/>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lv-LV"/>
          </a:p>
        </c:txPr>
        <c:crossAx val="181715328"/>
        <c:crosses val="autoZero"/>
        <c:auto val="1"/>
        <c:lblAlgn val="ctr"/>
        <c:lblOffset val="100"/>
        <c:tickLblSkip val="1"/>
        <c:noMultiLvlLbl val="0"/>
      </c:catAx>
      <c:valAx>
        <c:axId val="181715328"/>
        <c:scaling>
          <c:orientation val="minMax"/>
          <c:max val="100"/>
        </c:scaling>
        <c:delete val="0"/>
        <c:axPos val="l"/>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lv-LV"/>
          </a:p>
        </c:txPr>
        <c:crossAx val="181705344"/>
        <c:crosses val="autoZero"/>
        <c:crossBetween val="between"/>
      </c:valAx>
    </c:plotArea>
    <c:legend>
      <c:legendPos val="r"/>
      <c:layout>
        <c:manualLayout>
          <c:xMode val="edge"/>
          <c:yMode val="edge"/>
          <c:x val="0.68499786363913817"/>
          <c:y val="0.32173259407662796"/>
          <c:w val="0.29987949180771006"/>
          <c:h val="0.36574324761128996"/>
        </c:manualLayout>
      </c:layout>
      <c:overlay val="0"/>
      <c:txPr>
        <a:bodyPr/>
        <a:lstStyle/>
        <a:p>
          <a:pPr>
            <a:defRPr sz="900">
              <a:latin typeface="Times New Roman" pitchFamily="18" charset="0"/>
              <a:cs typeface="Times New Roman" pitchFamily="18" charset="0"/>
            </a:defRPr>
          </a:pPr>
          <a:endParaRPr lang="lv-LV"/>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15961564126"/>
          <c:y val="3.2563836018586471E-2"/>
          <c:w val="0.90808892351885062"/>
          <c:h val="0.86804167100257845"/>
        </c:manualLayout>
      </c:layout>
      <c:lineChart>
        <c:grouping val="standard"/>
        <c:varyColors val="0"/>
        <c:ser>
          <c:idx val="1"/>
          <c:order val="0"/>
          <c:tx>
            <c:strRef>
              <c:f>Sheet1!$C$1</c:f>
              <c:strCache>
                <c:ptCount val="1"/>
                <c:pt idx="0">
                  <c:v>Privātajā sektorā</c:v>
                </c:pt>
              </c:strCache>
            </c:strRef>
          </c:tx>
          <c:spPr>
            <a:ln>
              <a:solidFill>
                <a:schemeClr val="accent4">
                  <a:lumMod val="50000"/>
                </a:schemeClr>
              </a:solidFill>
              <a:prstDash val="sysDash"/>
            </a:ln>
          </c:spPr>
          <c:marker>
            <c:symbol val="none"/>
          </c:marker>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Sheet1!$C$2:$C$9</c:f>
              <c:numCache>
                <c:formatCode>0.0</c:formatCode>
                <c:ptCount val="8"/>
                <c:pt idx="0">
                  <c:v>100</c:v>
                </c:pt>
                <c:pt idx="1">
                  <c:v>123.66071428571428</c:v>
                </c:pt>
                <c:pt idx="2">
                  <c:v>161.60714285714283</c:v>
                </c:pt>
                <c:pt idx="3">
                  <c:v>195.53571428571425</c:v>
                </c:pt>
                <c:pt idx="4">
                  <c:v>193.30357142857139</c:v>
                </c:pt>
                <c:pt idx="5">
                  <c:v>190.62499999999994</c:v>
                </c:pt>
                <c:pt idx="6">
                  <c:v>199.55357142857139</c:v>
                </c:pt>
                <c:pt idx="7">
                  <c:v>206.69642857142856</c:v>
                </c:pt>
              </c:numCache>
            </c:numRef>
          </c:val>
          <c:smooth val="1"/>
        </c:ser>
        <c:ser>
          <c:idx val="0"/>
          <c:order val="1"/>
          <c:tx>
            <c:strRef>
              <c:f>Sheet1!$B$1</c:f>
              <c:strCache>
                <c:ptCount val="1"/>
                <c:pt idx="0">
                  <c:v>Sabiedriskajā sektorā</c:v>
                </c:pt>
              </c:strCache>
            </c:strRef>
          </c:tx>
          <c:spPr>
            <a:ln>
              <a:solidFill>
                <a:schemeClr val="accent4">
                  <a:lumMod val="75000"/>
                </a:schemeClr>
              </a:solidFill>
            </a:ln>
          </c:spPr>
          <c:marker>
            <c:symbol val="none"/>
          </c:marker>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Sheet1!$B$2:$B$9</c:f>
              <c:numCache>
                <c:formatCode>0.0</c:formatCode>
                <c:ptCount val="8"/>
                <c:pt idx="0">
                  <c:v>100</c:v>
                </c:pt>
                <c:pt idx="1">
                  <c:v>122.80701754385966</c:v>
                </c:pt>
                <c:pt idx="2">
                  <c:v>166.31578947368422</c:v>
                </c:pt>
                <c:pt idx="3">
                  <c:v>197.89473684210526</c:v>
                </c:pt>
                <c:pt idx="4">
                  <c:v>176.84210526315789</c:v>
                </c:pt>
                <c:pt idx="5">
                  <c:v>164.91228070175438</c:v>
                </c:pt>
                <c:pt idx="6">
                  <c:v>172.63157894736841</c:v>
                </c:pt>
                <c:pt idx="7">
                  <c:v>180.35087719298244</c:v>
                </c:pt>
              </c:numCache>
            </c:numRef>
          </c:val>
          <c:smooth val="1"/>
        </c:ser>
        <c:dLbls>
          <c:showLegendKey val="0"/>
          <c:showVal val="0"/>
          <c:showCatName val="0"/>
          <c:showSerName val="0"/>
          <c:showPercent val="0"/>
          <c:showBubbleSize val="0"/>
        </c:dLbls>
        <c:marker val="1"/>
        <c:smooth val="0"/>
        <c:axId val="189344384"/>
        <c:axId val="190132608"/>
      </c:lineChart>
      <c:catAx>
        <c:axId val="189344384"/>
        <c:scaling>
          <c:orientation val="minMax"/>
        </c:scaling>
        <c:delete val="0"/>
        <c:axPos val="b"/>
        <c:numFmt formatCode="General" sourceLinked="1"/>
        <c:majorTickMark val="out"/>
        <c:minorTickMark val="none"/>
        <c:tickLblPos val="low"/>
        <c:txPr>
          <a:bodyPr rot="0"/>
          <a:lstStyle/>
          <a:p>
            <a:pPr>
              <a:defRPr/>
            </a:pPr>
            <a:endParaRPr lang="lv-LV"/>
          </a:p>
        </c:txPr>
        <c:crossAx val="190132608"/>
        <c:crosses val="autoZero"/>
        <c:auto val="1"/>
        <c:lblAlgn val="ctr"/>
        <c:lblOffset val="0"/>
        <c:tickLblSkip val="1"/>
        <c:noMultiLvlLbl val="1"/>
      </c:catAx>
      <c:valAx>
        <c:axId val="190132608"/>
        <c:scaling>
          <c:orientation val="minMax"/>
          <c:max val="210"/>
          <c:min val="90"/>
        </c:scaling>
        <c:delete val="0"/>
        <c:axPos val="l"/>
        <c:numFmt formatCode="0" sourceLinked="0"/>
        <c:majorTickMark val="out"/>
        <c:minorTickMark val="none"/>
        <c:tickLblPos val="nextTo"/>
        <c:crossAx val="189344384"/>
        <c:crosses val="autoZero"/>
        <c:crossBetween val="between"/>
      </c:valAx>
    </c:plotArea>
    <c:legend>
      <c:legendPos val="r"/>
      <c:layout>
        <c:manualLayout>
          <c:xMode val="edge"/>
          <c:yMode val="edge"/>
          <c:x val="0.41503917378917382"/>
          <c:y val="0.64999965312705954"/>
          <c:w val="0.58124715099714219"/>
          <c:h val="0.1978162976614103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itchFamily="18" charset="0"/>
                <a:cs typeface="Times New Roman" pitchFamily="18" charset="0"/>
              </a:defRPr>
            </a:pPr>
            <a:r>
              <a:rPr lang="lv-LV" sz="1050">
                <a:latin typeface="Times New Roman" pitchFamily="18" charset="0"/>
                <a:cs typeface="Times New Roman" pitchFamily="18" charset="0"/>
              </a:rPr>
              <a:t>D</a:t>
            </a:r>
            <a:r>
              <a:rPr lang="en-US" sz="1050">
                <a:latin typeface="Times New Roman" pitchFamily="18" charset="0"/>
                <a:cs typeface="Times New Roman" pitchFamily="18" charset="0"/>
              </a:rPr>
              <a:t>arba iespējas</a:t>
            </a:r>
            <a:r>
              <a:rPr lang="lv-LV" sz="1050">
                <a:latin typeface="Times New Roman" pitchFamily="18" charset="0"/>
                <a:cs typeface="Times New Roman" pitchFamily="18" charset="0"/>
              </a:rPr>
              <a:t> pēc kvalifikācijas 2010-2020, %</a:t>
            </a:r>
            <a:endParaRPr lang="en-US" sz="1050" b="1" i="0" u="none" strike="noStrike" kern="1200" baseline="0">
              <a:solidFill>
                <a:sysClr val="windowText" lastClr="000000"/>
              </a:solidFill>
              <a:latin typeface="Times New Roman" pitchFamily="18" charset="0"/>
              <a:ea typeface="+mn-ea"/>
              <a:cs typeface="Times New Roman" pitchFamily="18" charset="0"/>
            </a:endParaRPr>
          </a:p>
          <a:p>
            <a:pPr>
              <a:defRPr sz="1050">
                <a:latin typeface="Times New Roman" pitchFamily="18" charset="0"/>
                <a:cs typeface="Times New Roman" pitchFamily="18" charset="0"/>
              </a:defRPr>
            </a:pPr>
            <a:endParaRPr lang="en-US" sz="1050">
              <a:latin typeface="Times New Roman" pitchFamily="18" charset="0"/>
              <a:cs typeface="Times New Roman" pitchFamily="18" charset="0"/>
            </a:endParaRPr>
          </a:p>
        </c:rich>
      </c:tx>
      <c:layout>
        <c:manualLayout>
          <c:xMode val="edge"/>
          <c:yMode val="edge"/>
          <c:x val="0.13520680604579599"/>
          <c:y val="0"/>
        </c:manualLayout>
      </c:layout>
      <c:overlay val="0"/>
    </c:title>
    <c:autoTitleDeleted val="0"/>
    <c:plotArea>
      <c:layout>
        <c:manualLayout>
          <c:layoutTarget val="inner"/>
          <c:xMode val="edge"/>
          <c:yMode val="edge"/>
          <c:x val="0.14246357136392435"/>
          <c:y val="0.26599669886624999"/>
          <c:w val="0.58728536519142005"/>
          <c:h val="0.5723879102741023"/>
        </c:manualLayout>
      </c:layout>
      <c:barChart>
        <c:barDir val="col"/>
        <c:grouping val="stacked"/>
        <c:varyColors val="0"/>
        <c:ser>
          <c:idx val="0"/>
          <c:order val="0"/>
          <c:tx>
            <c:strRef>
              <c:f>'job_openings by qualification'!$G$9</c:f>
              <c:strCache>
                <c:ptCount val="1"/>
                <c:pt idx="0">
                  <c:v>Zema</c:v>
                </c:pt>
              </c:strCache>
            </c:strRef>
          </c:tx>
          <c:spPr>
            <a:solidFill>
              <a:schemeClr val="bg1">
                <a:lumMod val="85000"/>
              </a:schemeClr>
            </a:solidFill>
            <a:ln>
              <a:solidFill>
                <a:schemeClr val="tx1"/>
              </a:solidFill>
            </a:ln>
          </c:spPr>
          <c:invertIfNegative val="0"/>
          <c:dLbls>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'job_openings by qualification'!$H$8:$I$8</c:f>
              <c:strCache>
                <c:ptCount val="2"/>
                <c:pt idx="0">
                  <c:v>ES</c:v>
                </c:pt>
                <c:pt idx="1">
                  <c:v>LV</c:v>
                </c:pt>
              </c:strCache>
            </c:strRef>
          </c:cat>
          <c:val>
            <c:numRef>
              <c:f>'job_openings by qualification'!$H$9:$I$9</c:f>
              <c:numCache>
                <c:formatCode>0</c:formatCode>
                <c:ptCount val="2"/>
                <c:pt idx="0">
                  <c:v>10</c:v>
                </c:pt>
                <c:pt idx="1">
                  <c:v>25</c:v>
                </c:pt>
              </c:numCache>
            </c:numRef>
          </c:val>
        </c:ser>
        <c:ser>
          <c:idx val="1"/>
          <c:order val="1"/>
          <c:tx>
            <c:strRef>
              <c:f>'job_openings by qualification'!$G$10</c:f>
              <c:strCache>
                <c:ptCount val="1"/>
                <c:pt idx="0">
                  <c:v>Vidēja</c:v>
                </c:pt>
              </c:strCache>
            </c:strRef>
          </c:tx>
          <c:spPr>
            <a:solidFill>
              <a:schemeClr val="accent4">
                <a:lumMod val="40000"/>
                <a:lumOff val="60000"/>
              </a:schemeClr>
            </a:solidFill>
          </c:spPr>
          <c:invertIfNegative val="0"/>
          <c:dPt>
            <c:idx val="0"/>
            <c:invertIfNegative val="0"/>
            <c:bubble3D val="0"/>
            <c:spPr>
              <a:solidFill>
                <a:schemeClr val="accent4">
                  <a:lumMod val="40000"/>
                  <a:lumOff val="60000"/>
                </a:schemeClr>
              </a:solidFill>
              <a:ln>
                <a:solidFill>
                  <a:schemeClr val="tx1"/>
                </a:solidFill>
              </a:ln>
            </c:spPr>
          </c:dPt>
          <c:dPt>
            <c:idx val="1"/>
            <c:invertIfNegative val="0"/>
            <c:bubble3D val="0"/>
            <c:spPr>
              <a:solidFill>
                <a:schemeClr val="accent4">
                  <a:lumMod val="40000"/>
                  <a:lumOff val="60000"/>
                </a:schemeClr>
              </a:solidFill>
              <a:ln>
                <a:solidFill>
                  <a:schemeClr val="tx1"/>
                </a:solidFill>
              </a:ln>
            </c:spPr>
          </c:dPt>
          <c:dLbls>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'job_openings by qualification'!$H$8:$I$8</c:f>
              <c:strCache>
                <c:ptCount val="2"/>
                <c:pt idx="0">
                  <c:v>ES</c:v>
                </c:pt>
                <c:pt idx="1">
                  <c:v>LV</c:v>
                </c:pt>
              </c:strCache>
            </c:strRef>
          </c:cat>
          <c:val>
            <c:numRef>
              <c:f>'job_openings by qualification'!$H$10:$I$10</c:f>
              <c:numCache>
                <c:formatCode>0</c:formatCode>
                <c:ptCount val="2"/>
                <c:pt idx="0">
                  <c:v>45.538700074525764</c:v>
                </c:pt>
                <c:pt idx="1">
                  <c:v>32.587571233819126</c:v>
                </c:pt>
              </c:numCache>
            </c:numRef>
          </c:val>
        </c:ser>
        <c:ser>
          <c:idx val="2"/>
          <c:order val="2"/>
          <c:tx>
            <c:strRef>
              <c:f>'job_openings by qualification'!$G$11</c:f>
              <c:strCache>
                <c:ptCount val="1"/>
                <c:pt idx="0">
                  <c:v>Augsta</c:v>
                </c:pt>
              </c:strCache>
            </c:strRef>
          </c:tx>
          <c:spPr>
            <a:solidFill>
              <a:schemeClr val="accent4">
                <a:lumMod val="75000"/>
              </a:schemeClr>
            </a:solidFill>
          </c:spPr>
          <c:invertIfNegative val="0"/>
          <c:dPt>
            <c:idx val="0"/>
            <c:invertIfNegative val="0"/>
            <c:bubble3D val="0"/>
            <c:spPr>
              <a:solidFill>
                <a:schemeClr val="accent4">
                  <a:lumMod val="75000"/>
                </a:schemeClr>
              </a:solidFill>
              <a:ln>
                <a:solidFill>
                  <a:schemeClr val="tx1"/>
                </a:solidFill>
              </a:ln>
            </c:spPr>
          </c:dPt>
          <c:dPt>
            <c:idx val="1"/>
            <c:invertIfNegative val="0"/>
            <c:bubble3D val="0"/>
            <c:spPr>
              <a:solidFill>
                <a:schemeClr val="accent4">
                  <a:lumMod val="75000"/>
                </a:schemeClr>
              </a:solidFill>
              <a:ln>
                <a:solidFill>
                  <a:schemeClr val="tx1"/>
                </a:solidFill>
              </a:ln>
            </c:spPr>
          </c:dPt>
          <c:dLbls>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'job_openings by qualification'!$H$8:$I$8</c:f>
              <c:strCache>
                <c:ptCount val="2"/>
                <c:pt idx="0">
                  <c:v>ES</c:v>
                </c:pt>
                <c:pt idx="1">
                  <c:v>LV</c:v>
                </c:pt>
              </c:strCache>
            </c:strRef>
          </c:cat>
          <c:val>
            <c:numRef>
              <c:f>'job_openings by qualification'!$H$11:$I$11</c:f>
              <c:numCache>
                <c:formatCode>0</c:formatCode>
                <c:ptCount val="2"/>
                <c:pt idx="0">
                  <c:v>44</c:v>
                </c:pt>
                <c:pt idx="1">
                  <c:v>42</c:v>
                </c:pt>
              </c:numCache>
            </c:numRef>
          </c:val>
        </c:ser>
        <c:dLbls>
          <c:showLegendKey val="0"/>
          <c:showVal val="0"/>
          <c:showCatName val="0"/>
          <c:showSerName val="0"/>
          <c:showPercent val="0"/>
          <c:showBubbleSize val="0"/>
        </c:dLbls>
        <c:gapWidth val="116"/>
        <c:overlap val="100"/>
        <c:axId val="181756672"/>
        <c:axId val="181758208"/>
      </c:barChart>
      <c:catAx>
        <c:axId val="181756672"/>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lv-LV"/>
          </a:p>
        </c:txPr>
        <c:crossAx val="181758208"/>
        <c:crossesAt val="1"/>
        <c:auto val="1"/>
        <c:lblAlgn val="ctr"/>
        <c:lblOffset val="100"/>
        <c:noMultiLvlLbl val="0"/>
      </c:catAx>
      <c:valAx>
        <c:axId val="181758208"/>
        <c:scaling>
          <c:orientation val="minMax"/>
          <c:max val="100"/>
          <c:min val="0"/>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lv-LV"/>
          </a:p>
        </c:txPr>
        <c:crossAx val="181756672"/>
        <c:crosses val="autoZero"/>
        <c:crossBetween val="between"/>
        <c:majorUnit val="20"/>
        <c:minorUnit val="10"/>
      </c:valAx>
    </c:plotArea>
    <c:legend>
      <c:legendPos val="r"/>
      <c:layout>
        <c:manualLayout>
          <c:xMode val="edge"/>
          <c:yMode val="edge"/>
          <c:x val="0.75733514345189623"/>
          <c:y val="0.31563979760261929"/>
          <c:w val="0.20588324735270161"/>
          <c:h val="0.34704524003465081"/>
        </c:manualLayout>
      </c:layout>
      <c:overlay val="0"/>
      <c:txPr>
        <a:bodyPr/>
        <a:lstStyle/>
        <a:p>
          <a:pPr>
            <a:defRPr sz="900">
              <a:latin typeface="Times New Roman" pitchFamily="18" charset="0"/>
              <a:cs typeface="Times New Roman" pitchFamily="18" charset="0"/>
            </a:defRPr>
          </a:pPr>
          <a:endParaRPr lang="lv-LV"/>
        </a:p>
      </c:txPr>
    </c:legend>
    <c:plotVisOnly val="1"/>
    <c:dispBlanksAs val="gap"/>
    <c:showDLblsOverMax val="0"/>
  </c:chart>
  <c:spPr>
    <a:ln>
      <a:no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7237321141308"/>
          <c:y val="0.111470180810732"/>
          <c:w val="0.85487765642197955"/>
          <c:h val="0.70483790021883197"/>
        </c:manualLayout>
      </c:layout>
      <c:barChart>
        <c:barDir val="col"/>
        <c:grouping val="clustered"/>
        <c:varyColors val="0"/>
        <c:ser>
          <c:idx val="0"/>
          <c:order val="0"/>
          <c:tx>
            <c:strRef>
              <c:f>'labour_force_by qualification'!$U$19</c:f>
              <c:strCache>
                <c:ptCount val="1"/>
                <c:pt idx="0">
                  <c:v>piedāvājums</c:v>
                </c:pt>
              </c:strCache>
            </c:strRef>
          </c:tx>
          <c:spPr>
            <a:solidFill>
              <a:schemeClr val="accent4">
                <a:lumMod val="75000"/>
              </a:schemeClr>
            </a:solidFill>
            <a:ln>
              <a:solidFill>
                <a:schemeClr val="accent4">
                  <a:lumMod val="50000"/>
                </a:schemeClr>
              </a:solidFill>
            </a:ln>
          </c:spPr>
          <c:invertIfNegative val="0"/>
          <c:cat>
            <c:strRef>
              <c:f>'labour_force_by qualification'!$V$17:$Y$18</c:f>
              <c:strCache>
                <c:ptCount val="4"/>
                <c:pt idx="0">
                  <c:v>Kopā</c:v>
                </c:pt>
                <c:pt idx="1">
                  <c:v>Augsta</c:v>
                </c:pt>
                <c:pt idx="2">
                  <c:v>Vidēja</c:v>
                </c:pt>
                <c:pt idx="3">
                  <c:v>Zema</c:v>
                </c:pt>
              </c:strCache>
            </c:strRef>
          </c:cat>
          <c:val>
            <c:numRef>
              <c:f>'labour_force_by qualification'!$V$19:$Y$19</c:f>
              <c:numCache>
                <c:formatCode>General</c:formatCode>
                <c:ptCount val="4"/>
                <c:pt idx="0">
                  <c:v>100</c:v>
                </c:pt>
                <c:pt idx="1">
                  <c:v>100</c:v>
                </c:pt>
                <c:pt idx="2">
                  <c:v>100</c:v>
                </c:pt>
                <c:pt idx="3">
                  <c:v>100</c:v>
                </c:pt>
              </c:numCache>
            </c:numRef>
          </c:val>
        </c:ser>
        <c:ser>
          <c:idx val="1"/>
          <c:order val="1"/>
          <c:tx>
            <c:strRef>
              <c:f>'labour_force_by qualification'!$U$20</c:f>
              <c:strCache>
                <c:ptCount val="1"/>
                <c:pt idx="0">
                  <c:v>pieprasījums</c:v>
                </c:pt>
              </c:strCache>
            </c:strRef>
          </c:tx>
          <c:spPr>
            <a:solidFill>
              <a:schemeClr val="accent4">
                <a:lumMod val="40000"/>
                <a:lumOff val="60000"/>
              </a:schemeClr>
            </a:solidFill>
            <a:ln>
              <a:solidFill>
                <a:schemeClr val="tx1"/>
              </a:solidFill>
            </a:ln>
          </c:spPr>
          <c:invertIfNegative val="0"/>
          <c:dLbls>
            <c:txPr>
              <a:bodyPr/>
              <a:lstStyle/>
              <a:p>
                <a:pPr>
                  <a:defRPr>
                    <a:latin typeface="Times New Roman" pitchFamily="18" charset="0"/>
                    <a:cs typeface="Times New Roman" pitchFamily="18" charset="0"/>
                  </a:defRPr>
                </a:pPr>
                <a:endParaRPr lang="lv-LV"/>
              </a:p>
            </c:txPr>
            <c:dLblPos val="inEnd"/>
            <c:showLegendKey val="0"/>
            <c:showVal val="1"/>
            <c:showCatName val="0"/>
            <c:showSerName val="0"/>
            <c:showPercent val="0"/>
            <c:showBubbleSize val="0"/>
            <c:showLeaderLines val="0"/>
          </c:dLbls>
          <c:cat>
            <c:strRef>
              <c:f>'labour_force_by qualification'!$V$17:$Y$18</c:f>
              <c:strCache>
                <c:ptCount val="4"/>
                <c:pt idx="0">
                  <c:v>Kopā</c:v>
                </c:pt>
                <c:pt idx="1">
                  <c:v>Augsta</c:v>
                </c:pt>
                <c:pt idx="2">
                  <c:v>Vidēja</c:v>
                </c:pt>
                <c:pt idx="3">
                  <c:v>Zema</c:v>
                </c:pt>
              </c:strCache>
            </c:strRef>
          </c:cat>
          <c:val>
            <c:numRef>
              <c:f>'labour_force_by qualification'!$V$20:$Y$20</c:f>
              <c:numCache>
                <c:formatCode>0</c:formatCode>
                <c:ptCount val="4"/>
                <c:pt idx="0">
                  <c:v>94.694407469014124</c:v>
                </c:pt>
                <c:pt idx="1">
                  <c:v>87.305929693176097</c:v>
                </c:pt>
                <c:pt idx="2">
                  <c:v>97.837403394893428</c:v>
                </c:pt>
                <c:pt idx="3">
                  <c:v>102.21995343451573</c:v>
                </c:pt>
              </c:numCache>
            </c:numRef>
          </c:val>
        </c:ser>
        <c:dLbls>
          <c:showLegendKey val="0"/>
          <c:showVal val="0"/>
          <c:showCatName val="0"/>
          <c:showSerName val="0"/>
          <c:showPercent val="0"/>
          <c:showBubbleSize val="0"/>
        </c:dLbls>
        <c:gapWidth val="150"/>
        <c:overlap val="75"/>
        <c:axId val="186432896"/>
        <c:axId val="186438784"/>
      </c:barChart>
      <c:catAx>
        <c:axId val="18643289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lv-LV"/>
          </a:p>
        </c:txPr>
        <c:crossAx val="186438784"/>
        <c:crosses val="autoZero"/>
        <c:auto val="1"/>
        <c:lblAlgn val="ctr"/>
        <c:lblOffset val="100"/>
        <c:noMultiLvlLbl val="0"/>
      </c:catAx>
      <c:valAx>
        <c:axId val="186438784"/>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v-LV"/>
          </a:p>
        </c:txPr>
        <c:crossAx val="18643289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9045275590551"/>
          <c:y val="3.25791163784621E-2"/>
          <c:w val="0.85715023692618975"/>
          <c:h val="0.86847261147441501"/>
        </c:manualLayout>
      </c:layout>
      <c:lineChart>
        <c:grouping val="standard"/>
        <c:varyColors val="0"/>
        <c:ser>
          <c:idx val="0"/>
          <c:order val="0"/>
          <c:tx>
            <c:strRef>
              <c:f>Sheet1!$A$16</c:f>
              <c:strCache>
                <c:ptCount val="1"/>
                <c:pt idx="0">
                  <c:v>ES-27</c:v>
                </c:pt>
              </c:strCache>
            </c:strRef>
          </c:tx>
          <c:spPr>
            <a:ln>
              <a:solidFill>
                <a:schemeClr val="accent4">
                  <a:lumMod val="50000"/>
                </a:schemeClr>
              </a:solidFill>
              <a:prstDash val="sysDash"/>
            </a:ln>
          </c:spPr>
          <c:marker>
            <c:symbol val="none"/>
          </c:marker>
          <c:cat>
            <c:numRef>
              <c:f>Sheet1!$B$15:$H$15</c:f>
              <c:numCache>
                <c:formatCode>0</c:formatCode>
                <c:ptCount val="7"/>
                <c:pt idx="0">
                  <c:v>2006</c:v>
                </c:pt>
                <c:pt idx="1">
                  <c:v>2007</c:v>
                </c:pt>
                <c:pt idx="2">
                  <c:v>2008</c:v>
                </c:pt>
                <c:pt idx="3">
                  <c:v>2009</c:v>
                </c:pt>
                <c:pt idx="4">
                  <c:v>2010</c:v>
                </c:pt>
                <c:pt idx="5">
                  <c:v>2011</c:v>
                </c:pt>
                <c:pt idx="6">
                  <c:v>2012</c:v>
                </c:pt>
              </c:numCache>
            </c:numRef>
          </c:cat>
          <c:val>
            <c:numRef>
              <c:f>Sheet1!$B$16:$H$16</c:f>
              <c:numCache>
                <c:formatCode>General</c:formatCode>
                <c:ptCount val="7"/>
                <c:pt idx="0">
                  <c:v>98.8</c:v>
                </c:pt>
                <c:pt idx="1">
                  <c:v>98</c:v>
                </c:pt>
                <c:pt idx="2">
                  <c:v>99</c:v>
                </c:pt>
                <c:pt idx="3">
                  <c:v>102.2</c:v>
                </c:pt>
                <c:pt idx="4">
                  <c:v>100.6</c:v>
                </c:pt>
                <c:pt idx="5">
                  <c:v>100</c:v>
                </c:pt>
                <c:pt idx="6">
                  <c:v>100.5</c:v>
                </c:pt>
              </c:numCache>
            </c:numRef>
          </c:val>
          <c:smooth val="1"/>
        </c:ser>
        <c:ser>
          <c:idx val="1"/>
          <c:order val="1"/>
          <c:tx>
            <c:strRef>
              <c:f>Sheet1!$A$17</c:f>
              <c:strCache>
                <c:ptCount val="1"/>
                <c:pt idx="0">
                  <c:v>Igaunija</c:v>
                </c:pt>
              </c:strCache>
            </c:strRef>
          </c:tx>
          <c:spPr>
            <a:ln>
              <a:solidFill>
                <a:schemeClr val="accent4">
                  <a:lumMod val="20000"/>
                  <a:lumOff val="80000"/>
                </a:schemeClr>
              </a:solidFill>
            </a:ln>
          </c:spPr>
          <c:marker>
            <c:symbol val="none"/>
          </c:marker>
          <c:cat>
            <c:numRef>
              <c:f>Sheet1!$B$15:$H$15</c:f>
              <c:numCache>
                <c:formatCode>0</c:formatCode>
                <c:ptCount val="7"/>
                <c:pt idx="0">
                  <c:v>2006</c:v>
                </c:pt>
                <c:pt idx="1">
                  <c:v>2007</c:v>
                </c:pt>
                <c:pt idx="2">
                  <c:v>2008</c:v>
                </c:pt>
                <c:pt idx="3">
                  <c:v>2009</c:v>
                </c:pt>
                <c:pt idx="4">
                  <c:v>2010</c:v>
                </c:pt>
                <c:pt idx="5">
                  <c:v>2011</c:v>
                </c:pt>
                <c:pt idx="6">
                  <c:v>2012</c:v>
                </c:pt>
              </c:numCache>
            </c:numRef>
          </c:cat>
          <c:val>
            <c:numRef>
              <c:f>Sheet1!$B$17:$H$17</c:f>
              <c:numCache>
                <c:formatCode>General</c:formatCode>
                <c:ptCount val="7"/>
                <c:pt idx="0">
                  <c:v>100.3</c:v>
                </c:pt>
                <c:pt idx="1">
                  <c:v>105.4</c:v>
                </c:pt>
                <c:pt idx="2">
                  <c:v>114.6</c:v>
                </c:pt>
                <c:pt idx="3">
                  <c:v>117.8</c:v>
                </c:pt>
                <c:pt idx="4">
                  <c:v>109.7</c:v>
                </c:pt>
                <c:pt idx="5">
                  <c:v>105.2</c:v>
                </c:pt>
                <c:pt idx="6">
                  <c:v>107.6</c:v>
                </c:pt>
              </c:numCache>
            </c:numRef>
          </c:val>
          <c:smooth val="1"/>
        </c:ser>
        <c:ser>
          <c:idx val="2"/>
          <c:order val="2"/>
          <c:tx>
            <c:strRef>
              <c:f>Sheet1!$A$18</c:f>
              <c:strCache>
                <c:ptCount val="1"/>
                <c:pt idx="0">
                  <c:v>Latvija</c:v>
                </c:pt>
              </c:strCache>
            </c:strRef>
          </c:tx>
          <c:spPr>
            <a:ln>
              <a:solidFill>
                <a:schemeClr val="accent4">
                  <a:lumMod val="75000"/>
                </a:schemeClr>
              </a:solidFill>
            </a:ln>
          </c:spPr>
          <c:marker>
            <c:symbol val="none"/>
          </c:marker>
          <c:cat>
            <c:numRef>
              <c:f>Sheet1!$B$15:$H$15</c:f>
              <c:numCache>
                <c:formatCode>0</c:formatCode>
                <c:ptCount val="7"/>
                <c:pt idx="0">
                  <c:v>2006</c:v>
                </c:pt>
                <c:pt idx="1">
                  <c:v>2007</c:v>
                </c:pt>
                <c:pt idx="2">
                  <c:v>2008</c:v>
                </c:pt>
                <c:pt idx="3">
                  <c:v>2009</c:v>
                </c:pt>
                <c:pt idx="4">
                  <c:v>2010</c:v>
                </c:pt>
                <c:pt idx="5">
                  <c:v>2011</c:v>
                </c:pt>
                <c:pt idx="6">
                  <c:v>2012</c:v>
                </c:pt>
              </c:numCache>
            </c:numRef>
          </c:cat>
          <c:val>
            <c:numRef>
              <c:f>Sheet1!$B$18:$H$18</c:f>
              <c:numCache>
                <c:formatCode>General</c:formatCode>
                <c:ptCount val="7"/>
                <c:pt idx="0">
                  <c:v>104.6</c:v>
                </c:pt>
                <c:pt idx="1">
                  <c:v>110.7</c:v>
                </c:pt>
                <c:pt idx="2">
                  <c:v>118.3</c:v>
                </c:pt>
                <c:pt idx="3">
                  <c:v>110.3</c:v>
                </c:pt>
                <c:pt idx="4">
                  <c:v>100.2</c:v>
                </c:pt>
                <c:pt idx="5">
                  <c:v>96.5</c:v>
                </c:pt>
                <c:pt idx="6">
                  <c:v>96.4</c:v>
                </c:pt>
              </c:numCache>
            </c:numRef>
          </c:val>
          <c:smooth val="1"/>
        </c:ser>
        <c:ser>
          <c:idx val="3"/>
          <c:order val="3"/>
          <c:tx>
            <c:strRef>
              <c:f>Sheet1!$A$19</c:f>
              <c:strCache>
                <c:ptCount val="1"/>
                <c:pt idx="0">
                  <c:v>Lietuva</c:v>
                </c:pt>
              </c:strCache>
            </c:strRef>
          </c:tx>
          <c:spPr>
            <a:ln>
              <a:solidFill>
                <a:schemeClr val="accent4">
                  <a:lumMod val="60000"/>
                  <a:lumOff val="40000"/>
                </a:schemeClr>
              </a:solidFill>
            </a:ln>
          </c:spPr>
          <c:marker>
            <c:symbol val="none"/>
          </c:marker>
          <c:cat>
            <c:numRef>
              <c:f>Sheet1!$B$15:$H$15</c:f>
              <c:numCache>
                <c:formatCode>0</c:formatCode>
                <c:ptCount val="7"/>
                <c:pt idx="0">
                  <c:v>2006</c:v>
                </c:pt>
                <c:pt idx="1">
                  <c:v>2007</c:v>
                </c:pt>
                <c:pt idx="2">
                  <c:v>2008</c:v>
                </c:pt>
                <c:pt idx="3">
                  <c:v>2009</c:v>
                </c:pt>
                <c:pt idx="4">
                  <c:v>2010</c:v>
                </c:pt>
                <c:pt idx="5">
                  <c:v>2011</c:v>
                </c:pt>
                <c:pt idx="6">
                  <c:v>2012</c:v>
                </c:pt>
              </c:numCache>
            </c:numRef>
          </c:cat>
          <c:val>
            <c:numRef>
              <c:f>Sheet1!$B$19:$H$19</c:f>
              <c:numCache>
                <c:formatCode>General</c:formatCode>
                <c:ptCount val="7"/>
                <c:pt idx="0">
                  <c:v>103.3</c:v>
                </c:pt>
                <c:pt idx="1">
                  <c:v>101.4</c:v>
                </c:pt>
                <c:pt idx="2">
                  <c:v>102.1</c:v>
                </c:pt>
                <c:pt idx="3">
                  <c:v>104.2</c:v>
                </c:pt>
                <c:pt idx="4">
                  <c:v>95.1</c:v>
                </c:pt>
                <c:pt idx="5">
                  <c:v>90.1</c:v>
                </c:pt>
                <c:pt idx="6">
                  <c:v>89.4</c:v>
                </c:pt>
              </c:numCache>
            </c:numRef>
          </c:val>
          <c:smooth val="1"/>
        </c:ser>
        <c:dLbls>
          <c:showLegendKey val="0"/>
          <c:showVal val="0"/>
          <c:showCatName val="0"/>
          <c:showSerName val="0"/>
          <c:showPercent val="0"/>
          <c:showBubbleSize val="0"/>
        </c:dLbls>
        <c:marker val="1"/>
        <c:smooth val="0"/>
        <c:axId val="201617792"/>
        <c:axId val="201619712"/>
      </c:lineChart>
      <c:catAx>
        <c:axId val="201617792"/>
        <c:scaling>
          <c:orientation val="minMax"/>
        </c:scaling>
        <c:delete val="0"/>
        <c:axPos val="b"/>
        <c:numFmt formatCode="0" sourceLinked="1"/>
        <c:majorTickMark val="out"/>
        <c:minorTickMark val="none"/>
        <c:tickLblPos val="nextTo"/>
        <c:crossAx val="201619712"/>
        <c:crosses val="autoZero"/>
        <c:auto val="1"/>
        <c:lblAlgn val="ctr"/>
        <c:lblOffset val="100"/>
        <c:noMultiLvlLbl val="0"/>
      </c:catAx>
      <c:valAx>
        <c:axId val="201619712"/>
        <c:scaling>
          <c:orientation val="minMax"/>
          <c:max val="120"/>
          <c:min val="85"/>
        </c:scaling>
        <c:delete val="0"/>
        <c:axPos val="l"/>
        <c:numFmt formatCode="0" sourceLinked="0"/>
        <c:majorTickMark val="out"/>
        <c:minorTickMark val="none"/>
        <c:tickLblPos val="nextTo"/>
        <c:crossAx val="201617792"/>
        <c:crosses val="autoZero"/>
        <c:crossBetween val="between"/>
      </c:valAx>
    </c:plotArea>
    <c:legend>
      <c:legendPos val="l"/>
      <c:layout>
        <c:manualLayout>
          <c:xMode val="edge"/>
          <c:yMode val="edge"/>
          <c:x val="0.11461860236220472"/>
          <c:y val="0.74596031273803209"/>
          <c:w val="0.66001581833520806"/>
          <c:h val="0.13714265863825845"/>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0.62712</cdr:x>
      <cdr:y>0.04854</cdr:y>
    </cdr:from>
    <cdr:to>
      <cdr:x>0.62896</cdr:x>
      <cdr:y>0.89167</cdr:y>
    </cdr:to>
    <cdr:cxnSp macro="">
      <cdr:nvCxnSpPr>
        <cdr:cNvPr id="3" name="Straight Connector 2"/>
        <cdr:cNvCxnSpPr/>
      </cdr:nvCxnSpPr>
      <cdr:spPr>
        <a:xfrm xmlns:a="http://schemas.openxmlformats.org/drawingml/2006/main">
          <a:off x="3611841" y="139793"/>
          <a:ext cx="10597" cy="2427983"/>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0.63305</cdr:x>
      <cdr:y>0.15224</cdr:y>
    </cdr:from>
    <cdr:to>
      <cdr:x>0.89589</cdr:x>
      <cdr:y>0.26431</cdr:y>
    </cdr:to>
    <cdr:sp macro="" textlink="">
      <cdr:nvSpPr>
        <cdr:cNvPr id="4" name="Text Box 3"/>
        <cdr:cNvSpPr txBox="1"/>
      </cdr:nvSpPr>
      <cdr:spPr>
        <a:xfrm xmlns:a="http://schemas.openxmlformats.org/drawingml/2006/main">
          <a:off x="3646002" y="438416"/>
          <a:ext cx="1513814" cy="322731"/>
        </a:xfrm>
        <a:prstGeom xmlns:a="http://schemas.openxmlformats.org/drawingml/2006/main" prst="rect">
          <a:avLst/>
        </a:prstGeom>
      </cdr:spPr>
      <cdr:txBody>
        <a:bodyPr xmlns:a="http://schemas.openxmlformats.org/drawingml/2006/main" vertOverflow="clip" wrap="square" tIns="36000" bIns="36000" rtlCol="0"/>
        <a:lstStyle xmlns:a="http://schemas.openxmlformats.org/drawingml/2006/main"/>
        <a:p xmlns:a="http://schemas.openxmlformats.org/drawingml/2006/main">
          <a:pPr algn="l"/>
          <a:r>
            <a:rPr lang="lv-LV" sz="900">
              <a:latin typeface="Times New Roman" pitchFamily="18" charset="0"/>
              <a:cs typeface="Times New Roman" pitchFamily="18" charset="0"/>
            </a:rPr>
            <a:t>vidējais </a:t>
          </a:r>
          <a:r>
            <a:rPr lang="lv-LV" sz="900" baseline="0">
              <a:latin typeface="Times New Roman" pitchFamily="18" charset="0"/>
              <a:cs typeface="Times New Roman" pitchFamily="18" charset="0"/>
            </a:rPr>
            <a:t>līmenis</a:t>
          </a:r>
          <a:endParaRPr lang="lv-LV"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0.73638</cdr:x>
      <cdr:y>0.04854</cdr:y>
    </cdr:from>
    <cdr:to>
      <cdr:x>0.73822</cdr:x>
      <cdr:y>0.89167</cdr:y>
    </cdr:to>
    <cdr:cxnSp macro="">
      <cdr:nvCxnSpPr>
        <cdr:cNvPr id="3" name="Straight Connector 2"/>
        <cdr:cNvCxnSpPr/>
      </cdr:nvCxnSpPr>
      <cdr:spPr>
        <a:xfrm xmlns:a="http://schemas.openxmlformats.org/drawingml/2006/main">
          <a:off x="4241146" y="139793"/>
          <a:ext cx="10597" cy="2427983"/>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0.73541</cdr:x>
      <cdr:y>0.26332</cdr:y>
    </cdr:from>
    <cdr:to>
      <cdr:x>0.94211</cdr:x>
      <cdr:y>0.3415</cdr:y>
    </cdr:to>
    <cdr:sp macro="" textlink="">
      <cdr:nvSpPr>
        <cdr:cNvPr id="4" name="Text Box 3"/>
        <cdr:cNvSpPr txBox="1"/>
      </cdr:nvSpPr>
      <cdr:spPr>
        <a:xfrm xmlns:a="http://schemas.openxmlformats.org/drawingml/2006/main">
          <a:off x="4235570" y="758289"/>
          <a:ext cx="1190445" cy="225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lv-LV" sz="900">
              <a:latin typeface="Times New Roman" pitchFamily="18" charset="0"/>
              <a:cs typeface="Times New Roman" pitchFamily="18" charset="0"/>
            </a:rPr>
            <a:t>vidējais</a:t>
          </a:r>
          <a:r>
            <a:rPr lang="lv-LV" sz="900" baseline="0">
              <a:latin typeface="Times New Roman" pitchFamily="18" charset="0"/>
              <a:cs typeface="Times New Roman" pitchFamily="18" charset="0"/>
            </a:rPr>
            <a:t> līmenis</a:t>
          </a:r>
          <a:endParaRPr lang="lv-LV"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rofile 9">
    <a:dk1>
      <a:srgbClr val="000000"/>
    </a:dk1>
    <a:lt1>
      <a:srgbClr val="FFFFFF"/>
    </a:lt1>
    <a:dk2>
      <a:srgbClr val="000000"/>
    </a:dk2>
    <a:lt2>
      <a:srgbClr val="DDDDDD"/>
    </a:lt2>
    <a:accent1>
      <a:srgbClr val="A3B2C1"/>
    </a:accent1>
    <a:accent2>
      <a:srgbClr val="CC0000"/>
    </a:accent2>
    <a:accent3>
      <a:srgbClr val="FFFFFF"/>
    </a:accent3>
    <a:accent4>
      <a:srgbClr val="000000"/>
    </a:accent4>
    <a:accent5>
      <a:srgbClr val="CED5DD"/>
    </a:accent5>
    <a:accent6>
      <a:srgbClr val="B90000"/>
    </a:accent6>
    <a:hlink>
      <a:srgbClr val="336699"/>
    </a:hlink>
    <a:folHlink>
      <a:srgbClr val="003366"/>
    </a:folHlink>
  </a:clrScheme>
  <a:fontScheme name="Profil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rofile 9">
    <a:dk1>
      <a:srgbClr val="000000"/>
    </a:dk1>
    <a:lt1>
      <a:srgbClr val="FFFFFF"/>
    </a:lt1>
    <a:dk2>
      <a:srgbClr val="000000"/>
    </a:dk2>
    <a:lt2>
      <a:srgbClr val="DDDDDD"/>
    </a:lt2>
    <a:accent1>
      <a:srgbClr val="A3B2C1"/>
    </a:accent1>
    <a:accent2>
      <a:srgbClr val="CC0000"/>
    </a:accent2>
    <a:accent3>
      <a:srgbClr val="FFFFFF"/>
    </a:accent3>
    <a:accent4>
      <a:srgbClr val="000000"/>
    </a:accent4>
    <a:accent5>
      <a:srgbClr val="CED5DD"/>
    </a:accent5>
    <a:accent6>
      <a:srgbClr val="B90000"/>
    </a:accent6>
    <a:hlink>
      <a:srgbClr val="336699"/>
    </a:hlink>
    <a:folHlink>
      <a:srgbClr val="003366"/>
    </a:folHlink>
  </a:clrScheme>
  <a:fontScheme name="Profil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0769-2205-4B83-AF0A-A7D8FB1D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67</Pages>
  <Words>16961</Words>
  <Characters>119239</Characters>
  <Application>Microsoft Office Word</Application>
  <DocSecurity>0</DocSecurity>
  <Lines>4258</Lines>
  <Paragraphs>2619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Jānis Salmiņš</dc:creator>
  <cp:lastModifiedBy>Ludis Neiders</cp:lastModifiedBy>
  <cp:revision>23</cp:revision>
  <cp:lastPrinted>2013-06-19T05:53:00Z</cp:lastPrinted>
  <dcterms:created xsi:type="dcterms:W3CDTF">2013-05-28T14:45:00Z</dcterms:created>
  <dcterms:modified xsi:type="dcterms:W3CDTF">2013-06-21T05:41:00Z</dcterms:modified>
</cp:coreProperties>
</file>