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E7" w:rsidRPr="00025B33" w:rsidRDefault="00E668E7" w:rsidP="006031F7">
      <w:pPr>
        <w:pStyle w:val="Header"/>
        <w:tabs>
          <w:tab w:val="left" w:pos="720"/>
        </w:tabs>
        <w:jc w:val="center"/>
        <w:rPr>
          <w:b/>
          <w:smallCaps/>
          <w:sz w:val="28"/>
          <w:szCs w:val="28"/>
        </w:rPr>
      </w:pPr>
      <w:r w:rsidRPr="00025B33">
        <w:rPr>
          <w:b/>
          <w:smallCaps/>
          <w:sz w:val="28"/>
          <w:szCs w:val="28"/>
        </w:rPr>
        <w:t xml:space="preserve">Informatīvais </w:t>
      </w:r>
      <w:smartTag w:uri="schemas-tilde-lv/tildestengine" w:element="veidnes">
        <w:smartTagPr>
          <w:attr w:name="baseform" w:val="ziņojum|s"/>
          <w:attr w:name="id" w:val="-1"/>
          <w:attr w:name="text" w:val="ziņojums"/>
        </w:smartTagPr>
        <w:r w:rsidRPr="00025B33">
          <w:rPr>
            <w:b/>
            <w:smallCaps/>
            <w:sz w:val="28"/>
            <w:szCs w:val="28"/>
          </w:rPr>
          <w:t>ziņojums</w:t>
        </w:r>
      </w:smartTag>
    </w:p>
    <w:p w:rsidR="00E668E7" w:rsidRPr="00025B33" w:rsidRDefault="00E668E7" w:rsidP="006031F7">
      <w:pPr>
        <w:pStyle w:val="Header"/>
        <w:tabs>
          <w:tab w:val="left" w:pos="720"/>
        </w:tabs>
        <w:jc w:val="center"/>
        <w:rPr>
          <w:b/>
          <w:sz w:val="28"/>
          <w:szCs w:val="28"/>
        </w:rPr>
      </w:pPr>
    </w:p>
    <w:p w:rsidR="00E668E7" w:rsidRPr="00025B33" w:rsidRDefault="00E668E7" w:rsidP="006031F7">
      <w:pPr>
        <w:jc w:val="center"/>
        <w:rPr>
          <w:b/>
          <w:sz w:val="28"/>
          <w:szCs w:val="28"/>
        </w:rPr>
      </w:pPr>
      <w:bookmarkStart w:id="0" w:name="OLE_LINK3"/>
      <w:bookmarkStart w:id="1" w:name="OLE_LINK4"/>
      <w:r w:rsidRPr="00025B33">
        <w:rPr>
          <w:b/>
          <w:sz w:val="28"/>
          <w:szCs w:val="28"/>
        </w:rPr>
        <w:t>par Latvijas nacionālajām pozīcijām Eiropas Savienības Konkurētspējas ministru padomes 201</w:t>
      </w:r>
      <w:r w:rsidR="007A66B5" w:rsidRPr="00025B33">
        <w:rPr>
          <w:b/>
          <w:sz w:val="28"/>
          <w:szCs w:val="28"/>
        </w:rPr>
        <w:t>2</w:t>
      </w:r>
      <w:r w:rsidRPr="00025B33">
        <w:rPr>
          <w:b/>
          <w:sz w:val="28"/>
          <w:szCs w:val="28"/>
        </w:rPr>
        <w:t xml:space="preserve">.gada </w:t>
      </w:r>
      <w:r w:rsidR="00E730E6" w:rsidRPr="00025B33">
        <w:rPr>
          <w:b/>
          <w:sz w:val="28"/>
          <w:szCs w:val="28"/>
        </w:rPr>
        <w:t>30</w:t>
      </w:r>
      <w:r w:rsidRPr="00025B33">
        <w:rPr>
          <w:b/>
          <w:sz w:val="28"/>
          <w:szCs w:val="28"/>
        </w:rPr>
        <w:t xml:space="preserve">. </w:t>
      </w:r>
      <w:r w:rsidR="00E730E6" w:rsidRPr="00025B33">
        <w:rPr>
          <w:b/>
          <w:sz w:val="28"/>
          <w:szCs w:val="28"/>
        </w:rPr>
        <w:t>maija</w:t>
      </w:r>
      <w:r w:rsidRPr="00025B33">
        <w:rPr>
          <w:b/>
          <w:sz w:val="28"/>
          <w:szCs w:val="28"/>
        </w:rPr>
        <w:t xml:space="preserve"> sanāksmē izskatāmajos Ekonomikas ministrijas un </w:t>
      </w:r>
      <w:r w:rsidR="004C1552" w:rsidRPr="00025B33">
        <w:rPr>
          <w:b/>
          <w:sz w:val="28"/>
          <w:szCs w:val="28"/>
        </w:rPr>
        <w:t>Finanšu</w:t>
      </w:r>
      <w:r w:rsidRPr="00025B33">
        <w:rPr>
          <w:b/>
          <w:sz w:val="28"/>
          <w:szCs w:val="28"/>
        </w:rPr>
        <w:t xml:space="preserve"> ministrijas kompetences jautājumos</w:t>
      </w:r>
    </w:p>
    <w:bookmarkEnd w:id="0"/>
    <w:bookmarkEnd w:id="1"/>
    <w:p w:rsidR="00E668E7" w:rsidRPr="00025B33" w:rsidRDefault="00E668E7" w:rsidP="006031F7">
      <w:pPr>
        <w:spacing w:after="120"/>
        <w:jc w:val="both"/>
        <w:rPr>
          <w:sz w:val="28"/>
          <w:szCs w:val="28"/>
        </w:rPr>
      </w:pPr>
    </w:p>
    <w:p w:rsidR="00E668E7" w:rsidRPr="00025B33" w:rsidRDefault="00E668E7" w:rsidP="006031F7">
      <w:pPr>
        <w:spacing w:before="120" w:after="120"/>
        <w:rPr>
          <w:b/>
          <w:sz w:val="28"/>
          <w:szCs w:val="28"/>
        </w:rPr>
      </w:pPr>
      <w:r w:rsidRPr="00025B33">
        <w:rPr>
          <w:b/>
          <w:sz w:val="28"/>
          <w:szCs w:val="28"/>
        </w:rPr>
        <w:t>1. Konkurētspējas ministru padomes sanāksmes darba kārtība</w:t>
      </w:r>
    </w:p>
    <w:p w:rsidR="00897AEF" w:rsidRPr="00025B33" w:rsidRDefault="00897AEF" w:rsidP="006031F7">
      <w:pPr>
        <w:tabs>
          <w:tab w:val="left" w:pos="9288"/>
        </w:tabs>
        <w:spacing w:after="120"/>
        <w:ind w:firstLine="851"/>
        <w:jc w:val="both"/>
        <w:rPr>
          <w:sz w:val="28"/>
          <w:szCs w:val="28"/>
        </w:rPr>
      </w:pPr>
      <w:r w:rsidRPr="00025B33">
        <w:rPr>
          <w:sz w:val="28"/>
          <w:szCs w:val="28"/>
        </w:rPr>
        <w:t>201</w:t>
      </w:r>
      <w:r w:rsidR="00E730E6" w:rsidRPr="00025B33">
        <w:rPr>
          <w:sz w:val="28"/>
          <w:szCs w:val="28"/>
        </w:rPr>
        <w:t>2</w:t>
      </w:r>
      <w:r w:rsidRPr="00025B33">
        <w:rPr>
          <w:sz w:val="28"/>
          <w:szCs w:val="28"/>
        </w:rPr>
        <w:t xml:space="preserve">. gada </w:t>
      </w:r>
      <w:r w:rsidR="00E730E6" w:rsidRPr="00025B33">
        <w:rPr>
          <w:sz w:val="28"/>
          <w:szCs w:val="28"/>
        </w:rPr>
        <w:t>30</w:t>
      </w:r>
      <w:r w:rsidRPr="00025B33">
        <w:rPr>
          <w:sz w:val="28"/>
          <w:szCs w:val="28"/>
        </w:rPr>
        <w:t>. ma</w:t>
      </w:r>
      <w:r w:rsidR="00E730E6" w:rsidRPr="00025B33">
        <w:rPr>
          <w:sz w:val="28"/>
          <w:szCs w:val="28"/>
        </w:rPr>
        <w:t>ij</w:t>
      </w:r>
      <w:r w:rsidRPr="00025B33">
        <w:rPr>
          <w:sz w:val="28"/>
          <w:szCs w:val="28"/>
        </w:rPr>
        <w:t>ā Briselē, Beļģijā,  notiks Eiropas Savienības (turpmāk – ES) Konkurētspējas ministru padomes sanāksme (turpmāk – sanāksme). Paredzams, ka sanāksmes gaitā tiks izskatīti šādi Ekonomikas ministrijas (</w:t>
      </w:r>
      <w:r w:rsidR="00E730E6" w:rsidRPr="00025B33">
        <w:rPr>
          <w:sz w:val="28"/>
          <w:szCs w:val="28"/>
        </w:rPr>
        <w:t xml:space="preserve">turpmāk - </w:t>
      </w:r>
      <w:r w:rsidRPr="00025B33">
        <w:rPr>
          <w:sz w:val="28"/>
          <w:szCs w:val="28"/>
        </w:rPr>
        <w:t xml:space="preserve">EM) un </w:t>
      </w:r>
      <w:r w:rsidR="00E730E6" w:rsidRPr="00025B33">
        <w:rPr>
          <w:sz w:val="28"/>
          <w:szCs w:val="28"/>
        </w:rPr>
        <w:t>Finanšu</w:t>
      </w:r>
      <w:r w:rsidRPr="00025B33">
        <w:rPr>
          <w:sz w:val="28"/>
          <w:szCs w:val="28"/>
        </w:rPr>
        <w:t xml:space="preserve"> ministrijas (</w:t>
      </w:r>
      <w:r w:rsidR="00E730E6" w:rsidRPr="00025B33">
        <w:rPr>
          <w:sz w:val="28"/>
          <w:szCs w:val="28"/>
        </w:rPr>
        <w:t>turpmāk - F</w:t>
      </w:r>
      <w:r w:rsidRPr="00025B33">
        <w:rPr>
          <w:sz w:val="28"/>
          <w:szCs w:val="28"/>
        </w:rPr>
        <w:t>M) kompetencē esoši jautājumi:</w:t>
      </w:r>
    </w:p>
    <w:p w:rsidR="007A1C1C" w:rsidRPr="00025B33" w:rsidRDefault="007A1C1C" w:rsidP="006031F7">
      <w:pPr>
        <w:tabs>
          <w:tab w:val="left" w:pos="9288"/>
        </w:tabs>
        <w:spacing w:after="120"/>
        <w:ind w:firstLine="851"/>
        <w:jc w:val="both"/>
        <w:rPr>
          <w:sz w:val="28"/>
          <w:szCs w:val="28"/>
        </w:rPr>
      </w:pPr>
    </w:p>
    <w:p w:rsidR="00897AEF" w:rsidRPr="00025B33" w:rsidRDefault="00897AEF" w:rsidP="006031F7">
      <w:pPr>
        <w:pBdr>
          <w:bottom w:val="single" w:sz="4" w:space="1" w:color="auto"/>
        </w:pBdr>
        <w:tabs>
          <w:tab w:val="left" w:pos="1290"/>
        </w:tabs>
        <w:autoSpaceDE w:val="0"/>
        <w:autoSpaceDN w:val="0"/>
        <w:adjustRightInd w:val="0"/>
        <w:jc w:val="both"/>
        <w:rPr>
          <w:sz w:val="28"/>
          <w:szCs w:val="28"/>
        </w:rPr>
      </w:pPr>
      <w:r w:rsidRPr="00025B33">
        <w:rPr>
          <w:b/>
          <w:sz w:val="28"/>
          <w:szCs w:val="28"/>
        </w:rPr>
        <w:t>1.</w:t>
      </w:r>
      <w:r w:rsidR="00B03397" w:rsidRPr="00025B33">
        <w:rPr>
          <w:b/>
          <w:sz w:val="28"/>
          <w:szCs w:val="28"/>
        </w:rPr>
        <w:t>1.</w:t>
      </w:r>
      <w:r w:rsidRPr="00025B33">
        <w:rPr>
          <w:b/>
          <w:sz w:val="28"/>
          <w:szCs w:val="28"/>
        </w:rPr>
        <w:t xml:space="preserve"> </w:t>
      </w:r>
      <w:r w:rsidR="00E730E6" w:rsidRPr="00025B33">
        <w:rPr>
          <w:b/>
          <w:sz w:val="28"/>
          <w:szCs w:val="28"/>
        </w:rPr>
        <w:t>Priekšlikums Eiropas Parlamenta un Padomes regulai ar ko izveido Uzņēmumu konkurētspējas un mazo un vidējo uzņēmumu programmu (COSME) (2014.—2020. gadam) (Pirmais lasījums)</w:t>
      </w:r>
    </w:p>
    <w:p w:rsidR="00897AEF" w:rsidRPr="00025B33" w:rsidRDefault="00897AEF" w:rsidP="006031F7">
      <w:pPr>
        <w:tabs>
          <w:tab w:val="left" w:pos="9288"/>
        </w:tabs>
        <w:ind w:firstLine="851"/>
        <w:jc w:val="right"/>
        <w:rPr>
          <w:i/>
          <w:sz w:val="28"/>
          <w:szCs w:val="28"/>
        </w:rPr>
      </w:pPr>
      <w:r w:rsidRPr="00025B33">
        <w:rPr>
          <w:i/>
          <w:sz w:val="28"/>
          <w:szCs w:val="28"/>
        </w:rPr>
        <w:t>EM kompetence</w:t>
      </w:r>
    </w:p>
    <w:p w:rsidR="00E730E6" w:rsidRPr="00025B33" w:rsidRDefault="00897AEF" w:rsidP="006031F7">
      <w:pPr>
        <w:tabs>
          <w:tab w:val="left" w:pos="284"/>
        </w:tabs>
        <w:jc w:val="both"/>
        <w:rPr>
          <w:i/>
          <w:sz w:val="28"/>
          <w:szCs w:val="28"/>
        </w:rPr>
      </w:pPr>
      <w:r w:rsidRPr="00025B33">
        <w:rPr>
          <w:i/>
          <w:sz w:val="28"/>
          <w:szCs w:val="28"/>
        </w:rPr>
        <w:t xml:space="preserve">- </w:t>
      </w:r>
      <w:r w:rsidR="00E730E6" w:rsidRPr="00025B33">
        <w:rPr>
          <w:i/>
          <w:sz w:val="28"/>
          <w:szCs w:val="28"/>
        </w:rPr>
        <w:t>Daļēji vispārējā pieeja</w:t>
      </w:r>
    </w:p>
    <w:p w:rsidR="00897AEF" w:rsidRPr="00025B33" w:rsidRDefault="00897AEF" w:rsidP="006031F7">
      <w:pPr>
        <w:tabs>
          <w:tab w:val="left" w:pos="284"/>
        </w:tabs>
        <w:ind w:firstLine="851"/>
        <w:jc w:val="both"/>
        <w:rPr>
          <w:sz w:val="28"/>
          <w:szCs w:val="28"/>
        </w:rPr>
      </w:pPr>
    </w:p>
    <w:p w:rsidR="00512B4C" w:rsidRPr="00025B33" w:rsidRDefault="00512B4C" w:rsidP="006031F7">
      <w:pPr>
        <w:tabs>
          <w:tab w:val="left" w:pos="9288"/>
        </w:tabs>
        <w:spacing w:after="120"/>
        <w:ind w:firstLine="851"/>
        <w:jc w:val="both"/>
        <w:rPr>
          <w:sz w:val="28"/>
          <w:szCs w:val="28"/>
        </w:rPr>
      </w:pPr>
      <w:r w:rsidRPr="00025B33">
        <w:rPr>
          <w:sz w:val="28"/>
          <w:szCs w:val="28"/>
        </w:rPr>
        <w:t xml:space="preserve">Lai  uzlabotu uzņēmumu konkurētspēju, īpašu uzmanību pievēršot maziem un vidējiem komersantiem (turpmāk – MVK), un nodrošinātu Konkurētspējas un inovācijas programmas (turpmāk – CIP) īstenoto pasākumu ilgtspēju, 2011.gada 30.novembrī Eiropas Komisija nāca klajā ar </w:t>
      </w:r>
      <w:r w:rsidRPr="00025B33">
        <w:rPr>
          <w:i/>
          <w:sz w:val="28"/>
          <w:szCs w:val="28"/>
        </w:rPr>
        <w:t>Priekšlikums Eiropas Parlamenta un Padomes regulai ar ko izveido Uzņēmumu konkurētspējas un mazo un vidējo uzņēmumu programmu 2014.—2020. gadam</w:t>
      </w:r>
      <w:r w:rsidRPr="00025B33">
        <w:rPr>
          <w:sz w:val="28"/>
          <w:szCs w:val="28"/>
        </w:rPr>
        <w:t xml:space="preserve"> (turpmāk – COSME regulas priekšlikums) kas ietver daļu no CIP ietvaros atbalstītajām jomām. Savukārt pārējās CIP prioritātes (atbalsts inovācijai, enerģētikai, informācijas un komunikāciju tehnoloģijas attīstībai, </w:t>
      </w:r>
      <w:proofErr w:type="spellStart"/>
      <w:r w:rsidRPr="00025B33">
        <w:rPr>
          <w:sz w:val="28"/>
          <w:szCs w:val="28"/>
        </w:rPr>
        <w:t>eko-inovācijai</w:t>
      </w:r>
      <w:proofErr w:type="spellEnd"/>
      <w:r w:rsidRPr="00025B33">
        <w:rPr>
          <w:sz w:val="28"/>
          <w:szCs w:val="28"/>
        </w:rPr>
        <w:t xml:space="preserve">)  un to mērķi pēc 2013.gada tiks atbalstīti, īstenojot Ietvara programmu pētniecībai un inovācijai </w:t>
      </w:r>
      <w:r w:rsidRPr="00025B33">
        <w:rPr>
          <w:i/>
          <w:sz w:val="28"/>
          <w:szCs w:val="28"/>
        </w:rPr>
        <w:t>Horizonts 2020</w:t>
      </w:r>
      <w:r w:rsidRPr="00025B33">
        <w:rPr>
          <w:sz w:val="28"/>
          <w:szCs w:val="28"/>
        </w:rPr>
        <w:t xml:space="preserve">.  </w:t>
      </w:r>
    </w:p>
    <w:p w:rsidR="00E730E6" w:rsidRPr="00025B33" w:rsidRDefault="00512B4C" w:rsidP="006031F7">
      <w:pPr>
        <w:tabs>
          <w:tab w:val="left" w:pos="9288"/>
        </w:tabs>
        <w:spacing w:after="120"/>
        <w:ind w:firstLine="851"/>
        <w:jc w:val="both"/>
        <w:rPr>
          <w:sz w:val="28"/>
          <w:szCs w:val="28"/>
        </w:rPr>
      </w:pPr>
      <w:r w:rsidRPr="00025B33">
        <w:rPr>
          <w:sz w:val="28"/>
          <w:szCs w:val="28"/>
        </w:rPr>
        <w:t xml:space="preserve">Pēc izvērstajām diskusijām darba grupu un Pastāvīgo pārstāvju komitejas sanāksmēs Dānijas prezidentūra ir izstrādājusi kompromisa redakciju COSME regulas priekšlikuma projektam. </w:t>
      </w:r>
      <w:r w:rsidR="00F048D2" w:rsidRPr="00025B33">
        <w:rPr>
          <w:sz w:val="28"/>
          <w:szCs w:val="28"/>
        </w:rPr>
        <w:t xml:space="preserve">COSME regulas priekšlikumā pastāv vairāki neatrisināti jautājumi, tāpēc </w:t>
      </w:r>
      <w:r w:rsidR="009D2DE7" w:rsidRPr="00025B33">
        <w:rPr>
          <w:sz w:val="28"/>
          <w:szCs w:val="28"/>
        </w:rPr>
        <w:t xml:space="preserve">2012.gada 30.maija ES Konkurētspējas Ministru padomes sanāksmē </w:t>
      </w:r>
      <w:r w:rsidR="009D2DE7" w:rsidRPr="00025B33">
        <w:rPr>
          <w:b/>
          <w:sz w:val="28"/>
          <w:szCs w:val="28"/>
        </w:rPr>
        <w:t>ministri tiks aicināti vienoties par daļēji vispārējo pieeju</w:t>
      </w:r>
      <w:r w:rsidRPr="00025B33">
        <w:rPr>
          <w:sz w:val="28"/>
          <w:szCs w:val="28"/>
        </w:rPr>
        <w:t xml:space="preserve"> </w:t>
      </w:r>
      <w:r w:rsidRPr="00025B33">
        <w:rPr>
          <w:b/>
          <w:sz w:val="28"/>
          <w:szCs w:val="28"/>
        </w:rPr>
        <w:t>par COSME regulas priekšlikumu</w:t>
      </w:r>
      <w:r w:rsidR="009D2DE7" w:rsidRPr="00025B33">
        <w:rPr>
          <w:sz w:val="28"/>
          <w:szCs w:val="28"/>
        </w:rPr>
        <w:t>.</w:t>
      </w:r>
    </w:p>
    <w:p w:rsidR="004C1552" w:rsidRPr="00025B33" w:rsidRDefault="004C1552" w:rsidP="004C1552">
      <w:pPr>
        <w:spacing w:after="120"/>
        <w:jc w:val="both"/>
        <w:rPr>
          <w:rFonts w:eastAsia="Calibri"/>
          <w:b/>
          <w:sz w:val="28"/>
          <w:szCs w:val="28"/>
          <w:u w:val="single"/>
          <w:lang w:eastAsia="en-US"/>
        </w:rPr>
      </w:pPr>
    </w:p>
    <w:p w:rsidR="006031F7" w:rsidRPr="00025B33" w:rsidRDefault="006031F7" w:rsidP="004C1552">
      <w:pPr>
        <w:spacing w:after="120"/>
        <w:jc w:val="both"/>
        <w:rPr>
          <w:rFonts w:eastAsia="Calibri"/>
          <w:b/>
          <w:sz w:val="28"/>
          <w:szCs w:val="28"/>
          <w:u w:val="single"/>
          <w:lang w:eastAsia="en-US"/>
        </w:rPr>
      </w:pPr>
      <w:r w:rsidRPr="00025B33">
        <w:rPr>
          <w:rFonts w:eastAsia="Calibri"/>
          <w:b/>
          <w:sz w:val="28"/>
          <w:szCs w:val="28"/>
          <w:u w:val="single"/>
          <w:lang w:eastAsia="en-US"/>
        </w:rPr>
        <w:t>Latvijas pozīcija:</w:t>
      </w:r>
    </w:p>
    <w:p w:rsidR="00512B4C" w:rsidRPr="00025B33" w:rsidRDefault="00512B4C" w:rsidP="006031F7">
      <w:pPr>
        <w:tabs>
          <w:tab w:val="left" w:pos="9288"/>
        </w:tabs>
        <w:spacing w:after="120"/>
        <w:ind w:firstLine="851"/>
        <w:jc w:val="both"/>
        <w:rPr>
          <w:sz w:val="28"/>
          <w:szCs w:val="28"/>
        </w:rPr>
      </w:pPr>
      <w:r w:rsidRPr="00025B33">
        <w:rPr>
          <w:b/>
          <w:sz w:val="28"/>
          <w:szCs w:val="28"/>
        </w:rPr>
        <w:t>Latvija kopumā atbalsta</w:t>
      </w:r>
      <w:r w:rsidRPr="00025B33">
        <w:rPr>
          <w:sz w:val="28"/>
          <w:szCs w:val="28"/>
        </w:rPr>
        <w:t xml:space="preserve"> Prezidentūras mērķi sanāksmes laikā vienoties par daļēju vispārējo pieeju un </w:t>
      </w:r>
      <w:r w:rsidRPr="00025B33">
        <w:rPr>
          <w:b/>
          <w:sz w:val="28"/>
          <w:szCs w:val="28"/>
        </w:rPr>
        <w:t xml:space="preserve">atzinīgi vērtē Dānijas prezidentūras piedāvāto kompromisa redakciju COSME regulas priekšlikuma </w:t>
      </w:r>
      <w:r w:rsidRPr="00025B33">
        <w:rPr>
          <w:b/>
          <w:sz w:val="28"/>
          <w:szCs w:val="28"/>
        </w:rPr>
        <w:lastRenderedPageBreak/>
        <w:t>projektam</w:t>
      </w:r>
      <w:r w:rsidRPr="00025B33">
        <w:rPr>
          <w:sz w:val="28"/>
          <w:szCs w:val="28"/>
        </w:rPr>
        <w:t>. kas var sniegt maksimālu pievienoto vērtību ES uzņēmumu, jo īpaši MVK, atbalstam. Šāda ES līmeņa programma palīdzēs sasniegt „ES 2020” stratēģijā izvirzītos mērķus un turpinās paaugstināt ES uzņēmumu, jo īpaši MVK, konkurētspēju arī pasaules mērogā.</w:t>
      </w:r>
    </w:p>
    <w:p w:rsidR="004C79CA" w:rsidRPr="00025B33" w:rsidRDefault="004C79CA" w:rsidP="006031F7">
      <w:pPr>
        <w:tabs>
          <w:tab w:val="left" w:pos="9288"/>
        </w:tabs>
        <w:spacing w:after="120"/>
        <w:ind w:firstLine="851"/>
        <w:jc w:val="both"/>
        <w:rPr>
          <w:sz w:val="28"/>
          <w:szCs w:val="28"/>
        </w:rPr>
      </w:pPr>
      <w:r w:rsidRPr="00025B33">
        <w:rPr>
          <w:b/>
          <w:sz w:val="28"/>
          <w:szCs w:val="28"/>
        </w:rPr>
        <w:t>Latvija atbalsta</w:t>
      </w:r>
      <w:r w:rsidRPr="00025B33">
        <w:rPr>
          <w:sz w:val="28"/>
          <w:szCs w:val="28"/>
        </w:rPr>
        <w:t xml:space="preserve"> Eiropas Komisijas apņemšanos veicināt ES </w:t>
      </w:r>
      <w:r w:rsidRPr="00025B33">
        <w:rPr>
          <w:sz w:val="28"/>
          <w:szCs w:val="28"/>
          <w:u w:val="single"/>
        </w:rPr>
        <w:t>uzņēmumu konkurētspēju ilgtermiņā</w:t>
      </w:r>
      <w:r w:rsidRPr="00025B33">
        <w:rPr>
          <w:sz w:val="28"/>
          <w:szCs w:val="28"/>
        </w:rPr>
        <w:t xml:space="preserve">, kas ietver arī vienotas un saskaņotas MVK politikas izstrādi, un uzskata, ka šī konkurētspēja ir atkarīga no ES īstenotās iekšējās un arī ārējās ekonomiskās politikas saskaņotības, kā arī </w:t>
      </w:r>
      <w:r w:rsidRPr="00025B33">
        <w:rPr>
          <w:sz w:val="28"/>
          <w:szCs w:val="28"/>
          <w:u w:val="single"/>
        </w:rPr>
        <w:t>veidot uzņēmējdarbības vidi,</w:t>
      </w:r>
      <w:r w:rsidRPr="00025B33">
        <w:rPr>
          <w:sz w:val="28"/>
          <w:szCs w:val="28"/>
        </w:rPr>
        <w:t xml:space="preserve"> kurā ikvienam potenciālajam un esošajam uzņēmējdarbības uzsācējam tiktu nodrošināti skaidri pamatprincipi un atbalsta nosacījumi biznesa ideju realizācijai un uzņēmējdarbības paplašināšanai.</w:t>
      </w:r>
    </w:p>
    <w:p w:rsidR="00FB544A" w:rsidRPr="00FB544A" w:rsidRDefault="00FB544A" w:rsidP="00FB544A">
      <w:pPr>
        <w:tabs>
          <w:tab w:val="left" w:pos="9288"/>
        </w:tabs>
        <w:spacing w:after="120"/>
        <w:ind w:firstLine="851"/>
        <w:jc w:val="both"/>
        <w:rPr>
          <w:b/>
          <w:sz w:val="28"/>
          <w:szCs w:val="28"/>
        </w:rPr>
      </w:pPr>
      <w:r w:rsidRPr="00FB544A">
        <w:rPr>
          <w:sz w:val="28"/>
          <w:szCs w:val="28"/>
        </w:rPr>
        <w:t xml:space="preserve">Latvija piekrīt, ka COSME ietvaros prioritārai jābūt orientācijai uz MVK attīstības veicināšanu. Tāpēc ļoti svarīgi, ka COSME programmas ietvaros tiek plānots pilnveidot mazo un vidējo komersantu  piekļuvi finansējumam. Šajā sakarā </w:t>
      </w:r>
      <w:r w:rsidRPr="00FB544A">
        <w:rPr>
          <w:b/>
          <w:sz w:val="28"/>
          <w:szCs w:val="28"/>
        </w:rPr>
        <w:t>Latvija atzinīgi novērtē</w:t>
      </w:r>
      <w:r w:rsidRPr="00FB544A">
        <w:rPr>
          <w:sz w:val="28"/>
          <w:szCs w:val="28"/>
        </w:rPr>
        <w:t xml:space="preserve"> COSME budžeta sadalījumu, kas paredz ne mazāk kā 55,5 % (1,4 </w:t>
      </w:r>
      <w:proofErr w:type="spellStart"/>
      <w:r w:rsidRPr="00FB544A">
        <w:rPr>
          <w:sz w:val="28"/>
          <w:szCs w:val="28"/>
        </w:rPr>
        <w:t>bilj.EUR</w:t>
      </w:r>
      <w:proofErr w:type="spellEnd"/>
      <w:r w:rsidRPr="00FB544A">
        <w:rPr>
          <w:sz w:val="28"/>
          <w:szCs w:val="28"/>
        </w:rPr>
        <w:t xml:space="preserve">) novirzīt finanšu instrumentu ieviešanai, kas varētu veicināt jaunu </w:t>
      </w:r>
      <w:proofErr w:type="spellStart"/>
      <w:r w:rsidRPr="00FB544A">
        <w:rPr>
          <w:i/>
          <w:sz w:val="28"/>
          <w:szCs w:val="28"/>
        </w:rPr>
        <w:t>start-up</w:t>
      </w:r>
      <w:proofErr w:type="spellEnd"/>
      <w:r w:rsidRPr="00FB544A">
        <w:rPr>
          <w:sz w:val="28"/>
          <w:szCs w:val="28"/>
        </w:rPr>
        <w:t xml:space="preserve"> uzņēmumu veidošanos. </w:t>
      </w:r>
      <w:r w:rsidRPr="00FB544A">
        <w:rPr>
          <w:b/>
          <w:sz w:val="28"/>
          <w:szCs w:val="28"/>
        </w:rPr>
        <w:t>Latvija pašreizējā stadijā atbalsta</w:t>
      </w:r>
      <w:r w:rsidRPr="00FB544A">
        <w:rPr>
          <w:sz w:val="28"/>
          <w:szCs w:val="28"/>
        </w:rPr>
        <w:t xml:space="preserve"> Prezidentūras piedāvāto kompromisa priekšlikumu, kas paredz iespēju pārsniegt  aizdevumu garantiju „slieksni” 150 </w:t>
      </w:r>
      <w:proofErr w:type="spellStart"/>
      <w:r w:rsidRPr="00FB544A">
        <w:rPr>
          <w:sz w:val="28"/>
          <w:szCs w:val="28"/>
        </w:rPr>
        <w:t>tūkst.EUR</w:t>
      </w:r>
      <w:proofErr w:type="spellEnd"/>
      <w:r w:rsidRPr="00FB544A">
        <w:rPr>
          <w:sz w:val="28"/>
          <w:szCs w:val="28"/>
        </w:rPr>
        <w:t xml:space="preserve"> apmērā tajos gadījumos, kad mazie un vidējie komersanti atbilst COSME programmas kritērijiem, taču neatbilst </w:t>
      </w:r>
      <w:proofErr w:type="spellStart"/>
      <w:r w:rsidRPr="00FB544A">
        <w:rPr>
          <w:sz w:val="28"/>
          <w:szCs w:val="28"/>
        </w:rPr>
        <w:t>Horizon</w:t>
      </w:r>
      <w:proofErr w:type="spellEnd"/>
      <w:r w:rsidRPr="00FB544A">
        <w:rPr>
          <w:sz w:val="28"/>
          <w:szCs w:val="28"/>
        </w:rPr>
        <w:t xml:space="preserve"> 2020 programmas kritērijiem (17.panta 11.punkts). Vienlaicīgi </w:t>
      </w:r>
      <w:r w:rsidRPr="00FB544A">
        <w:rPr>
          <w:b/>
          <w:sz w:val="28"/>
          <w:szCs w:val="28"/>
        </w:rPr>
        <w:t>Latvija uzskata</w:t>
      </w:r>
      <w:r w:rsidRPr="00FB544A">
        <w:rPr>
          <w:sz w:val="28"/>
          <w:szCs w:val="28"/>
        </w:rPr>
        <w:t xml:space="preserve">, ka līdz šim Eiropas Komisija ir nepietiekoši argumentējusi šāda aizdevumu garantiju „sliekšņa” nepieciešamību un to, kāpēc tas ir noteikts tieši 150 </w:t>
      </w:r>
      <w:proofErr w:type="spellStart"/>
      <w:r w:rsidRPr="00FB544A">
        <w:rPr>
          <w:sz w:val="28"/>
          <w:szCs w:val="28"/>
        </w:rPr>
        <w:t>tūkst.EUR</w:t>
      </w:r>
      <w:proofErr w:type="spellEnd"/>
      <w:r w:rsidRPr="00FB544A">
        <w:rPr>
          <w:sz w:val="28"/>
          <w:szCs w:val="28"/>
        </w:rPr>
        <w:t xml:space="preserve"> apmērā. </w:t>
      </w:r>
      <w:r w:rsidRPr="00FB544A">
        <w:rPr>
          <w:b/>
          <w:sz w:val="28"/>
          <w:szCs w:val="28"/>
        </w:rPr>
        <w:t>Latvija uzskata</w:t>
      </w:r>
      <w:r w:rsidRPr="00FB544A">
        <w:rPr>
          <w:sz w:val="28"/>
          <w:szCs w:val="28"/>
        </w:rPr>
        <w:t xml:space="preserve">, ka ar garantiju aizdevuma „sliekšņa” palīdzību Eiropas Komisija cenšas mākslīgi nodalīt finanšu instrumentus un arī uzņēmumus COSME un </w:t>
      </w:r>
      <w:proofErr w:type="spellStart"/>
      <w:r w:rsidRPr="00FB544A">
        <w:rPr>
          <w:sz w:val="28"/>
          <w:szCs w:val="28"/>
        </w:rPr>
        <w:t>Horizon</w:t>
      </w:r>
      <w:proofErr w:type="spellEnd"/>
      <w:r w:rsidRPr="00FB544A">
        <w:rPr>
          <w:sz w:val="28"/>
          <w:szCs w:val="28"/>
        </w:rPr>
        <w:t xml:space="preserve"> 2020 programmu ietvaros, būtu ieteicams vērtēt atbalstāmo uzņēmumu un projektu, tad pieņemt lēmumu, kuras programmas ietvaros šim uzņēmumam sniegt atbalstu  nodrošinot „vienas pieturas” („</w:t>
      </w:r>
      <w:proofErr w:type="spellStart"/>
      <w:r w:rsidRPr="00FB544A">
        <w:rPr>
          <w:i/>
          <w:sz w:val="28"/>
          <w:szCs w:val="28"/>
        </w:rPr>
        <w:t>one</w:t>
      </w:r>
      <w:proofErr w:type="spellEnd"/>
      <w:r w:rsidRPr="00FB544A">
        <w:rPr>
          <w:i/>
          <w:sz w:val="28"/>
          <w:szCs w:val="28"/>
        </w:rPr>
        <w:t xml:space="preserve"> </w:t>
      </w:r>
      <w:proofErr w:type="spellStart"/>
      <w:r w:rsidRPr="00FB544A">
        <w:rPr>
          <w:i/>
          <w:sz w:val="28"/>
          <w:szCs w:val="28"/>
        </w:rPr>
        <w:t>entry</w:t>
      </w:r>
      <w:proofErr w:type="spellEnd"/>
      <w:r w:rsidRPr="00FB544A">
        <w:rPr>
          <w:i/>
          <w:sz w:val="28"/>
          <w:szCs w:val="28"/>
        </w:rPr>
        <w:t xml:space="preserve"> </w:t>
      </w:r>
      <w:proofErr w:type="spellStart"/>
      <w:r w:rsidRPr="00FB544A">
        <w:rPr>
          <w:i/>
          <w:sz w:val="28"/>
          <w:szCs w:val="28"/>
        </w:rPr>
        <w:t>point</w:t>
      </w:r>
      <w:proofErr w:type="spellEnd"/>
      <w:r w:rsidRPr="00FB544A">
        <w:rPr>
          <w:i/>
          <w:sz w:val="28"/>
          <w:szCs w:val="28"/>
        </w:rPr>
        <w:t xml:space="preserve">”) </w:t>
      </w:r>
      <w:r w:rsidRPr="00FB544A">
        <w:rPr>
          <w:sz w:val="28"/>
          <w:szCs w:val="28"/>
        </w:rPr>
        <w:t>pieeju uzņēmējiem.</w:t>
      </w:r>
    </w:p>
    <w:p w:rsidR="0062606F" w:rsidRDefault="0062606F" w:rsidP="006031F7">
      <w:pPr>
        <w:tabs>
          <w:tab w:val="left" w:pos="9288"/>
        </w:tabs>
        <w:spacing w:after="120"/>
        <w:ind w:firstLine="851"/>
        <w:jc w:val="both"/>
        <w:rPr>
          <w:sz w:val="28"/>
          <w:szCs w:val="28"/>
        </w:rPr>
      </w:pPr>
      <w:r w:rsidRPr="0062606F">
        <w:rPr>
          <w:b/>
          <w:sz w:val="28"/>
          <w:szCs w:val="28"/>
        </w:rPr>
        <w:t>Latvija</w:t>
      </w:r>
      <w:r w:rsidRPr="0062606F">
        <w:rPr>
          <w:sz w:val="28"/>
          <w:szCs w:val="28"/>
        </w:rPr>
        <w:t xml:space="preserve"> </w:t>
      </w:r>
      <w:r w:rsidRPr="0062606F">
        <w:rPr>
          <w:b/>
          <w:sz w:val="28"/>
          <w:szCs w:val="28"/>
        </w:rPr>
        <w:t>uzsver</w:t>
      </w:r>
      <w:r w:rsidRPr="0062606F">
        <w:rPr>
          <w:sz w:val="28"/>
          <w:szCs w:val="28"/>
        </w:rPr>
        <w:t>, ka, neskatoties uz Regulas priekšlikumā paredzēto plānu finanšu instrumentu ietvaros garantiju gadījumā lielāku uzmanību pievērst pārrobežu kreditēšanai un kreditēšanai vairākās valstīts, finanšu instrumentu ietvaros ir būtiski nodrošināt MVK pieeju finanšu resursiem visā Eiropā, tajā skaitā arī mazajās dalībvalstīs. Tāpēc aicinām E</w:t>
      </w:r>
      <w:r>
        <w:rPr>
          <w:sz w:val="28"/>
          <w:szCs w:val="28"/>
        </w:rPr>
        <w:t xml:space="preserve">iropas </w:t>
      </w:r>
      <w:r w:rsidRPr="0062606F">
        <w:rPr>
          <w:sz w:val="28"/>
          <w:szCs w:val="28"/>
        </w:rPr>
        <w:t>K</w:t>
      </w:r>
      <w:r>
        <w:rPr>
          <w:sz w:val="28"/>
          <w:szCs w:val="28"/>
        </w:rPr>
        <w:t>omisiju</w:t>
      </w:r>
      <w:r w:rsidRPr="0062606F">
        <w:rPr>
          <w:sz w:val="28"/>
          <w:szCs w:val="28"/>
        </w:rPr>
        <w:t xml:space="preserve"> nodrošināt, lai COSME programmas ietvaros atbalsts finanšu instrumentu veidā būtu pieejams ar vienmērīgu ģeogrāfisko pārklājumu.  Tāpat ir svarīgi nodrošināt, lai pieejamie finanšu atbalsta instrumenti un to ieviešanas process varētu tikt pielāgoti atbilstoši  dalībvalstu situācijai, jo MVK vajadzības dažādās valstīs var atšķirties.</w:t>
      </w:r>
    </w:p>
    <w:p w:rsidR="00347129" w:rsidRPr="00025B33" w:rsidRDefault="00347129" w:rsidP="006031F7">
      <w:pPr>
        <w:tabs>
          <w:tab w:val="left" w:pos="9288"/>
        </w:tabs>
        <w:spacing w:after="120"/>
        <w:ind w:firstLine="851"/>
        <w:jc w:val="both"/>
        <w:rPr>
          <w:sz w:val="28"/>
          <w:szCs w:val="28"/>
        </w:rPr>
      </w:pPr>
      <w:r w:rsidRPr="00025B33">
        <w:rPr>
          <w:b/>
          <w:sz w:val="28"/>
          <w:szCs w:val="28"/>
        </w:rPr>
        <w:t>Latvija pauž gandarījumu</w:t>
      </w:r>
      <w:r w:rsidRPr="00025B33">
        <w:rPr>
          <w:sz w:val="28"/>
          <w:szCs w:val="28"/>
        </w:rPr>
        <w:t xml:space="preserve">, ka programmas projekts paredz iespēju ne tikai sniegt atbalstu aktivitātēm, kas uzlabotu MVK piekļuvi ES </w:t>
      </w:r>
      <w:r w:rsidRPr="00025B33">
        <w:rPr>
          <w:sz w:val="28"/>
          <w:szCs w:val="28"/>
        </w:rPr>
        <w:lastRenderedPageBreak/>
        <w:t>Vienotajam tirgum, bet arī īstenot specifiskus pasākumus MVK piekļuves veicināšanai trešo valstu tirgiem.</w:t>
      </w:r>
    </w:p>
    <w:p w:rsidR="00897AEF" w:rsidRPr="00025B33" w:rsidRDefault="00897AEF" w:rsidP="006031F7">
      <w:pPr>
        <w:tabs>
          <w:tab w:val="left" w:pos="9288"/>
        </w:tabs>
        <w:spacing w:after="120"/>
        <w:ind w:firstLine="851"/>
        <w:jc w:val="both"/>
        <w:rPr>
          <w:b/>
          <w:sz w:val="28"/>
          <w:szCs w:val="28"/>
        </w:rPr>
      </w:pPr>
    </w:p>
    <w:p w:rsidR="00897AEF" w:rsidRPr="00025B33" w:rsidRDefault="00B03397" w:rsidP="006031F7">
      <w:pPr>
        <w:pBdr>
          <w:bottom w:val="single" w:sz="4" w:space="1" w:color="auto"/>
        </w:pBdr>
        <w:autoSpaceDE w:val="0"/>
        <w:autoSpaceDN w:val="0"/>
        <w:adjustRightInd w:val="0"/>
        <w:jc w:val="both"/>
        <w:rPr>
          <w:i/>
          <w:sz w:val="28"/>
          <w:szCs w:val="28"/>
          <w:u w:val="single"/>
        </w:rPr>
      </w:pPr>
      <w:r w:rsidRPr="00025B33">
        <w:rPr>
          <w:b/>
          <w:sz w:val="28"/>
          <w:szCs w:val="28"/>
        </w:rPr>
        <w:t>1.</w:t>
      </w:r>
      <w:r w:rsidR="00897AEF" w:rsidRPr="00025B33">
        <w:rPr>
          <w:b/>
          <w:sz w:val="28"/>
          <w:szCs w:val="28"/>
        </w:rPr>
        <w:t xml:space="preserve">2. </w:t>
      </w:r>
      <w:r w:rsidR="00E730E6" w:rsidRPr="00025B33">
        <w:rPr>
          <w:b/>
          <w:sz w:val="28"/>
          <w:szCs w:val="28"/>
        </w:rPr>
        <w:t>Priekšlikums Eiropas Parlamenta un Padomes direktīvai par alternatīvu strīdu izšķiršanu un grozījumiem Regulā (EK) Nr. 2006/2004 un Direktīvā 2009/22/EK (Direktīva par patērētāju ADR) (Pirmais lasījums)</w:t>
      </w:r>
      <w:r w:rsidR="006031F7" w:rsidRPr="00025B33">
        <w:rPr>
          <w:b/>
          <w:sz w:val="28"/>
          <w:szCs w:val="28"/>
        </w:rPr>
        <w:t xml:space="preserve"> un  </w:t>
      </w:r>
      <w:r w:rsidR="00E730E6" w:rsidRPr="00025B33">
        <w:rPr>
          <w:b/>
          <w:sz w:val="28"/>
          <w:szCs w:val="28"/>
        </w:rPr>
        <w:t>Priekšlikums Eiropas Parlamenta un Padomes regulai par patērētāju strīdu izšķiršanu tiešsaistē (Regula par patērētāju ODR) (Pirmais lasījums)</w:t>
      </w:r>
    </w:p>
    <w:p w:rsidR="00897AEF" w:rsidRPr="00025B33" w:rsidRDefault="00897AEF" w:rsidP="006031F7">
      <w:pPr>
        <w:tabs>
          <w:tab w:val="left" w:pos="9288"/>
        </w:tabs>
        <w:ind w:firstLine="851"/>
        <w:jc w:val="right"/>
        <w:rPr>
          <w:i/>
          <w:sz w:val="28"/>
          <w:szCs w:val="28"/>
        </w:rPr>
      </w:pPr>
      <w:r w:rsidRPr="00025B33">
        <w:rPr>
          <w:i/>
          <w:sz w:val="28"/>
          <w:szCs w:val="28"/>
        </w:rPr>
        <w:t>EM kompetence</w:t>
      </w:r>
    </w:p>
    <w:p w:rsidR="00E730E6" w:rsidRPr="00025B33" w:rsidRDefault="00E730E6" w:rsidP="006031F7">
      <w:pPr>
        <w:tabs>
          <w:tab w:val="left" w:pos="284"/>
        </w:tabs>
        <w:jc w:val="both"/>
        <w:rPr>
          <w:i/>
          <w:sz w:val="28"/>
          <w:szCs w:val="28"/>
        </w:rPr>
      </w:pPr>
      <w:r w:rsidRPr="00025B33">
        <w:rPr>
          <w:i/>
          <w:sz w:val="28"/>
          <w:szCs w:val="28"/>
        </w:rPr>
        <w:t>- Vispārējā pieeja</w:t>
      </w:r>
    </w:p>
    <w:p w:rsidR="00E730E6" w:rsidRPr="00025B33" w:rsidRDefault="00E730E6" w:rsidP="006031F7">
      <w:pPr>
        <w:tabs>
          <w:tab w:val="left" w:pos="284"/>
        </w:tabs>
        <w:ind w:firstLine="851"/>
        <w:jc w:val="both"/>
        <w:rPr>
          <w:i/>
          <w:sz w:val="28"/>
          <w:szCs w:val="28"/>
        </w:rPr>
      </w:pPr>
    </w:p>
    <w:p w:rsidR="000C66EB" w:rsidRPr="00025B33" w:rsidRDefault="000C66EB" w:rsidP="0062606F">
      <w:pPr>
        <w:ind w:firstLine="851"/>
        <w:jc w:val="both"/>
        <w:rPr>
          <w:sz w:val="28"/>
          <w:szCs w:val="28"/>
        </w:rPr>
      </w:pPr>
      <w:r w:rsidRPr="00025B33">
        <w:rPr>
          <w:sz w:val="28"/>
          <w:szCs w:val="28"/>
        </w:rPr>
        <w:t xml:space="preserve">2011.gada 29.novembrī Eiropas Komisija nāca klajā ar </w:t>
      </w:r>
      <w:r w:rsidRPr="00025B33">
        <w:rPr>
          <w:i/>
          <w:sz w:val="28"/>
          <w:szCs w:val="28"/>
        </w:rPr>
        <w:t>Eiropas Parlamenta un Padomes direktīvas projektu par patērētāju alternatīvajiem strīdu risināšanas mehānismiem</w:t>
      </w:r>
      <w:r w:rsidRPr="00025B33">
        <w:rPr>
          <w:sz w:val="28"/>
          <w:szCs w:val="28"/>
        </w:rPr>
        <w:t xml:space="preserve"> (turpmāk – direktīvas projekts par patērētāju ADR) un </w:t>
      </w:r>
      <w:r w:rsidRPr="00025B33">
        <w:rPr>
          <w:i/>
          <w:sz w:val="28"/>
          <w:szCs w:val="28"/>
        </w:rPr>
        <w:t>Eiropas Parlamenta un Padomes regulas projektu par patērētāju alternatīvo strīdu risināšanu tiešsaistē</w:t>
      </w:r>
      <w:r w:rsidRPr="00025B33">
        <w:rPr>
          <w:sz w:val="28"/>
          <w:szCs w:val="28"/>
        </w:rPr>
        <w:t xml:space="preserve"> (turpmāk – regulas projekts par patērētāju ODR).  Tiesību aktu projekti izstrādāti ar mērķi veicināt patērētāju un uzņēmēju uzticību pārrobežu darījumu slēgšanai ES vienotajā tirgū, nodrošinot, ka visās ES dalībvalstīs pastāv kvalitatīvas patērētāju ārpustiesas strīdu risināšanas (ADR) struktūras, kurās patērētāji bez vēršanās tiesā var atrisināt jebkuru līgumisku strīdu ar uzņēmumu par preces vai pakalpojuma iegādi.</w:t>
      </w:r>
    </w:p>
    <w:p w:rsidR="000C66EB" w:rsidRPr="00025B33" w:rsidRDefault="000C66EB" w:rsidP="000C66EB">
      <w:pPr>
        <w:tabs>
          <w:tab w:val="left" w:pos="9288"/>
        </w:tabs>
        <w:spacing w:after="120"/>
        <w:ind w:firstLine="851"/>
        <w:jc w:val="both"/>
        <w:rPr>
          <w:b/>
          <w:sz w:val="28"/>
          <w:szCs w:val="28"/>
        </w:rPr>
      </w:pPr>
      <w:r w:rsidRPr="00025B33">
        <w:rPr>
          <w:sz w:val="28"/>
          <w:szCs w:val="28"/>
        </w:rPr>
        <w:t xml:space="preserve">Sanāksmes laikā paredzēts </w:t>
      </w:r>
      <w:r w:rsidRPr="00025B33">
        <w:rPr>
          <w:b/>
          <w:sz w:val="28"/>
          <w:szCs w:val="28"/>
        </w:rPr>
        <w:t xml:space="preserve">panākt vienošanos par vispārējo pieeju par direktīvas projektu par patērētāju ADR un par regulas projektu par patērētāju ODR. </w:t>
      </w:r>
    </w:p>
    <w:p w:rsidR="000C66EB" w:rsidRPr="00025B33" w:rsidRDefault="000C66EB" w:rsidP="000C66EB">
      <w:pPr>
        <w:tabs>
          <w:tab w:val="left" w:pos="9288"/>
        </w:tabs>
        <w:spacing w:after="120"/>
        <w:ind w:firstLine="851"/>
        <w:jc w:val="both"/>
        <w:rPr>
          <w:sz w:val="28"/>
          <w:szCs w:val="28"/>
        </w:rPr>
      </w:pPr>
      <w:r w:rsidRPr="00025B33">
        <w:rPr>
          <w:sz w:val="28"/>
          <w:szCs w:val="28"/>
        </w:rPr>
        <w:t xml:space="preserve">Gan ES, gan Latvijas patērētāju </w:t>
      </w:r>
      <w:r w:rsidRPr="00025B33">
        <w:rPr>
          <w:rFonts w:hint="eastAsia"/>
          <w:sz w:val="28"/>
          <w:szCs w:val="28"/>
        </w:rPr>
        <w:t>tiesību</w:t>
      </w:r>
      <w:r w:rsidRPr="00025B33">
        <w:rPr>
          <w:sz w:val="28"/>
          <w:szCs w:val="28"/>
        </w:rPr>
        <w:t xml:space="preserve"> aizsardzības tiesību akti nodrošina patērētājiem plašu tiesību kopumu. Tomēr, lai šīs tiesības varētu tikt īstenotas praksē, ir jābūt mehānismiem, kas nodrošina, ka patērētāji tās var efektīvi izmantot, līdz ar to alternatīvie ārpustiesas strīdu risināšanas mehānismi ir uzskatāmi par vienu no patērētāju tiesību aizsardzības stūrakmeņiem.</w:t>
      </w:r>
    </w:p>
    <w:p w:rsidR="000C66EB" w:rsidRPr="00025B33" w:rsidRDefault="000C66EB" w:rsidP="000C66EB">
      <w:pPr>
        <w:tabs>
          <w:tab w:val="left" w:pos="9288"/>
        </w:tabs>
        <w:spacing w:after="120"/>
        <w:ind w:firstLine="851"/>
        <w:jc w:val="both"/>
        <w:rPr>
          <w:sz w:val="28"/>
          <w:szCs w:val="28"/>
        </w:rPr>
      </w:pPr>
      <w:r w:rsidRPr="00025B33">
        <w:rPr>
          <w:sz w:val="28"/>
          <w:szCs w:val="28"/>
        </w:rPr>
        <w:t>Lai nodrošinātu augstu patērētāju tiesību aizsardzības līmeni un veicinātu patērētāju uzticību ES iekšējam tirgum, ir būtiski, lai patērētājiem būtu pieejams vienkāršs un efektīvs mehānisms strīdu risināšanai, noslēdzot darījumus gan savas dzīvesvietas valstī, gan citā ES dalībvalstī. Skaidrāki noteikumi attiecībā uz ārpustiesas strīdu risināšanas struktūru pieejamību un to vienoti kvalitātes kritēriji visās ES dalībvalstīs vairos patērētāju un uzņēmēju uzticību pārrobežu darījumiem ES iekšējā tirgū, tostarp slēdzot darījumus tiešsaistē, tādējādi sniedzot ieguldījumu ES iekšējā tirgus darbības attīstībā.</w:t>
      </w:r>
    </w:p>
    <w:p w:rsidR="0066585F" w:rsidRDefault="0066585F" w:rsidP="000C66EB">
      <w:pPr>
        <w:jc w:val="both"/>
        <w:rPr>
          <w:rFonts w:eastAsia="Calibri"/>
          <w:b/>
          <w:sz w:val="28"/>
          <w:szCs w:val="28"/>
          <w:u w:val="single"/>
          <w:lang w:eastAsia="en-US"/>
        </w:rPr>
      </w:pPr>
    </w:p>
    <w:p w:rsidR="000C66EB" w:rsidRPr="00025B33" w:rsidRDefault="000C66EB" w:rsidP="000C66EB">
      <w:pPr>
        <w:jc w:val="both"/>
        <w:rPr>
          <w:rFonts w:eastAsia="Calibri"/>
          <w:b/>
          <w:sz w:val="28"/>
          <w:szCs w:val="28"/>
          <w:u w:val="single"/>
          <w:lang w:eastAsia="en-US"/>
        </w:rPr>
      </w:pPr>
      <w:r w:rsidRPr="00025B33">
        <w:rPr>
          <w:rFonts w:eastAsia="Calibri"/>
          <w:b/>
          <w:sz w:val="28"/>
          <w:szCs w:val="28"/>
          <w:u w:val="single"/>
          <w:lang w:eastAsia="en-US"/>
        </w:rPr>
        <w:lastRenderedPageBreak/>
        <w:t>Latvijas pozīcija</w:t>
      </w:r>
    </w:p>
    <w:p w:rsidR="000C66EB" w:rsidRPr="00025B33" w:rsidRDefault="000C66EB" w:rsidP="00025B33">
      <w:pPr>
        <w:ind w:firstLine="851"/>
        <w:jc w:val="both"/>
        <w:rPr>
          <w:rFonts w:ascii="TimesNewRoman" w:eastAsia="Calibri" w:hAnsi="TimesNewRoman" w:cs="TimesNewRoman"/>
          <w:sz w:val="28"/>
          <w:szCs w:val="28"/>
          <w:lang w:eastAsia="en-US"/>
        </w:rPr>
      </w:pPr>
    </w:p>
    <w:p w:rsidR="00025B33" w:rsidRDefault="000C66EB" w:rsidP="0066585F">
      <w:pPr>
        <w:spacing w:after="120"/>
        <w:ind w:firstLine="851"/>
        <w:jc w:val="both"/>
        <w:rPr>
          <w:b/>
          <w:sz w:val="28"/>
          <w:szCs w:val="28"/>
          <w:lang w:eastAsia="en-US"/>
        </w:rPr>
      </w:pPr>
      <w:r w:rsidRPr="00025B33">
        <w:rPr>
          <w:b/>
          <w:sz w:val="28"/>
          <w:szCs w:val="28"/>
          <w:lang w:eastAsia="en-US"/>
        </w:rPr>
        <w:t xml:space="preserve">Latvija uzskata </w:t>
      </w:r>
      <w:r w:rsidRPr="00025B33">
        <w:rPr>
          <w:sz w:val="28"/>
          <w:szCs w:val="28"/>
          <w:lang w:eastAsia="en-US"/>
        </w:rPr>
        <w:t xml:space="preserve">direktīvas projektu par patērētāju ADR un regulas projektu par patērētāju ODR kā </w:t>
      </w:r>
      <w:r w:rsidRPr="00025B33">
        <w:rPr>
          <w:sz w:val="28"/>
          <w:szCs w:val="28"/>
          <w:u w:val="single"/>
          <w:lang w:eastAsia="en-US"/>
        </w:rPr>
        <w:t>nozīmīgus instrumentus, lai nodrošinātu augstu patērētāju tiesību aizsardzības līmeni un lai veicinātu ES iekšējā tirgus attīstību, un Latvijai ir būtiski, lai šie tiesību aktu projekti tiktu pieņemti</w:t>
      </w:r>
      <w:r w:rsidRPr="00025B33">
        <w:rPr>
          <w:sz w:val="28"/>
          <w:szCs w:val="28"/>
          <w:lang w:eastAsia="en-US"/>
        </w:rPr>
        <w:t>.</w:t>
      </w:r>
      <w:r w:rsidR="00025B33">
        <w:rPr>
          <w:b/>
          <w:sz w:val="28"/>
          <w:szCs w:val="28"/>
          <w:lang w:eastAsia="en-US"/>
        </w:rPr>
        <w:t xml:space="preserve"> </w:t>
      </w:r>
    </w:p>
    <w:p w:rsidR="000C66EB" w:rsidRPr="00025B33" w:rsidRDefault="000C66EB" w:rsidP="0066585F">
      <w:pPr>
        <w:spacing w:after="120"/>
        <w:ind w:firstLine="851"/>
        <w:jc w:val="both"/>
        <w:rPr>
          <w:b/>
          <w:bCs/>
          <w:sz w:val="28"/>
          <w:szCs w:val="28"/>
          <w:lang w:eastAsia="en-US"/>
        </w:rPr>
      </w:pPr>
      <w:r w:rsidRPr="00025B33">
        <w:rPr>
          <w:b/>
          <w:bCs/>
          <w:sz w:val="28"/>
          <w:szCs w:val="28"/>
          <w:lang w:eastAsia="en-US"/>
        </w:rPr>
        <w:t xml:space="preserve">Latvija augstu novērtē </w:t>
      </w:r>
      <w:r w:rsidRPr="00025B33">
        <w:rPr>
          <w:bCs/>
          <w:sz w:val="28"/>
          <w:szCs w:val="28"/>
          <w:lang w:eastAsia="en-US"/>
        </w:rPr>
        <w:t xml:space="preserve">Dānijas prezidentūras ieguldīto darbu ar mērķi panākt vienošanos par vispārējo pieeju 2012.gada 30.-31.maija Konkurētspējas padomē un uzskata, ka abos priekšlikumos veiktie precizējumi nodrošina labu līdzsvaru starp </w:t>
      </w:r>
      <w:r w:rsidR="00FC2F31">
        <w:rPr>
          <w:bCs/>
          <w:sz w:val="28"/>
          <w:szCs w:val="28"/>
          <w:lang w:eastAsia="en-US"/>
        </w:rPr>
        <w:t>dalībvalstu</w:t>
      </w:r>
      <w:r w:rsidRPr="00025B33">
        <w:rPr>
          <w:bCs/>
          <w:sz w:val="28"/>
          <w:szCs w:val="28"/>
          <w:lang w:eastAsia="en-US"/>
        </w:rPr>
        <w:t xml:space="preserve"> interesēm.</w:t>
      </w:r>
      <w:r w:rsidRPr="00025B33">
        <w:rPr>
          <w:b/>
          <w:bCs/>
          <w:sz w:val="28"/>
          <w:szCs w:val="28"/>
          <w:lang w:eastAsia="en-US"/>
        </w:rPr>
        <w:t xml:space="preserve"> </w:t>
      </w:r>
    </w:p>
    <w:p w:rsidR="0066585F" w:rsidRDefault="000C66EB" w:rsidP="0066585F">
      <w:pPr>
        <w:spacing w:after="120"/>
        <w:ind w:firstLine="851"/>
        <w:jc w:val="both"/>
        <w:rPr>
          <w:b/>
          <w:bCs/>
          <w:sz w:val="28"/>
          <w:szCs w:val="28"/>
          <w:lang w:eastAsia="en-US"/>
        </w:rPr>
      </w:pPr>
      <w:r w:rsidRPr="00025B33">
        <w:rPr>
          <w:rFonts w:ascii="TimesNewRoman" w:eastAsia="Calibri" w:hAnsi="TimesNewRoman" w:cs="TimesNewRoman"/>
          <w:sz w:val="28"/>
          <w:szCs w:val="28"/>
          <w:lang w:eastAsia="en-US"/>
        </w:rPr>
        <w:t>Direktīvas un regulas projektos k</w:t>
      </w:r>
      <w:r w:rsidRPr="00025B33">
        <w:rPr>
          <w:iCs/>
          <w:sz w:val="28"/>
          <w:szCs w:val="28"/>
          <w:lang w:eastAsia="en-US"/>
        </w:rPr>
        <w:t>opumā ir ņemtas vērā Latvijas intereses un bažas saistībā ar abiem projektiem</w:t>
      </w:r>
      <w:r w:rsidR="00025B33">
        <w:rPr>
          <w:iCs/>
          <w:sz w:val="28"/>
          <w:szCs w:val="28"/>
          <w:lang w:eastAsia="en-US"/>
        </w:rPr>
        <w:t xml:space="preserve">. </w:t>
      </w:r>
      <w:r w:rsidRPr="00025B33">
        <w:rPr>
          <w:sz w:val="28"/>
          <w:szCs w:val="28"/>
          <w:lang w:eastAsia="en-US"/>
        </w:rPr>
        <w:t>Ņemot vērā Eiropas Padomes izvirzīto mērķi panākt vienošanos par patērētāju ODR regulas projektu un ar to saistīto patērētāju ADR direktīvas projektu līdz š.g. jūnijam, kā arī ņemot vērā panākto līdzsvaru starp ES dalībvalstu interesēm,</w:t>
      </w:r>
      <w:r w:rsidRPr="00025B33">
        <w:rPr>
          <w:bCs/>
          <w:sz w:val="28"/>
          <w:szCs w:val="28"/>
          <w:lang w:eastAsia="en-US"/>
        </w:rPr>
        <w:t xml:space="preserve"> </w:t>
      </w:r>
      <w:r w:rsidRPr="00025B33">
        <w:rPr>
          <w:b/>
          <w:bCs/>
          <w:sz w:val="28"/>
          <w:szCs w:val="28"/>
          <w:lang w:eastAsia="en-US"/>
        </w:rPr>
        <w:t xml:space="preserve">Latvija kompromisa panākšanai atbalsta </w:t>
      </w:r>
      <w:r w:rsidR="009B22CA" w:rsidRPr="009B22CA">
        <w:rPr>
          <w:b/>
          <w:bCs/>
          <w:sz w:val="28"/>
          <w:szCs w:val="28"/>
          <w:lang w:eastAsia="en-US"/>
        </w:rPr>
        <w:t>vispārējo pieeju</w:t>
      </w:r>
      <w:r w:rsidR="009B22CA">
        <w:rPr>
          <w:b/>
          <w:bCs/>
          <w:sz w:val="28"/>
          <w:szCs w:val="28"/>
          <w:lang w:eastAsia="en-US"/>
        </w:rPr>
        <w:t xml:space="preserve"> </w:t>
      </w:r>
      <w:r w:rsidRPr="00025B33">
        <w:rPr>
          <w:b/>
          <w:bCs/>
          <w:sz w:val="28"/>
          <w:szCs w:val="28"/>
          <w:lang w:eastAsia="en-US"/>
        </w:rPr>
        <w:t>par ADR direktīvas projektu un ODR  regulas projektu.</w:t>
      </w:r>
    </w:p>
    <w:p w:rsidR="0066585F" w:rsidRDefault="0066585F" w:rsidP="0066585F">
      <w:pPr>
        <w:spacing w:after="120"/>
        <w:ind w:firstLine="851"/>
        <w:jc w:val="both"/>
        <w:rPr>
          <w:sz w:val="28"/>
          <w:szCs w:val="28"/>
        </w:rPr>
      </w:pPr>
    </w:p>
    <w:p w:rsidR="00897AEF" w:rsidRPr="00025B33" w:rsidRDefault="00B03397" w:rsidP="006031F7">
      <w:pPr>
        <w:pBdr>
          <w:bottom w:val="single" w:sz="4" w:space="1" w:color="auto"/>
        </w:pBdr>
        <w:tabs>
          <w:tab w:val="left" w:pos="9288"/>
        </w:tabs>
        <w:spacing w:after="120"/>
        <w:jc w:val="both"/>
        <w:rPr>
          <w:b/>
          <w:sz w:val="28"/>
          <w:szCs w:val="28"/>
        </w:rPr>
      </w:pPr>
      <w:r w:rsidRPr="00025B33">
        <w:rPr>
          <w:b/>
          <w:sz w:val="28"/>
          <w:szCs w:val="28"/>
        </w:rPr>
        <w:t>1.</w:t>
      </w:r>
      <w:r w:rsidR="00897AEF" w:rsidRPr="00025B33">
        <w:rPr>
          <w:b/>
          <w:sz w:val="28"/>
          <w:szCs w:val="28"/>
        </w:rPr>
        <w:t xml:space="preserve">3. </w:t>
      </w:r>
      <w:r w:rsidR="003840A0" w:rsidRPr="00025B33">
        <w:rPr>
          <w:b/>
          <w:sz w:val="28"/>
          <w:szCs w:val="28"/>
        </w:rPr>
        <w:t>Priekšlikums Eiropas Parlamenta un Padomes direktīvai par publisko iepirkumu</w:t>
      </w:r>
    </w:p>
    <w:p w:rsidR="00897AEF" w:rsidRPr="00025B33" w:rsidRDefault="00E730E6" w:rsidP="006031F7">
      <w:pPr>
        <w:tabs>
          <w:tab w:val="left" w:pos="9288"/>
        </w:tabs>
        <w:ind w:firstLine="851"/>
        <w:jc w:val="right"/>
        <w:rPr>
          <w:i/>
          <w:sz w:val="28"/>
          <w:szCs w:val="28"/>
        </w:rPr>
      </w:pPr>
      <w:r w:rsidRPr="00025B33">
        <w:rPr>
          <w:i/>
          <w:sz w:val="28"/>
          <w:szCs w:val="28"/>
        </w:rPr>
        <w:t>FM</w:t>
      </w:r>
      <w:r w:rsidR="00897AEF" w:rsidRPr="00025B33">
        <w:rPr>
          <w:i/>
          <w:sz w:val="28"/>
          <w:szCs w:val="28"/>
        </w:rPr>
        <w:t xml:space="preserve"> kompetence</w:t>
      </w:r>
    </w:p>
    <w:p w:rsidR="00897AEF" w:rsidRPr="00025B33" w:rsidRDefault="00897AEF" w:rsidP="006031F7">
      <w:pPr>
        <w:tabs>
          <w:tab w:val="left" w:pos="9288"/>
        </w:tabs>
        <w:jc w:val="both"/>
        <w:rPr>
          <w:i/>
          <w:sz w:val="28"/>
          <w:szCs w:val="28"/>
        </w:rPr>
      </w:pPr>
      <w:r w:rsidRPr="00025B33">
        <w:rPr>
          <w:i/>
          <w:sz w:val="28"/>
          <w:szCs w:val="28"/>
        </w:rPr>
        <w:t xml:space="preserve">- </w:t>
      </w:r>
      <w:r w:rsidR="00E730E6" w:rsidRPr="00025B33">
        <w:rPr>
          <w:i/>
          <w:sz w:val="28"/>
          <w:szCs w:val="28"/>
        </w:rPr>
        <w:t>Orientējošas debates</w:t>
      </w:r>
    </w:p>
    <w:p w:rsidR="00897AEF" w:rsidRPr="00025B33" w:rsidRDefault="00897AEF" w:rsidP="006031F7">
      <w:pPr>
        <w:tabs>
          <w:tab w:val="left" w:pos="9288"/>
        </w:tabs>
        <w:ind w:firstLine="851"/>
        <w:jc w:val="both"/>
        <w:rPr>
          <w:sz w:val="28"/>
          <w:szCs w:val="28"/>
        </w:rPr>
      </w:pPr>
    </w:p>
    <w:p w:rsidR="006031F7" w:rsidRPr="00025B33" w:rsidRDefault="006031F7" w:rsidP="006031F7">
      <w:pPr>
        <w:spacing w:after="120"/>
        <w:ind w:firstLine="851"/>
        <w:jc w:val="both"/>
        <w:rPr>
          <w:rFonts w:eastAsia="Calibri"/>
          <w:sz w:val="28"/>
          <w:szCs w:val="28"/>
          <w:lang w:eastAsia="en-US"/>
        </w:rPr>
      </w:pPr>
      <w:r w:rsidRPr="00025B33">
        <w:rPr>
          <w:rFonts w:eastAsia="Calibri"/>
          <w:sz w:val="28"/>
          <w:szCs w:val="28"/>
          <w:lang w:eastAsia="en-US"/>
        </w:rPr>
        <w:t xml:space="preserve">Komisija 2011.gada 20.decembrī ir prezentējusi divus jaunus publisko iepirkumu jomas direktīvu priekšlikumus, lai aizstātu šobrīd spēkā esošās publisko iepirkumu jomas direktīvas (Eiropas Parlamenta un Padomes direktīvu 2004/18/EK (turpmāk – direktīva 2004/18/EK) par to, kā koordinēt būvdarbu valsts līgumu, piegādes valsts līgumu un pakalpojumu valsts līgumu slēgšanas tiesību piešķiršanas procedūru, un Eiropas Parlamenta un Padomes direktīvu 2004/17/EK (turpmāk – direktīva 2004/17/EK), ar ko koordinē iepirkuma procedūras, kuras piemēro subjekti, kas darbojas ūdensapgādes, enerģētikas, transporta un pasta pakalpojumu nozarēs. </w:t>
      </w:r>
    </w:p>
    <w:p w:rsidR="006031F7" w:rsidRPr="00025B33" w:rsidRDefault="006031F7" w:rsidP="006031F7">
      <w:pPr>
        <w:spacing w:after="120"/>
        <w:ind w:firstLine="851"/>
        <w:jc w:val="both"/>
        <w:rPr>
          <w:rFonts w:eastAsia="Calibri"/>
          <w:sz w:val="28"/>
          <w:szCs w:val="28"/>
          <w:lang w:eastAsia="en-US"/>
        </w:rPr>
      </w:pPr>
      <w:r w:rsidRPr="00025B33">
        <w:rPr>
          <w:rFonts w:eastAsia="Calibri"/>
          <w:sz w:val="28"/>
          <w:szCs w:val="28"/>
          <w:lang w:eastAsia="en-US"/>
        </w:rPr>
        <w:t xml:space="preserve">Dānijas prezidentūras vadībā līdz šim ir notikušas 15 ES Padomes Publisko iepirkumu darba grupas sanāksmes, kuru rezultātā ir izdarīti būtiski grozījumi sākotnēji prezentētajos direktīvu priekšlikumos (galvenokārt priekšlikumos direktīvai par t.s. klasiskā sektora iepirkumu (direktīva par publisko iepirkumu)), jo priekšlikumi t.s. sabiedrisko pakalpojumu sniedzēju iepirkumu direktīvai (direktīva par iepirkumu, ko īsteno subjekti, kuri darbojas ūdensapgādes, enerģētikas, transporta un pasta pakalpojumu nozarēs, ar ko koordinē iepirkuma procedūras, kuras piemēro subjekti, kas darbojas ūdensapgādes, enerģētikas, transporta un pasta pakalpojumu nozarēs) tiks </w:t>
      </w:r>
      <w:r w:rsidRPr="00025B33">
        <w:rPr>
          <w:rFonts w:eastAsia="Calibri"/>
          <w:sz w:val="28"/>
          <w:szCs w:val="28"/>
          <w:lang w:eastAsia="en-US"/>
        </w:rPr>
        <w:lastRenderedPageBreak/>
        <w:t>skatīti pēc tam, kad būs panākta vienošanās par priekšlikumiem direktīvai par publisko iepirkumu.</w:t>
      </w:r>
    </w:p>
    <w:p w:rsidR="006031F7" w:rsidRPr="00025B33" w:rsidRDefault="006031F7" w:rsidP="006031F7">
      <w:pPr>
        <w:spacing w:after="120"/>
        <w:ind w:firstLine="851"/>
        <w:jc w:val="both"/>
        <w:textAlignment w:val="top"/>
        <w:rPr>
          <w:rFonts w:eastAsia="Calibri"/>
          <w:sz w:val="28"/>
          <w:szCs w:val="28"/>
          <w:lang w:eastAsia="en-US"/>
        </w:rPr>
      </w:pPr>
      <w:r w:rsidRPr="00025B33">
        <w:rPr>
          <w:rFonts w:eastAsia="Calibri"/>
          <w:sz w:val="28"/>
          <w:szCs w:val="28"/>
          <w:lang w:eastAsia="en-US"/>
        </w:rPr>
        <w:t>Direktīvas priekšlikums paredz:</w:t>
      </w:r>
    </w:p>
    <w:p w:rsidR="006031F7" w:rsidRPr="00025B33" w:rsidRDefault="006031F7" w:rsidP="006031F7">
      <w:pPr>
        <w:numPr>
          <w:ilvl w:val="0"/>
          <w:numId w:val="43"/>
        </w:numPr>
        <w:spacing w:after="120"/>
        <w:ind w:left="0" w:firstLine="851"/>
        <w:jc w:val="both"/>
        <w:rPr>
          <w:rFonts w:eastAsia="Calibri"/>
          <w:sz w:val="28"/>
          <w:szCs w:val="28"/>
          <w:lang w:eastAsia="en-US"/>
        </w:rPr>
      </w:pPr>
      <w:r w:rsidRPr="00025B33">
        <w:rPr>
          <w:rFonts w:eastAsia="Calibri"/>
          <w:sz w:val="28"/>
          <w:szCs w:val="28"/>
          <w:lang w:eastAsia="en-US"/>
        </w:rPr>
        <w:t>attiecībā uz elektroniskajiem iepirkumiem priekšlikums aptver informācijas tehnoloģiju izmantošanu visā iepirkuma norises laikā. Akcents uz elektronisko iepirkumu izmantošanu ir viens no būtiskākajiem elementiem direktīvas priekšlikumā;</w:t>
      </w:r>
    </w:p>
    <w:p w:rsidR="006031F7" w:rsidRPr="00025B33" w:rsidRDefault="006031F7" w:rsidP="006031F7">
      <w:pPr>
        <w:numPr>
          <w:ilvl w:val="0"/>
          <w:numId w:val="43"/>
        </w:numPr>
        <w:spacing w:after="120"/>
        <w:ind w:left="0" w:firstLine="851"/>
        <w:jc w:val="both"/>
        <w:rPr>
          <w:rFonts w:eastAsia="Calibri"/>
          <w:sz w:val="28"/>
          <w:szCs w:val="28"/>
          <w:lang w:eastAsia="en-US"/>
        </w:rPr>
      </w:pPr>
      <w:r w:rsidRPr="00025B33">
        <w:rPr>
          <w:rFonts w:eastAsia="Calibri"/>
          <w:sz w:val="28"/>
          <w:szCs w:val="28"/>
          <w:lang w:eastAsia="en-US"/>
        </w:rPr>
        <w:t xml:space="preserve">dalībvalstīm jānodrošina direktīvas pareiza un efektīva piemērošana. Lai to nodrošinātu, tām jānosaka viena vai vairākas uzraudzības institūcijas vai struktūras, par kurām ir jāpaziņo Eiropas Komisijai. Dalībvalstīm paredzēti dažādi pienākumi, piemēram, jānodrošina uzraudzība pār publisko iepirkumu normu piemērošanu, t.sk. ES līdzfinansētiem projektiem, reizi divos gados Eiropas Komisijai ir jāsniedz vispārējs apskats par ilgtspējīgu nacionālo iepirkumu politiku, norādot attiecīgus rīcības plānus un iniciatīvas, jānodrošina, ka ikviena persona, kura nav </w:t>
      </w:r>
      <w:proofErr w:type="spellStart"/>
      <w:r w:rsidRPr="00025B33">
        <w:rPr>
          <w:rFonts w:eastAsia="Calibri"/>
          <w:i/>
          <w:sz w:val="28"/>
          <w:szCs w:val="28"/>
          <w:lang w:eastAsia="en-US"/>
        </w:rPr>
        <w:t>Remedies</w:t>
      </w:r>
      <w:proofErr w:type="spellEnd"/>
      <w:r w:rsidRPr="00025B33">
        <w:rPr>
          <w:rFonts w:eastAsia="Calibri"/>
          <w:sz w:val="28"/>
          <w:szCs w:val="28"/>
          <w:lang w:eastAsia="en-US"/>
        </w:rPr>
        <w:t xml:space="preserve"> direktīvas</w:t>
      </w:r>
      <w:r w:rsidR="0062606F">
        <w:rPr>
          <w:rStyle w:val="FootnoteReference"/>
          <w:rFonts w:eastAsia="Calibri"/>
          <w:sz w:val="28"/>
          <w:szCs w:val="28"/>
          <w:lang w:eastAsia="en-US"/>
        </w:rPr>
        <w:footnoteReference w:id="1"/>
      </w:r>
      <w:r w:rsidRPr="00025B33">
        <w:rPr>
          <w:rFonts w:eastAsia="Calibri"/>
          <w:sz w:val="28"/>
          <w:szCs w:val="28"/>
          <w:lang w:eastAsia="en-US"/>
        </w:rPr>
        <w:t xml:space="preserve"> subjekts, ir tiesīga vērsties kompetentā iestādē vai struktūrā par ES publisko iepirkumu tiesību aktu pārkāpumiem, kura pēc būtības izskata šādus iesniegumus un veic atbilstīgus pasākumus u.c.</w:t>
      </w:r>
    </w:p>
    <w:p w:rsidR="000C66EB" w:rsidRPr="00025B33" w:rsidRDefault="000C66EB" w:rsidP="000C66EB">
      <w:pPr>
        <w:spacing w:after="120"/>
        <w:ind w:firstLine="851"/>
        <w:jc w:val="both"/>
        <w:rPr>
          <w:rFonts w:eastAsia="Calibri"/>
          <w:sz w:val="28"/>
          <w:szCs w:val="28"/>
          <w:lang w:eastAsia="en-US"/>
        </w:rPr>
      </w:pPr>
      <w:r w:rsidRPr="00025B33">
        <w:rPr>
          <w:sz w:val="28"/>
          <w:szCs w:val="28"/>
        </w:rPr>
        <w:t xml:space="preserve">Sanāksmes laikā ministri </w:t>
      </w:r>
      <w:r w:rsidRPr="00025B33">
        <w:rPr>
          <w:b/>
          <w:sz w:val="28"/>
          <w:szCs w:val="28"/>
        </w:rPr>
        <w:t xml:space="preserve">plāno orientējošas diskusijas par </w:t>
      </w:r>
      <w:r w:rsidRPr="00025B33">
        <w:rPr>
          <w:rFonts w:eastAsia="Calibri"/>
          <w:b/>
          <w:sz w:val="28"/>
          <w:szCs w:val="28"/>
          <w:lang w:eastAsia="en-US"/>
        </w:rPr>
        <w:t>diviem jautājumu blokiem: 1) pārvaldība; 2) elektroniskie iepirkumi.</w:t>
      </w:r>
    </w:p>
    <w:p w:rsidR="004C1552" w:rsidRPr="00025B33" w:rsidRDefault="004C1552" w:rsidP="004C1552">
      <w:pPr>
        <w:spacing w:after="120"/>
        <w:jc w:val="both"/>
        <w:rPr>
          <w:rFonts w:eastAsia="Calibri"/>
          <w:sz w:val="28"/>
          <w:szCs w:val="28"/>
          <w:u w:val="single"/>
          <w:lang w:eastAsia="en-US"/>
        </w:rPr>
      </w:pPr>
    </w:p>
    <w:p w:rsidR="006031F7" w:rsidRPr="00025B33" w:rsidRDefault="006031F7" w:rsidP="004C1552">
      <w:pPr>
        <w:spacing w:after="120"/>
        <w:jc w:val="both"/>
        <w:rPr>
          <w:rFonts w:eastAsia="Calibri"/>
          <w:b/>
          <w:sz w:val="28"/>
          <w:szCs w:val="28"/>
          <w:u w:val="single"/>
          <w:lang w:eastAsia="en-US"/>
        </w:rPr>
      </w:pPr>
      <w:r w:rsidRPr="00025B33">
        <w:rPr>
          <w:rFonts w:eastAsia="Calibri"/>
          <w:b/>
          <w:sz w:val="28"/>
          <w:szCs w:val="28"/>
          <w:u w:val="single"/>
          <w:lang w:eastAsia="en-US"/>
        </w:rPr>
        <w:t>Latvijas pozīcija</w:t>
      </w:r>
      <w:r w:rsidRPr="00025B33">
        <w:rPr>
          <w:rStyle w:val="FootnoteReference"/>
          <w:rFonts w:eastAsia="Calibri"/>
          <w:b/>
          <w:sz w:val="28"/>
          <w:szCs w:val="28"/>
          <w:u w:val="single"/>
          <w:lang w:eastAsia="en-US"/>
        </w:rPr>
        <w:footnoteReference w:id="2"/>
      </w:r>
      <w:r w:rsidRPr="00025B33">
        <w:rPr>
          <w:rFonts w:eastAsia="Calibri"/>
          <w:b/>
          <w:sz w:val="28"/>
          <w:szCs w:val="28"/>
          <w:u w:val="single"/>
          <w:lang w:eastAsia="en-US"/>
        </w:rPr>
        <w:t>:</w:t>
      </w:r>
    </w:p>
    <w:p w:rsidR="006031F7" w:rsidRPr="00025B33" w:rsidRDefault="006031F7" w:rsidP="006031F7">
      <w:pPr>
        <w:spacing w:after="120"/>
        <w:ind w:firstLine="851"/>
        <w:jc w:val="both"/>
        <w:rPr>
          <w:rFonts w:eastAsia="Calibri"/>
          <w:sz w:val="28"/>
          <w:szCs w:val="28"/>
          <w:lang w:eastAsia="en-US"/>
        </w:rPr>
      </w:pPr>
      <w:r w:rsidRPr="00025B33">
        <w:rPr>
          <w:rFonts w:eastAsia="Calibri"/>
          <w:b/>
          <w:sz w:val="28"/>
          <w:szCs w:val="28"/>
          <w:lang w:eastAsia="en-US"/>
        </w:rPr>
        <w:t>Latvija</w:t>
      </w:r>
      <w:r w:rsidRPr="00025B33">
        <w:rPr>
          <w:rFonts w:eastAsia="Calibri"/>
          <w:sz w:val="28"/>
          <w:szCs w:val="28"/>
          <w:lang w:eastAsia="en-US"/>
        </w:rPr>
        <w:t xml:space="preserve"> </w:t>
      </w:r>
      <w:r w:rsidRPr="00025B33">
        <w:rPr>
          <w:rFonts w:eastAsia="Calibri"/>
          <w:b/>
          <w:sz w:val="28"/>
          <w:szCs w:val="28"/>
          <w:lang w:eastAsia="en-US"/>
        </w:rPr>
        <w:t>atbalsta</w:t>
      </w:r>
      <w:r w:rsidRPr="00025B33">
        <w:rPr>
          <w:rFonts w:eastAsia="Calibri"/>
          <w:sz w:val="28"/>
          <w:szCs w:val="28"/>
          <w:lang w:eastAsia="en-US"/>
        </w:rPr>
        <w:t xml:space="preserve"> pilnīgu pāreju (ievērojot direktīvas priekšlikumā paredzētos izņēmumus) uz elektroniskajiem iepirkumiem no 2016.gada vidus. </w:t>
      </w:r>
      <w:r w:rsidRPr="00025B33">
        <w:rPr>
          <w:rFonts w:eastAsia="Calibri"/>
          <w:b/>
          <w:sz w:val="28"/>
          <w:szCs w:val="28"/>
          <w:lang w:eastAsia="en-US"/>
        </w:rPr>
        <w:t>Vienlaikus Latvija</w:t>
      </w:r>
      <w:r w:rsidRPr="00025B33">
        <w:rPr>
          <w:rFonts w:eastAsia="Calibri"/>
          <w:sz w:val="28"/>
          <w:szCs w:val="28"/>
          <w:lang w:eastAsia="en-US"/>
        </w:rPr>
        <w:t xml:space="preserve"> </w:t>
      </w:r>
      <w:r w:rsidRPr="00025B33">
        <w:rPr>
          <w:rFonts w:eastAsia="Calibri"/>
          <w:b/>
          <w:sz w:val="28"/>
          <w:szCs w:val="28"/>
          <w:lang w:eastAsia="en-US"/>
        </w:rPr>
        <w:t>neatbalsta</w:t>
      </w:r>
      <w:r w:rsidRPr="00025B33">
        <w:rPr>
          <w:rFonts w:eastAsia="Calibri"/>
          <w:sz w:val="28"/>
          <w:szCs w:val="28"/>
          <w:lang w:eastAsia="en-US"/>
        </w:rPr>
        <w:t xml:space="preserve"> direktīvas priekšlikumā paredzēto, ka </w:t>
      </w:r>
      <w:r w:rsidRPr="00025B33">
        <w:rPr>
          <w:rFonts w:eastAsia="Calibri"/>
          <w:sz w:val="28"/>
          <w:szCs w:val="28"/>
          <w:u w:val="single"/>
          <w:lang w:eastAsia="en-US"/>
        </w:rPr>
        <w:t>centralizēto iepirkumu institūciju veiktajiem iepirkumiem jānotiek pilnībā elektroniski jau no direktīvas transponēšanas termiņa beigām, t.i., 2014.gada</w:t>
      </w:r>
      <w:r w:rsidRPr="00025B33">
        <w:rPr>
          <w:rFonts w:eastAsia="Calibri"/>
          <w:sz w:val="28"/>
          <w:szCs w:val="28"/>
          <w:lang w:eastAsia="en-US"/>
        </w:rPr>
        <w:t xml:space="preserve">. </w:t>
      </w:r>
      <w:r w:rsidRPr="00025B33">
        <w:rPr>
          <w:rFonts w:eastAsia="Calibri"/>
          <w:b/>
          <w:sz w:val="28"/>
          <w:szCs w:val="28"/>
          <w:lang w:eastAsia="en-US"/>
        </w:rPr>
        <w:t>Latvija atbalstītu</w:t>
      </w:r>
      <w:r w:rsidRPr="00025B33">
        <w:rPr>
          <w:rFonts w:eastAsia="Calibri"/>
          <w:sz w:val="28"/>
          <w:szCs w:val="28"/>
          <w:lang w:eastAsia="en-US"/>
        </w:rPr>
        <w:t xml:space="preserve"> regulējumu, kurš paredzētu, ka attiecībā uz visiem pasūtītājiem pilnīgai pārejai uz elektroniskajiem iepirkumiem jānotiek līdz 2016.gada vidum. </w:t>
      </w:r>
      <w:r w:rsidRPr="00025B33">
        <w:rPr>
          <w:rFonts w:eastAsia="Calibri"/>
          <w:b/>
          <w:sz w:val="28"/>
          <w:szCs w:val="28"/>
          <w:lang w:eastAsia="en-US"/>
        </w:rPr>
        <w:t>Latvijas interesēs</w:t>
      </w:r>
      <w:r w:rsidRPr="00025B33">
        <w:rPr>
          <w:rFonts w:eastAsia="Calibri"/>
          <w:sz w:val="28"/>
          <w:szCs w:val="28"/>
          <w:lang w:eastAsia="en-US"/>
        </w:rPr>
        <w:t xml:space="preserve"> ir pēc iespējas garāka pārejas perioda noteikšana, kas neliedz Latvijai nepieciešamo infrastruktūru izveidot ātrāk, bet vienlaikus nenozīmē atbildību par nespēju infrastruktūru izveidot nesamērīgi īsos termiņos bez adekvāta finansējuma un Eiropas Komisijas atbalsta. </w:t>
      </w:r>
      <w:r w:rsidRPr="00025B33">
        <w:rPr>
          <w:rFonts w:eastAsia="Calibri"/>
          <w:b/>
          <w:sz w:val="28"/>
          <w:szCs w:val="28"/>
          <w:lang w:eastAsia="en-US"/>
        </w:rPr>
        <w:t>Latvija uzskata</w:t>
      </w:r>
      <w:r w:rsidRPr="00025B33">
        <w:rPr>
          <w:rFonts w:eastAsia="Calibri"/>
          <w:sz w:val="28"/>
          <w:szCs w:val="28"/>
          <w:lang w:eastAsia="en-US"/>
        </w:rPr>
        <w:t>, ka Eiropas Komisijai pēc iespējas ātrāk un plašāk jāsniedz atbalsts dalībvalstīm atbilstošu elektronisko iepirkumu atbalstošo informācijas sistēmu izstrādē un ieviešanā, t.sk. ar finansējumu un pieredzi.</w:t>
      </w:r>
    </w:p>
    <w:p w:rsidR="006031F7" w:rsidRDefault="006031F7" w:rsidP="0066585F">
      <w:pPr>
        <w:spacing w:after="120"/>
        <w:ind w:firstLine="851"/>
        <w:jc w:val="both"/>
        <w:rPr>
          <w:rFonts w:eastAsia="Calibri"/>
          <w:color w:val="000000"/>
          <w:sz w:val="28"/>
          <w:szCs w:val="28"/>
          <w:lang w:eastAsia="en-US"/>
        </w:rPr>
      </w:pPr>
      <w:r w:rsidRPr="00025B33">
        <w:rPr>
          <w:rFonts w:eastAsia="Calibri"/>
          <w:b/>
          <w:sz w:val="28"/>
          <w:szCs w:val="28"/>
          <w:lang w:eastAsia="en-US"/>
        </w:rPr>
        <w:lastRenderedPageBreak/>
        <w:t>Latvijai</w:t>
      </w:r>
      <w:r w:rsidRPr="00025B33">
        <w:rPr>
          <w:rFonts w:eastAsia="Calibri"/>
          <w:sz w:val="28"/>
          <w:szCs w:val="28"/>
          <w:lang w:eastAsia="en-US"/>
        </w:rPr>
        <w:t xml:space="preserve"> </w:t>
      </w:r>
      <w:r w:rsidRPr="00025B33">
        <w:rPr>
          <w:rFonts w:eastAsia="Calibri"/>
          <w:b/>
          <w:sz w:val="28"/>
          <w:szCs w:val="28"/>
          <w:lang w:eastAsia="en-US"/>
        </w:rPr>
        <w:t>ir pieņemams</w:t>
      </w:r>
      <w:r w:rsidRPr="00025B33">
        <w:rPr>
          <w:rFonts w:eastAsia="Calibri"/>
          <w:sz w:val="28"/>
          <w:szCs w:val="28"/>
          <w:lang w:eastAsia="en-US"/>
        </w:rPr>
        <w:t xml:space="preserve"> Dānijas Prezidentūras kompromisa priekšlikums attiecībā uz pārvaldības sadaļu, nosakot dalībvalstu uzdevumus, bet dalībvalstu ziņā atstājot to, kādu institucionālo modeli izvēlēties šo uzdevumu izpildei. </w:t>
      </w:r>
      <w:r w:rsidRPr="00025B33">
        <w:rPr>
          <w:rFonts w:eastAsia="Calibri"/>
          <w:color w:val="000000"/>
          <w:sz w:val="28"/>
          <w:szCs w:val="28"/>
          <w:lang w:eastAsia="en-US"/>
        </w:rPr>
        <w:t xml:space="preserve">Attiecībā uz direktīvas priekšlikumā paredzēto pienākumu dalībvalstīm nodrošināt, ka ikviena persona, kura nav </w:t>
      </w:r>
      <w:proofErr w:type="spellStart"/>
      <w:r w:rsidRPr="00025B33">
        <w:rPr>
          <w:rFonts w:eastAsia="Calibri"/>
          <w:i/>
          <w:color w:val="000000"/>
          <w:sz w:val="28"/>
          <w:szCs w:val="28"/>
          <w:lang w:eastAsia="en-US"/>
        </w:rPr>
        <w:t>Remedies</w:t>
      </w:r>
      <w:proofErr w:type="spellEnd"/>
      <w:r w:rsidRPr="00025B33">
        <w:rPr>
          <w:rFonts w:eastAsia="Calibri"/>
          <w:color w:val="000000"/>
          <w:sz w:val="28"/>
          <w:szCs w:val="28"/>
          <w:lang w:eastAsia="en-US"/>
        </w:rPr>
        <w:t xml:space="preserve"> direktīvas subjekts, ir tiesīga vērsties kompetentā iestādē vai struktūrā par ES publisko iepirkumu tiesību aktu pārkāpumiem, kura pēc būtības izskata šādus iesniegumus un veic atbilstīgus pasākumus, </w:t>
      </w:r>
      <w:r w:rsidRPr="00025B33">
        <w:rPr>
          <w:rFonts w:eastAsia="Calibri"/>
          <w:b/>
          <w:color w:val="000000"/>
          <w:sz w:val="28"/>
          <w:szCs w:val="28"/>
          <w:lang w:eastAsia="en-US"/>
        </w:rPr>
        <w:t>Latvijai ir</w:t>
      </w:r>
      <w:r w:rsidRPr="00025B33">
        <w:rPr>
          <w:rFonts w:eastAsia="Calibri"/>
          <w:color w:val="000000"/>
          <w:sz w:val="28"/>
          <w:szCs w:val="28"/>
          <w:lang w:eastAsia="en-US"/>
        </w:rPr>
        <w:t xml:space="preserve"> </w:t>
      </w:r>
      <w:r w:rsidRPr="00025B33">
        <w:rPr>
          <w:rFonts w:eastAsia="Calibri"/>
          <w:b/>
          <w:color w:val="000000"/>
          <w:sz w:val="28"/>
          <w:szCs w:val="28"/>
          <w:lang w:eastAsia="en-US"/>
        </w:rPr>
        <w:t>būtiski</w:t>
      </w:r>
      <w:r w:rsidRPr="00025B33">
        <w:rPr>
          <w:rFonts w:eastAsia="Calibri"/>
          <w:color w:val="000000"/>
          <w:sz w:val="28"/>
          <w:szCs w:val="28"/>
          <w:lang w:eastAsia="en-US"/>
        </w:rPr>
        <w:t xml:space="preserve">, ka attiecīgais regulējums paredz aprobežot atbildi uz šādu iesniegumu samērīgi iesniedzēja iesaistei un statusam konkrētajā iepirkumā, un tas nepaplašina </w:t>
      </w:r>
      <w:proofErr w:type="spellStart"/>
      <w:r w:rsidRPr="00025B33">
        <w:rPr>
          <w:rFonts w:eastAsia="Calibri"/>
          <w:i/>
          <w:color w:val="000000"/>
          <w:sz w:val="28"/>
          <w:szCs w:val="28"/>
          <w:lang w:eastAsia="en-US"/>
        </w:rPr>
        <w:t>Remedies</w:t>
      </w:r>
      <w:proofErr w:type="spellEnd"/>
      <w:r w:rsidRPr="00025B33">
        <w:rPr>
          <w:rFonts w:eastAsia="Calibri"/>
          <w:color w:val="000000"/>
          <w:sz w:val="28"/>
          <w:szCs w:val="28"/>
          <w:lang w:eastAsia="en-US"/>
        </w:rPr>
        <w:t xml:space="preserve"> direktīvas piemērošanas robežas.</w:t>
      </w:r>
    </w:p>
    <w:p w:rsidR="0066585F" w:rsidRPr="00025B33" w:rsidRDefault="0066585F" w:rsidP="0066585F">
      <w:pPr>
        <w:spacing w:after="120"/>
        <w:ind w:firstLine="851"/>
        <w:jc w:val="both"/>
        <w:rPr>
          <w:b/>
          <w:sz w:val="28"/>
          <w:szCs w:val="28"/>
        </w:rPr>
      </w:pPr>
    </w:p>
    <w:p w:rsidR="00F25B38" w:rsidRPr="00025B33" w:rsidRDefault="003840A0" w:rsidP="006031F7">
      <w:pPr>
        <w:pBdr>
          <w:bottom w:val="single" w:sz="4" w:space="1" w:color="auto"/>
        </w:pBdr>
        <w:tabs>
          <w:tab w:val="left" w:pos="284"/>
        </w:tabs>
        <w:jc w:val="both"/>
        <w:rPr>
          <w:b/>
          <w:sz w:val="28"/>
          <w:szCs w:val="28"/>
        </w:rPr>
      </w:pPr>
      <w:r w:rsidRPr="00025B33">
        <w:rPr>
          <w:b/>
          <w:sz w:val="28"/>
          <w:szCs w:val="28"/>
        </w:rPr>
        <w:t>1.4. Digitālais Vienotais tirgus un Vienotā tirgus pārvaldība</w:t>
      </w:r>
    </w:p>
    <w:p w:rsidR="00510883" w:rsidRPr="00025B33" w:rsidRDefault="00510883" w:rsidP="006031F7">
      <w:pPr>
        <w:tabs>
          <w:tab w:val="left" w:pos="9288"/>
        </w:tabs>
        <w:ind w:firstLine="851"/>
        <w:jc w:val="right"/>
        <w:rPr>
          <w:i/>
          <w:sz w:val="28"/>
          <w:szCs w:val="28"/>
        </w:rPr>
      </w:pPr>
      <w:r w:rsidRPr="00025B33">
        <w:rPr>
          <w:i/>
          <w:sz w:val="28"/>
          <w:szCs w:val="28"/>
        </w:rPr>
        <w:t>EM kompetence</w:t>
      </w:r>
    </w:p>
    <w:p w:rsidR="003840A0" w:rsidRPr="00025B33" w:rsidRDefault="00510883" w:rsidP="006031F7">
      <w:pPr>
        <w:tabs>
          <w:tab w:val="left" w:pos="9288"/>
        </w:tabs>
        <w:jc w:val="both"/>
        <w:rPr>
          <w:i/>
          <w:sz w:val="28"/>
          <w:szCs w:val="28"/>
        </w:rPr>
      </w:pPr>
      <w:r w:rsidRPr="00025B33">
        <w:rPr>
          <w:i/>
          <w:sz w:val="28"/>
          <w:szCs w:val="28"/>
        </w:rPr>
        <w:t xml:space="preserve">- </w:t>
      </w:r>
      <w:r w:rsidR="00F25B38" w:rsidRPr="00025B33">
        <w:rPr>
          <w:i/>
          <w:sz w:val="28"/>
          <w:szCs w:val="28"/>
        </w:rPr>
        <w:t>Padomes secinājumu pieņemšana</w:t>
      </w:r>
    </w:p>
    <w:p w:rsidR="003840A0" w:rsidRPr="00025B33" w:rsidRDefault="003840A0" w:rsidP="006031F7">
      <w:pPr>
        <w:tabs>
          <w:tab w:val="left" w:pos="9288"/>
        </w:tabs>
        <w:ind w:firstLine="851"/>
        <w:jc w:val="both"/>
        <w:rPr>
          <w:sz w:val="28"/>
          <w:szCs w:val="28"/>
        </w:rPr>
      </w:pPr>
    </w:p>
    <w:p w:rsidR="00441C49" w:rsidRPr="00025B33" w:rsidRDefault="00567871" w:rsidP="006031F7">
      <w:pPr>
        <w:tabs>
          <w:tab w:val="left" w:pos="9288"/>
        </w:tabs>
        <w:spacing w:after="120"/>
        <w:ind w:firstLine="851"/>
        <w:jc w:val="both"/>
        <w:rPr>
          <w:sz w:val="28"/>
          <w:szCs w:val="28"/>
        </w:rPr>
      </w:pPr>
      <w:r w:rsidRPr="00025B33">
        <w:rPr>
          <w:sz w:val="28"/>
          <w:szCs w:val="28"/>
        </w:rPr>
        <w:t xml:space="preserve">Sanāksmes laikā ir plānots apstiprināt </w:t>
      </w:r>
      <w:r w:rsidRPr="00025B33">
        <w:rPr>
          <w:i/>
          <w:sz w:val="28"/>
          <w:szCs w:val="28"/>
        </w:rPr>
        <w:t>Padomes secinājumu projektu par digitālo vienoto tir</w:t>
      </w:r>
      <w:r w:rsidR="00441C49" w:rsidRPr="00025B33">
        <w:rPr>
          <w:i/>
          <w:sz w:val="28"/>
          <w:szCs w:val="28"/>
        </w:rPr>
        <w:t>gu un vienotā tirgus pārvaldību</w:t>
      </w:r>
      <w:r w:rsidRPr="00025B33">
        <w:rPr>
          <w:sz w:val="28"/>
          <w:szCs w:val="28"/>
        </w:rPr>
        <w:t xml:space="preserve"> (turpmāk- secinājumu projekts).</w:t>
      </w:r>
      <w:r w:rsidR="00441C49" w:rsidRPr="00025B33">
        <w:rPr>
          <w:sz w:val="28"/>
          <w:szCs w:val="28"/>
        </w:rPr>
        <w:t xml:space="preserve"> </w:t>
      </w:r>
      <w:r w:rsidRPr="00025B33">
        <w:rPr>
          <w:sz w:val="28"/>
          <w:szCs w:val="28"/>
        </w:rPr>
        <w:t xml:space="preserve">Padome secinājumu projektā pauž atbalstu viedoklim, ka </w:t>
      </w:r>
      <w:r w:rsidRPr="00025B33">
        <w:rPr>
          <w:sz w:val="28"/>
          <w:szCs w:val="28"/>
          <w:u w:val="single"/>
        </w:rPr>
        <w:t>vienotā tirgus pārvaldības stiprināšana</w:t>
      </w:r>
      <w:r w:rsidRPr="00025B33">
        <w:rPr>
          <w:sz w:val="28"/>
          <w:szCs w:val="28"/>
        </w:rPr>
        <w:t xml:space="preserve">, izmantojot tādus līdzekļus kā: normatīvo aktu ieviešanas un realizēšanas uzlabošana, Digitālā vienotā tirgus attīstīšana un Vienotā tirgus aktā noteikto pasākumu īstenošana ar uzsvaru uz izaugsmes veicināšanu un nodarbinātības attīstību vienotajā tirgū, </w:t>
      </w:r>
      <w:r w:rsidRPr="00025B33">
        <w:rPr>
          <w:sz w:val="28"/>
          <w:szCs w:val="28"/>
          <w:u w:val="single"/>
        </w:rPr>
        <w:t>var sekmēt ātrāku un sekmīgāku vienotā tirgus attīstību un integrāciju</w:t>
      </w:r>
      <w:r w:rsidRPr="00025B33">
        <w:rPr>
          <w:sz w:val="28"/>
          <w:szCs w:val="28"/>
        </w:rPr>
        <w:t>.</w:t>
      </w:r>
    </w:p>
    <w:p w:rsidR="00441C49" w:rsidRPr="00025B33" w:rsidRDefault="00441C49" w:rsidP="006031F7">
      <w:pPr>
        <w:tabs>
          <w:tab w:val="left" w:pos="9288"/>
        </w:tabs>
        <w:spacing w:after="120"/>
        <w:ind w:firstLine="851"/>
        <w:jc w:val="both"/>
        <w:rPr>
          <w:sz w:val="28"/>
          <w:szCs w:val="28"/>
        </w:rPr>
      </w:pPr>
      <w:r w:rsidRPr="00025B33">
        <w:rPr>
          <w:sz w:val="28"/>
          <w:szCs w:val="28"/>
        </w:rPr>
        <w:t xml:space="preserve">Secinājumu projektā Padome uzsver nepieciešamību </w:t>
      </w:r>
      <w:r w:rsidRPr="00025B33">
        <w:rPr>
          <w:sz w:val="28"/>
          <w:szCs w:val="28"/>
          <w:u w:val="single"/>
        </w:rPr>
        <w:t>pabeigt Digitālā vienotā tirgus pilnveidošanu</w:t>
      </w:r>
      <w:r w:rsidRPr="00025B33">
        <w:rPr>
          <w:sz w:val="28"/>
          <w:szCs w:val="28"/>
        </w:rPr>
        <w:t>, kas nodrošinātu patērētājiem un uzņēmējiem pieeju plašam preču un pakalpojumu klāstam un uzņēmējiem sniegtu iespējas paplašināt tirgu daudz plašākā mērogā, tādējādi vecinot konkurenci, Eiropas digitālās industrijas attīstību, darbavietu radīšanu un Eiropas izaugsmi kopumā. Padome uzsver, ka jebkurā jaunā normatīvajā regulējumā jāparedz nozīmīgā tiešsaistes tirdzniecības loma un tās specifika, un aicina uz strauju konkrēta tiesiskā regulējuma, kas veicinās uzticēšanos Digitālajam vienotajam tirgum, attīstības virzību.</w:t>
      </w:r>
    </w:p>
    <w:p w:rsidR="00441C49" w:rsidRPr="00025B33" w:rsidRDefault="00441C49" w:rsidP="006031F7">
      <w:pPr>
        <w:tabs>
          <w:tab w:val="left" w:pos="9288"/>
        </w:tabs>
        <w:spacing w:after="120"/>
        <w:ind w:firstLine="851"/>
        <w:jc w:val="both"/>
        <w:rPr>
          <w:bCs/>
          <w:iCs/>
          <w:sz w:val="28"/>
          <w:szCs w:val="28"/>
        </w:rPr>
      </w:pPr>
      <w:r w:rsidRPr="00025B33">
        <w:rPr>
          <w:sz w:val="28"/>
          <w:szCs w:val="28"/>
        </w:rPr>
        <w:t xml:space="preserve">Lai nodrošinātu piemērotu vienotā tirgus funkcionēšanu ar labāku pārvaldību, Padome secinājumu projektā uzsver </w:t>
      </w:r>
      <w:r w:rsidRPr="00025B33">
        <w:rPr>
          <w:bCs/>
          <w:iCs/>
          <w:sz w:val="28"/>
          <w:szCs w:val="28"/>
          <w:u w:val="single"/>
        </w:rPr>
        <w:t>vienotā tirgus direktīvu ieviešanas deficīta mērķa sasniegšanas nozīmību</w:t>
      </w:r>
      <w:r w:rsidRPr="00025B33">
        <w:rPr>
          <w:bCs/>
          <w:iCs/>
          <w:sz w:val="28"/>
          <w:szCs w:val="28"/>
        </w:rPr>
        <w:t xml:space="preserve"> (1%  apmērā). Secinājumu projektā minēti arī citi pasākumi vienotā tirgus pārvaldības uzlabošanai: nepieciešamība </w:t>
      </w:r>
      <w:r w:rsidRPr="00025B33">
        <w:rPr>
          <w:bCs/>
          <w:iCs/>
          <w:sz w:val="28"/>
          <w:szCs w:val="28"/>
          <w:u w:val="single"/>
        </w:rPr>
        <w:t>apzināt neskaidros jautājumus un problēmas</w:t>
      </w:r>
      <w:r w:rsidRPr="00025B33">
        <w:rPr>
          <w:bCs/>
          <w:iCs/>
          <w:sz w:val="28"/>
          <w:szCs w:val="28"/>
        </w:rPr>
        <w:t>,  uzņēmēju un iedzīvotāju izpratnes par vienotā tirgus sniegtajām priekšrocībām paaugstināšana, tiešsaistes problēmu risināšanas tīkla (</w:t>
      </w:r>
      <w:r w:rsidRPr="00025B33">
        <w:rPr>
          <w:bCs/>
          <w:iCs/>
          <w:sz w:val="28"/>
          <w:szCs w:val="28"/>
          <w:u w:val="single"/>
        </w:rPr>
        <w:t>SOLVIT)</w:t>
      </w:r>
      <w:r w:rsidRPr="00025B33">
        <w:rPr>
          <w:bCs/>
          <w:iCs/>
          <w:sz w:val="28"/>
          <w:szCs w:val="28"/>
        </w:rPr>
        <w:t xml:space="preserve"> stiprināšana, lietotājam draudzīgāku un pieejamāku </w:t>
      </w:r>
      <w:r w:rsidRPr="00025B33">
        <w:rPr>
          <w:bCs/>
          <w:iCs/>
          <w:sz w:val="28"/>
          <w:szCs w:val="28"/>
          <w:u w:val="single"/>
        </w:rPr>
        <w:t>vienoto kontaktpunktu</w:t>
      </w:r>
      <w:r w:rsidRPr="00025B33">
        <w:rPr>
          <w:bCs/>
          <w:iCs/>
          <w:sz w:val="28"/>
          <w:szCs w:val="28"/>
        </w:rPr>
        <w:t xml:space="preserve"> attīstīšana,  </w:t>
      </w:r>
      <w:r w:rsidRPr="00025B33">
        <w:rPr>
          <w:bCs/>
          <w:iCs/>
          <w:sz w:val="28"/>
          <w:szCs w:val="28"/>
          <w:u w:val="single"/>
        </w:rPr>
        <w:t>iekšējā tirgus informācijas sistēmas</w:t>
      </w:r>
      <w:r w:rsidRPr="00025B33">
        <w:rPr>
          <w:b/>
          <w:bCs/>
          <w:iCs/>
          <w:sz w:val="28"/>
          <w:szCs w:val="28"/>
        </w:rPr>
        <w:t xml:space="preserve"> </w:t>
      </w:r>
      <w:r w:rsidRPr="00025B33">
        <w:rPr>
          <w:bCs/>
          <w:iCs/>
          <w:sz w:val="28"/>
          <w:szCs w:val="28"/>
        </w:rPr>
        <w:t>iespēju plašāka izmantošana.</w:t>
      </w:r>
    </w:p>
    <w:p w:rsidR="006031F7" w:rsidRPr="00025B33" w:rsidRDefault="00441C49" w:rsidP="006031F7">
      <w:pPr>
        <w:tabs>
          <w:tab w:val="left" w:pos="9288"/>
        </w:tabs>
        <w:spacing w:after="120"/>
        <w:ind w:firstLine="851"/>
        <w:jc w:val="both"/>
        <w:rPr>
          <w:bCs/>
          <w:iCs/>
          <w:sz w:val="28"/>
          <w:szCs w:val="28"/>
        </w:rPr>
      </w:pPr>
      <w:r w:rsidRPr="00025B33">
        <w:rPr>
          <w:bCs/>
          <w:iCs/>
          <w:sz w:val="28"/>
          <w:szCs w:val="28"/>
        </w:rPr>
        <w:lastRenderedPageBreak/>
        <w:t xml:space="preserve">Padome sagaida </w:t>
      </w:r>
      <w:r w:rsidRPr="00025B33">
        <w:rPr>
          <w:bCs/>
          <w:iCs/>
          <w:sz w:val="28"/>
          <w:szCs w:val="28"/>
          <w:u w:val="single"/>
        </w:rPr>
        <w:t>Komisijas jaunus pasākumus</w:t>
      </w:r>
      <w:r w:rsidRPr="00025B33">
        <w:rPr>
          <w:bCs/>
          <w:iCs/>
          <w:sz w:val="28"/>
          <w:szCs w:val="28"/>
        </w:rPr>
        <w:t xml:space="preserve">, kuros būtu </w:t>
      </w:r>
      <w:r w:rsidR="006031F7" w:rsidRPr="00025B33">
        <w:rPr>
          <w:bCs/>
          <w:iCs/>
          <w:sz w:val="28"/>
          <w:szCs w:val="28"/>
        </w:rPr>
        <w:t>uzsvērtas</w:t>
      </w:r>
      <w:r w:rsidRPr="00025B33">
        <w:rPr>
          <w:bCs/>
          <w:iCs/>
          <w:sz w:val="28"/>
          <w:szCs w:val="28"/>
        </w:rPr>
        <w:t xml:space="preserve"> aktivitāt</w:t>
      </w:r>
      <w:r w:rsidR="006031F7" w:rsidRPr="00025B33">
        <w:rPr>
          <w:bCs/>
          <w:iCs/>
          <w:sz w:val="28"/>
          <w:szCs w:val="28"/>
        </w:rPr>
        <w:t>es</w:t>
      </w:r>
      <w:r w:rsidRPr="00025B33">
        <w:rPr>
          <w:bCs/>
          <w:iCs/>
          <w:sz w:val="28"/>
          <w:szCs w:val="28"/>
        </w:rPr>
        <w:t>, kas nodrošinātu lielāku izaugsmi un konkurētspēju, radītu darba vietas un sniegtu reālu labumu iedzīvotājiem un uzņēmējiem gan šobrīd, gan arī ilgtermiņā, kā arī stiprinātu uzticēšanos vienotajam tirgum un sekmētu tā patiesu un pilnvērtīgu funkcionēšanu.</w:t>
      </w:r>
    </w:p>
    <w:p w:rsidR="004C1552" w:rsidRPr="00025B33" w:rsidRDefault="004C1552" w:rsidP="004C1552">
      <w:pPr>
        <w:spacing w:after="120"/>
        <w:jc w:val="both"/>
        <w:rPr>
          <w:rFonts w:eastAsia="Calibri"/>
          <w:b/>
          <w:sz w:val="28"/>
          <w:szCs w:val="28"/>
          <w:u w:val="single"/>
          <w:lang w:eastAsia="en-US"/>
        </w:rPr>
      </w:pPr>
    </w:p>
    <w:p w:rsidR="006031F7" w:rsidRPr="00025B33" w:rsidRDefault="006031F7" w:rsidP="004C1552">
      <w:pPr>
        <w:spacing w:after="120"/>
        <w:jc w:val="both"/>
        <w:rPr>
          <w:rFonts w:eastAsia="Calibri"/>
          <w:b/>
          <w:sz w:val="28"/>
          <w:szCs w:val="28"/>
          <w:u w:val="single"/>
          <w:lang w:eastAsia="en-US"/>
        </w:rPr>
      </w:pPr>
      <w:r w:rsidRPr="00025B33">
        <w:rPr>
          <w:rFonts w:eastAsia="Calibri"/>
          <w:b/>
          <w:sz w:val="28"/>
          <w:szCs w:val="28"/>
          <w:u w:val="single"/>
          <w:lang w:eastAsia="en-US"/>
        </w:rPr>
        <w:t>Latvijas pozīcija:</w:t>
      </w:r>
    </w:p>
    <w:p w:rsidR="006031F7" w:rsidRPr="00025B33" w:rsidRDefault="00441C49" w:rsidP="006031F7">
      <w:pPr>
        <w:spacing w:after="120"/>
        <w:ind w:firstLine="851"/>
        <w:jc w:val="both"/>
        <w:rPr>
          <w:bCs/>
          <w:iCs/>
          <w:sz w:val="28"/>
          <w:szCs w:val="28"/>
        </w:rPr>
      </w:pPr>
      <w:r w:rsidRPr="00025B33">
        <w:rPr>
          <w:b/>
          <w:bCs/>
          <w:iCs/>
          <w:sz w:val="28"/>
          <w:szCs w:val="28"/>
        </w:rPr>
        <w:t>Latvija atbalsta</w:t>
      </w:r>
      <w:r w:rsidRPr="00025B33">
        <w:rPr>
          <w:bCs/>
          <w:iCs/>
          <w:sz w:val="28"/>
          <w:szCs w:val="28"/>
        </w:rPr>
        <w:t xml:space="preserve"> sagatavoto </w:t>
      </w:r>
      <w:r w:rsidRPr="00025B33">
        <w:rPr>
          <w:bCs/>
          <w:iCs/>
          <w:sz w:val="28"/>
          <w:szCs w:val="28"/>
          <w:u w:val="single"/>
        </w:rPr>
        <w:t xml:space="preserve">Padomes secinājumu projektu un tā </w:t>
      </w:r>
      <w:r w:rsidR="006031F7" w:rsidRPr="00025B33">
        <w:rPr>
          <w:bCs/>
          <w:iCs/>
          <w:sz w:val="28"/>
          <w:szCs w:val="28"/>
          <w:u w:val="single"/>
        </w:rPr>
        <w:t>apstiprināšanu sanāksmes laikā</w:t>
      </w:r>
      <w:r w:rsidR="006031F7" w:rsidRPr="00025B33">
        <w:rPr>
          <w:bCs/>
          <w:iCs/>
          <w:sz w:val="28"/>
          <w:szCs w:val="28"/>
        </w:rPr>
        <w:t xml:space="preserve">.  Latvija piekrīt secinājumu projektā norādītajam, ka </w:t>
      </w:r>
      <w:r w:rsidR="006031F7" w:rsidRPr="00025B33">
        <w:rPr>
          <w:bCs/>
          <w:iCs/>
          <w:sz w:val="28"/>
          <w:szCs w:val="28"/>
          <w:u w:val="single"/>
        </w:rPr>
        <w:t>nepieciešams turpināt vienotā tirgus pārvaldības uzlabošanu</w:t>
      </w:r>
      <w:r w:rsidR="006031F7" w:rsidRPr="00025B33">
        <w:rPr>
          <w:bCs/>
          <w:iCs/>
          <w:sz w:val="28"/>
          <w:szCs w:val="28"/>
        </w:rPr>
        <w:t xml:space="preserve">, izmantojot tādus līdzekļus kā normatīvo aktu ieviešanas un realizēšanas uzlabošana un citus. Vienlaikus nepieciešams aktīvi strādāt pie Digitālā vienotā tirgus izveidošanas, kā arī turpināt darbu pie Vienotā tirgus aktā noteikto pasākumu īstenošanas, lai veicinātu izaugsmi un nodarbinātības attīstību vienotajā tirgū. </w:t>
      </w:r>
    </w:p>
    <w:p w:rsidR="00441C49" w:rsidRPr="00025B33" w:rsidRDefault="00441C49" w:rsidP="006031F7">
      <w:pPr>
        <w:tabs>
          <w:tab w:val="left" w:pos="9288"/>
        </w:tabs>
        <w:spacing w:after="120"/>
        <w:ind w:firstLine="851"/>
        <w:jc w:val="both"/>
        <w:rPr>
          <w:bCs/>
          <w:iCs/>
          <w:sz w:val="28"/>
          <w:szCs w:val="28"/>
        </w:rPr>
      </w:pPr>
      <w:r w:rsidRPr="00025B33">
        <w:rPr>
          <w:b/>
          <w:bCs/>
          <w:iCs/>
          <w:sz w:val="28"/>
          <w:szCs w:val="28"/>
        </w:rPr>
        <w:t>Latvija uzskata</w:t>
      </w:r>
      <w:r w:rsidRPr="00025B33">
        <w:rPr>
          <w:bCs/>
          <w:iCs/>
          <w:sz w:val="28"/>
          <w:szCs w:val="28"/>
        </w:rPr>
        <w:t>, ka Vienotā tirgus politikas kontekstā galvenais uzsvars jāliek uz aktivitātēm, kas nodrošinātu lielāku izaugsmi un konkurētspēju, radītu darba vietas un sniegtu reālu labumu iedzīvotājiem un uzņēmējiem gan šobrīd, gan arī ilgtermiņā.</w:t>
      </w:r>
    </w:p>
    <w:p w:rsidR="00441C49" w:rsidRPr="00025B33" w:rsidRDefault="00441C49" w:rsidP="006031F7">
      <w:pPr>
        <w:spacing w:after="120"/>
        <w:ind w:firstLine="851"/>
        <w:jc w:val="both"/>
        <w:rPr>
          <w:bCs/>
          <w:iCs/>
          <w:sz w:val="28"/>
          <w:szCs w:val="28"/>
        </w:rPr>
      </w:pPr>
      <w:r w:rsidRPr="00025B33">
        <w:rPr>
          <w:bCs/>
          <w:iCs/>
          <w:sz w:val="28"/>
          <w:szCs w:val="28"/>
        </w:rPr>
        <w:t xml:space="preserve">Vienlaicīgi Latvija </w:t>
      </w:r>
      <w:r w:rsidRPr="00025B33">
        <w:rPr>
          <w:b/>
          <w:bCs/>
          <w:iCs/>
          <w:sz w:val="28"/>
          <w:szCs w:val="28"/>
        </w:rPr>
        <w:t xml:space="preserve">atbalsta </w:t>
      </w:r>
      <w:r w:rsidRPr="00025B33">
        <w:rPr>
          <w:bCs/>
          <w:iCs/>
          <w:sz w:val="28"/>
          <w:szCs w:val="28"/>
        </w:rPr>
        <w:t>secinājumu projektā minēto vienotā tirgus direktīvu ieviešanas deficīta mērķi – 1% un uzskata, ka pēc iespējas korektāka, precīza un savlaicīga (tādējādi nodrošinot labāku kvalitāti un saskaņotību) tiesību aktu ieviešana sekmētu vienotā tirgus attīstību. Latvija pie 3.punkta pirmā apakšpunkta būtu vēlējusies ambiciozākus uzstādījumu un vārda “</w:t>
      </w:r>
      <w:proofErr w:type="spellStart"/>
      <w:r w:rsidRPr="00025B33">
        <w:rPr>
          <w:bCs/>
          <w:iCs/>
          <w:sz w:val="28"/>
          <w:szCs w:val="28"/>
        </w:rPr>
        <w:t>large</w:t>
      </w:r>
      <w:proofErr w:type="spellEnd"/>
      <w:r w:rsidRPr="00025B33">
        <w:rPr>
          <w:bCs/>
          <w:iCs/>
          <w:sz w:val="28"/>
          <w:szCs w:val="28"/>
        </w:rPr>
        <w:t>” svītrošanu, bet esam gatavi atbalstīt pašreizējo redakciju.</w:t>
      </w:r>
    </w:p>
    <w:p w:rsidR="006031F7" w:rsidRPr="00025B33" w:rsidRDefault="006031F7" w:rsidP="006031F7">
      <w:pPr>
        <w:tabs>
          <w:tab w:val="left" w:pos="9288"/>
        </w:tabs>
        <w:spacing w:after="120"/>
        <w:ind w:firstLine="851"/>
        <w:jc w:val="both"/>
        <w:rPr>
          <w:sz w:val="28"/>
          <w:szCs w:val="28"/>
        </w:rPr>
      </w:pPr>
      <w:r w:rsidRPr="00025B33">
        <w:rPr>
          <w:b/>
          <w:bCs/>
          <w:sz w:val="28"/>
          <w:szCs w:val="28"/>
        </w:rPr>
        <w:t>Svarīgi ir saglabāt augsto politisko prioritāti</w:t>
      </w:r>
      <w:r w:rsidRPr="00025B33">
        <w:rPr>
          <w:sz w:val="28"/>
          <w:szCs w:val="28"/>
        </w:rPr>
        <w:t xml:space="preserve">, kas šobrīd piešķirta ES vienotā tirgus, tai skaitā, digitālā vienotā tirgus, jautājumiem, kā arī tam, lai tiktu darīts viss izvirzīto mērķu sasniegšanai. </w:t>
      </w:r>
    </w:p>
    <w:p w:rsidR="00510883" w:rsidRDefault="006031F7" w:rsidP="0066585F">
      <w:pPr>
        <w:tabs>
          <w:tab w:val="left" w:pos="9288"/>
        </w:tabs>
        <w:spacing w:after="120"/>
        <w:ind w:firstLine="851"/>
        <w:jc w:val="both"/>
        <w:rPr>
          <w:sz w:val="28"/>
          <w:szCs w:val="28"/>
        </w:rPr>
      </w:pPr>
      <w:r w:rsidRPr="00025B33">
        <w:rPr>
          <w:sz w:val="28"/>
          <w:szCs w:val="28"/>
        </w:rPr>
        <w:t xml:space="preserve">Latvija uzskata, ka </w:t>
      </w:r>
      <w:r w:rsidRPr="00025B33">
        <w:rPr>
          <w:bCs/>
          <w:sz w:val="28"/>
          <w:szCs w:val="28"/>
        </w:rPr>
        <w:t>svarīgi</w:t>
      </w:r>
      <w:r w:rsidRPr="00025B33">
        <w:rPr>
          <w:sz w:val="28"/>
          <w:szCs w:val="28"/>
        </w:rPr>
        <w:t xml:space="preserve"> </w:t>
      </w:r>
      <w:r w:rsidRPr="00025B33">
        <w:rPr>
          <w:bCs/>
          <w:sz w:val="28"/>
          <w:szCs w:val="28"/>
          <w:u w:val="single"/>
        </w:rPr>
        <w:t>turpināt</w:t>
      </w:r>
      <w:r w:rsidRPr="00025B33">
        <w:rPr>
          <w:sz w:val="28"/>
          <w:szCs w:val="28"/>
          <w:u w:val="single"/>
        </w:rPr>
        <w:t xml:space="preserve"> dalībvalstu </w:t>
      </w:r>
      <w:r w:rsidRPr="00025B33">
        <w:rPr>
          <w:bCs/>
          <w:sz w:val="28"/>
          <w:szCs w:val="28"/>
          <w:u w:val="single"/>
        </w:rPr>
        <w:t>normatīvā regulējuma</w:t>
      </w:r>
      <w:r w:rsidRPr="00025B33">
        <w:rPr>
          <w:sz w:val="28"/>
          <w:szCs w:val="28"/>
          <w:u w:val="single"/>
        </w:rPr>
        <w:t xml:space="preserve"> </w:t>
      </w:r>
      <w:r w:rsidRPr="00025B33">
        <w:rPr>
          <w:bCs/>
          <w:sz w:val="28"/>
          <w:szCs w:val="28"/>
          <w:u w:val="single"/>
        </w:rPr>
        <w:t>tālākas</w:t>
      </w:r>
      <w:r w:rsidRPr="00025B33">
        <w:rPr>
          <w:sz w:val="28"/>
          <w:szCs w:val="28"/>
          <w:u w:val="single"/>
        </w:rPr>
        <w:t xml:space="preserve"> </w:t>
      </w:r>
      <w:r w:rsidRPr="00025B33">
        <w:rPr>
          <w:bCs/>
          <w:sz w:val="28"/>
          <w:szCs w:val="28"/>
          <w:u w:val="single"/>
        </w:rPr>
        <w:t>harmonizācijas pieeju</w:t>
      </w:r>
      <w:r w:rsidRPr="00025B33">
        <w:rPr>
          <w:sz w:val="28"/>
          <w:szCs w:val="28"/>
        </w:rPr>
        <w:t xml:space="preserve"> jomās un jautājumos, kur tas iespējams un kur tas visvairāk nepieciešams ES vienotā tirgus dziļākai integrācijai.</w:t>
      </w:r>
    </w:p>
    <w:p w:rsidR="00FB544A" w:rsidRDefault="00FB544A" w:rsidP="004C1552">
      <w:pPr>
        <w:pBdr>
          <w:bottom w:val="single" w:sz="4" w:space="1" w:color="auto"/>
        </w:pBdr>
        <w:tabs>
          <w:tab w:val="left" w:pos="9288"/>
        </w:tabs>
        <w:spacing w:after="120"/>
        <w:jc w:val="both"/>
        <w:rPr>
          <w:b/>
          <w:sz w:val="28"/>
          <w:szCs w:val="28"/>
        </w:rPr>
      </w:pPr>
    </w:p>
    <w:p w:rsidR="00B03397" w:rsidRPr="00025B33" w:rsidRDefault="00B03397" w:rsidP="004C1552">
      <w:pPr>
        <w:pBdr>
          <w:bottom w:val="single" w:sz="4" w:space="1" w:color="auto"/>
        </w:pBdr>
        <w:tabs>
          <w:tab w:val="left" w:pos="9288"/>
        </w:tabs>
        <w:spacing w:after="120"/>
        <w:jc w:val="both"/>
        <w:rPr>
          <w:b/>
          <w:sz w:val="28"/>
          <w:szCs w:val="28"/>
        </w:rPr>
      </w:pPr>
      <w:r w:rsidRPr="00025B33">
        <w:rPr>
          <w:b/>
          <w:sz w:val="28"/>
          <w:szCs w:val="28"/>
        </w:rPr>
        <w:t xml:space="preserve">1.6. Citi jautājumi </w:t>
      </w:r>
    </w:p>
    <w:p w:rsidR="00B03397" w:rsidRPr="00025B33" w:rsidRDefault="00B03397" w:rsidP="004C1552">
      <w:pPr>
        <w:jc w:val="both"/>
        <w:rPr>
          <w:sz w:val="28"/>
          <w:szCs w:val="28"/>
        </w:rPr>
      </w:pPr>
    </w:p>
    <w:p w:rsidR="00B03397" w:rsidRPr="00025B33" w:rsidRDefault="00510883" w:rsidP="004C1552">
      <w:pPr>
        <w:pStyle w:val="ListParagraph"/>
        <w:numPr>
          <w:ilvl w:val="0"/>
          <w:numId w:val="26"/>
        </w:numPr>
        <w:tabs>
          <w:tab w:val="left" w:pos="284"/>
        </w:tabs>
        <w:ind w:left="0" w:firstLine="0"/>
        <w:jc w:val="both"/>
        <w:rPr>
          <w:b/>
          <w:sz w:val="28"/>
          <w:szCs w:val="28"/>
        </w:rPr>
      </w:pPr>
      <w:r w:rsidRPr="00025B33">
        <w:rPr>
          <w:b/>
          <w:sz w:val="28"/>
          <w:szCs w:val="28"/>
        </w:rPr>
        <w:t>Valsts atbalsta reforma</w:t>
      </w:r>
    </w:p>
    <w:p w:rsidR="00B03397" w:rsidRPr="00025B33" w:rsidRDefault="00B03397" w:rsidP="004C1552">
      <w:pPr>
        <w:tabs>
          <w:tab w:val="left" w:pos="284"/>
        </w:tabs>
        <w:jc w:val="both"/>
        <w:rPr>
          <w:i/>
          <w:sz w:val="28"/>
          <w:szCs w:val="28"/>
        </w:rPr>
      </w:pPr>
      <w:r w:rsidRPr="00025B33">
        <w:rPr>
          <w:i/>
          <w:sz w:val="28"/>
          <w:szCs w:val="28"/>
        </w:rPr>
        <w:t>-</w:t>
      </w:r>
      <w:r w:rsidRPr="00025B33">
        <w:rPr>
          <w:i/>
          <w:sz w:val="28"/>
          <w:szCs w:val="28"/>
        </w:rPr>
        <w:tab/>
        <w:t>Komisijas prezentācija</w:t>
      </w:r>
    </w:p>
    <w:p w:rsidR="00F87D49" w:rsidRPr="00025B33" w:rsidRDefault="00F87D49" w:rsidP="004C1552">
      <w:pPr>
        <w:tabs>
          <w:tab w:val="left" w:pos="284"/>
        </w:tabs>
        <w:jc w:val="both"/>
        <w:rPr>
          <w:sz w:val="28"/>
          <w:szCs w:val="28"/>
        </w:rPr>
      </w:pPr>
    </w:p>
    <w:p w:rsidR="001E7413" w:rsidRPr="00025B33" w:rsidRDefault="001E7413" w:rsidP="001E7413">
      <w:pPr>
        <w:tabs>
          <w:tab w:val="left" w:pos="284"/>
        </w:tabs>
        <w:ind w:firstLine="851"/>
        <w:jc w:val="both"/>
        <w:rPr>
          <w:sz w:val="28"/>
          <w:szCs w:val="28"/>
        </w:rPr>
      </w:pPr>
      <w:r w:rsidRPr="00025B33">
        <w:rPr>
          <w:sz w:val="28"/>
          <w:szCs w:val="28"/>
        </w:rPr>
        <w:t>Sanāksmes laikā plānots, ka Komisija sniegs informāciju par plānoto valsts atbalsta reformas izstrādes tālāko procesu. Pēc tam kad Komisija nāks klajā ar priekšlikumu valsts atbalsta reformai, tas tiks vērtēts.</w:t>
      </w:r>
    </w:p>
    <w:p w:rsidR="004C1552" w:rsidRPr="00025B33" w:rsidRDefault="004C1552" w:rsidP="004C1552">
      <w:pPr>
        <w:tabs>
          <w:tab w:val="left" w:pos="284"/>
        </w:tabs>
        <w:jc w:val="both"/>
        <w:rPr>
          <w:sz w:val="28"/>
          <w:szCs w:val="28"/>
        </w:rPr>
      </w:pPr>
    </w:p>
    <w:p w:rsidR="00F87D49" w:rsidRPr="00025B33" w:rsidRDefault="00F87D49" w:rsidP="004C1552">
      <w:pPr>
        <w:pStyle w:val="ListParagraph"/>
        <w:numPr>
          <w:ilvl w:val="0"/>
          <w:numId w:val="26"/>
        </w:numPr>
        <w:tabs>
          <w:tab w:val="left" w:pos="284"/>
        </w:tabs>
        <w:ind w:left="0" w:firstLine="0"/>
        <w:jc w:val="both"/>
        <w:rPr>
          <w:b/>
          <w:sz w:val="28"/>
          <w:szCs w:val="28"/>
        </w:rPr>
      </w:pPr>
      <w:r w:rsidRPr="00025B33">
        <w:rPr>
          <w:b/>
          <w:sz w:val="28"/>
          <w:szCs w:val="28"/>
        </w:rPr>
        <w:t>Augsta līmeņa sanāksme par izaugsmes programmu un vienoto tirgu (Viļņa, 2012. gada 18. aprīlis)</w:t>
      </w:r>
    </w:p>
    <w:p w:rsidR="00F87D49" w:rsidRPr="00025B33" w:rsidRDefault="00F87D49" w:rsidP="004C1552">
      <w:pPr>
        <w:tabs>
          <w:tab w:val="left" w:pos="284"/>
        </w:tabs>
        <w:jc w:val="both"/>
        <w:rPr>
          <w:i/>
          <w:sz w:val="28"/>
          <w:szCs w:val="28"/>
        </w:rPr>
      </w:pPr>
      <w:r w:rsidRPr="00025B33">
        <w:rPr>
          <w:i/>
          <w:sz w:val="28"/>
          <w:szCs w:val="28"/>
        </w:rPr>
        <w:t>-</w:t>
      </w:r>
      <w:r w:rsidRPr="00025B33">
        <w:rPr>
          <w:i/>
          <w:sz w:val="28"/>
          <w:szCs w:val="28"/>
        </w:rPr>
        <w:tab/>
        <w:t xml:space="preserve">Lietuvas delegācijas sniegta informācija </w:t>
      </w:r>
    </w:p>
    <w:p w:rsidR="00F87D49" w:rsidRPr="00025B33" w:rsidRDefault="00F87D49" w:rsidP="004C1552">
      <w:pPr>
        <w:tabs>
          <w:tab w:val="left" w:pos="284"/>
        </w:tabs>
        <w:jc w:val="both"/>
        <w:rPr>
          <w:sz w:val="28"/>
          <w:szCs w:val="28"/>
        </w:rPr>
      </w:pPr>
    </w:p>
    <w:p w:rsidR="001E7413" w:rsidRPr="00025B33" w:rsidRDefault="001E7413" w:rsidP="001E7413">
      <w:pPr>
        <w:tabs>
          <w:tab w:val="left" w:pos="284"/>
        </w:tabs>
        <w:ind w:firstLine="851"/>
        <w:jc w:val="both"/>
        <w:rPr>
          <w:sz w:val="28"/>
          <w:szCs w:val="28"/>
        </w:rPr>
      </w:pPr>
      <w:r w:rsidRPr="00025B33">
        <w:rPr>
          <w:sz w:val="28"/>
          <w:szCs w:val="28"/>
        </w:rPr>
        <w:t xml:space="preserve">Š.g. 18.aprīlī Lietuvā, Viļņā notika „līdzīgi domājošo valstu” par iekšējo tirgus atbildīgo ministru sanāksme.  Sanāksmes laikā Lietuvas delegācija plāno prezentēt dokumentu par šīs sanāksmes dalībnieku kopējo viedokli un prioritātēm Vienotā tirgus jautājumos, t.sk. arī digitālā vienotā tirgus kontekstā. </w:t>
      </w:r>
    </w:p>
    <w:p w:rsidR="004C1552" w:rsidRPr="00025B33" w:rsidRDefault="004C1552" w:rsidP="004C1552">
      <w:pPr>
        <w:tabs>
          <w:tab w:val="left" w:pos="284"/>
        </w:tabs>
        <w:jc w:val="both"/>
        <w:rPr>
          <w:sz w:val="28"/>
          <w:szCs w:val="28"/>
        </w:rPr>
      </w:pPr>
    </w:p>
    <w:p w:rsidR="00F87D49" w:rsidRPr="00025B33" w:rsidRDefault="00F87D49" w:rsidP="004C1552">
      <w:pPr>
        <w:pStyle w:val="ListParagraph"/>
        <w:numPr>
          <w:ilvl w:val="0"/>
          <w:numId w:val="26"/>
        </w:numPr>
        <w:tabs>
          <w:tab w:val="left" w:pos="284"/>
        </w:tabs>
        <w:ind w:left="0" w:firstLine="0"/>
        <w:jc w:val="both"/>
        <w:rPr>
          <w:b/>
          <w:sz w:val="28"/>
          <w:szCs w:val="28"/>
        </w:rPr>
      </w:pPr>
      <w:r w:rsidRPr="00025B33">
        <w:rPr>
          <w:b/>
          <w:sz w:val="28"/>
          <w:szCs w:val="28"/>
        </w:rPr>
        <w:t xml:space="preserve">Nākamās prezidentvalsts darba programma </w:t>
      </w:r>
    </w:p>
    <w:p w:rsidR="00F87D49" w:rsidRPr="00025B33" w:rsidRDefault="00F87D49" w:rsidP="004C1552">
      <w:pPr>
        <w:tabs>
          <w:tab w:val="left" w:pos="284"/>
        </w:tabs>
        <w:jc w:val="both"/>
        <w:rPr>
          <w:i/>
          <w:sz w:val="28"/>
          <w:szCs w:val="28"/>
        </w:rPr>
      </w:pPr>
      <w:r w:rsidRPr="00025B33">
        <w:rPr>
          <w:i/>
          <w:sz w:val="28"/>
          <w:szCs w:val="28"/>
        </w:rPr>
        <w:t>-</w:t>
      </w:r>
      <w:r w:rsidRPr="00025B33">
        <w:rPr>
          <w:i/>
          <w:sz w:val="28"/>
          <w:szCs w:val="28"/>
        </w:rPr>
        <w:tab/>
        <w:t>Kipras delegācijas sniegta informācija</w:t>
      </w:r>
    </w:p>
    <w:p w:rsidR="00F87D49" w:rsidRPr="00025B33" w:rsidRDefault="00F87D49" w:rsidP="004C1552">
      <w:pPr>
        <w:tabs>
          <w:tab w:val="left" w:pos="284"/>
        </w:tabs>
        <w:jc w:val="both"/>
        <w:rPr>
          <w:sz w:val="28"/>
          <w:szCs w:val="28"/>
        </w:rPr>
      </w:pPr>
    </w:p>
    <w:p w:rsidR="001E7413" w:rsidRPr="00025B33" w:rsidRDefault="001E7413" w:rsidP="004C1552">
      <w:pPr>
        <w:tabs>
          <w:tab w:val="left" w:pos="284"/>
        </w:tabs>
        <w:jc w:val="both"/>
        <w:rPr>
          <w:sz w:val="28"/>
          <w:szCs w:val="28"/>
        </w:rPr>
      </w:pPr>
      <w:r w:rsidRPr="00025B33">
        <w:rPr>
          <w:sz w:val="28"/>
          <w:szCs w:val="28"/>
        </w:rPr>
        <w:tab/>
        <w:t>Paredzēts, ka sanāksmes laikā Kipras delegācija prezentēs savas prezidentūras darba programmu iekšējā tirgus un rūpniecības jautājumos.</w:t>
      </w:r>
    </w:p>
    <w:p w:rsidR="00F87D49" w:rsidRPr="00025B33" w:rsidRDefault="00F87D49" w:rsidP="006031F7">
      <w:pPr>
        <w:tabs>
          <w:tab w:val="left" w:pos="284"/>
        </w:tabs>
        <w:ind w:firstLine="851"/>
        <w:jc w:val="both"/>
        <w:rPr>
          <w:sz w:val="28"/>
          <w:szCs w:val="28"/>
        </w:rPr>
      </w:pPr>
    </w:p>
    <w:p w:rsidR="00F87D49" w:rsidRPr="00025B33" w:rsidRDefault="00F87D49" w:rsidP="006031F7">
      <w:pPr>
        <w:tabs>
          <w:tab w:val="left" w:pos="284"/>
        </w:tabs>
        <w:ind w:firstLine="851"/>
        <w:jc w:val="both"/>
        <w:rPr>
          <w:sz w:val="28"/>
          <w:szCs w:val="28"/>
        </w:rPr>
      </w:pPr>
    </w:p>
    <w:p w:rsidR="00EA0064" w:rsidRPr="00025B33" w:rsidRDefault="00EA0064" w:rsidP="006031F7">
      <w:pPr>
        <w:ind w:firstLine="851"/>
        <w:jc w:val="both"/>
        <w:rPr>
          <w:sz w:val="28"/>
          <w:szCs w:val="28"/>
        </w:rPr>
      </w:pPr>
      <w:r w:rsidRPr="00025B33">
        <w:rPr>
          <w:sz w:val="28"/>
          <w:szCs w:val="28"/>
        </w:rPr>
        <w:br w:type="page"/>
      </w:r>
    </w:p>
    <w:p w:rsidR="0049471A" w:rsidRPr="00025B33" w:rsidRDefault="0049471A" w:rsidP="006031F7">
      <w:pPr>
        <w:spacing w:after="200"/>
        <w:ind w:firstLine="851"/>
        <w:jc w:val="both"/>
        <w:rPr>
          <w:b/>
          <w:sz w:val="28"/>
          <w:szCs w:val="28"/>
        </w:rPr>
      </w:pPr>
      <w:r w:rsidRPr="00025B33">
        <w:rPr>
          <w:b/>
          <w:sz w:val="28"/>
          <w:szCs w:val="28"/>
        </w:rPr>
        <w:lastRenderedPageBreak/>
        <w:t>2.  Latvijas delegācija</w:t>
      </w:r>
    </w:p>
    <w:p w:rsidR="0066585F" w:rsidRDefault="0066585F" w:rsidP="0066585F">
      <w:pPr>
        <w:ind w:left="2977" w:hanging="2977"/>
        <w:jc w:val="both"/>
        <w:rPr>
          <w:sz w:val="28"/>
          <w:szCs w:val="28"/>
        </w:rPr>
      </w:pPr>
      <w:r w:rsidRPr="001F33E5">
        <w:rPr>
          <w:sz w:val="28"/>
          <w:szCs w:val="28"/>
        </w:rPr>
        <w:t xml:space="preserve">Delegācijas vadītājs: </w:t>
      </w:r>
      <w:r w:rsidRPr="001F33E5">
        <w:rPr>
          <w:sz w:val="28"/>
          <w:szCs w:val="28"/>
        </w:rPr>
        <w:tab/>
      </w:r>
      <w:r w:rsidRPr="00025B33">
        <w:rPr>
          <w:b/>
          <w:sz w:val="28"/>
          <w:szCs w:val="28"/>
        </w:rPr>
        <w:t>Juris Pūce</w:t>
      </w:r>
      <w:r w:rsidRPr="001F33E5">
        <w:rPr>
          <w:sz w:val="28"/>
          <w:szCs w:val="28"/>
        </w:rPr>
        <w:t xml:space="preserve">, </w:t>
      </w:r>
      <w:r w:rsidRPr="00025B33">
        <w:rPr>
          <w:sz w:val="28"/>
          <w:szCs w:val="28"/>
        </w:rPr>
        <w:t>Ekonomikas ministrijas valsts sekretārs</w:t>
      </w:r>
      <w:r w:rsidRPr="001F33E5">
        <w:rPr>
          <w:sz w:val="28"/>
          <w:szCs w:val="28"/>
        </w:rPr>
        <w:t>.</w:t>
      </w:r>
    </w:p>
    <w:p w:rsidR="0066585F" w:rsidRPr="001F33E5" w:rsidRDefault="0066585F" w:rsidP="0066585F">
      <w:pPr>
        <w:ind w:left="2977" w:hanging="2977"/>
        <w:jc w:val="both"/>
        <w:rPr>
          <w:sz w:val="28"/>
          <w:szCs w:val="28"/>
        </w:rPr>
      </w:pPr>
    </w:p>
    <w:p w:rsidR="00601F9C" w:rsidRPr="00601F9C" w:rsidRDefault="0066585F" w:rsidP="00601F9C">
      <w:pPr>
        <w:ind w:left="2977" w:hanging="2977"/>
        <w:jc w:val="both"/>
        <w:rPr>
          <w:sz w:val="28"/>
          <w:szCs w:val="28"/>
        </w:rPr>
      </w:pPr>
      <w:r w:rsidRPr="001F33E5">
        <w:rPr>
          <w:sz w:val="28"/>
          <w:szCs w:val="28"/>
        </w:rPr>
        <w:t xml:space="preserve">Delegācijas dalībnieki: </w:t>
      </w:r>
      <w:r w:rsidRPr="001F33E5">
        <w:rPr>
          <w:sz w:val="28"/>
          <w:szCs w:val="28"/>
        </w:rPr>
        <w:tab/>
      </w:r>
      <w:proofErr w:type="spellStart"/>
      <w:r w:rsidR="00601F9C" w:rsidRPr="00601F9C">
        <w:rPr>
          <w:b/>
          <w:sz w:val="28"/>
          <w:szCs w:val="28"/>
        </w:rPr>
        <w:t>J.Štālmeistars</w:t>
      </w:r>
      <w:proofErr w:type="spellEnd"/>
      <w:r w:rsidR="00601F9C" w:rsidRPr="00601F9C">
        <w:rPr>
          <w:sz w:val="28"/>
          <w:szCs w:val="28"/>
        </w:rPr>
        <w:t>, Latvijas Republikas pastāvīgā pārstāvja Eiropas Savienībā vietnieks;</w:t>
      </w:r>
    </w:p>
    <w:p w:rsidR="00601F9C" w:rsidRDefault="0066585F" w:rsidP="00601F9C">
      <w:pPr>
        <w:ind w:left="2977"/>
        <w:jc w:val="both"/>
        <w:rPr>
          <w:sz w:val="28"/>
          <w:szCs w:val="28"/>
        </w:rPr>
      </w:pPr>
      <w:r w:rsidRPr="006754F2">
        <w:rPr>
          <w:b/>
          <w:sz w:val="28"/>
          <w:szCs w:val="28"/>
        </w:rPr>
        <w:t>Z.Liepiņa</w:t>
      </w:r>
      <w:r w:rsidRPr="001F33E5">
        <w:rPr>
          <w:sz w:val="28"/>
          <w:szCs w:val="28"/>
        </w:rPr>
        <w:t>, Ekonomikas minist</w:t>
      </w:r>
      <w:r>
        <w:rPr>
          <w:sz w:val="28"/>
          <w:szCs w:val="28"/>
        </w:rPr>
        <w:t>rijas valsts sekretāra vietniece</w:t>
      </w:r>
      <w:r w:rsidRPr="001F33E5">
        <w:rPr>
          <w:sz w:val="28"/>
          <w:szCs w:val="28"/>
        </w:rPr>
        <w:t>;</w:t>
      </w:r>
    </w:p>
    <w:p w:rsidR="0066585F" w:rsidRDefault="0066585F" w:rsidP="0066585F">
      <w:pPr>
        <w:ind w:left="2977"/>
        <w:jc w:val="both"/>
        <w:rPr>
          <w:sz w:val="28"/>
          <w:szCs w:val="28"/>
        </w:rPr>
      </w:pPr>
      <w:r w:rsidRPr="006754F2">
        <w:rPr>
          <w:b/>
          <w:sz w:val="28"/>
          <w:szCs w:val="28"/>
        </w:rPr>
        <w:t>A.Neimanis</w:t>
      </w:r>
      <w:r w:rsidRPr="001F33E5">
        <w:rPr>
          <w:sz w:val="28"/>
          <w:szCs w:val="28"/>
        </w:rPr>
        <w:t>, Ekonomikas ministrijas nozares padomnieks Latvijas Republikas</w:t>
      </w:r>
      <w:r>
        <w:rPr>
          <w:sz w:val="28"/>
          <w:szCs w:val="28"/>
        </w:rPr>
        <w:t xml:space="preserve"> Pastāvīgajā</w:t>
      </w:r>
      <w:r w:rsidRPr="001F33E5">
        <w:rPr>
          <w:sz w:val="28"/>
          <w:szCs w:val="28"/>
        </w:rPr>
        <w:t xml:space="preserve"> pārstāvniecībā Eiropas Savienībā</w:t>
      </w:r>
      <w:r>
        <w:rPr>
          <w:sz w:val="28"/>
          <w:szCs w:val="28"/>
        </w:rPr>
        <w:t>;</w:t>
      </w:r>
    </w:p>
    <w:p w:rsidR="0066585F" w:rsidRPr="0066585F" w:rsidRDefault="0066585F" w:rsidP="0066585F">
      <w:pPr>
        <w:ind w:left="2977"/>
        <w:jc w:val="both"/>
        <w:rPr>
          <w:bCs/>
          <w:sz w:val="28"/>
          <w:szCs w:val="28"/>
        </w:rPr>
      </w:pPr>
      <w:r w:rsidRPr="0066585F">
        <w:rPr>
          <w:b/>
          <w:bCs/>
          <w:sz w:val="28"/>
          <w:szCs w:val="28"/>
        </w:rPr>
        <w:t>Anna Upena</w:t>
      </w:r>
      <w:r w:rsidRPr="0066585F">
        <w:rPr>
          <w:bCs/>
          <w:sz w:val="28"/>
          <w:szCs w:val="28"/>
        </w:rPr>
        <w:t>,</w:t>
      </w:r>
      <w:r w:rsidRPr="0066585F">
        <w:rPr>
          <w:b/>
          <w:bCs/>
          <w:sz w:val="28"/>
          <w:szCs w:val="28"/>
        </w:rPr>
        <w:t xml:space="preserve"> </w:t>
      </w:r>
      <w:r w:rsidRPr="0066585F">
        <w:rPr>
          <w:bCs/>
          <w:sz w:val="28"/>
          <w:szCs w:val="28"/>
        </w:rPr>
        <w:t xml:space="preserve">Ekonomikas ministrijas nozares padomniece Latvijas Republikas </w:t>
      </w:r>
      <w:r w:rsidRPr="0066585F">
        <w:rPr>
          <w:sz w:val="28"/>
          <w:szCs w:val="28"/>
        </w:rPr>
        <w:t xml:space="preserve">Pastāvīgajā pārstāvniecībā </w:t>
      </w:r>
      <w:r w:rsidRPr="0066585F">
        <w:rPr>
          <w:bCs/>
          <w:sz w:val="28"/>
          <w:szCs w:val="28"/>
        </w:rPr>
        <w:t>Eiropas Savienībā;</w:t>
      </w:r>
    </w:p>
    <w:p w:rsidR="0066585F" w:rsidRPr="0066585F" w:rsidRDefault="0066585F" w:rsidP="0066585F">
      <w:pPr>
        <w:ind w:left="2977"/>
        <w:jc w:val="both"/>
        <w:rPr>
          <w:bCs/>
          <w:sz w:val="28"/>
          <w:szCs w:val="28"/>
        </w:rPr>
      </w:pPr>
      <w:r w:rsidRPr="0066585F">
        <w:rPr>
          <w:b/>
          <w:bCs/>
          <w:sz w:val="28"/>
          <w:szCs w:val="28"/>
        </w:rPr>
        <w:t>Edīte Bērziņa</w:t>
      </w:r>
      <w:r w:rsidRPr="0066585F">
        <w:rPr>
          <w:bCs/>
          <w:sz w:val="28"/>
          <w:szCs w:val="28"/>
        </w:rPr>
        <w:t xml:space="preserve">, Finanšu Ministrijas nozares padomniece Latvijas Republikas </w:t>
      </w:r>
      <w:r w:rsidRPr="0066585F">
        <w:rPr>
          <w:sz w:val="28"/>
          <w:szCs w:val="28"/>
        </w:rPr>
        <w:t xml:space="preserve">Pastāvīgajā pārstāvniecībā </w:t>
      </w:r>
      <w:r w:rsidRPr="0066585F">
        <w:rPr>
          <w:bCs/>
          <w:sz w:val="28"/>
          <w:szCs w:val="28"/>
        </w:rPr>
        <w:t>Eiropas Savienībā.</w:t>
      </w:r>
    </w:p>
    <w:p w:rsidR="0066585F" w:rsidRPr="0066585F" w:rsidRDefault="0066585F" w:rsidP="0066585F">
      <w:pPr>
        <w:ind w:left="2977"/>
        <w:jc w:val="both"/>
        <w:rPr>
          <w:sz w:val="28"/>
          <w:szCs w:val="28"/>
        </w:rPr>
      </w:pPr>
    </w:p>
    <w:p w:rsidR="0049471A" w:rsidRPr="00025B33" w:rsidRDefault="0049471A" w:rsidP="006031F7">
      <w:pPr>
        <w:tabs>
          <w:tab w:val="right" w:pos="9071"/>
        </w:tabs>
        <w:spacing w:after="120"/>
        <w:ind w:firstLine="851"/>
        <w:jc w:val="both"/>
        <w:rPr>
          <w:sz w:val="28"/>
          <w:szCs w:val="28"/>
        </w:rPr>
      </w:pPr>
    </w:p>
    <w:p w:rsidR="002D40CD" w:rsidRPr="00025B33" w:rsidRDefault="002D40CD" w:rsidP="006031F7">
      <w:pPr>
        <w:tabs>
          <w:tab w:val="right" w:pos="9071"/>
        </w:tabs>
        <w:spacing w:after="120"/>
        <w:ind w:firstLine="851"/>
        <w:jc w:val="both"/>
        <w:rPr>
          <w:sz w:val="28"/>
          <w:szCs w:val="28"/>
        </w:rPr>
      </w:pPr>
    </w:p>
    <w:p w:rsidR="00546424" w:rsidRPr="00025B33" w:rsidRDefault="00546424" w:rsidP="006031F7">
      <w:pPr>
        <w:ind w:firstLine="851"/>
        <w:jc w:val="both"/>
        <w:rPr>
          <w:sz w:val="28"/>
          <w:szCs w:val="28"/>
        </w:rPr>
      </w:pPr>
    </w:p>
    <w:p w:rsidR="003840A0" w:rsidRPr="00025B33" w:rsidRDefault="003840A0" w:rsidP="00025B33">
      <w:pPr>
        <w:tabs>
          <w:tab w:val="right" w:pos="8931"/>
        </w:tabs>
        <w:spacing w:after="120"/>
        <w:rPr>
          <w:sz w:val="28"/>
          <w:szCs w:val="28"/>
        </w:rPr>
      </w:pPr>
      <w:r w:rsidRPr="00025B33">
        <w:rPr>
          <w:sz w:val="28"/>
          <w:szCs w:val="28"/>
        </w:rPr>
        <w:t xml:space="preserve">Iesniedzējs: </w:t>
      </w:r>
      <w:r w:rsidR="00025B33">
        <w:rPr>
          <w:sz w:val="28"/>
          <w:szCs w:val="28"/>
        </w:rPr>
        <w:tab/>
      </w:r>
      <w:r w:rsidRPr="00025B33">
        <w:rPr>
          <w:sz w:val="28"/>
          <w:szCs w:val="28"/>
        </w:rPr>
        <w:t>Ekonomikas ministrs</w:t>
      </w:r>
      <w:r w:rsidRPr="00025B33">
        <w:rPr>
          <w:sz w:val="28"/>
          <w:szCs w:val="28"/>
        </w:rPr>
        <w:tab/>
        <w:t xml:space="preserve">         </w:t>
      </w:r>
      <w:proofErr w:type="spellStart"/>
      <w:r w:rsidRPr="00025B33">
        <w:rPr>
          <w:sz w:val="28"/>
          <w:szCs w:val="28"/>
        </w:rPr>
        <w:t>D.Pavļuts</w:t>
      </w:r>
      <w:proofErr w:type="spellEnd"/>
    </w:p>
    <w:p w:rsidR="003840A0" w:rsidRPr="00025B33" w:rsidRDefault="003840A0" w:rsidP="006031F7">
      <w:pPr>
        <w:spacing w:after="120"/>
        <w:ind w:firstLine="851"/>
        <w:jc w:val="both"/>
        <w:rPr>
          <w:sz w:val="28"/>
          <w:szCs w:val="28"/>
        </w:rPr>
      </w:pPr>
      <w:r w:rsidRPr="00025B33">
        <w:rPr>
          <w:sz w:val="28"/>
          <w:szCs w:val="28"/>
        </w:rPr>
        <w:tab/>
      </w:r>
      <w:r w:rsidRPr="00025B33">
        <w:rPr>
          <w:sz w:val="28"/>
          <w:szCs w:val="28"/>
        </w:rPr>
        <w:tab/>
      </w:r>
    </w:p>
    <w:p w:rsidR="003840A0" w:rsidRDefault="003840A0" w:rsidP="006031F7">
      <w:pPr>
        <w:spacing w:after="120"/>
        <w:ind w:firstLine="851"/>
        <w:jc w:val="both"/>
        <w:rPr>
          <w:sz w:val="28"/>
          <w:szCs w:val="28"/>
        </w:rPr>
      </w:pPr>
    </w:p>
    <w:p w:rsidR="0066585F" w:rsidRPr="00025B33" w:rsidRDefault="0066585F" w:rsidP="006031F7">
      <w:pPr>
        <w:spacing w:after="120"/>
        <w:ind w:firstLine="851"/>
        <w:jc w:val="both"/>
        <w:rPr>
          <w:sz w:val="28"/>
          <w:szCs w:val="28"/>
        </w:rPr>
      </w:pPr>
    </w:p>
    <w:p w:rsidR="003840A0" w:rsidRPr="00025B33" w:rsidRDefault="003840A0" w:rsidP="006031F7">
      <w:pPr>
        <w:spacing w:after="120"/>
        <w:ind w:firstLine="851"/>
        <w:jc w:val="both"/>
        <w:rPr>
          <w:sz w:val="28"/>
          <w:szCs w:val="28"/>
        </w:rPr>
      </w:pPr>
    </w:p>
    <w:p w:rsidR="0066585F" w:rsidRDefault="003840A0" w:rsidP="00025B33">
      <w:pPr>
        <w:tabs>
          <w:tab w:val="right" w:pos="8931"/>
        </w:tabs>
        <w:spacing w:after="120"/>
        <w:rPr>
          <w:sz w:val="28"/>
          <w:szCs w:val="28"/>
        </w:rPr>
      </w:pPr>
      <w:r w:rsidRPr="00025B33">
        <w:rPr>
          <w:sz w:val="28"/>
          <w:szCs w:val="28"/>
        </w:rPr>
        <w:t xml:space="preserve">Vizē: </w:t>
      </w:r>
      <w:r w:rsidR="00025B33">
        <w:rPr>
          <w:sz w:val="28"/>
          <w:szCs w:val="28"/>
        </w:rPr>
        <w:tab/>
      </w:r>
      <w:r w:rsidRPr="00025B33">
        <w:rPr>
          <w:sz w:val="28"/>
          <w:szCs w:val="28"/>
        </w:rPr>
        <w:t>Valsts sekretārs</w:t>
      </w:r>
    </w:p>
    <w:p w:rsidR="003840A0" w:rsidRPr="00025B33" w:rsidRDefault="003840A0" w:rsidP="00025B33">
      <w:pPr>
        <w:tabs>
          <w:tab w:val="right" w:pos="8931"/>
        </w:tabs>
        <w:spacing w:after="120"/>
        <w:rPr>
          <w:sz w:val="28"/>
          <w:szCs w:val="28"/>
        </w:rPr>
      </w:pPr>
      <w:r w:rsidRPr="00025B33">
        <w:rPr>
          <w:sz w:val="28"/>
          <w:szCs w:val="28"/>
        </w:rPr>
        <w:tab/>
        <w:t xml:space="preserve">   J. Pūce</w:t>
      </w:r>
    </w:p>
    <w:p w:rsidR="003840A0" w:rsidRDefault="003840A0" w:rsidP="006031F7">
      <w:pPr>
        <w:ind w:firstLine="851"/>
        <w:jc w:val="both"/>
        <w:rPr>
          <w:sz w:val="28"/>
          <w:szCs w:val="28"/>
        </w:rPr>
      </w:pPr>
    </w:p>
    <w:p w:rsidR="0066585F" w:rsidRPr="00025B33" w:rsidRDefault="0066585F" w:rsidP="006031F7">
      <w:pPr>
        <w:ind w:firstLine="851"/>
        <w:jc w:val="both"/>
        <w:rPr>
          <w:sz w:val="28"/>
          <w:szCs w:val="28"/>
        </w:rPr>
      </w:pPr>
    </w:p>
    <w:p w:rsidR="00422C05" w:rsidRPr="00025B33" w:rsidRDefault="00422C05" w:rsidP="00025B33">
      <w:pPr>
        <w:jc w:val="both"/>
        <w:rPr>
          <w:sz w:val="18"/>
          <w:szCs w:val="18"/>
        </w:rPr>
      </w:pPr>
      <w:r w:rsidRPr="00025B33">
        <w:rPr>
          <w:sz w:val="18"/>
          <w:szCs w:val="18"/>
        </w:rPr>
        <w:t xml:space="preserve">Atbildīgā amatpersona: </w:t>
      </w:r>
    </w:p>
    <w:p w:rsidR="00447246" w:rsidRPr="00025B33" w:rsidRDefault="003840A0" w:rsidP="00025B33">
      <w:pPr>
        <w:jc w:val="both"/>
        <w:rPr>
          <w:sz w:val="18"/>
          <w:szCs w:val="18"/>
        </w:rPr>
      </w:pPr>
      <w:r w:rsidRPr="00025B33">
        <w:rPr>
          <w:sz w:val="18"/>
          <w:szCs w:val="18"/>
        </w:rPr>
        <w:t>Inese Balode</w:t>
      </w:r>
    </w:p>
    <w:p w:rsidR="00447246" w:rsidRPr="00025B33" w:rsidRDefault="00447246" w:rsidP="00025B33">
      <w:pPr>
        <w:jc w:val="both"/>
        <w:rPr>
          <w:sz w:val="18"/>
          <w:szCs w:val="18"/>
        </w:rPr>
      </w:pPr>
      <w:r w:rsidRPr="00025B33">
        <w:rPr>
          <w:sz w:val="18"/>
          <w:szCs w:val="18"/>
        </w:rPr>
        <w:t>Ekonomikas ministrijas</w:t>
      </w:r>
    </w:p>
    <w:p w:rsidR="00447246" w:rsidRPr="00025B33" w:rsidRDefault="00447246" w:rsidP="00025B33">
      <w:pPr>
        <w:tabs>
          <w:tab w:val="left" w:pos="6882"/>
        </w:tabs>
        <w:jc w:val="both"/>
        <w:rPr>
          <w:sz w:val="18"/>
          <w:szCs w:val="18"/>
        </w:rPr>
      </w:pPr>
      <w:r w:rsidRPr="00025B33">
        <w:rPr>
          <w:sz w:val="18"/>
          <w:szCs w:val="18"/>
        </w:rPr>
        <w:t>Ārējo ekonomisko at</w:t>
      </w:r>
      <w:r w:rsidR="003840A0" w:rsidRPr="00025B33">
        <w:rPr>
          <w:sz w:val="18"/>
          <w:szCs w:val="18"/>
        </w:rPr>
        <w:t>tiecību departamenta direktore</w:t>
      </w:r>
      <w:r w:rsidR="00850787" w:rsidRPr="00025B33">
        <w:rPr>
          <w:sz w:val="18"/>
          <w:szCs w:val="18"/>
        </w:rPr>
        <w:tab/>
      </w:r>
    </w:p>
    <w:p w:rsidR="00447246" w:rsidRPr="00025B33" w:rsidRDefault="00447246" w:rsidP="00025B33">
      <w:pPr>
        <w:jc w:val="both"/>
        <w:rPr>
          <w:sz w:val="18"/>
          <w:szCs w:val="18"/>
        </w:rPr>
      </w:pPr>
      <w:r w:rsidRPr="00025B33">
        <w:rPr>
          <w:sz w:val="18"/>
          <w:szCs w:val="18"/>
        </w:rPr>
        <w:t>tālr.:67013</w:t>
      </w:r>
      <w:r w:rsidR="003840A0" w:rsidRPr="00025B33">
        <w:rPr>
          <w:sz w:val="18"/>
          <w:szCs w:val="18"/>
        </w:rPr>
        <w:t>064</w:t>
      </w:r>
    </w:p>
    <w:p w:rsidR="00447246" w:rsidRPr="00025B33" w:rsidRDefault="00447246" w:rsidP="00025B33">
      <w:pPr>
        <w:jc w:val="both"/>
        <w:rPr>
          <w:sz w:val="18"/>
          <w:szCs w:val="18"/>
        </w:rPr>
      </w:pPr>
      <w:r w:rsidRPr="00025B33">
        <w:rPr>
          <w:sz w:val="18"/>
          <w:szCs w:val="18"/>
        </w:rPr>
        <w:t xml:space="preserve">faksa numurs 67280882 </w:t>
      </w:r>
    </w:p>
    <w:p w:rsidR="00447246" w:rsidRPr="00025B33" w:rsidRDefault="00447246" w:rsidP="00025B33">
      <w:pPr>
        <w:jc w:val="both"/>
        <w:rPr>
          <w:sz w:val="18"/>
          <w:szCs w:val="18"/>
        </w:rPr>
      </w:pPr>
      <w:r w:rsidRPr="00025B33">
        <w:rPr>
          <w:sz w:val="18"/>
          <w:szCs w:val="18"/>
        </w:rPr>
        <w:t xml:space="preserve">e-pasts: </w:t>
      </w:r>
      <w:r w:rsidR="003840A0" w:rsidRPr="00025B33">
        <w:rPr>
          <w:sz w:val="18"/>
          <w:szCs w:val="18"/>
        </w:rPr>
        <w:t>Inese.Balode@em.gov.lv</w:t>
      </w:r>
    </w:p>
    <w:p w:rsidR="00422C05" w:rsidRPr="00025B33" w:rsidRDefault="00422C05" w:rsidP="00025B33">
      <w:pPr>
        <w:jc w:val="both"/>
        <w:rPr>
          <w:sz w:val="18"/>
          <w:szCs w:val="18"/>
          <w:u w:val="single"/>
        </w:rPr>
      </w:pPr>
    </w:p>
    <w:p w:rsidR="00447246" w:rsidRPr="00025B33" w:rsidRDefault="005A080A" w:rsidP="00025B33">
      <w:pPr>
        <w:jc w:val="both"/>
        <w:rPr>
          <w:sz w:val="18"/>
          <w:szCs w:val="18"/>
        </w:rPr>
      </w:pPr>
      <w:fldSimple w:instr=" DATE   \* MERGEFORMAT ">
        <w:r w:rsidR="00601F9C" w:rsidRPr="00601F9C">
          <w:rPr>
            <w:noProof/>
            <w:sz w:val="18"/>
            <w:szCs w:val="18"/>
          </w:rPr>
          <w:t>24.05.2012</w:t>
        </w:r>
      </w:fldSimple>
      <w:r w:rsidR="00447246" w:rsidRPr="00025B33">
        <w:rPr>
          <w:sz w:val="18"/>
          <w:szCs w:val="18"/>
        </w:rPr>
        <w:t xml:space="preserve"> </w:t>
      </w:r>
      <w:r w:rsidRPr="00025B33">
        <w:rPr>
          <w:sz w:val="18"/>
          <w:szCs w:val="18"/>
        </w:rPr>
        <w:fldChar w:fldCharType="begin"/>
      </w:r>
      <w:r w:rsidR="00447246" w:rsidRPr="00025B33">
        <w:rPr>
          <w:sz w:val="18"/>
          <w:szCs w:val="18"/>
        </w:rPr>
        <w:instrText xml:space="preserve"> TIME  \@ "HH:mm"  \* MERGEFORMAT </w:instrText>
      </w:r>
      <w:r w:rsidRPr="00025B33">
        <w:rPr>
          <w:sz w:val="18"/>
          <w:szCs w:val="18"/>
        </w:rPr>
        <w:fldChar w:fldCharType="separate"/>
      </w:r>
      <w:r w:rsidR="00601F9C">
        <w:rPr>
          <w:noProof/>
          <w:sz w:val="18"/>
          <w:szCs w:val="18"/>
        </w:rPr>
        <w:t>13:00</w:t>
      </w:r>
      <w:r w:rsidRPr="00025B33">
        <w:rPr>
          <w:sz w:val="18"/>
          <w:szCs w:val="18"/>
        </w:rPr>
        <w:fldChar w:fldCharType="end"/>
      </w:r>
    </w:p>
    <w:p w:rsidR="00447246" w:rsidRPr="00025B33" w:rsidRDefault="005A080A" w:rsidP="00025B33">
      <w:pPr>
        <w:jc w:val="both"/>
        <w:rPr>
          <w:sz w:val="18"/>
          <w:szCs w:val="18"/>
        </w:rPr>
      </w:pPr>
      <w:fldSimple w:instr=" NUMWORDS   \* MERGEFORMAT ">
        <w:r w:rsidR="00601F9C" w:rsidRPr="00601F9C">
          <w:rPr>
            <w:noProof/>
            <w:sz w:val="18"/>
            <w:szCs w:val="18"/>
          </w:rPr>
          <w:t>2301</w:t>
        </w:r>
      </w:fldSimple>
    </w:p>
    <w:p w:rsidR="00447246" w:rsidRPr="00025B33" w:rsidRDefault="00447246" w:rsidP="00025B33">
      <w:pPr>
        <w:jc w:val="both"/>
        <w:rPr>
          <w:sz w:val="18"/>
          <w:szCs w:val="18"/>
        </w:rPr>
      </w:pPr>
      <w:r w:rsidRPr="00025B33">
        <w:rPr>
          <w:sz w:val="18"/>
          <w:szCs w:val="18"/>
        </w:rPr>
        <w:t>M.Zjurikova</w:t>
      </w:r>
    </w:p>
    <w:p w:rsidR="00447246" w:rsidRPr="00025B33" w:rsidRDefault="00447246" w:rsidP="00025B33">
      <w:pPr>
        <w:jc w:val="both"/>
        <w:rPr>
          <w:sz w:val="18"/>
          <w:szCs w:val="18"/>
        </w:rPr>
      </w:pPr>
      <w:r w:rsidRPr="00025B33">
        <w:rPr>
          <w:sz w:val="18"/>
          <w:szCs w:val="18"/>
        </w:rPr>
        <w:t>Ekonomikas ministrijas</w:t>
      </w:r>
    </w:p>
    <w:p w:rsidR="00447246" w:rsidRPr="00025B33" w:rsidRDefault="00447246" w:rsidP="00025B33">
      <w:pPr>
        <w:jc w:val="both"/>
        <w:rPr>
          <w:sz w:val="18"/>
          <w:szCs w:val="18"/>
        </w:rPr>
      </w:pPr>
      <w:r w:rsidRPr="00025B33">
        <w:rPr>
          <w:sz w:val="18"/>
          <w:szCs w:val="18"/>
        </w:rPr>
        <w:t>Ārējo ekonomisko attiecību departaments</w:t>
      </w:r>
    </w:p>
    <w:p w:rsidR="00447246" w:rsidRPr="00025B33" w:rsidRDefault="00447246" w:rsidP="00025B33">
      <w:pPr>
        <w:jc w:val="both"/>
        <w:rPr>
          <w:sz w:val="28"/>
          <w:szCs w:val="28"/>
        </w:rPr>
      </w:pPr>
      <w:r w:rsidRPr="00025B33">
        <w:rPr>
          <w:sz w:val="18"/>
          <w:szCs w:val="18"/>
        </w:rPr>
        <w:t xml:space="preserve">67013001, Marija.Zjurikova@em.gov.lv </w:t>
      </w:r>
    </w:p>
    <w:sectPr w:rsidR="00447246" w:rsidRPr="00025B33" w:rsidSect="00FB544A">
      <w:headerReference w:type="default" r:id="rId8"/>
      <w:footerReference w:type="default" r:id="rId9"/>
      <w:footerReference w:type="first" r:id="rId10"/>
      <w:pgSz w:w="11906" w:h="16838"/>
      <w:pgMar w:top="993" w:right="1274"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5F" w:rsidRDefault="0066585F" w:rsidP="0079342A">
      <w:r>
        <w:separator/>
      </w:r>
    </w:p>
  </w:endnote>
  <w:endnote w:type="continuationSeparator" w:id="0">
    <w:p w:rsidR="0066585F" w:rsidRDefault="0066585F" w:rsidP="00793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5F" w:rsidRPr="00D24C05" w:rsidRDefault="0066585F" w:rsidP="00A005C0">
    <w:pPr>
      <w:rPr>
        <w:sz w:val="20"/>
        <w:szCs w:val="20"/>
        <w:lang w:eastAsia="en-US"/>
      </w:rPr>
    </w:pPr>
    <w:r w:rsidRPr="00D24C05">
      <w:rPr>
        <w:sz w:val="20"/>
        <w:szCs w:val="20"/>
        <w:lang w:eastAsia="en-US"/>
      </w:rPr>
      <w:t>EMZino_</w:t>
    </w:r>
    <w:r>
      <w:rPr>
        <w:sz w:val="20"/>
        <w:szCs w:val="20"/>
        <w:lang w:eastAsia="en-US"/>
      </w:rPr>
      <w:t>2405</w:t>
    </w:r>
    <w:r w:rsidRPr="00D24C05">
      <w:rPr>
        <w:sz w:val="20"/>
        <w:szCs w:val="20"/>
        <w:lang w:eastAsia="en-US"/>
      </w:rPr>
      <w:t>1</w:t>
    </w:r>
    <w:r>
      <w:rPr>
        <w:sz w:val="20"/>
        <w:szCs w:val="20"/>
        <w:lang w:eastAsia="en-US"/>
      </w:rPr>
      <w:t>2</w:t>
    </w:r>
    <w:r w:rsidRPr="00D24C05">
      <w:rPr>
        <w:sz w:val="20"/>
        <w:szCs w:val="20"/>
        <w:lang w:eastAsia="en-US"/>
      </w:rPr>
      <w:t xml:space="preserve">_COMPET; Informatīvais ziņojums par </w:t>
    </w:r>
    <w:r w:rsidRPr="003840A0">
      <w:rPr>
        <w:sz w:val="20"/>
        <w:szCs w:val="20"/>
        <w:lang w:eastAsia="en-US"/>
      </w:rPr>
      <w:t xml:space="preserve">Latvijas nacionālajām pozīcijām Eiropas Savienības Konkurētspējas ministru padomes 2012.gada 30. maija sanāksmē izskatāmajos Ekonomikas ministrijas un </w:t>
    </w:r>
    <w:r>
      <w:rPr>
        <w:sz w:val="20"/>
        <w:szCs w:val="20"/>
        <w:lang w:eastAsia="en-US"/>
      </w:rPr>
      <w:t>Finanšu</w:t>
    </w:r>
    <w:r w:rsidRPr="003840A0">
      <w:rPr>
        <w:sz w:val="20"/>
        <w:szCs w:val="20"/>
        <w:lang w:eastAsia="en-US"/>
      </w:rPr>
      <w:t xml:space="preserve"> ministrijas kompetences jautājumos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5F" w:rsidRPr="003840A0" w:rsidRDefault="0066585F" w:rsidP="003840A0">
    <w:pPr>
      <w:rPr>
        <w:szCs w:val="20"/>
      </w:rPr>
    </w:pPr>
    <w:r w:rsidRPr="00D24C05">
      <w:rPr>
        <w:sz w:val="20"/>
        <w:szCs w:val="20"/>
        <w:lang w:eastAsia="en-US"/>
      </w:rPr>
      <w:t>EMZino_</w:t>
    </w:r>
    <w:r>
      <w:rPr>
        <w:sz w:val="20"/>
        <w:szCs w:val="20"/>
        <w:lang w:eastAsia="en-US"/>
      </w:rPr>
      <w:t>2405</w:t>
    </w:r>
    <w:r w:rsidRPr="00D24C05">
      <w:rPr>
        <w:sz w:val="20"/>
        <w:szCs w:val="20"/>
        <w:lang w:eastAsia="en-US"/>
      </w:rPr>
      <w:t>1</w:t>
    </w:r>
    <w:r>
      <w:rPr>
        <w:sz w:val="20"/>
        <w:szCs w:val="20"/>
        <w:lang w:eastAsia="en-US"/>
      </w:rPr>
      <w:t>2</w:t>
    </w:r>
    <w:r w:rsidRPr="00D24C05">
      <w:rPr>
        <w:sz w:val="20"/>
        <w:szCs w:val="20"/>
        <w:lang w:eastAsia="en-US"/>
      </w:rPr>
      <w:t xml:space="preserve">_COMPET; Informatīvais ziņojums par </w:t>
    </w:r>
    <w:r w:rsidRPr="003840A0">
      <w:rPr>
        <w:sz w:val="20"/>
        <w:szCs w:val="20"/>
        <w:lang w:eastAsia="en-US"/>
      </w:rPr>
      <w:t xml:space="preserve">Latvijas nacionālajām pozīcijām Eiropas Savienības Konkurētspējas ministru padomes 2012.gada 30. maija sanāksmē izskatāmajos Ekonomikas ministrijas un </w:t>
    </w:r>
    <w:r>
      <w:rPr>
        <w:sz w:val="20"/>
        <w:szCs w:val="20"/>
        <w:lang w:eastAsia="en-US"/>
      </w:rPr>
      <w:t>Finanšu</w:t>
    </w:r>
    <w:r w:rsidRPr="003840A0">
      <w:rPr>
        <w:sz w:val="20"/>
        <w:szCs w:val="20"/>
        <w:lang w:eastAsia="en-US"/>
      </w:rPr>
      <w:t xml:space="preserve"> ministrijas kompetences jautājumos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5F" w:rsidRDefault="0066585F" w:rsidP="0079342A">
      <w:r>
        <w:separator/>
      </w:r>
    </w:p>
  </w:footnote>
  <w:footnote w:type="continuationSeparator" w:id="0">
    <w:p w:rsidR="0066585F" w:rsidRDefault="0066585F" w:rsidP="0079342A">
      <w:r>
        <w:continuationSeparator/>
      </w:r>
    </w:p>
  </w:footnote>
  <w:footnote w:id="1">
    <w:p w:rsidR="0066585F" w:rsidRDefault="0066585F">
      <w:pPr>
        <w:pStyle w:val="FootnoteText"/>
      </w:pPr>
      <w:r>
        <w:rPr>
          <w:rStyle w:val="FootnoteReference"/>
        </w:rPr>
        <w:footnoteRef/>
      </w:r>
      <w:r>
        <w:t xml:space="preserve"> </w:t>
      </w:r>
      <w:r w:rsidRPr="0062606F">
        <w:t xml:space="preserve">Ar </w:t>
      </w:r>
      <w:proofErr w:type="spellStart"/>
      <w:r w:rsidRPr="0062606F">
        <w:rPr>
          <w:i/>
        </w:rPr>
        <w:t>Remedies</w:t>
      </w:r>
      <w:proofErr w:type="spellEnd"/>
      <w:r w:rsidRPr="0062606F">
        <w:t xml:space="preserve"> ES publisko iepirkumu kontekstā saprot regulējumu, kas izriet no direktīvas 89/665/EEC, kas grozīta ar direktīvu 2007/66/EK, un direktīvas 92/13/EEC, kas grozīta ar direktīvu 2007/66/EK. Šīs direktīvas regulē iepirkumu apstrīdēšanu.</w:t>
      </w:r>
    </w:p>
  </w:footnote>
  <w:footnote w:id="2">
    <w:p w:rsidR="0066585F" w:rsidRPr="006031F7" w:rsidRDefault="0066585F">
      <w:pPr>
        <w:pStyle w:val="FootnoteText"/>
        <w:rPr>
          <w:b/>
        </w:rPr>
      </w:pPr>
      <w:r>
        <w:rPr>
          <w:rStyle w:val="FootnoteReference"/>
        </w:rPr>
        <w:footnoteRef/>
      </w:r>
      <w:r>
        <w:t xml:space="preserve"> </w:t>
      </w:r>
      <w:r w:rsidRPr="006031F7">
        <w:t>Latvija uztur spēkā Pozīciju Nr.1 (apstiprināta Ministru kabineta 2012.gada 14.februāra sēdē (prot.Nr.8, 32.§)) tiktāl, ciktāl to precizē šī Pozīcija Nr.2.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564"/>
      <w:docPartObj>
        <w:docPartGallery w:val="Page Numbers (Top of Page)"/>
        <w:docPartUnique/>
      </w:docPartObj>
    </w:sdtPr>
    <w:sdtContent>
      <w:p w:rsidR="0066585F" w:rsidRDefault="005A080A">
        <w:pPr>
          <w:pStyle w:val="Header"/>
          <w:jc w:val="center"/>
        </w:pPr>
        <w:fldSimple w:instr=" PAGE   \* MERGEFORMAT ">
          <w:r w:rsidR="00601F9C">
            <w:rPr>
              <w:noProof/>
            </w:rPr>
            <w:t>9</w:t>
          </w:r>
        </w:fldSimple>
      </w:p>
    </w:sdtContent>
  </w:sdt>
  <w:p w:rsidR="0066585F" w:rsidRDefault="00665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F9C"/>
    <w:multiLevelType w:val="hybridMultilevel"/>
    <w:tmpl w:val="C6CE5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1331C6"/>
    <w:multiLevelType w:val="hybridMultilevel"/>
    <w:tmpl w:val="6B46F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B22B13"/>
    <w:multiLevelType w:val="hybridMultilevel"/>
    <w:tmpl w:val="AB9626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C976EF"/>
    <w:multiLevelType w:val="multilevel"/>
    <w:tmpl w:val="10DAC42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4C6DA1"/>
    <w:multiLevelType w:val="hybridMultilevel"/>
    <w:tmpl w:val="71AEAAF4"/>
    <w:lvl w:ilvl="0" w:tplc="F578B2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F2219B2"/>
    <w:multiLevelType w:val="hybridMultilevel"/>
    <w:tmpl w:val="C4684722"/>
    <w:lvl w:ilvl="0" w:tplc="42C63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2EF5CEE"/>
    <w:multiLevelType w:val="hybridMultilevel"/>
    <w:tmpl w:val="74A8F3DA"/>
    <w:lvl w:ilvl="0" w:tplc="ACDC2060">
      <w:start w:val="2010"/>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23F76A46"/>
    <w:multiLevelType w:val="hybridMultilevel"/>
    <w:tmpl w:val="E37A62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55C71D3"/>
    <w:multiLevelType w:val="hybridMultilevel"/>
    <w:tmpl w:val="83306994"/>
    <w:lvl w:ilvl="0" w:tplc="EEAA6F94">
      <w:start w:val="1"/>
      <w:numFmt w:val="lowerLetter"/>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482106"/>
    <w:multiLevelType w:val="hybridMultilevel"/>
    <w:tmpl w:val="D4B248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043EBA"/>
    <w:multiLevelType w:val="hybridMultilevel"/>
    <w:tmpl w:val="9F5C1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A6D620F"/>
    <w:multiLevelType w:val="hybridMultilevel"/>
    <w:tmpl w:val="65BAF8AC"/>
    <w:lvl w:ilvl="0" w:tplc="040E000F">
      <w:start w:val="2008"/>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0A15626"/>
    <w:multiLevelType w:val="hybridMultilevel"/>
    <w:tmpl w:val="0860871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0F971DB"/>
    <w:multiLevelType w:val="hybridMultilevel"/>
    <w:tmpl w:val="28F81938"/>
    <w:lvl w:ilvl="0" w:tplc="1EBEB3A4">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1BA7A56"/>
    <w:multiLevelType w:val="hybridMultilevel"/>
    <w:tmpl w:val="0C348A9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32046D86"/>
    <w:multiLevelType w:val="hybridMultilevel"/>
    <w:tmpl w:val="019E4B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38238E0"/>
    <w:multiLevelType w:val="multilevel"/>
    <w:tmpl w:val="5D72521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95345B"/>
    <w:multiLevelType w:val="hybridMultilevel"/>
    <w:tmpl w:val="7396D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B9163C2"/>
    <w:multiLevelType w:val="hybridMultilevel"/>
    <w:tmpl w:val="46080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2F0CAC"/>
    <w:multiLevelType w:val="hybridMultilevel"/>
    <w:tmpl w:val="99C6E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C5D70B3"/>
    <w:multiLevelType w:val="hybridMultilevel"/>
    <w:tmpl w:val="F1D049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E1A3708"/>
    <w:multiLevelType w:val="hybridMultilevel"/>
    <w:tmpl w:val="D9C04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0831200"/>
    <w:multiLevelType w:val="hybridMultilevel"/>
    <w:tmpl w:val="A8100A64"/>
    <w:lvl w:ilvl="0" w:tplc="54A6F83C">
      <w:start w:val="20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BF83267"/>
    <w:multiLevelType w:val="hybridMultilevel"/>
    <w:tmpl w:val="AD1ED8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2B527DD"/>
    <w:multiLevelType w:val="hybridMultilevel"/>
    <w:tmpl w:val="1736DB94"/>
    <w:lvl w:ilvl="0" w:tplc="040E000F">
      <w:start w:val="2008"/>
      <w:numFmt w:val="bullet"/>
      <w:lvlText w:val="-"/>
      <w:lvlJc w:val="left"/>
      <w:pPr>
        <w:ind w:left="1080" w:hanging="360"/>
      </w:pPr>
      <w:rPr>
        <w:rFonts w:ascii="Calibri" w:eastAsia="Times New Roman" w:hAnsi="Calibri" w:hint="default"/>
      </w:rPr>
    </w:lvl>
    <w:lvl w:ilvl="1" w:tplc="040E0019">
      <w:start w:val="2008"/>
      <w:numFmt w:val="bullet"/>
      <w:lvlText w:val="-"/>
      <w:lvlJc w:val="left"/>
      <w:pPr>
        <w:ind w:left="786" w:hanging="360"/>
      </w:pPr>
      <w:rPr>
        <w:rFonts w:ascii="Calibri" w:eastAsia="Times New Roman" w:hAnsi="Calibri" w:hint="default"/>
      </w:rPr>
    </w:lvl>
    <w:lvl w:ilvl="2" w:tplc="040E001B">
      <w:start w:val="1"/>
      <w:numFmt w:val="bullet"/>
      <w:lvlText w:val=""/>
      <w:lvlJc w:val="left"/>
      <w:pPr>
        <w:ind w:left="2520" w:hanging="360"/>
      </w:pPr>
      <w:rPr>
        <w:rFonts w:ascii="Wingdings" w:hAnsi="Wingdings" w:hint="default"/>
      </w:rPr>
    </w:lvl>
    <w:lvl w:ilvl="3" w:tplc="040E000F" w:tentative="1">
      <w:start w:val="1"/>
      <w:numFmt w:val="bullet"/>
      <w:lvlText w:val=""/>
      <w:lvlJc w:val="left"/>
      <w:pPr>
        <w:ind w:left="3240" w:hanging="360"/>
      </w:pPr>
      <w:rPr>
        <w:rFonts w:ascii="Symbol" w:hAnsi="Symbol" w:hint="default"/>
      </w:rPr>
    </w:lvl>
    <w:lvl w:ilvl="4" w:tplc="040E0019" w:tentative="1">
      <w:start w:val="1"/>
      <w:numFmt w:val="bullet"/>
      <w:lvlText w:val="o"/>
      <w:lvlJc w:val="left"/>
      <w:pPr>
        <w:ind w:left="3960" w:hanging="360"/>
      </w:pPr>
      <w:rPr>
        <w:rFonts w:ascii="Courier New" w:hAnsi="Courier New" w:cs="Courier New" w:hint="default"/>
      </w:rPr>
    </w:lvl>
    <w:lvl w:ilvl="5" w:tplc="040E001B" w:tentative="1">
      <w:start w:val="1"/>
      <w:numFmt w:val="bullet"/>
      <w:lvlText w:val=""/>
      <w:lvlJc w:val="left"/>
      <w:pPr>
        <w:ind w:left="4680" w:hanging="360"/>
      </w:pPr>
      <w:rPr>
        <w:rFonts w:ascii="Wingdings" w:hAnsi="Wingdings" w:hint="default"/>
      </w:rPr>
    </w:lvl>
    <w:lvl w:ilvl="6" w:tplc="040E000F" w:tentative="1">
      <w:start w:val="1"/>
      <w:numFmt w:val="bullet"/>
      <w:lvlText w:val=""/>
      <w:lvlJc w:val="left"/>
      <w:pPr>
        <w:ind w:left="5400" w:hanging="360"/>
      </w:pPr>
      <w:rPr>
        <w:rFonts w:ascii="Symbol" w:hAnsi="Symbol" w:hint="default"/>
      </w:rPr>
    </w:lvl>
    <w:lvl w:ilvl="7" w:tplc="040E0019" w:tentative="1">
      <w:start w:val="1"/>
      <w:numFmt w:val="bullet"/>
      <w:lvlText w:val="o"/>
      <w:lvlJc w:val="left"/>
      <w:pPr>
        <w:ind w:left="6120" w:hanging="360"/>
      </w:pPr>
      <w:rPr>
        <w:rFonts w:ascii="Courier New" w:hAnsi="Courier New" w:cs="Courier New" w:hint="default"/>
      </w:rPr>
    </w:lvl>
    <w:lvl w:ilvl="8" w:tplc="040E001B" w:tentative="1">
      <w:start w:val="1"/>
      <w:numFmt w:val="bullet"/>
      <w:lvlText w:val=""/>
      <w:lvlJc w:val="left"/>
      <w:pPr>
        <w:ind w:left="6840" w:hanging="360"/>
      </w:pPr>
      <w:rPr>
        <w:rFonts w:ascii="Wingdings" w:hAnsi="Wingdings" w:hint="default"/>
      </w:rPr>
    </w:lvl>
  </w:abstractNum>
  <w:abstractNum w:abstractNumId="25">
    <w:nsid w:val="565E2384"/>
    <w:multiLevelType w:val="hybridMultilevel"/>
    <w:tmpl w:val="8A6CBA3E"/>
    <w:lvl w:ilvl="0" w:tplc="ACDC2060">
      <w:start w:val="201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8C4298D"/>
    <w:multiLevelType w:val="hybridMultilevel"/>
    <w:tmpl w:val="07361EA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F307A88"/>
    <w:multiLevelType w:val="hybridMultilevel"/>
    <w:tmpl w:val="BE381E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0D640E7"/>
    <w:multiLevelType w:val="hybridMultilevel"/>
    <w:tmpl w:val="4124590E"/>
    <w:lvl w:ilvl="0" w:tplc="62B4301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1AD014D"/>
    <w:multiLevelType w:val="multilevel"/>
    <w:tmpl w:val="3A449B8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292424D"/>
    <w:multiLevelType w:val="hybridMultilevel"/>
    <w:tmpl w:val="6AFA61B6"/>
    <w:lvl w:ilvl="0" w:tplc="ACDC2060">
      <w:start w:val="201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6FD3E65"/>
    <w:multiLevelType w:val="hybridMultilevel"/>
    <w:tmpl w:val="CC72EB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nsid w:val="67C541DA"/>
    <w:multiLevelType w:val="hybridMultilevel"/>
    <w:tmpl w:val="C9DA2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9647E00"/>
    <w:multiLevelType w:val="hybridMultilevel"/>
    <w:tmpl w:val="08F02C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C2C2F25"/>
    <w:multiLevelType w:val="hybridMultilevel"/>
    <w:tmpl w:val="4D32E9C8"/>
    <w:lvl w:ilvl="0" w:tplc="D2A6A840">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6E9051FD"/>
    <w:multiLevelType w:val="hybridMultilevel"/>
    <w:tmpl w:val="98B8409C"/>
    <w:lvl w:ilvl="0" w:tplc="8B5CD53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6">
    <w:nsid w:val="71982997"/>
    <w:multiLevelType w:val="hybridMultilevel"/>
    <w:tmpl w:val="A1C0D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2544D21"/>
    <w:multiLevelType w:val="hybridMultilevel"/>
    <w:tmpl w:val="134A7D64"/>
    <w:lvl w:ilvl="0" w:tplc="D1764C0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3972FB1"/>
    <w:multiLevelType w:val="hybridMultilevel"/>
    <w:tmpl w:val="D09ED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4F07814"/>
    <w:multiLevelType w:val="hybridMultilevel"/>
    <w:tmpl w:val="10D2C24C"/>
    <w:lvl w:ilvl="0" w:tplc="B8148544">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nsid w:val="76420C05"/>
    <w:multiLevelType w:val="hybridMultilevel"/>
    <w:tmpl w:val="38381FCC"/>
    <w:lvl w:ilvl="0" w:tplc="2438D670">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BA11EA4"/>
    <w:multiLevelType w:val="hybridMultilevel"/>
    <w:tmpl w:val="2196C63E"/>
    <w:lvl w:ilvl="0" w:tplc="04260001">
      <w:start w:val="1"/>
      <w:numFmt w:val="bullet"/>
      <w:lvlText w:val=""/>
      <w:lvlJc w:val="left"/>
      <w:pPr>
        <w:ind w:left="432" w:hanging="360"/>
      </w:pPr>
      <w:rPr>
        <w:rFonts w:ascii="Symbol" w:hAnsi="Symbol" w:hint="default"/>
      </w:rPr>
    </w:lvl>
    <w:lvl w:ilvl="1" w:tplc="F578B26C">
      <w:start w:val="3"/>
      <w:numFmt w:val="bullet"/>
      <w:lvlText w:val="-"/>
      <w:lvlJc w:val="left"/>
      <w:pPr>
        <w:ind w:left="1152" w:hanging="360"/>
      </w:pPr>
      <w:rPr>
        <w:rFonts w:ascii="Times New Roman" w:eastAsia="Times New Roman" w:hAnsi="Times New Roman" w:cs="Times New Roman"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num w:numId="1">
    <w:abstractNumId w:val="4"/>
  </w:num>
  <w:num w:numId="2">
    <w:abstractNumId w:val="8"/>
  </w:num>
  <w:num w:numId="3">
    <w:abstractNumId w:val="35"/>
  </w:num>
  <w:num w:numId="4">
    <w:abstractNumId w:val="2"/>
  </w:num>
  <w:num w:numId="5">
    <w:abstractNumId w:val="23"/>
  </w:num>
  <w:num w:numId="6">
    <w:abstractNumId w:val="22"/>
  </w:num>
  <w:num w:numId="7">
    <w:abstractNumId w:val="26"/>
  </w:num>
  <w:num w:numId="8">
    <w:abstractNumId w:val="29"/>
  </w:num>
  <w:num w:numId="9">
    <w:abstractNumId w:val="33"/>
  </w:num>
  <w:num w:numId="10">
    <w:abstractNumId w:val="18"/>
  </w:num>
  <w:num w:numId="11">
    <w:abstractNumId w:val="34"/>
  </w:num>
  <w:num w:numId="12">
    <w:abstractNumId w:val="9"/>
  </w:num>
  <w:num w:numId="13">
    <w:abstractNumId w:val="20"/>
  </w:num>
  <w:num w:numId="14">
    <w:abstractNumId w:val="3"/>
  </w:num>
  <w:num w:numId="15">
    <w:abstractNumId w:val="16"/>
  </w:num>
  <w:num w:numId="16">
    <w:abstractNumId w:val="7"/>
  </w:num>
  <w:num w:numId="17">
    <w:abstractNumId w:val="32"/>
  </w:num>
  <w:num w:numId="18">
    <w:abstractNumId w:val="14"/>
  </w:num>
  <w:num w:numId="19">
    <w:abstractNumId w:val="31"/>
  </w:num>
  <w:num w:numId="20">
    <w:abstractNumId w:val="1"/>
  </w:num>
  <w:num w:numId="21">
    <w:abstractNumId w:val="12"/>
  </w:num>
  <w:num w:numId="22">
    <w:abstractNumId w:val="41"/>
  </w:num>
  <w:num w:numId="23">
    <w:abstractNumId w:val="24"/>
  </w:num>
  <w:num w:numId="24">
    <w:abstractNumId w:val="19"/>
  </w:num>
  <w:num w:numId="25">
    <w:abstractNumId w:val="28"/>
  </w:num>
  <w:num w:numId="26">
    <w:abstractNumId w:val="17"/>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8"/>
  </w:num>
  <w:num w:numId="31">
    <w:abstractNumId w:val="13"/>
  </w:num>
  <w:num w:numId="32">
    <w:abstractNumId w:val="36"/>
  </w:num>
  <w:num w:numId="33">
    <w:abstractNumId w:val="40"/>
  </w:num>
  <w:num w:numId="34">
    <w:abstractNumId w:val="37"/>
  </w:num>
  <w:num w:numId="35">
    <w:abstractNumId w:val="6"/>
  </w:num>
  <w:num w:numId="36">
    <w:abstractNumId w:val="25"/>
  </w:num>
  <w:num w:numId="37">
    <w:abstractNumId w:val="30"/>
  </w:num>
  <w:num w:numId="38">
    <w:abstractNumId w:val="27"/>
  </w:num>
  <w:num w:numId="39">
    <w:abstractNumId w:val="10"/>
  </w:num>
  <w:num w:numId="40">
    <w:abstractNumId w:val="0"/>
  </w:num>
  <w:num w:numId="41">
    <w:abstractNumId w:val="15"/>
  </w:num>
  <w:num w:numId="42">
    <w:abstractNumId w:val="5"/>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1948"/>
    <w:rsid w:val="000163A1"/>
    <w:rsid w:val="00017CA9"/>
    <w:rsid w:val="00022163"/>
    <w:rsid w:val="000230C6"/>
    <w:rsid w:val="00025B33"/>
    <w:rsid w:val="000304D8"/>
    <w:rsid w:val="00037E43"/>
    <w:rsid w:val="00045380"/>
    <w:rsid w:val="00053471"/>
    <w:rsid w:val="000538D0"/>
    <w:rsid w:val="00054145"/>
    <w:rsid w:val="00060563"/>
    <w:rsid w:val="00071F6B"/>
    <w:rsid w:val="00074A8E"/>
    <w:rsid w:val="00076994"/>
    <w:rsid w:val="0008031F"/>
    <w:rsid w:val="0009144F"/>
    <w:rsid w:val="000A4383"/>
    <w:rsid w:val="000A599E"/>
    <w:rsid w:val="000A61D6"/>
    <w:rsid w:val="000A7576"/>
    <w:rsid w:val="000B468F"/>
    <w:rsid w:val="000C5C3C"/>
    <w:rsid w:val="000C66EB"/>
    <w:rsid w:val="00117654"/>
    <w:rsid w:val="00117904"/>
    <w:rsid w:val="00121DEA"/>
    <w:rsid w:val="00126A02"/>
    <w:rsid w:val="00150BB3"/>
    <w:rsid w:val="00156ECD"/>
    <w:rsid w:val="00157C4A"/>
    <w:rsid w:val="001620EA"/>
    <w:rsid w:val="00165624"/>
    <w:rsid w:val="0016779A"/>
    <w:rsid w:val="001754CA"/>
    <w:rsid w:val="001829A7"/>
    <w:rsid w:val="00184B27"/>
    <w:rsid w:val="00185F95"/>
    <w:rsid w:val="00191F45"/>
    <w:rsid w:val="001B0568"/>
    <w:rsid w:val="001B3F3D"/>
    <w:rsid w:val="001B697D"/>
    <w:rsid w:val="001C32B3"/>
    <w:rsid w:val="001E5AD7"/>
    <w:rsid w:val="001E6160"/>
    <w:rsid w:val="001E7413"/>
    <w:rsid w:val="002025A8"/>
    <w:rsid w:val="0021101E"/>
    <w:rsid w:val="002148A4"/>
    <w:rsid w:val="002173E3"/>
    <w:rsid w:val="00224DC4"/>
    <w:rsid w:val="0023457E"/>
    <w:rsid w:val="00246F3B"/>
    <w:rsid w:val="002609E5"/>
    <w:rsid w:val="002855EB"/>
    <w:rsid w:val="002B0D2A"/>
    <w:rsid w:val="002B221A"/>
    <w:rsid w:val="002C06DC"/>
    <w:rsid w:val="002D40CD"/>
    <w:rsid w:val="002D63C1"/>
    <w:rsid w:val="002D6A46"/>
    <w:rsid w:val="002E3144"/>
    <w:rsid w:val="002F7E81"/>
    <w:rsid w:val="003148EC"/>
    <w:rsid w:val="003159AD"/>
    <w:rsid w:val="00316C2A"/>
    <w:rsid w:val="00322A7A"/>
    <w:rsid w:val="00324917"/>
    <w:rsid w:val="00327E46"/>
    <w:rsid w:val="00347129"/>
    <w:rsid w:val="00360015"/>
    <w:rsid w:val="00370A43"/>
    <w:rsid w:val="003840A0"/>
    <w:rsid w:val="0039412A"/>
    <w:rsid w:val="00397317"/>
    <w:rsid w:val="003A2C6E"/>
    <w:rsid w:val="003A2FBC"/>
    <w:rsid w:val="003A3A6A"/>
    <w:rsid w:val="003C0B95"/>
    <w:rsid w:val="003D478B"/>
    <w:rsid w:val="003E5D30"/>
    <w:rsid w:val="003E7BA4"/>
    <w:rsid w:val="003F3BE3"/>
    <w:rsid w:val="003F5E8D"/>
    <w:rsid w:val="003F69B8"/>
    <w:rsid w:val="00400142"/>
    <w:rsid w:val="00403309"/>
    <w:rsid w:val="0041089F"/>
    <w:rsid w:val="0041577A"/>
    <w:rsid w:val="00416C71"/>
    <w:rsid w:val="00422C05"/>
    <w:rsid w:val="00425B59"/>
    <w:rsid w:val="00434636"/>
    <w:rsid w:val="00441C49"/>
    <w:rsid w:val="00447246"/>
    <w:rsid w:val="00473B73"/>
    <w:rsid w:val="00485409"/>
    <w:rsid w:val="00485CF8"/>
    <w:rsid w:val="00487A4D"/>
    <w:rsid w:val="0049471A"/>
    <w:rsid w:val="004A242B"/>
    <w:rsid w:val="004A70CD"/>
    <w:rsid w:val="004B1495"/>
    <w:rsid w:val="004B1EFF"/>
    <w:rsid w:val="004B6217"/>
    <w:rsid w:val="004C1552"/>
    <w:rsid w:val="004C79B5"/>
    <w:rsid w:val="004C79CA"/>
    <w:rsid w:val="004D3C1B"/>
    <w:rsid w:val="004E4F37"/>
    <w:rsid w:val="004F6998"/>
    <w:rsid w:val="00510883"/>
    <w:rsid w:val="00512B4C"/>
    <w:rsid w:val="00513E2C"/>
    <w:rsid w:val="00546424"/>
    <w:rsid w:val="00546D6E"/>
    <w:rsid w:val="005530C8"/>
    <w:rsid w:val="005605FC"/>
    <w:rsid w:val="00560716"/>
    <w:rsid w:val="00562471"/>
    <w:rsid w:val="00567871"/>
    <w:rsid w:val="005854CF"/>
    <w:rsid w:val="005A0176"/>
    <w:rsid w:val="005A080A"/>
    <w:rsid w:val="005A18ED"/>
    <w:rsid w:val="005B3E55"/>
    <w:rsid w:val="005B51CA"/>
    <w:rsid w:val="005C626C"/>
    <w:rsid w:val="005D0EFD"/>
    <w:rsid w:val="005E12D5"/>
    <w:rsid w:val="005E3C2B"/>
    <w:rsid w:val="005E404D"/>
    <w:rsid w:val="005E7680"/>
    <w:rsid w:val="005F1DED"/>
    <w:rsid w:val="005F63AD"/>
    <w:rsid w:val="00601F9C"/>
    <w:rsid w:val="006031F7"/>
    <w:rsid w:val="006257E0"/>
    <w:rsid w:val="0062606F"/>
    <w:rsid w:val="00633000"/>
    <w:rsid w:val="0066585F"/>
    <w:rsid w:val="00667663"/>
    <w:rsid w:val="00680623"/>
    <w:rsid w:val="00681AEA"/>
    <w:rsid w:val="006864E7"/>
    <w:rsid w:val="00695AE0"/>
    <w:rsid w:val="006A351C"/>
    <w:rsid w:val="006C6B13"/>
    <w:rsid w:val="006F14FA"/>
    <w:rsid w:val="006F20B1"/>
    <w:rsid w:val="006F43E3"/>
    <w:rsid w:val="006F75AF"/>
    <w:rsid w:val="00710606"/>
    <w:rsid w:val="00723271"/>
    <w:rsid w:val="00734C81"/>
    <w:rsid w:val="00746BF8"/>
    <w:rsid w:val="00767D2C"/>
    <w:rsid w:val="00775AA0"/>
    <w:rsid w:val="00786F42"/>
    <w:rsid w:val="0079342A"/>
    <w:rsid w:val="007967D1"/>
    <w:rsid w:val="007A1C1C"/>
    <w:rsid w:val="007A66B5"/>
    <w:rsid w:val="007C77E8"/>
    <w:rsid w:val="007D1D18"/>
    <w:rsid w:val="007F00EE"/>
    <w:rsid w:val="008441C1"/>
    <w:rsid w:val="00846BE1"/>
    <w:rsid w:val="00850787"/>
    <w:rsid w:val="008700B2"/>
    <w:rsid w:val="00870F11"/>
    <w:rsid w:val="008821AF"/>
    <w:rsid w:val="00897AEF"/>
    <w:rsid w:val="008A2C1F"/>
    <w:rsid w:val="008C25BB"/>
    <w:rsid w:val="008D4FE7"/>
    <w:rsid w:val="008E3674"/>
    <w:rsid w:val="00904C0B"/>
    <w:rsid w:val="00924B70"/>
    <w:rsid w:val="00934B08"/>
    <w:rsid w:val="00951C74"/>
    <w:rsid w:val="00963DAB"/>
    <w:rsid w:val="0096439C"/>
    <w:rsid w:val="0097688B"/>
    <w:rsid w:val="00977A26"/>
    <w:rsid w:val="00980300"/>
    <w:rsid w:val="0098644A"/>
    <w:rsid w:val="009A2C41"/>
    <w:rsid w:val="009B1561"/>
    <w:rsid w:val="009B22CA"/>
    <w:rsid w:val="009D085B"/>
    <w:rsid w:val="009D2DE7"/>
    <w:rsid w:val="009E5CC0"/>
    <w:rsid w:val="00A005C0"/>
    <w:rsid w:val="00A0668A"/>
    <w:rsid w:val="00A1088E"/>
    <w:rsid w:val="00A10DC8"/>
    <w:rsid w:val="00A1553F"/>
    <w:rsid w:val="00A17A32"/>
    <w:rsid w:val="00A210CC"/>
    <w:rsid w:val="00A30D3A"/>
    <w:rsid w:val="00A33C17"/>
    <w:rsid w:val="00A37CB5"/>
    <w:rsid w:val="00A55C2C"/>
    <w:rsid w:val="00AA384A"/>
    <w:rsid w:val="00AA3CE0"/>
    <w:rsid w:val="00AA5E1C"/>
    <w:rsid w:val="00AC4C9E"/>
    <w:rsid w:val="00AD16CF"/>
    <w:rsid w:val="00AD3DE8"/>
    <w:rsid w:val="00AE0A6E"/>
    <w:rsid w:val="00AE6BB9"/>
    <w:rsid w:val="00AF0F88"/>
    <w:rsid w:val="00AF5DCC"/>
    <w:rsid w:val="00B03397"/>
    <w:rsid w:val="00B13B5D"/>
    <w:rsid w:val="00B17F0A"/>
    <w:rsid w:val="00B213AE"/>
    <w:rsid w:val="00B3370D"/>
    <w:rsid w:val="00B4215A"/>
    <w:rsid w:val="00B56BD0"/>
    <w:rsid w:val="00B81671"/>
    <w:rsid w:val="00B93D2C"/>
    <w:rsid w:val="00B97E85"/>
    <w:rsid w:val="00BC6383"/>
    <w:rsid w:val="00BD3934"/>
    <w:rsid w:val="00C03FB0"/>
    <w:rsid w:val="00C23657"/>
    <w:rsid w:val="00C333F6"/>
    <w:rsid w:val="00C34C3A"/>
    <w:rsid w:val="00C41C4F"/>
    <w:rsid w:val="00C4225A"/>
    <w:rsid w:val="00C71669"/>
    <w:rsid w:val="00C7312E"/>
    <w:rsid w:val="00C749ED"/>
    <w:rsid w:val="00C93E8A"/>
    <w:rsid w:val="00C96037"/>
    <w:rsid w:val="00CA4B5F"/>
    <w:rsid w:val="00CB6938"/>
    <w:rsid w:val="00CD0C6C"/>
    <w:rsid w:val="00CD6990"/>
    <w:rsid w:val="00D114E1"/>
    <w:rsid w:val="00D24C05"/>
    <w:rsid w:val="00D2629B"/>
    <w:rsid w:val="00D40C4A"/>
    <w:rsid w:val="00D41260"/>
    <w:rsid w:val="00D51484"/>
    <w:rsid w:val="00D5482D"/>
    <w:rsid w:val="00D75B14"/>
    <w:rsid w:val="00D86467"/>
    <w:rsid w:val="00D96C7D"/>
    <w:rsid w:val="00DB28C9"/>
    <w:rsid w:val="00DC570D"/>
    <w:rsid w:val="00DD2747"/>
    <w:rsid w:val="00DD59D6"/>
    <w:rsid w:val="00DE740D"/>
    <w:rsid w:val="00E01CA3"/>
    <w:rsid w:val="00E07C92"/>
    <w:rsid w:val="00E14379"/>
    <w:rsid w:val="00E21948"/>
    <w:rsid w:val="00E24AB6"/>
    <w:rsid w:val="00E44D2E"/>
    <w:rsid w:val="00E618DC"/>
    <w:rsid w:val="00E63036"/>
    <w:rsid w:val="00E64D23"/>
    <w:rsid w:val="00E668E7"/>
    <w:rsid w:val="00E730E6"/>
    <w:rsid w:val="00E73BA7"/>
    <w:rsid w:val="00E80E96"/>
    <w:rsid w:val="00E91A3C"/>
    <w:rsid w:val="00EA0064"/>
    <w:rsid w:val="00EA2D67"/>
    <w:rsid w:val="00EC7A4B"/>
    <w:rsid w:val="00ED2A26"/>
    <w:rsid w:val="00EF384A"/>
    <w:rsid w:val="00F0485B"/>
    <w:rsid w:val="00F048D2"/>
    <w:rsid w:val="00F11439"/>
    <w:rsid w:val="00F13033"/>
    <w:rsid w:val="00F24451"/>
    <w:rsid w:val="00F25B38"/>
    <w:rsid w:val="00F354C7"/>
    <w:rsid w:val="00F36847"/>
    <w:rsid w:val="00F46112"/>
    <w:rsid w:val="00F476CA"/>
    <w:rsid w:val="00F618D1"/>
    <w:rsid w:val="00F66029"/>
    <w:rsid w:val="00F74CC4"/>
    <w:rsid w:val="00F772B8"/>
    <w:rsid w:val="00F80F85"/>
    <w:rsid w:val="00F87D49"/>
    <w:rsid w:val="00F930E0"/>
    <w:rsid w:val="00F93FFB"/>
    <w:rsid w:val="00FB544A"/>
    <w:rsid w:val="00FC09B8"/>
    <w:rsid w:val="00FC2F31"/>
    <w:rsid w:val="00FD2BBE"/>
    <w:rsid w:val="00FD7764"/>
    <w:rsid w:val="00FF5A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184294766">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6240810">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7A1A-120A-494C-B61D-0D7AF3E8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2325</Words>
  <Characters>16744</Characters>
  <Application>Microsoft Office Word</Application>
  <DocSecurity>0</DocSecurity>
  <Lines>356</Lines>
  <Paragraphs>97</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Marija Zjurikova</cp:lastModifiedBy>
  <cp:revision>14</cp:revision>
  <cp:lastPrinted>2012-05-24T10:00:00Z</cp:lastPrinted>
  <dcterms:created xsi:type="dcterms:W3CDTF">2012-05-23T12:01:00Z</dcterms:created>
  <dcterms:modified xsi:type="dcterms:W3CDTF">2012-05-24T10:07:00Z</dcterms:modified>
</cp:coreProperties>
</file>