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264C71" w:rsidRDefault="00E668E7" w:rsidP="006031F7">
      <w:pPr>
        <w:pStyle w:val="Header"/>
        <w:tabs>
          <w:tab w:val="left" w:pos="720"/>
        </w:tabs>
        <w:jc w:val="center"/>
        <w:rPr>
          <w:b/>
          <w:smallCaps/>
          <w:sz w:val="28"/>
          <w:szCs w:val="28"/>
        </w:rPr>
      </w:pPr>
      <w:r w:rsidRPr="00264C71">
        <w:rPr>
          <w:b/>
          <w:smallCaps/>
          <w:sz w:val="28"/>
          <w:szCs w:val="28"/>
        </w:rPr>
        <w:t xml:space="preserve">Informatīvais </w:t>
      </w:r>
      <w:smartTag w:uri="schemas-tilde-lv/tildestengine" w:element="veidnes">
        <w:smartTagPr>
          <w:attr w:name="baseform" w:val="ziņojum|s"/>
          <w:attr w:name="id" w:val="-1"/>
          <w:attr w:name="text" w:val="ziņojums"/>
        </w:smartTagPr>
        <w:r w:rsidRPr="00264C71">
          <w:rPr>
            <w:b/>
            <w:smallCaps/>
            <w:sz w:val="28"/>
            <w:szCs w:val="28"/>
          </w:rPr>
          <w:t>ziņojums</w:t>
        </w:r>
      </w:smartTag>
    </w:p>
    <w:p w:rsidR="00E668E7" w:rsidRPr="00264C71" w:rsidRDefault="00E668E7" w:rsidP="006031F7">
      <w:pPr>
        <w:pStyle w:val="Header"/>
        <w:tabs>
          <w:tab w:val="left" w:pos="720"/>
        </w:tabs>
        <w:jc w:val="center"/>
        <w:rPr>
          <w:b/>
          <w:sz w:val="28"/>
          <w:szCs w:val="28"/>
        </w:rPr>
      </w:pPr>
    </w:p>
    <w:p w:rsidR="00E668E7" w:rsidRPr="00264C71" w:rsidRDefault="00E668E7" w:rsidP="006031F7">
      <w:pPr>
        <w:jc w:val="center"/>
        <w:rPr>
          <w:b/>
          <w:sz w:val="28"/>
          <w:szCs w:val="28"/>
        </w:rPr>
      </w:pPr>
      <w:bookmarkStart w:id="0" w:name="OLE_LINK3"/>
      <w:bookmarkStart w:id="1" w:name="OLE_LINK4"/>
      <w:r w:rsidRPr="00264C71">
        <w:rPr>
          <w:b/>
          <w:sz w:val="28"/>
          <w:szCs w:val="28"/>
        </w:rPr>
        <w:t>par Latvijas</w:t>
      </w:r>
      <w:r w:rsidR="003B32E1" w:rsidRPr="00264C71">
        <w:rPr>
          <w:b/>
          <w:sz w:val="28"/>
          <w:szCs w:val="28"/>
        </w:rPr>
        <w:t xml:space="preserve"> Republikas</w:t>
      </w:r>
      <w:r w:rsidRPr="00264C71">
        <w:rPr>
          <w:b/>
          <w:sz w:val="28"/>
          <w:szCs w:val="28"/>
        </w:rPr>
        <w:t xml:space="preserve"> </w:t>
      </w:r>
      <w:r w:rsidR="002357E6" w:rsidRPr="00264C71">
        <w:rPr>
          <w:b/>
          <w:sz w:val="28"/>
          <w:szCs w:val="28"/>
        </w:rPr>
        <w:t>nostāju</w:t>
      </w:r>
      <w:r w:rsidRPr="00264C71">
        <w:rPr>
          <w:b/>
          <w:sz w:val="28"/>
          <w:szCs w:val="28"/>
        </w:rPr>
        <w:t xml:space="preserve"> Eiropas Savienības Konkurētspējas ministru padomes 201</w:t>
      </w:r>
      <w:r w:rsidR="004F1BA9" w:rsidRPr="00264C71">
        <w:rPr>
          <w:b/>
          <w:sz w:val="28"/>
          <w:szCs w:val="28"/>
        </w:rPr>
        <w:t>3</w:t>
      </w:r>
      <w:r w:rsidRPr="00264C71">
        <w:rPr>
          <w:b/>
          <w:sz w:val="28"/>
          <w:szCs w:val="28"/>
        </w:rPr>
        <w:t xml:space="preserve">.gada </w:t>
      </w:r>
      <w:r w:rsidR="00B347A6" w:rsidRPr="00264C71">
        <w:rPr>
          <w:b/>
          <w:sz w:val="28"/>
          <w:szCs w:val="28"/>
        </w:rPr>
        <w:t>26</w:t>
      </w:r>
      <w:r w:rsidRPr="00264C71">
        <w:rPr>
          <w:b/>
          <w:sz w:val="28"/>
          <w:szCs w:val="28"/>
        </w:rPr>
        <w:t>.</w:t>
      </w:r>
      <w:r w:rsidR="00B347A6" w:rsidRPr="00264C71">
        <w:rPr>
          <w:b/>
          <w:sz w:val="28"/>
          <w:szCs w:val="28"/>
        </w:rPr>
        <w:t>septembra</w:t>
      </w:r>
      <w:r w:rsidRPr="00264C71">
        <w:rPr>
          <w:b/>
          <w:sz w:val="28"/>
          <w:szCs w:val="28"/>
        </w:rPr>
        <w:t xml:space="preserve"> sanāksmē izskat</w:t>
      </w:r>
      <w:r w:rsidR="00505AE3" w:rsidRPr="00264C71">
        <w:rPr>
          <w:b/>
          <w:sz w:val="28"/>
          <w:szCs w:val="28"/>
        </w:rPr>
        <w:t xml:space="preserve">āmajos </w:t>
      </w:r>
      <w:r w:rsidRPr="00264C71">
        <w:rPr>
          <w:b/>
          <w:sz w:val="28"/>
          <w:szCs w:val="28"/>
        </w:rPr>
        <w:t>jautājumos</w:t>
      </w:r>
    </w:p>
    <w:bookmarkEnd w:id="0"/>
    <w:bookmarkEnd w:id="1"/>
    <w:p w:rsidR="00E668E7" w:rsidRPr="00264C71" w:rsidRDefault="00E668E7" w:rsidP="006031F7">
      <w:pPr>
        <w:spacing w:after="120"/>
        <w:jc w:val="both"/>
        <w:rPr>
          <w:sz w:val="28"/>
          <w:szCs w:val="28"/>
        </w:rPr>
      </w:pPr>
    </w:p>
    <w:p w:rsidR="00E668E7" w:rsidRPr="00264C71" w:rsidRDefault="00E668E7" w:rsidP="006031F7">
      <w:pPr>
        <w:spacing w:before="120" w:after="120"/>
        <w:rPr>
          <w:b/>
          <w:sz w:val="28"/>
          <w:szCs w:val="28"/>
        </w:rPr>
      </w:pPr>
      <w:r w:rsidRPr="00264C71">
        <w:rPr>
          <w:b/>
          <w:sz w:val="28"/>
          <w:szCs w:val="28"/>
        </w:rPr>
        <w:t>1. Konkurētspējas ministru padomes sanāksmes darba kārtība</w:t>
      </w:r>
    </w:p>
    <w:p w:rsidR="00897AEF" w:rsidRPr="00264C71" w:rsidRDefault="00897AEF" w:rsidP="004F0096">
      <w:pPr>
        <w:tabs>
          <w:tab w:val="left" w:pos="9288"/>
        </w:tabs>
        <w:ind w:firstLine="851"/>
        <w:jc w:val="both"/>
        <w:rPr>
          <w:sz w:val="28"/>
          <w:szCs w:val="28"/>
        </w:rPr>
      </w:pPr>
      <w:r w:rsidRPr="00264C71">
        <w:rPr>
          <w:sz w:val="28"/>
          <w:szCs w:val="28"/>
        </w:rPr>
        <w:t>201</w:t>
      </w:r>
      <w:r w:rsidR="004F1BA9" w:rsidRPr="00264C71">
        <w:rPr>
          <w:sz w:val="28"/>
          <w:szCs w:val="28"/>
        </w:rPr>
        <w:t>3</w:t>
      </w:r>
      <w:r w:rsidR="00505AE3" w:rsidRPr="00264C71">
        <w:rPr>
          <w:sz w:val="28"/>
          <w:szCs w:val="28"/>
        </w:rPr>
        <w:t>.</w:t>
      </w:r>
      <w:r w:rsidRPr="00264C71">
        <w:rPr>
          <w:sz w:val="28"/>
          <w:szCs w:val="28"/>
        </w:rPr>
        <w:t xml:space="preserve">gada </w:t>
      </w:r>
      <w:r w:rsidR="00B347A6" w:rsidRPr="00264C71">
        <w:rPr>
          <w:sz w:val="28"/>
          <w:szCs w:val="28"/>
        </w:rPr>
        <w:t>26</w:t>
      </w:r>
      <w:r w:rsidRPr="00264C71">
        <w:rPr>
          <w:sz w:val="28"/>
          <w:szCs w:val="28"/>
        </w:rPr>
        <w:t>.</w:t>
      </w:r>
      <w:r w:rsidR="00B347A6" w:rsidRPr="00264C71">
        <w:rPr>
          <w:sz w:val="28"/>
          <w:szCs w:val="28"/>
        </w:rPr>
        <w:t>septembrī</w:t>
      </w:r>
      <w:r w:rsidRPr="00264C71">
        <w:rPr>
          <w:sz w:val="28"/>
          <w:szCs w:val="28"/>
        </w:rPr>
        <w:t xml:space="preserve"> </w:t>
      </w:r>
      <w:r w:rsidR="00271604" w:rsidRPr="00264C71">
        <w:rPr>
          <w:sz w:val="28"/>
          <w:szCs w:val="28"/>
        </w:rPr>
        <w:t>Briselē</w:t>
      </w:r>
      <w:r w:rsidRPr="00264C71">
        <w:rPr>
          <w:sz w:val="28"/>
          <w:szCs w:val="28"/>
        </w:rPr>
        <w:t xml:space="preserve"> notiks Eiropas Savienības (turpmāk – ES) Konkurētspējas ministru padomes sanāksme (turpmāk – </w:t>
      </w:r>
      <w:r w:rsidR="0013164E" w:rsidRPr="00264C71">
        <w:rPr>
          <w:sz w:val="28"/>
          <w:szCs w:val="28"/>
        </w:rPr>
        <w:t>s</w:t>
      </w:r>
      <w:r w:rsidRPr="00264C71">
        <w:rPr>
          <w:sz w:val="28"/>
          <w:szCs w:val="28"/>
        </w:rPr>
        <w:t>anāksme). Paredzams, ka sanāksmes gaitā tiks izskatīti šādi Ekonomikas ministrijas (</w:t>
      </w:r>
      <w:r w:rsidR="00E730E6" w:rsidRPr="00264C71">
        <w:rPr>
          <w:sz w:val="28"/>
          <w:szCs w:val="28"/>
        </w:rPr>
        <w:t xml:space="preserve">turpmāk - </w:t>
      </w:r>
      <w:r w:rsidR="00FC3D6C" w:rsidRPr="00264C71">
        <w:rPr>
          <w:sz w:val="28"/>
          <w:szCs w:val="28"/>
        </w:rPr>
        <w:t>EM) un</w:t>
      </w:r>
      <w:r w:rsidR="004F1BA9" w:rsidRPr="00264C71">
        <w:rPr>
          <w:sz w:val="28"/>
          <w:szCs w:val="28"/>
        </w:rPr>
        <w:t xml:space="preserve"> </w:t>
      </w:r>
      <w:r w:rsidR="00B347A6" w:rsidRPr="00264C71">
        <w:rPr>
          <w:sz w:val="28"/>
          <w:szCs w:val="28"/>
        </w:rPr>
        <w:t>Aizsardzības ministrijas (turpmāk - A</w:t>
      </w:r>
      <w:r w:rsidR="003E6BBB" w:rsidRPr="00264C71">
        <w:rPr>
          <w:sz w:val="28"/>
          <w:szCs w:val="28"/>
        </w:rPr>
        <w:t>M)</w:t>
      </w:r>
      <w:r w:rsidR="005A7F37" w:rsidRPr="00264C71">
        <w:rPr>
          <w:sz w:val="28"/>
          <w:szCs w:val="28"/>
        </w:rPr>
        <w:t xml:space="preserve"> </w:t>
      </w:r>
      <w:r w:rsidRPr="00264C71">
        <w:rPr>
          <w:sz w:val="28"/>
          <w:szCs w:val="28"/>
        </w:rPr>
        <w:t>kompetencē esoši jautājumi:</w:t>
      </w:r>
    </w:p>
    <w:p w:rsidR="00BD6689" w:rsidRPr="00264C71" w:rsidRDefault="00BD6689" w:rsidP="004F0096">
      <w:pPr>
        <w:tabs>
          <w:tab w:val="left" w:pos="9288"/>
        </w:tabs>
        <w:ind w:firstLine="851"/>
        <w:jc w:val="both"/>
        <w:rPr>
          <w:sz w:val="28"/>
          <w:szCs w:val="28"/>
        </w:rPr>
      </w:pPr>
    </w:p>
    <w:p w:rsidR="00897AEF" w:rsidRPr="00264C71" w:rsidRDefault="00897AEF" w:rsidP="006031F7">
      <w:pPr>
        <w:pBdr>
          <w:bottom w:val="single" w:sz="4" w:space="1" w:color="auto"/>
        </w:pBdr>
        <w:tabs>
          <w:tab w:val="left" w:pos="1290"/>
        </w:tabs>
        <w:autoSpaceDE w:val="0"/>
        <w:autoSpaceDN w:val="0"/>
        <w:adjustRightInd w:val="0"/>
        <w:jc w:val="both"/>
        <w:rPr>
          <w:sz w:val="28"/>
          <w:szCs w:val="28"/>
          <w:highlight w:val="yellow"/>
        </w:rPr>
      </w:pPr>
      <w:r w:rsidRPr="00264C71">
        <w:rPr>
          <w:b/>
          <w:sz w:val="28"/>
          <w:szCs w:val="28"/>
        </w:rPr>
        <w:t>1.</w:t>
      </w:r>
      <w:r w:rsidR="00B03397" w:rsidRPr="00264C71">
        <w:rPr>
          <w:b/>
          <w:sz w:val="28"/>
          <w:szCs w:val="28"/>
        </w:rPr>
        <w:t>1.</w:t>
      </w:r>
      <w:r w:rsidRPr="00264C71">
        <w:rPr>
          <w:b/>
          <w:sz w:val="28"/>
          <w:szCs w:val="28"/>
        </w:rPr>
        <w:t xml:space="preserve"> </w:t>
      </w:r>
      <w:r w:rsidR="00DE50F6" w:rsidRPr="00264C71">
        <w:rPr>
          <w:b/>
          <w:sz w:val="28"/>
          <w:szCs w:val="28"/>
        </w:rPr>
        <w:t xml:space="preserve">Atbalsts MVU konkurētspējai Eiropā – ieguldījums 2013.gada 24. un 25. oktobra Eiropadomes sagatavošanā </w:t>
      </w:r>
      <w:r w:rsidR="002D5915" w:rsidRPr="00264C71">
        <w:rPr>
          <w:i/>
          <w:sz w:val="28"/>
          <w:szCs w:val="28"/>
        </w:rPr>
        <w:t>(</w:t>
      </w:r>
      <w:r w:rsidR="00DE50F6" w:rsidRPr="00264C71">
        <w:rPr>
          <w:i/>
          <w:sz w:val="28"/>
          <w:szCs w:val="28"/>
        </w:rPr>
        <w:t>EM</w:t>
      </w:r>
      <w:r w:rsidR="004F0096" w:rsidRPr="00264C71">
        <w:rPr>
          <w:i/>
          <w:sz w:val="28"/>
          <w:szCs w:val="28"/>
        </w:rPr>
        <w:t xml:space="preserve"> kompetence</w:t>
      </w:r>
      <w:r w:rsidR="004A5B6D" w:rsidRPr="00264C71">
        <w:rPr>
          <w:i/>
          <w:sz w:val="28"/>
          <w:szCs w:val="28"/>
        </w:rPr>
        <w:t xml:space="preserve"> – sagatavota </w:t>
      </w:r>
      <w:r w:rsidR="00DE50F6" w:rsidRPr="00264C71">
        <w:rPr>
          <w:i/>
          <w:sz w:val="28"/>
          <w:szCs w:val="28"/>
        </w:rPr>
        <w:t>pozīcija</w:t>
      </w:r>
      <w:r w:rsidR="004F0096" w:rsidRPr="00264C71">
        <w:rPr>
          <w:i/>
          <w:sz w:val="28"/>
          <w:szCs w:val="28"/>
        </w:rPr>
        <w:t>)</w:t>
      </w:r>
    </w:p>
    <w:p w:rsidR="00E730E6" w:rsidRPr="00264C71" w:rsidRDefault="002D5915" w:rsidP="006031F7">
      <w:pPr>
        <w:tabs>
          <w:tab w:val="left" w:pos="284"/>
        </w:tabs>
        <w:jc w:val="both"/>
        <w:rPr>
          <w:i/>
          <w:sz w:val="28"/>
          <w:szCs w:val="28"/>
        </w:rPr>
      </w:pPr>
      <w:r w:rsidRPr="00264C71">
        <w:rPr>
          <w:i/>
          <w:sz w:val="28"/>
          <w:szCs w:val="28"/>
        </w:rPr>
        <w:t xml:space="preserve">- </w:t>
      </w:r>
      <w:r w:rsidR="000D0931" w:rsidRPr="00264C71">
        <w:rPr>
          <w:i/>
          <w:sz w:val="28"/>
          <w:szCs w:val="28"/>
        </w:rPr>
        <w:t>politikas debates</w:t>
      </w:r>
    </w:p>
    <w:p w:rsidR="00897AEF" w:rsidRPr="00264C71" w:rsidRDefault="00897AEF" w:rsidP="006031F7">
      <w:pPr>
        <w:tabs>
          <w:tab w:val="left" w:pos="284"/>
        </w:tabs>
        <w:ind w:firstLine="851"/>
        <w:jc w:val="both"/>
        <w:rPr>
          <w:sz w:val="28"/>
          <w:szCs w:val="28"/>
          <w:highlight w:val="yellow"/>
        </w:rPr>
      </w:pPr>
    </w:p>
    <w:p w:rsidR="005814EA" w:rsidRPr="00264C71" w:rsidRDefault="00D704EC" w:rsidP="005814EA">
      <w:pPr>
        <w:ind w:firstLine="720"/>
        <w:jc w:val="both"/>
        <w:rPr>
          <w:sz w:val="28"/>
          <w:szCs w:val="26"/>
          <w:lang w:eastAsia="en-US"/>
        </w:rPr>
      </w:pPr>
      <w:r w:rsidRPr="00264C71">
        <w:rPr>
          <w:sz w:val="28"/>
          <w:szCs w:val="26"/>
        </w:rPr>
        <w:t xml:space="preserve">Sanāksmē paredzēts diskutēt par mazo un vidējo uzņēmumu (turpmāk – MVU) konkurētspējas stiprināšanu ES. MVU ir ekonomikas izaugsmes un nodarbinātības pamats, </w:t>
      </w:r>
      <w:r w:rsidR="005814EA" w:rsidRPr="00264C71">
        <w:rPr>
          <w:sz w:val="28"/>
          <w:szCs w:val="26"/>
        </w:rPr>
        <w:t xml:space="preserve">ko apliecina statistika, ka </w:t>
      </w:r>
      <w:r w:rsidRPr="00264C71">
        <w:rPr>
          <w:sz w:val="28"/>
          <w:szCs w:val="26"/>
        </w:rPr>
        <w:t xml:space="preserve">šobrīd </w:t>
      </w:r>
      <w:r w:rsidR="005814EA" w:rsidRPr="00264C71">
        <w:rPr>
          <w:sz w:val="28"/>
          <w:szCs w:val="26"/>
        </w:rPr>
        <w:t xml:space="preserve">ES </w:t>
      </w:r>
      <w:r w:rsidRPr="00264C71">
        <w:rPr>
          <w:sz w:val="28"/>
          <w:szCs w:val="26"/>
        </w:rPr>
        <w:t xml:space="preserve">darbojas vairāk nekā 20 </w:t>
      </w:r>
      <w:proofErr w:type="spellStart"/>
      <w:r w:rsidRPr="00264C71">
        <w:rPr>
          <w:sz w:val="28"/>
          <w:szCs w:val="26"/>
        </w:rPr>
        <w:t>milj</w:t>
      </w:r>
      <w:proofErr w:type="spellEnd"/>
      <w:r w:rsidRPr="00264C71">
        <w:rPr>
          <w:sz w:val="28"/>
          <w:szCs w:val="26"/>
        </w:rPr>
        <w:t>. MVU</w:t>
      </w:r>
      <w:r w:rsidR="005814EA" w:rsidRPr="00264C71">
        <w:rPr>
          <w:sz w:val="28"/>
          <w:szCs w:val="26"/>
        </w:rPr>
        <w:t>, kas ir 98% no kopējā uzņēmumu skaita.</w:t>
      </w:r>
      <w:r w:rsidRPr="00264C71">
        <w:rPr>
          <w:sz w:val="28"/>
          <w:szCs w:val="26"/>
        </w:rPr>
        <w:t xml:space="preserve"> </w:t>
      </w:r>
      <w:r w:rsidR="005814EA" w:rsidRPr="00264C71">
        <w:rPr>
          <w:sz w:val="28"/>
          <w:szCs w:val="26"/>
        </w:rPr>
        <w:t>T</w:t>
      </w:r>
      <w:r w:rsidRPr="00264C71">
        <w:rPr>
          <w:sz w:val="28"/>
          <w:szCs w:val="26"/>
        </w:rPr>
        <w:t>ie sniedz 58% no pievienotās vērtības un nodarbina</w:t>
      </w:r>
      <w:r w:rsidR="005814EA" w:rsidRPr="00264C71">
        <w:rPr>
          <w:sz w:val="28"/>
          <w:szCs w:val="26"/>
        </w:rPr>
        <w:t xml:space="preserve"> vairāk nekā 67% iedzīvotājus. </w:t>
      </w:r>
      <w:r w:rsidR="005814EA" w:rsidRPr="00264C71">
        <w:rPr>
          <w:sz w:val="28"/>
          <w:szCs w:val="26"/>
          <w:lang w:eastAsia="en-US"/>
        </w:rPr>
        <w:t xml:space="preserve">Tomēr jāatzīmē MVU šobrīd vēl joprojām cīnās, lai atgūtu attīstības tempus pēc krīzes perioda, kurā zaudētas vairāk nekā 2 </w:t>
      </w:r>
      <w:proofErr w:type="spellStart"/>
      <w:r w:rsidR="005814EA" w:rsidRPr="00264C71">
        <w:rPr>
          <w:sz w:val="28"/>
          <w:szCs w:val="26"/>
          <w:lang w:eastAsia="en-US"/>
        </w:rPr>
        <w:t>milj</w:t>
      </w:r>
      <w:proofErr w:type="spellEnd"/>
      <w:r w:rsidR="005814EA" w:rsidRPr="00264C71">
        <w:rPr>
          <w:sz w:val="28"/>
          <w:szCs w:val="26"/>
          <w:lang w:eastAsia="en-US"/>
        </w:rPr>
        <w:t>. darbavietas.</w:t>
      </w:r>
    </w:p>
    <w:p w:rsidR="005814EA" w:rsidRPr="00264C71" w:rsidRDefault="005814EA" w:rsidP="005814EA">
      <w:pPr>
        <w:ind w:firstLine="720"/>
        <w:jc w:val="both"/>
        <w:rPr>
          <w:sz w:val="28"/>
          <w:szCs w:val="26"/>
          <w:lang w:eastAsia="en-US"/>
        </w:rPr>
      </w:pPr>
      <w:r w:rsidRPr="00264C71">
        <w:rPr>
          <w:sz w:val="28"/>
          <w:szCs w:val="26"/>
          <w:lang w:eastAsia="en-US"/>
        </w:rPr>
        <w:t>Lai veicinātu ministru diskusiju sanāksmē, Lietuvas prezidentūra (turpmāk - Prezidentūra)</w:t>
      </w:r>
      <w:r w:rsidR="00A80535" w:rsidRPr="00264C71">
        <w:rPr>
          <w:sz w:val="28"/>
          <w:szCs w:val="26"/>
          <w:lang w:eastAsia="en-US"/>
        </w:rPr>
        <w:t xml:space="preserve"> ir sagatavoju</w:t>
      </w:r>
      <w:r w:rsidRPr="00264C71">
        <w:rPr>
          <w:sz w:val="28"/>
          <w:szCs w:val="26"/>
          <w:lang w:eastAsia="en-US"/>
        </w:rPr>
        <w:t>s</w:t>
      </w:r>
      <w:r w:rsidR="00A80535" w:rsidRPr="00264C71">
        <w:rPr>
          <w:sz w:val="28"/>
          <w:szCs w:val="26"/>
          <w:lang w:eastAsia="en-US"/>
        </w:rPr>
        <w:t>i</w:t>
      </w:r>
      <w:r w:rsidRPr="00264C71">
        <w:rPr>
          <w:sz w:val="28"/>
          <w:szCs w:val="26"/>
          <w:lang w:eastAsia="en-US"/>
        </w:rPr>
        <w:t xml:space="preserve"> diskusiju dokumentu, kurā kā efektīvu līdzekli MVU attīstībai atzīmē Eiropas Komisijas 2008.gadā ieviesto „Mazās uzņēmējdarbības aktu Eiropai” (turpmāk – Akts), kas iezīmē 10 vadlīnijas MVU politikas veidošanā un nosaka „domā par mazajiem vispirms” principa stiprināšanu visos uz MVU attiecināmos jautājumos. Tāpat būtiski ir Padomes secinājumos par „Vidēja termiņa pārskatu Akta īstenošanā” apstiprinātie prioritārie rīcības virzieni: pieeja finansējumam, pieeja tirgum, lietpratīgs regulējums un izcila uzņēmējdarbības vide.</w:t>
      </w:r>
    </w:p>
    <w:p w:rsidR="000E0775" w:rsidRPr="00264C71" w:rsidRDefault="000E0775" w:rsidP="005814EA">
      <w:pPr>
        <w:ind w:firstLine="720"/>
        <w:jc w:val="both"/>
        <w:rPr>
          <w:sz w:val="28"/>
          <w:szCs w:val="26"/>
          <w:lang w:eastAsia="en-US"/>
        </w:rPr>
      </w:pPr>
    </w:p>
    <w:p w:rsidR="000E0775" w:rsidRPr="00264C71" w:rsidRDefault="000E0775" w:rsidP="000E0775">
      <w:pPr>
        <w:jc w:val="both"/>
        <w:rPr>
          <w:b/>
          <w:i/>
          <w:sz w:val="28"/>
          <w:szCs w:val="26"/>
          <w:u w:val="single"/>
          <w:lang w:eastAsia="en-US"/>
        </w:rPr>
      </w:pPr>
      <w:r w:rsidRPr="00264C71">
        <w:rPr>
          <w:b/>
          <w:i/>
          <w:sz w:val="28"/>
          <w:szCs w:val="26"/>
          <w:u w:val="single"/>
          <w:lang w:eastAsia="en-US"/>
        </w:rPr>
        <w:t>Latvijas pozīcija:</w:t>
      </w:r>
    </w:p>
    <w:p w:rsidR="000E0775" w:rsidRPr="00264C71" w:rsidRDefault="000E0775" w:rsidP="000E0775">
      <w:pPr>
        <w:jc w:val="both"/>
        <w:rPr>
          <w:sz w:val="28"/>
          <w:szCs w:val="26"/>
        </w:rPr>
      </w:pPr>
      <w:r w:rsidRPr="00264C71">
        <w:rPr>
          <w:b/>
          <w:sz w:val="28"/>
          <w:szCs w:val="26"/>
        </w:rPr>
        <w:tab/>
        <w:t>Latvija augstu vērtē</w:t>
      </w:r>
      <w:r w:rsidRPr="00264C71">
        <w:rPr>
          <w:sz w:val="28"/>
          <w:szCs w:val="26"/>
        </w:rPr>
        <w:t xml:space="preserve"> Akta ietekmi uz MVU politikas veidošanas procesu un uzskata, ka tajā iekļautās vadlīnijas ir vērtējamas kā efektīvs rīks uzņēmējdarbības politikas veidošanai arī turpmāk, apstiprinot tajā noteiktās prioritārās jomas. Latvija ar augstu atbildības sajūtu ir centusies Aktā noteiktās vadlīnijas ievērot, izstrādājot gan ilgtermiņa, gan īstermiņa politikas dokumentus, piemēram, ik gadu izstrādājot Uzņēmējdarbības vides uzlabošanas pasākumu plānu, pieņemot Nacionālās industriālās politikas </w:t>
      </w:r>
      <w:r w:rsidRPr="00264C71">
        <w:rPr>
          <w:sz w:val="28"/>
          <w:szCs w:val="26"/>
        </w:rPr>
        <w:lastRenderedPageBreak/>
        <w:t>pamatnostādnes 2020.gadam un apstiprinot Nacionālais attīstības plānu 2020.gadam.</w:t>
      </w:r>
    </w:p>
    <w:p w:rsidR="000E0775" w:rsidRPr="00264C71" w:rsidRDefault="000E0775" w:rsidP="000E0775">
      <w:pPr>
        <w:jc w:val="both"/>
        <w:rPr>
          <w:sz w:val="28"/>
          <w:szCs w:val="26"/>
        </w:rPr>
      </w:pPr>
      <w:r w:rsidRPr="00264C71">
        <w:rPr>
          <w:sz w:val="28"/>
          <w:szCs w:val="26"/>
        </w:rPr>
        <w:tab/>
      </w:r>
      <w:r w:rsidRPr="00264C71">
        <w:rPr>
          <w:b/>
          <w:sz w:val="28"/>
          <w:szCs w:val="26"/>
        </w:rPr>
        <w:t>Latvija uzskata</w:t>
      </w:r>
      <w:r w:rsidRPr="00264C71">
        <w:rPr>
          <w:sz w:val="28"/>
          <w:szCs w:val="26"/>
        </w:rPr>
        <w:t>, ka gan ES līmenī, gan dalībvalstu līmenī, ciešā sadarbībā ar MVU pārstāvošajām institūcijām, ir jāturpina uzlabot pamatnosacījumus MVU tālākai attīstībai vienotajā tirgū, gan turpinot samazināt šķēršļus to pārrobežu darbībā un uzlabojot MVU pieeju starptautiskajam tirgum, gan veicinot piekļuvi finansējumam, gan stimulējot inovāciju, gan arī samazinot administratīvo slogu un veidojot uzņēmējdarbībai atbilstošus, kvalitatīvus un modernus valsts pārvaldes pakalpojumus.</w:t>
      </w:r>
    </w:p>
    <w:p w:rsidR="000E0775" w:rsidRPr="00264C71" w:rsidRDefault="000E0775" w:rsidP="000E0775">
      <w:pPr>
        <w:jc w:val="both"/>
        <w:rPr>
          <w:sz w:val="28"/>
          <w:szCs w:val="26"/>
        </w:rPr>
      </w:pPr>
    </w:p>
    <w:p w:rsidR="00D704EC" w:rsidRPr="00264C71" w:rsidRDefault="005814EA" w:rsidP="005814EA">
      <w:pPr>
        <w:ind w:firstLine="720"/>
        <w:jc w:val="both"/>
        <w:rPr>
          <w:sz w:val="28"/>
          <w:szCs w:val="26"/>
          <w:lang w:eastAsia="en-US"/>
        </w:rPr>
      </w:pPr>
      <w:r w:rsidRPr="00264C71">
        <w:rPr>
          <w:sz w:val="28"/>
          <w:szCs w:val="26"/>
          <w:lang w:eastAsia="en-US"/>
        </w:rPr>
        <w:t xml:space="preserve">Prezidentūra, gatavojoties 2013.gada 24. un 25.oktobra Eiropadomei, ministru diskusijām sanāksmē ir sagatavojusi šādus </w:t>
      </w:r>
      <w:r w:rsidRPr="00264C71">
        <w:rPr>
          <w:b/>
          <w:sz w:val="28"/>
          <w:szCs w:val="26"/>
          <w:u w:val="single"/>
          <w:lang w:eastAsia="en-US"/>
        </w:rPr>
        <w:t>diskusiju jautājumus</w:t>
      </w:r>
      <w:r w:rsidRPr="00264C71">
        <w:rPr>
          <w:sz w:val="28"/>
          <w:szCs w:val="26"/>
          <w:lang w:eastAsia="en-US"/>
        </w:rPr>
        <w:t>:</w:t>
      </w:r>
    </w:p>
    <w:p w:rsidR="005814EA" w:rsidRPr="00264C71" w:rsidRDefault="005814EA" w:rsidP="005814EA">
      <w:pPr>
        <w:jc w:val="both"/>
        <w:rPr>
          <w:sz w:val="32"/>
        </w:rPr>
      </w:pPr>
    </w:p>
    <w:p w:rsidR="005814EA" w:rsidRPr="00264C71" w:rsidRDefault="005814EA" w:rsidP="00E626F6">
      <w:pPr>
        <w:pStyle w:val="ListParagraph"/>
        <w:numPr>
          <w:ilvl w:val="0"/>
          <w:numId w:val="2"/>
        </w:numPr>
        <w:jc w:val="both"/>
        <w:rPr>
          <w:b/>
          <w:i/>
          <w:sz w:val="28"/>
          <w:szCs w:val="28"/>
        </w:rPr>
      </w:pPr>
      <w:r w:rsidRPr="00264C71">
        <w:rPr>
          <w:b/>
          <w:i/>
          <w:sz w:val="28"/>
          <w:szCs w:val="28"/>
        </w:rPr>
        <w:t xml:space="preserve">Vai Mazās uzņēmējdarbības akts Eiropai tiktu labāk īstenots, ja tas tiktu pārraudzīts Eiropas Semestra ietvaros? Kā varētu uzlabot sadarbību starp MVU sūtņu tīklu un MVU saistīto jautājumu darba kārtību Konkurētspējas padomē? </w:t>
      </w:r>
    </w:p>
    <w:p w:rsidR="005814EA" w:rsidRPr="00264C71" w:rsidRDefault="005814EA" w:rsidP="005814EA">
      <w:pPr>
        <w:spacing w:before="120" w:after="120"/>
        <w:jc w:val="both"/>
        <w:rPr>
          <w:rFonts w:eastAsia="Calibri"/>
          <w:b/>
          <w:sz w:val="28"/>
          <w:szCs w:val="28"/>
          <w:u w:val="single"/>
          <w:lang w:eastAsia="en-US"/>
        </w:rPr>
      </w:pPr>
      <w:r w:rsidRPr="00264C71">
        <w:rPr>
          <w:rFonts w:eastAsia="Calibri"/>
          <w:b/>
          <w:sz w:val="28"/>
          <w:szCs w:val="28"/>
          <w:u w:val="single"/>
          <w:lang w:eastAsia="en-US"/>
        </w:rPr>
        <w:t xml:space="preserve">Latvijas </w:t>
      </w:r>
      <w:r w:rsidR="00025575" w:rsidRPr="00264C71">
        <w:rPr>
          <w:rFonts w:eastAsia="Calibri"/>
          <w:b/>
          <w:sz w:val="28"/>
          <w:szCs w:val="28"/>
          <w:u w:val="single"/>
          <w:lang w:eastAsia="en-US"/>
        </w:rPr>
        <w:t>nostāja</w:t>
      </w:r>
      <w:r w:rsidRPr="00264C71">
        <w:rPr>
          <w:rFonts w:eastAsia="Calibri"/>
          <w:b/>
          <w:sz w:val="28"/>
          <w:szCs w:val="28"/>
          <w:u w:val="single"/>
          <w:lang w:eastAsia="en-US"/>
        </w:rPr>
        <w:t>:</w:t>
      </w:r>
    </w:p>
    <w:p w:rsidR="0035644F" w:rsidRPr="00264C71" w:rsidRDefault="005C2D2C" w:rsidP="000E0775">
      <w:pPr>
        <w:spacing w:before="120" w:after="120"/>
        <w:jc w:val="both"/>
        <w:rPr>
          <w:rStyle w:val="Strong"/>
          <w:b w:val="0"/>
          <w:bCs w:val="0"/>
          <w:sz w:val="28"/>
          <w:szCs w:val="26"/>
        </w:rPr>
      </w:pPr>
      <w:r w:rsidRPr="00264C71">
        <w:rPr>
          <w:rStyle w:val="Strong"/>
          <w:b w:val="0"/>
          <w:bCs w:val="0"/>
          <w:sz w:val="28"/>
          <w:szCs w:val="26"/>
        </w:rPr>
        <w:tab/>
      </w:r>
      <w:r w:rsidR="000E0775" w:rsidRPr="00264C71">
        <w:rPr>
          <w:rStyle w:val="Strong"/>
          <w:bCs w:val="0"/>
          <w:sz w:val="28"/>
          <w:szCs w:val="26"/>
        </w:rPr>
        <w:t>Latvija piekrīt</w:t>
      </w:r>
      <w:r w:rsidR="000E0775" w:rsidRPr="00264C71">
        <w:rPr>
          <w:rStyle w:val="Strong"/>
          <w:b w:val="0"/>
          <w:bCs w:val="0"/>
          <w:sz w:val="28"/>
          <w:szCs w:val="26"/>
        </w:rPr>
        <w:t>, ka Aktā noteikto uzdevumu īstenoša</w:t>
      </w:r>
      <w:r w:rsidR="00264C71">
        <w:rPr>
          <w:rStyle w:val="Strong"/>
          <w:b w:val="0"/>
          <w:bCs w:val="0"/>
          <w:sz w:val="28"/>
          <w:szCs w:val="26"/>
        </w:rPr>
        <w:t>na</w:t>
      </w:r>
      <w:r w:rsidR="000E0775" w:rsidRPr="00264C71">
        <w:rPr>
          <w:rStyle w:val="Strong"/>
          <w:b w:val="0"/>
          <w:bCs w:val="0"/>
          <w:sz w:val="28"/>
          <w:szCs w:val="26"/>
        </w:rPr>
        <w:t xml:space="preserve"> ir cieši saistīta ar to pastāvīgu pārraudzību un vērtēšanu </w:t>
      </w:r>
      <w:r w:rsidR="000E0775" w:rsidRPr="00264C71">
        <w:rPr>
          <w:rStyle w:val="Strong"/>
          <w:b w:val="0"/>
          <w:bCs w:val="0"/>
          <w:i/>
          <w:sz w:val="28"/>
          <w:szCs w:val="26"/>
        </w:rPr>
        <w:t>(monitoringu)</w:t>
      </w:r>
      <w:r w:rsidR="000E0775" w:rsidRPr="00264C71">
        <w:rPr>
          <w:rStyle w:val="Strong"/>
          <w:b w:val="0"/>
          <w:bCs w:val="0"/>
          <w:sz w:val="28"/>
          <w:szCs w:val="26"/>
        </w:rPr>
        <w:t xml:space="preserve">. Vienlaikus </w:t>
      </w:r>
      <w:r w:rsidR="000E0775" w:rsidRPr="00264C71">
        <w:rPr>
          <w:rStyle w:val="Strong"/>
          <w:bCs w:val="0"/>
          <w:sz w:val="28"/>
          <w:szCs w:val="26"/>
        </w:rPr>
        <w:t>Latvija uzskata</w:t>
      </w:r>
      <w:r w:rsidR="000E0775" w:rsidRPr="00264C71">
        <w:rPr>
          <w:rStyle w:val="Strong"/>
          <w:b w:val="0"/>
          <w:bCs w:val="0"/>
          <w:sz w:val="28"/>
          <w:szCs w:val="26"/>
        </w:rPr>
        <w:t xml:space="preserve">, ka vēl ir nepieciešams vērtēt ieguvumus no Eiropas semestra formāta izmantošanas MVU konkurētspējas veicināšanai. </w:t>
      </w:r>
      <w:r w:rsidR="000E0775" w:rsidRPr="00264C71">
        <w:rPr>
          <w:rStyle w:val="Strong"/>
          <w:bCs w:val="0"/>
          <w:sz w:val="28"/>
          <w:szCs w:val="26"/>
        </w:rPr>
        <w:t>Latvija uzskata</w:t>
      </w:r>
      <w:r w:rsidR="000E0775" w:rsidRPr="00264C71">
        <w:rPr>
          <w:rStyle w:val="Strong"/>
          <w:b w:val="0"/>
          <w:bCs w:val="0"/>
          <w:sz w:val="28"/>
          <w:szCs w:val="26"/>
        </w:rPr>
        <w:t>, ka dalībvalstīm ir jāsaglabā iespēja pašām izvēlēties rīcības virzienus MVU konkurētspējas kāpināšanai, ņemot vērā esošo situāciju dalībvalstīs un nodrošinātos atbalsta pasākumus, kā arī pastāvošos izaicinājumus konkrētajā valstī.</w:t>
      </w:r>
    </w:p>
    <w:p w:rsidR="000E0775" w:rsidRPr="00264C71" w:rsidRDefault="000E0775" w:rsidP="000E0775">
      <w:pPr>
        <w:spacing w:before="120" w:after="120"/>
        <w:jc w:val="both"/>
        <w:rPr>
          <w:rStyle w:val="Strong"/>
          <w:b w:val="0"/>
          <w:bCs w:val="0"/>
          <w:sz w:val="28"/>
          <w:szCs w:val="26"/>
        </w:rPr>
      </w:pPr>
      <w:r w:rsidRPr="00264C71">
        <w:rPr>
          <w:rStyle w:val="Strong"/>
          <w:b w:val="0"/>
          <w:bCs w:val="0"/>
          <w:sz w:val="28"/>
          <w:szCs w:val="26"/>
        </w:rPr>
        <w:tab/>
      </w:r>
      <w:r w:rsidRPr="00264C71">
        <w:rPr>
          <w:rStyle w:val="Strong"/>
          <w:bCs w:val="0"/>
          <w:sz w:val="28"/>
          <w:szCs w:val="26"/>
        </w:rPr>
        <w:t>Latvija uzskata</w:t>
      </w:r>
      <w:r w:rsidRPr="00264C71">
        <w:rPr>
          <w:rStyle w:val="Strong"/>
          <w:b w:val="0"/>
          <w:bCs w:val="0"/>
          <w:sz w:val="28"/>
          <w:szCs w:val="26"/>
        </w:rPr>
        <w:t>, ka aktīvāka sadarbība ir jāuzņemas MVU sūtņu tīklam un Eiropas Komisijai, kā arī Konkurētspējas padomei, tādējādi ne tikai nodrošinot dialogu par pastāvošajiem ES mēroga izaicinājumiem starp privāto un publisko (dalībvalsts un ES līmeņa) sektoru, bet arī veidojot uz uzņēmēju praktiski identificētām problēmām balstītu risinājumu meklēšanu un uzsvaru formulēšanu tālākai rīcībai attiecīgajos Padomes secinājumos rekomendāciju formā.</w:t>
      </w:r>
    </w:p>
    <w:p w:rsidR="000E0775" w:rsidRPr="00264C71" w:rsidRDefault="000E0775" w:rsidP="000E0775">
      <w:pPr>
        <w:spacing w:before="120" w:after="120"/>
        <w:jc w:val="both"/>
        <w:rPr>
          <w:b/>
          <w:sz w:val="28"/>
          <w:szCs w:val="26"/>
        </w:rPr>
      </w:pPr>
      <w:r w:rsidRPr="00264C71">
        <w:rPr>
          <w:rStyle w:val="Strong"/>
          <w:b w:val="0"/>
          <w:bCs w:val="0"/>
          <w:sz w:val="28"/>
          <w:szCs w:val="26"/>
        </w:rPr>
        <w:tab/>
      </w:r>
      <w:r w:rsidRPr="00264C71">
        <w:rPr>
          <w:rStyle w:val="Strong"/>
          <w:bCs w:val="0"/>
          <w:sz w:val="28"/>
          <w:szCs w:val="26"/>
        </w:rPr>
        <w:t>Latvija piekrīt</w:t>
      </w:r>
      <w:r w:rsidRPr="00264C71">
        <w:rPr>
          <w:rStyle w:val="Strong"/>
          <w:b w:val="0"/>
          <w:bCs w:val="0"/>
          <w:sz w:val="28"/>
          <w:szCs w:val="26"/>
        </w:rPr>
        <w:t xml:space="preserve">, ka MVU sūtņu tīkla veiktie secinājumi var kalpot par pamatu konkurētspējīgāku MVU veidošanai un attīstīšanai un ir jānodrošina regulāra informācijas apmaiņa starp MVU sūtņu tīklu un Konkurētspējas padomi, </w:t>
      </w:r>
      <w:r w:rsidR="00230201" w:rsidRPr="00264C71">
        <w:rPr>
          <w:rStyle w:val="Strong"/>
          <w:b w:val="0"/>
          <w:bCs w:val="0"/>
          <w:sz w:val="28"/>
          <w:szCs w:val="26"/>
        </w:rPr>
        <w:t xml:space="preserve">tajā pašā laikā </w:t>
      </w:r>
      <w:r w:rsidR="00230201" w:rsidRPr="00264C71">
        <w:rPr>
          <w:rStyle w:val="Strong"/>
          <w:bCs w:val="0"/>
          <w:sz w:val="28"/>
          <w:szCs w:val="26"/>
        </w:rPr>
        <w:t>uzsverot</w:t>
      </w:r>
      <w:r w:rsidRPr="00264C71">
        <w:rPr>
          <w:rStyle w:val="Strong"/>
          <w:b w:val="0"/>
          <w:bCs w:val="0"/>
          <w:sz w:val="28"/>
          <w:szCs w:val="26"/>
        </w:rPr>
        <w:t>, ka šāda regulāra koordinācija nedrīkst nonākt līdz procesa formalizācijai un iesaistītajām pusēm tā nedrīkst kļūt par apgrūtinošu atskaitīšanās slogu.</w:t>
      </w:r>
    </w:p>
    <w:p w:rsidR="00943764" w:rsidRPr="00264C71" w:rsidRDefault="00943764" w:rsidP="00C94ACC">
      <w:pPr>
        <w:autoSpaceDE w:val="0"/>
        <w:autoSpaceDN w:val="0"/>
        <w:adjustRightInd w:val="0"/>
        <w:spacing w:after="120"/>
        <w:jc w:val="both"/>
        <w:rPr>
          <w:sz w:val="28"/>
        </w:rPr>
      </w:pPr>
    </w:p>
    <w:p w:rsidR="005814EA" w:rsidRPr="00264C71" w:rsidRDefault="005814EA" w:rsidP="00E626F6">
      <w:pPr>
        <w:pStyle w:val="ListParagraph"/>
        <w:numPr>
          <w:ilvl w:val="0"/>
          <w:numId w:val="2"/>
        </w:numPr>
        <w:rPr>
          <w:b/>
          <w:i/>
          <w:sz w:val="28"/>
          <w:szCs w:val="28"/>
        </w:rPr>
      </w:pPr>
      <w:r w:rsidRPr="00264C71">
        <w:rPr>
          <w:b/>
          <w:i/>
          <w:sz w:val="28"/>
          <w:szCs w:val="28"/>
        </w:rPr>
        <w:lastRenderedPageBreak/>
        <w:t xml:space="preserve">Kādi konkrēti pasākumi, saskaņā ar pašreizējo regulējumu, varētu mazināt esošos un potenciālos nesamērīgos ierobežojumus pakalpojumu sniedzējiem un patērētājiem, to darījumos gan e-vidē, gan klātienē? Īstenojot šos pasākumus, vai ir nepieciešams </w:t>
      </w:r>
      <w:proofErr w:type="spellStart"/>
      <w:r w:rsidRPr="00264C71">
        <w:rPr>
          <w:b/>
          <w:i/>
          <w:sz w:val="28"/>
          <w:szCs w:val="28"/>
        </w:rPr>
        <w:t>prioritizēt</w:t>
      </w:r>
      <w:proofErr w:type="spellEnd"/>
      <w:r w:rsidRPr="00264C71">
        <w:rPr>
          <w:b/>
          <w:i/>
          <w:sz w:val="28"/>
          <w:szCs w:val="28"/>
        </w:rPr>
        <w:t xml:space="preserve"> pakalpojumu sektorus MVU pārrobežu darbības veicināšanai, jo īpaši e-vidē, un kuri sektori tie varētu būt (piemēram, biznesa pakalpojumi, tirdzniecība, tūrisms). Kādus pasākumus attiecībā uz minētajiem sektoriem būtu iespējams pabeigt līdz 2014.gada vidum? </w:t>
      </w:r>
    </w:p>
    <w:p w:rsidR="005814EA" w:rsidRPr="00264C71" w:rsidRDefault="005814EA" w:rsidP="005814EA">
      <w:pPr>
        <w:spacing w:before="120" w:after="120"/>
        <w:jc w:val="both"/>
        <w:rPr>
          <w:rFonts w:eastAsia="Calibri"/>
          <w:b/>
          <w:sz w:val="28"/>
          <w:szCs w:val="28"/>
          <w:u w:val="single"/>
          <w:lang w:eastAsia="en-US"/>
        </w:rPr>
      </w:pPr>
      <w:r w:rsidRPr="00264C71">
        <w:rPr>
          <w:rFonts w:eastAsia="Calibri"/>
          <w:b/>
          <w:sz w:val="28"/>
          <w:szCs w:val="28"/>
          <w:u w:val="single"/>
          <w:lang w:eastAsia="en-US"/>
        </w:rPr>
        <w:t xml:space="preserve">Latvijas </w:t>
      </w:r>
      <w:r w:rsidR="00025575" w:rsidRPr="00264C71">
        <w:rPr>
          <w:rFonts w:eastAsia="Calibri"/>
          <w:b/>
          <w:sz w:val="28"/>
          <w:szCs w:val="28"/>
          <w:u w:val="single"/>
          <w:lang w:eastAsia="en-US"/>
        </w:rPr>
        <w:t>nostāja</w:t>
      </w:r>
      <w:r w:rsidRPr="00264C71">
        <w:rPr>
          <w:rFonts w:eastAsia="Calibri"/>
          <w:b/>
          <w:sz w:val="28"/>
          <w:szCs w:val="28"/>
          <w:u w:val="single"/>
          <w:lang w:eastAsia="en-US"/>
        </w:rPr>
        <w:t>:</w:t>
      </w:r>
    </w:p>
    <w:p w:rsidR="00225EEF" w:rsidRPr="00264C71" w:rsidRDefault="005814EA" w:rsidP="005814EA">
      <w:pPr>
        <w:spacing w:before="120" w:after="120"/>
        <w:jc w:val="both"/>
        <w:rPr>
          <w:color w:val="000000"/>
          <w:sz w:val="28"/>
          <w:szCs w:val="26"/>
        </w:rPr>
      </w:pPr>
      <w:r w:rsidRPr="00264C71">
        <w:rPr>
          <w:rStyle w:val="Strong"/>
          <w:bCs w:val="0"/>
          <w:sz w:val="28"/>
          <w:szCs w:val="26"/>
        </w:rPr>
        <w:tab/>
      </w:r>
      <w:r w:rsidR="00225EEF" w:rsidRPr="00264C71">
        <w:rPr>
          <w:rStyle w:val="Strong"/>
          <w:bCs w:val="0"/>
          <w:sz w:val="28"/>
          <w:szCs w:val="26"/>
        </w:rPr>
        <w:t>Latvija piekrīt</w:t>
      </w:r>
      <w:r w:rsidR="00225EEF" w:rsidRPr="00264C71">
        <w:rPr>
          <w:rStyle w:val="Strong"/>
          <w:b w:val="0"/>
          <w:bCs w:val="0"/>
          <w:sz w:val="28"/>
          <w:szCs w:val="26"/>
        </w:rPr>
        <w:t xml:space="preserve"> Prezidentūrai, ka nepieciešama aktīvāka ES un dalībvalstu sadarbība, lai novērstu šķēršļus MVU darbībai Eiropas vienotajā tirgū un ārpus to robežām.</w:t>
      </w:r>
    </w:p>
    <w:p w:rsidR="00225EEF" w:rsidRPr="00264C71" w:rsidRDefault="00225EEF" w:rsidP="005814EA">
      <w:pPr>
        <w:spacing w:before="120" w:after="120"/>
        <w:jc w:val="both"/>
        <w:rPr>
          <w:color w:val="000000"/>
          <w:sz w:val="28"/>
          <w:szCs w:val="26"/>
        </w:rPr>
      </w:pPr>
      <w:r w:rsidRPr="00264C71">
        <w:rPr>
          <w:b/>
          <w:color w:val="000000"/>
          <w:sz w:val="28"/>
          <w:szCs w:val="26"/>
        </w:rPr>
        <w:tab/>
        <w:t>Latvija uzskata</w:t>
      </w:r>
      <w:r w:rsidRPr="00264C71">
        <w:rPr>
          <w:color w:val="000000"/>
          <w:sz w:val="28"/>
          <w:szCs w:val="26"/>
        </w:rPr>
        <w:t>, ka no ES un dalībvalstu pārvaldes puses ir jāveic visas nepieciešamās darbības, lai mazinātu pārrobežu e-pakalpojumu sniegšanas birokrātiskās prasības un procedūras. Tajā pašā laikā arī privātajā sektorā esošajiem tirgus spēlētājiem (gan uzņēmējiem, gan patērētājiem) ir jāuzņemas atbildība un jāturpina aktivitātes, kas veicinās pārrobežu e-pakalpojumu pielietošanu un attīstību.</w:t>
      </w:r>
    </w:p>
    <w:p w:rsidR="00225EEF" w:rsidRPr="00264C71" w:rsidRDefault="00225EEF" w:rsidP="005814EA">
      <w:pPr>
        <w:spacing w:before="120" w:after="120"/>
        <w:jc w:val="both"/>
        <w:rPr>
          <w:color w:val="000000"/>
          <w:sz w:val="28"/>
          <w:szCs w:val="26"/>
        </w:rPr>
      </w:pPr>
      <w:r w:rsidRPr="00264C71">
        <w:rPr>
          <w:b/>
          <w:color w:val="000000"/>
          <w:sz w:val="28"/>
          <w:szCs w:val="26"/>
        </w:rPr>
        <w:tab/>
      </w:r>
      <w:r w:rsidR="001350F0" w:rsidRPr="00264C71">
        <w:rPr>
          <w:b/>
          <w:color w:val="000000"/>
          <w:sz w:val="28"/>
          <w:szCs w:val="26"/>
        </w:rPr>
        <w:t>Latvija norāda</w:t>
      </w:r>
      <w:r w:rsidR="001350F0" w:rsidRPr="00264C71">
        <w:rPr>
          <w:color w:val="000000"/>
          <w:sz w:val="28"/>
          <w:szCs w:val="26"/>
        </w:rPr>
        <w:t>, ka ir jāturpina darbs pie Pakalpojumu direktīvas ieviešanas. Latvija ir atvērta Eiropas līmeņa aktivitātēm, lai paplašinātu Pakalpojumu direktīvas piemērošanu. Vienlaikus ir jāveicina visa veida aktivitātes, kas paredz vienas pieturas aģentūras principa integrēšanu valstu pārvaldes darbībā un e-pakalpojumu ne tikai nodrošināšana, bet arī modernizēšana atbilstoši tirgus pieprasījumam.</w:t>
      </w:r>
    </w:p>
    <w:p w:rsidR="001350F0" w:rsidRPr="00264C71" w:rsidRDefault="001350F0" w:rsidP="005814EA">
      <w:pPr>
        <w:spacing w:before="120" w:after="120"/>
        <w:jc w:val="both"/>
        <w:rPr>
          <w:color w:val="000000"/>
          <w:sz w:val="28"/>
          <w:szCs w:val="26"/>
        </w:rPr>
      </w:pPr>
      <w:r w:rsidRPr="00264C71">
        <w:rPr>
          <w:color w:val="000000"/>
          <w:sz w:val="28"/>
          <w:szCs w:val="26"/>
        </w:rPr>
        <w:tab/>
      </w:r>
      <w:r w:rsidRPr="00264C71">
        <w:rPr>
          <w:b/>
          <w:color w:val="000000"/>
          <w:sz w:val="28"/>
          <w:szCs w:val="26"/>
        </w:rPr>
        <w:t>Latvija uzskata</w:t>
      </w:r>
      <w:r w:rsidRPr="00264C71">
        <w:rPr>
          <w:color w:val="000000"/>
          <w:sz w:val="28"/>
          <w:szCs w:val="26"/>
        </w:rPr>
        <w:t>, ka obligāts priekšnosacījums vienotā digitālā tirgus izveidei ir uzticēšanās elektroniskajai videi. Šajā nolūkā būtisks elements ir uzticami elektroniskie pakalpojumi, kuros tiek ievērota privātās dzīves aizsardzība, garantēta tiesiskā noteiktība, garantēti droši darījumi, kas darbojas pāri robežām. Lai tuvākajā laikā izveidotu patiesi funkcionējošu digitālo vienoto tirgu, ir nepieciešams likvidēt pastāvošos juridiskos šķēršļus preču un pakalpojumu piedāvāšanai (</w:t>
      </w:r>
      <w:proofErr w:type="spellStart"/>
      <w:r w:rsidRPr="00264C71">
        <w:rPr>
          <w:color w:val="000000"/>
          <w:sz w:val="28"/>
          <w:szCs w:val="26"/>
        </w:rPr>
        <w:t>piem</w:t>
      </w:r>
      <w:proofErr w:type="spellEnd"/>
      <w:r w:rsidRPr="00264C71">
        <w:rPr>
          <w:color w:val="000000"/>
          <w:sz w:val="28"/>
          <w:szCs w:val="26"/>
        </w:rPr>
        <w:t xml:space="preserve">., ar intelektuālā īpašuma tiesībām saistīti jautājumi, jo īpaši autortiesības un to licencēšana pārrobežu kontekstā, šādiem darījumiem piemērojamais līgumtiesību režīms </w:t>
      </w:r>
      <w:proofErr w:type="spellStart"/>
      <w:r w:rsidRPr="00264C71">
        <w:rPr>
          <w:color w:val="000000"/>
          <w:sz w:val="28"/>
          <w:szCs w:val="26"/>
        </w:rPr>
        <w:t>u.c</w:t>
      </w:r>
      <w:proofErr w:type="spellEnd"/>
      <w:r w:rsidRPr="00264C71">
        <w:rPr>
          <w:color w:val="000000"/>
          <w:sz w:val="28"/>
          <w:szCs w:val="26"/>
        </w:rPr>
        <w:t>.), veicinot tehnisko attīstību, pienācīgas IT infrastruktūras nodrošināšanu, kā arī vairojot patērētāju uzticību digitālajai videi (e-</w:t>
      </w:r>
      <w:proofErr w:type="spellStart"/>
      <w:r w:rsidRPr="00264C71">
        <w:rPr>
          <w:color w:val="000000"/>
          <w:sz w:val="28"/>
          <w:szCs w:val="26"/>
        </w:rPr>
        <w:t>identitācija</w:t>
      </w:r>
      <w:proofErr w:type="spellEnd"/>
      <w:r w:rsidRPr="00264C71">
        <w:rPr>
          <w:color w:val="000000"/>
          <w:sz w:val="28"/>
          <w:szCs w:val="26"/>
        </w:rPr>
        <w:t xml:space="preserve"> un e-autentifikācija, maksājumu drošība un ērtums, personas datu aizsardzība, preču piegāžu drošums) un veicinot šādu pārrobežu darījumu pieprasījumu.</w:t>
      </w:r>
    </w:p>
    <w:p w:rsidR="005814EA" w:rsidRPr="00264C71" w:rsidRDefault="005814EA" w:rsidP="00C94ACC">
      <w:pPr>
        <w:autoSpaceDE w:val="0"/>
        <w:autoSpaceDN w:val="0"/>
        <w:adjustRightInd w:val="0"/>
        <w:spacing w:after="120"/>
        <w:jc w:val="both"/>
        <w:rPr>
          <w:sz w:val="28"/>
        </w:rPr>
      </w:pPr>
    </w:p>
    <w:p w:rsidR="001350F0" w:rsidRPr="00264C71" w:rsidRDefault="001350F0" w:rsidP="00C94ACC">
      <w:pPr>
        <w:autoSpaceDE w:val="0"/>
        <w:autoSpaceDN w:val="0"/>
        <w:adjustRightInd w:val="0"/>
        <w:spacing w:after="120"/>
        <w:jc w:val="both"/>
        <w:rPr>
          <w:sz w:val="28"/>
        </w:rPr>
      </w:pPr>
    </w:p>
    <w:p w:rsidR="005814EA" w:rsidRPr="00264C71" w:rsidRDefault="005814EA" w:rsidP="00E626F6">
      <w:pPr>
        <w:pStyle w:val="ListParagraph"/>
        <w:numPr>
          <w:ilvl w:val="0"/>
          <w:numId w:val="2"/>
        </w:numPr>
        <w:rPr>
          <w:b/>
          <w:i/>
          <w:sz w:val="28"/>
          <w:szCs w:val="28"/>
        </w:rPr>
      </w:pPr>
      <w:r w:rsidRPr="00264C71">
        <w:rPr>
          <w:b/>
          <w:i/>
          <w:sz w:val="28"/>
          <w:szCs w:val="28"/>
        </w:rPr>
        <w:lastRenderedPageBreak/>
        <w:t xml:space="preserve">Kā pielāgot pašreizējo ES regulējuma pieeju, lai veicinātu inovatīvu MVU izaugsmi? Vai ES var paļauties uz tradicionālo pieeju, izmantojot tiesību aktu vienkāršošanu un regulējuma sloga samazināšanu, vai arī ir nepieciešams apsvērt īpaši izstrādātas pieejas, kas ir vairāk pielāgotas inovatīviem MVU un jaundibinātiem uzņēmumiem? Kādi konkrēti pasākumi varētu būt vispiemērotākie šajā kontekstā? </w:t>
      </w:r>
    </w:p>
    <w:p w:rsidR="005814EA" w:rsidRPr="00264C71" w:rsidRDefault="005814EA" w:rsidP="005814EA">
      <w:pPr>
        <w:spacing w:before="120" w:after="120"/>
        <w:jc w:val="both"/>
        <w:rPr>
          <w:rFonts w:eastAsia="Calibri"/>
          <w:b/>
          <w:sz w:val="28"/>
          <w:szCs w:val="28"/>
          <w:u w:val="single"/>
          <w:lang w:eastAsia="en-US"/>
        </w:rPr>
      </w:pPr>
      <w:r w:rsidRPr="00264C71">
        <w:rPr>
          <w:rFonts w:eastAsia="Calibri"/>
          <w:b/>
          <w:sz w:val="28"/>
          <w:szCs w:val="28"/>
          <w:u w:val="single"/>
          <w:lang w:eastAsia="en-US"/>
        </w:rPr>
        <w:t xml:space="preserve">Latvijas </w:t>
      </w:r>
      <w:r w:rsidR="00025575" w:rsidRPr="00264C71">
        <w:rPr>
          <w:rFonts w:eastAsia="Calibri"/>
          <w:b/>
          <w:sz w:val="28"/>
          <w:szCs w:val="28"/>
          <w:u w:val="single"/>
          <w:lang w:eastAsia="en-US"/>
        </w:rPr>
        <w:t>nostāja</w:t>
      </w:r>
      <w:r w:rsidRPr="00264C71">
        <w:rPr>
          <w:rFonts w:eastAsia="Calibri"/>
          <w:b/>
          <w:sz w:val="28"/>
          <w:szCs w:val="28"/>
          <w:u w:val="single"/>
          <w:lang w:eastAsia="en-US"/>
        </w:rPr>
        <w:t>:</w:t>
      </w:r>
    </w:p>
    <w:p w:rsidR="00D86711" w:rsidRPr="00264C71" w:rsidRDefault="005814EA" w:rsidP="005814EA">
      <w:pPr>
        <w:spacing w:before="120" w:after="120"/>
        <w:jc w:val="both"/>
        <w:rPr>
          <w:color w:val="000000"/>
          <w:sz w:val="28"/>
          <w:szCs w:val="26"/>
        </w:rPr>
      </w:pPr>
      <w:r w:rsidRPr="00264C71">
        <w:rPr>
          <w:rStyle w:val="Strong"/>
          <w:bCs w:val="0"/>
          <w:sz w:val="28"/>
          <w:szCs w:val="26"/>
        </w:rPr>
        <w:tab/>
      </w:r>
      <w:r w:rsidR="00B05824" w:rsidRPr="00264C71">
        <w:rPr>
          <w:rStyle w:val="Strong"/>
          <w:bCs w:val="0"/>
          <w:sz w:val="28"/>
          <w:szCs w:val="26"/>
        </w:rPr>
        <w:t>Latvija piekrīt</w:t>
      </w:r>
      <w:r w:rsidR="00B05824" w:rsidRPr="00264C71">
        <w:rPr>
          <w:rStyle w:val="Strong"/>
          <w:b w:val="0"/>
          <w:bCs w:val="0"/>
          <w:sz w:val="28"/>
          <w:szCs w:val="26"/>
        </w:rPr>
        <w:t xml:space="preserve"> Prezidentūras viedoklim, ka ES līmenī ir pārskatāmi esošie tiesību akti un ir vērtējama atsevišķas ES regulējuma pieejas veidošana </w:t>
      </w:r>
      <w:proofErr w:type="spellStart"/>
      <w:r w:rsidR="00B05824" w:rsidRPr="00264C71">
        <w:rPr>
          <w:rStyle w:val="Strong"/>
          <w:b w:val="0"/>
          <w:bCs w:val="0"/>
          <w:sz w:val="28"/>
          <w:szCs w:val="26"/>
        </w:rPr>
        <w:t>mikro</w:t>
      </w:r>
      <w:proofErr w:type="spellEnd"/>
      <w:r w:rsidR="00B05824" w:rsidRPr="00264C71">
        <w:rPr>
          <w:rStyle w:val="Strong"/>
          <w:b w:val="0"/>
          <w:bCs w:val="0"/>
          <w:sz w:val="28"/>
          <w:szCs w:val="26"/>
        </w:rPr>
        <w:t xml:space="preserve"> un mazās uzņēmējdarbības regulēšanai.</w:t>
      </w:r>
      <w:r w:rsidRPr="00264C71">
        <w:rPr>
          <w:color w:val="000000"/>
          <w:sz w:val="28"/>
          <w:szCs w:val="26"/>
        </w:rPr>
        <w:t xml:space="preserve"> </w:t>
      </w:r>
    </w:p>
    <w:p w:rsidR="005814EA" w:rsidRPr="00264C71" w:rsidRDefault="00D86711" w:rsidP="005814EA">
      <w:pPr>
        <w:spacing w:before="120" w:after="120"/>
        <w:jc w:val="both"/>
        <w:rPr>
          <w:color w:val="000000"/>
          <w:sz w:val="28"/>
          <w:szCs w:val="26"/>
        </w:rPr>
      </w:pPr>
      <w:r w:rsidRPr="00264C71">
        <w:rPr>
          <w:color w:val="000000"/>
          <w:sz w:val="28"/>
          <w:szCs w:val="26"/>
        </w:rPr>
        <w:tab/>
      </w:r>
      <w:r w:rsidRPr="00264C71">
        <w:rPr>
          <w:b/>
          <w:color w:val="000000"/>
          <w:sz w:val="28"/>
          <w:szCs w:val="26"/>
        </w:rPr>
        <w:t>Latvijas prioritāte</w:t>
      </w:r>
      <w:r w:rsidRPr="00264C71">
        <w:rPr>
          <w:color w:val="000000"/>
          <w:sz w:val="28"/>
          <w:szCs w:val="26"/>
        </w:rPr>
        <w:t xml:space="preserve"> ir nodrošināt izcilu uzņēmējdarbības vidi, kas ir priekšnosacījums uzņēmēju un īpaši inovatīvu uzņēmēju vēlmei gan uzsākt uzņēmējdarbību, gan tajā attīstīties un izaugt.</w:t>
      </w:r>
    </w:p>
    <w:p w:rsidR="00D86711" w:rsidRPr="00264C71" w:rsidRDefault="00D86711" w:rsidP="005814EA">
      <w:pPr>
        <w:spacing w:before="120" w:after="120"/>
        <w:jc w:val="both"/>
        <w:rPr>
          <w:color w:val="000000"/>
          <w:sz w:val="28"/>
          <w:szCs w:val="26"/>
        </w:rPr>
      </w:pPr>
      <w:r w:rsidRPr="00264C71">
        <w:rPr>
          <w:color w:val="000000"/>
          <w:sz w:val="28"/>
          <w:szCs w:val="26"/>
        </w:rPr>
        <w:tab/>
      </w:r>
      <w:r w:rsidRPr="00264C71">
        <w:rPr>
          <w:b/>
          <w:color w:val="000000"/>
          <w:sz w:val="28"/>
          <w:szCs w:val="26"/>
        </w:rPr>
        <w:t>Latvija atzinīgi vērtē</w:t>
      </w:r>
      <w:r w:rsidRPr="00264C71">
        <w:rPr>
          <w:color w:val="000000"/>
          <w:sz w:val="28"/>
          <w:szCs w:val="26"/>
        </w:rPr>
        <w:t xml:space="preserve"> līdz šim īstenotās aktivitātes uzņēmējdarbības regulējošo tiesību aktu vienkāršošanai, piemēram, MVU testa pielietošana. Vienlaikus Latvijas vērtējumā vēl joprojām pastāv nesamērīgas prasības tieši mazākajiem saimnieciskās darbības veicējiem, tādēļ </w:t>
      </w:r>
      <w:r w:rsidRPr="00264C71">
        <w:rPr>
          <w:b/>
          <w:color w:val="000000"/>
          <w:sz w:val="28"/>
          <w:szCs w:val="26"/>
        </w:rPr>
        <w:t>uzskatām</w:t>
      </w:r>
      <w:r w:rsidRPr="00264C71">
        <w:rPr>
          <w:color w:val="000000"/>
          <w:sz w:val="28"/>
          <w:szCs w:val="26"/>
        </w:rPr>
        <w:t xml:space="preserve">, ka tieši labās prakses apgūšana no dalībvalstīs realizētajiem pasākumiem var kalpot par labu pamatu turpmākai ideju attīstībai ne tikai atsevišķās dalībvalstīs, bet ES līmenī. </w:t>
      </w:r>
      <w:r w:rsidRPr="00264C71">
        <w:rPr>
          <w:b/>
          <w:color w:val="000000"/>
          <w:sz w:val="28"/>
          <w:szCs w:val="26"/>
        </w:rPr>
        <w:t>Uzskatām</w:t>
      </w:r>
      <w:r w:rsidRPr="00264C71">
        <w:rPr>
          <w:color w:val="000000"/>
          <w:sz w:val="28"/>
          <w:szCs w:val="26"/>
        </w:rPr>
        <w:t xml:space="preserve">, ka Eiropas Komisijai ir izšķiroša nozīme, daloties </w:t>
      </w:r>
      <w:proofErr w:type="spellStart"/>
      <w:r w:rsidRPr="00264C71">
        <w:rPr>
          <w:color w:val="000000"/>
          <w:sz w:val="28"/>
          <w:szCs w:val="26"/>
        </w:rPr>
        <w:t>paraugpraksē</w:t>
      </w:r>
      <w:proofErr w:type="spellEnd"/>
      <w:r w:rsidRPr="00264C71">
        <w:rPr>
          <w:color w:val="000000"/>
          <w:sz w:val="28"/>
          <w:szCs w:val="26"/>
        </w:rPr>
        <w:t xml:space="preserve"> un mudinot dalībvalstis mācīties no citu pieredzes.</w:t>
      </w:r>
    </w:p>
    <w:p w:rsidR="005814EA" w:rsidRPr="00264C71" w:rsidRDefault="005814EA" w:rsidP="00C94ACC">
      <w:pPr>
        <w:autoSpaceDE w:val="0"/>
        <w:autoSpaceDN w:val="0"/>
        <w:adjustRightInd w:val="0"/>
        <w:spacing w:after="120"/>
        <w:jc w:val="both"/>
        <w:rPr>
          <w:sz w:val="28"/>
        </w:rPr>
      </w:pPr>
    </w:p>
    <w:p w:rsidR="00897AEF" w:rsidRPr="00264C71" w:rsidRDefault="00B03397" w:rsidP="006031F7">
      <w:pPr>
        <w:pBdr>
          <w:bottom w:val="single" w:sz="4" w:space="1" w:color="auto"/>
        </w:pBdr>
        <w:autoSpaceDE w:val="0"/>
        <w:autoSpaceDN w:val="0"/>
        <w:adjustRightInd w:val="0"/>
        <w:jc w:val="both"/>
        <w:rPr>
          <w:i/>
          <w:sz w:val="28"/>
          <w:szCs w:val="28"/>
          <w:u w:val="single"/>
        </w:rPr>
      </w:pPr>
      <w:r w:rsidRPr="00264C71">
        <w:rPr>
          <w:b/>
          <w:sz w:val="28"/>
          <w:szCs w:val="28"/>
        </w:rPr>
        <w:t>1.</w:t>
      </w:r>
      <w:r w:rsidR="00897AEF" w:rsidRPr="00264C71">
        <w:rPr>
          <w:b/>
          <w:sz w:val="28"/>
          <w:szCs w:val="28"/>
        </w:rPr>
        <w:t xml:space="preserve">2. </w:t>
      </w:r>
      <w:r w:rsidR="00DE50F6" w:rsidRPr="00264C71">
        <w:rPr>
          <w:b/>
          <w:sz w:val="28"/>
          <w:szCs w:val="28"/>
        </w:rPr>
        <w:t>Rūpniecības politika</w:t>
      </w:r>
    </w:p>
    <w:p w:rsidR="00C718DB" w:rsidRPr="00264C71" w:rsidRDefault="002045B3" w:rsidP="00C718DB">
      <w:pPr>
        <w:tabs>
          <w:tab w:val="left" w:pos="284"/>
        </w:tabs>
        <w:jc w:val="both"/>
        <w:rPr>
          <w:b/>
          <w:i/>
          <w:sz w:val="28"/>
          <w:szCs w:val="28"/>
        </w:rPr>
      </w:pPr>
      <w:r w:rsidRPr="00264C71">
        <w:rPr>
          <w:b/>
          <w:i/>
          <w:sz w:val="28"/>
          <w:szCs w:val="28"/>
        </w:rPr>
        <w:t xml:space="preserve">a) </w:t>
      </w:r>
      <w:r w:rsidR="00DE50F6" w:rsidRPr="00264C71">
        <w:rPr>
          <w:b/>
          <w:i/>
          <w:sz w:val="28"/>
          <w:szCs w:val="28"/>
        </w:rPr>
        <w:t xml:space="preserve">Pamatnosacījumi konkurētspējīgai rūpniecībai Eiropā </w:t>
      </w:r>
      <w:r w:rsidR="00DE50F6" w:rsidRPr="00264C71">
        <w:rPr>
          <w:i/>
          <w:sz w:val="28"/>
          <w:szCs w:val="28"/>
        </w:rPr>
        <w:t>(EM kompetence – sagatavota pozīcija)</w:t>
      </w:r>
    </w:p>
    <w:p w:rsidR="00DE50F6" w:rsidRPr="00264C71" w:rsidRDefault="00DE50F6" w:rsidP="00DE50F6">
      <w:pPr>
        <w:jc w:val="both"/>
        <w:rPr>
          <w:bCs/>
          <w:i/>
          <w:sz w:val="28"/>
        </w:rPr>
      </w:pPr>
      <w:r w:rsidRPr="00264C71">
        <w:rPr>
          <w:bCs/>
          <w:i/>
          <w:sz w:val="28"/>
        </w:rPr>
        <w:t xml:space="preserve">–Komisijas sniegta informācija </w:t>
      </w:r>
    </w:p>
    <w:p w:rsidR="00DE50F6" w:rsidRPr="00264C71" w:rsidRDefault="00DE50F6" w:rsidP="00DE50F6">
      <w:pPr>
        <w:jc w:val="both"/>
        <w:rPr>
          <w:bCs/>
          <w:i/>
          <w:sz w:val="28"/>
        </w:rPr>
      </w:pPr>
      <w:r w:rsidRPr="00264C71">
        <w:rPr>
          <w:bCs/>
          <w:i/>
          <w:sz w:val="28"/>
        </w:rPr>
        <w:t>–viedokļu apmaiņa</w:t>
      </w:r>
    </w:p>
    <w:p w:rsidR="00DE50F6" w:rsidRPr="00264C71" w:rsidRDefault="00DE50F6" w:rsidP="00DE50F6">
      <w:pPr>
        <w:jc w:val="both"/>
        <w:rPr>
          <w:bCs/>
          <w:sz w:val="28"/>
          <w:highlight w:val="yellow"/>
        </w:rPr>
      </w:pPr>
    </w:p>
    <w:p w:rsidR="008C4101" w:rsidRPr="00264C71" w:rsidRDefault="005C2D2C" w:rsidP="00DE50F6">
      <w:pPr>
        <w:pStyle w:val="BodyText2"/>
        <w:jc w:val="both"/>
        <w:rPr>
          <w:bCs/>
          <w:sz w:val="28"/>
        </w:rPr>
      </w:pPr>
      <w:r w:rsidRPr="00264C71">
        <w:rPr>
          <w:bCs/>
          <w:sz w:val="28"/>
        </w:rPr>
        <w:tab/>
      </w:r>
      <w:r w:rsidR="008C4101" w:rsidRPr="00264C71">
        <w:rPr>
          <w:bCs/>
          <w:sz w:val="28"/>
        </w:rPr>
        <w:t>Sanāksmē plānotas ministru diskusijas par ES rūpniecību, tostarp lai sniegtu ieguldījumu 2014.gada februāra Eiropadomei, kurā viens no galvenajiem akcentiem būs ES rūpniecība. Prezidentūra sagatavotajā diskusiju dokumentā norāda, ka Eiropā apstrādes rūpniecības īpatsvars IKP ir samazinājies (šobrīd 15,3%) un tas joprojām ir tālu no plānotā mērķa panākt, ka ES apstrādes rūpniecība veido 20% no ES IKP.</w:t>
      </w:r>
    </w:p>
    <w:p w:rsidR="00DE50F6" w:rsidRPr="00264C71" w:rsidRDefault="008C4101" w:rsidP="00DE50F6">
      <w:pPr>
        <w:pStyle w:val="BodyText2"/>
        <w:jc w:val="both"/>
        <w:rPr>
          <w:sz w:val="28"/>
        </w:rPr>
      </w:pPr>
      <w:r w:rsidRPr="00264C71">
        <w:rPr>
          <w:sz w:val="28"/>
        </w:rPr>
        <w:tab/>
        <w:t>ES stratēģiskais rūpniecības politikas ietvars tika definēts EK sagatavotājā „Eiropa 2020” stratēģijas vadošajā iniciatīvā par integrētu rūpniecības politiku</w:t>
      </w:r>
      <w:r w:rsidRPr="00264C71">
        <w:rPr>
          <w:rStyle w:val="FootnoteReference"/>
          <w:sz w:val="28"/>
        </w:rPr>
        <w:footnoteReference w:id="1"/>
      </w:r>
      <w:r w:rsidRPr="00264C71">
        <w:rPr>
          <w:sz w:val="28"/>
        </w:rPr>
        <w:t xml:space="preserve"> (2010.gads), bet 2012.gada nogalē publicētajā </w:t>
      </w:r>
      <w:r w:rsidRPr="00264C71">
        <w:rPr>
          <w:sz w:val="28"/>
        </w:rPr>
        <w:lastRenderedPageBreak/>
        <w:t>atjaunotajā priekšlikumā ES rūpniecībai</w:t>
      </w:r>
      <w:r w:rsidRPr="00264C71">
        <w:rPr>
          <w:rStyle w:val="FootnoteReference"/>
          <w:sz w:val="28"/>
        </w:rPr>
        <w:footnoteReference w:id="2"/>
      </w:r>
      <w:r w:rsidRPr="00264C71">
        <w:rPr>
          <w:sz w:val="28"/>
        </w:rPr>
        <w:t xml:space="preserve"> EK izvirzīja četrus galvenos ES rūpniecības pīlārus – inovācija, labāki tirgus nosacījumi, piekļuve kapitālam un prasmes.</w:t>
      </w:r>
    </w:p>
    <w:p w:rsidR="008C4101" w:rsidRPr="00264C71" w:rsidRDefault="008C4101" w:rsidP="00DE50F6">
      <w:pPr>
        <w:pStyle w:val="BodyText2"/>
        <w:jc w:val="both"/>
        <w:rPr>
          <w:sz w:val="28"/>
        </w:rPr>
      </w:pPr>
      <w:r w:rsidRPr="00264C71">
        <w:rPr>
          <w:sz w:val="28"/>
        </w:rPr>
        <w:tab/>
        <w:t>Kopējā situācija šobrīd ir uzlabojusies uzņēmējdarbības vides jomā, eksporta rādītājos un ilgtspējā, bet dalībvalstu sniegums joprojām atšķiras inovācijas rādītājos un attiecībā uz piekļuvi finansējumam. Arī augstās enerģijas cenas un nepietiekamā konkurence atsevišķās nozarēs ir aktuāli jautājumi ES rūpniecības konkurētspējai.</w:t>
      </w:r>
    </w:p>
    <w:p w:rsidR="001A65F8" w:rsidRPr="00264C71" w:rsidRDefault="008C4101" w:rsidP="00DE50F6">
      <w:pPr>
        <w:pStyle w:val="BodyText2"/>
        <w:jc w:val="both"/>
        <w:rPr>
          <w:sz w:val="28"/>
        </w:rPr>
      </w:pPr>
      <w:r w:rsidRPr="00264C71">
        <w:rPr>
          <w:sz w:val="28"/>
        </w:rPr>
        <w:tab/>
      </w:r>
      <w:r w:rsidR="00622251" w:rsidRPr="00264C71">
        <w:rPr>
          <w:sz w:val="28"/>
        </w:rPr>
        <w:t>Prezidentūra uzsver, ka pašreizējām enerģētikas tirgu attīstības tendencēm ir būtiska ietekme uz ES rūpniecības konkurētspēju, kā piemēru minot, ka enerģijas cenas Eiropas rūpniecībai laikā no 2003.-2011.gadam ir pieaugušas par 28%, kas ir ļoti ievērojams kāpums, salīdzinot ar citām rūpnieciski attīstītajām valstīm. Joprojām pastāv arī ievērojamas degvielas un gāzes cenu atšķirības starp ES dalībvalstīm un galvenajiem tirdzniecības partneriem, kas rada pievilcīgākus nosacījumus rūpniecisko investīciju veikšanai šajās partnervalstīs nevis ES.</w:t>
      </w:r>
    </w:p>
    <w:p w:rsidR="001A65F8" w:rsidRPr="00264C71" w:rsidRDefault="001A65F8" w:rsidP="00DE50F6">
      <w:pPr>
        <w:pStyle w:val="BodyText2"/>
        <w:jc w:val="both"/>
        <w:rPr>
          <w:sz w:val="28"/>
        </w:rPr>
      </w:pPr>
      <w:r w:rsidRPr="00264C71">
        <w:rPr>
          <w:sz w:val="28"/>
        </w:rPr>
        <w:tab/>
        <w:t xml:space="preserve">Lai veicinātu ministru diskusijas sanāksmē, prezidentūra ir sagatavojusi šādus </w:t>
      </w:r>
      <w:r w:rsidRPr="00264C71">
        <w:rPr>
          <w:b/>
          <w:sz w:val="28"/>
          <w:u w:val="single"/>
        </w:rPr>
        <w:t>diskusiju jautājumus</w:t>
      </w:r>
      <w:r w:rsidRPr="00264C71">
        <w:rPr>
          <w:sz w:val="28"/>
        </w:rPr>
        <w:t>:</w:t>
      </w:r>
    </w:p>
    <w:p w:rsidR="001A65F8" w:rsidRPr="00264C71" w:rsidRDefault="001A65F8" w:rsidP="00DE50F6">
      <w:pPr>
        <w:pStyle w:val="BodyText2"/>
        <w:jc w:val="both"/>
        <w:rPr>
          <w:sz w:val="28"/>
          <w:highlight w:val="yellow"/>
        </w:rPr>
      </w:pPr>
    </w:p>
    <w:p w:rsidR="001A65F8" w:rsidRPr="00264C71" w:rsidRDefault="001A65F8" w:rsidP="00E626F6">
      <w:pPr>
        <w:pStyle w:val="ListParagraph"/>
        <w:numPr>
          <w:ilvl w:val="0"/>
          <w:numId w:val="3"/>
        </w:numPr>
        <w:rPr>
          <w:b/>
          <w:i/>
          <w:sz w:val="28"/>
          <w:szCs w:val="28"/>
        </w:rPr>
      </w:pPr>
      <w:r w:rsidRPr="00264C71">
        <w:rPr>
          <w:b/>
          <w:i/>
          <w:sz w:val="28"/>
          <w:szCs w:val="28"/>
        </w:rPr>
        <w:t xml:space="preserve">Kādām jābūt prioritārajām Konkurētspējas padomes rekomendācijām, domājot par 2014.gada februāra Eiropadomi? </w:t>
      </w:r>
    </w:p>
    <w:p w:rsidR="001A65F8" w:rsidRPr="00264C71" w:rsidRDefault="001A65F8" w:rsidP="001A65F8">
      <w:pPr>
        <w:spacing w:before="120" w:after="120"/>
        <w:jc w:val="both"/>
        <w:rPr>
          <w:rFonts w:eastAsia="Calibri"/>
          <w:b/>
          <w:sz w:val="28"/>
          <w:szCs w:val="28"/>
          <w:u w:val="single"/>
          <w:lang w:eastAsia="en-US"/>
        </w:rPr>
      </w:pPr>
      <w:r w:rsidRPr="00264C71">
        <w:rPr>
          <w:rFonts w:eastAsia="Calibri"/>
          <w:b/>
          <w:sz w:val="28"/>
          <w:szCs w:val="28"/>
          <w:u w:val="single"/>
          <w:lang w:eastAsia="en-US"/>
        </w:rPr>
        <w:t>Latvijas nostāja:</w:t>
      </w:r>
    </w:p>
    <w:p w:rsidR="008227B5" w:rsidRPr="00264C71" w:rsidRDefault="001A65F8" w:rsidP="001A65F8">
      <w:pPr>
        <w:jc w:val="both"/>
        <w:rPr>
          <w:rStyle w:val="Strong"/>
          <w:b w:val="0"/>
          <w:bCs w:val="0"/>
          <w:sz w:val="28"/>
          <w:szCs w:val="26"/>
        </w:rPr>
      </w:pPr>
      <w:r w:rsidRPr="00264C71">
        <w:rPr>
          <w:rStyle w:val="Strong"/>
          <w:b w:val="0"/>
          <w:bCs w:val="0"/>
          <w:sz w:val="28"/>
          <w:szCs w:val="26"/>
        </w:rPr>
        <w:tab/>
      </w:r>
      <w:r w:rsidR="005B2D33" w:rsidRPr="00264C71">
        <w:rPr>
          <w:rStyle w:val="Strong"/>
          <w:bCs w:val="0"/>
          <w:sz w:val="28"/>
          <w:szCs w:val="26"/>
        </w:rPr>
        <w:t>Latvija uzskata</w:t>
      </w:r>
      <w:r w:rsidR="005B2D33" w:rsidRPr="00264C71">
        <w:rPr>
          <w:rStyle w:val="Strong"/>
          <w:b w:val="0"/>
          <w:bCs w:val="0"/>
          <w:sz w:val="28"/>
          <w:szCs w:val="26"/>
        </w:rPr>
        <w:t>, ka Padome ir institūcija, kurai jāuzņemas vadošā loma ES rūpniecības politikas veidošanā, atbildot un lemjot par rūpniecības politikas horizontālajiem jautājumiem. Padomes lēmumiem ir jāatspoguļojas arī Eiropadomes secinājumos, izvirzot politiskās rekomendācijas turpmākajai rīcībai ES rūpniecības konkurētspējas uzturēšanai un palielināšanai.</w:t>
      </w:r>
    </w:p>
    <w:p w:rsidR="005B2D33" w:rsidRPr="00264C71" w:rsidRDefault="005B2D33" w:rsidP="001A65F8">
      <w:pPr>
        <w:jc w:val="both"/>
        <w:rPr>
          <w:rStyle w:val="Strong"/>
          <w:b w:val="0"/>
          <w:bCs w:val="0"/>
          <w:sz w:val="28"/>
          <w:szCs w:val="26"/>
        </w:rPr>
      </w:pPr>
      <w:r w:rsidRPr="00264C71">
        <w:rPr>
          <w:rStyle w:val="Strong"/>
          <w:b w:val="0"/>
          <w:bCs w:val="0"/>
          <w:sz w:val="28"/>
          <w:szCs w:val="26"/>
        </w:rPr>
        <w:tab/>
        <w:t xml:space="preserve">Latvija izvirza šādas nozīmīgākās </w:t>
      </w:r>
      <w:r w:rsidRPr="00264C71">
        <w:rPr>
          <w:rStyle w:val="Strong"/>
          <w:bCs w:val="0"/>
          <w:sz w:val="28"/>
          <w:szCs w:val="26"/>
        </w:rPr>
        <w:t>rekomendācijas</w:t>
      </w:r>
      <w:r w:rsidRPr="00264C71">
        <w:rPr>
          <w:rStyle w:val="Strong"/>
          <w:b w:val="0"/>
          <w:bCs w:val="0"/>
          <w:sz w:val="28"/>
          <w:szCs w:val="26"/>
        </w:rPr>
        <w:t>:</w:t>
      </w:r>
    </w:p>
    <w:p w:rsidR="005B2D33" w:rsidRPr="00264C71" w:rsidRDefault="005B2D33" w:rsidP="00E626F6">
      <w:pPr>
        <w:pStyle w:val="ListParagraph"/>
        <w:numPr>
          <w:ilvl w:val="0"/>
          <w:numId w:val="4"/>
        </w:numPr>
        <w:jc w:val="both"/>
        <w:rPr>
          <w:sz w:val="28"/>
        </w:rPr>
      </w:pPr>
      <w:r w:rsidRPr="00264C71">
        <w:rPr>
          <w:b/>
          <w:sz w:val="28"/>
        </w:rPr>
        <w:t>ES rūpniecības politikas saskaņotības un atbilstības nodrošināšana ar citām (esošām vai jaunām) ES nozaru politikām vai likumdošanas iniciatīvām.</w:t>
      </w:r>
      <w:r w:rsidRPr="00264C71">
        <w:rPr>
          <w:sz w:val="28"/>
        </w:rPr>
        <w:t xml:space="preserve"> ES rūpniecības politikas veiksmīgai īstenošanai ir nepieciešama integrēta politiska pieeja, vērtējot visus aspektus, kas ietekmē ES rūpniecības uzņēmumu konkurētspēju, piemēram, saskaņotību un atbilstību mērķiem ES vides un klimata, enerģētikas, izglītības un prasmju, nodarbinātības, P&amp;A un inovācijas, konkurences, ārējās tirdzniecības, transporta </w:t>
      </w:r>
      <w:proofErr w:type="spellStart"/>
      <w:r w:rsidRPr="00264C71">
        <w:rPr>
          <w:sz w:val="28"/>
        </w:rPr>
        <w:t>u.c</w:t>
      </w:r>
      <w:proofErr w:type="spellEnd"/>
      <w:r w:rsidRPr="00264C71">
        <w:rPr>
          <w:sz w:val="28"/>
        </w:rPr>
        <w:t>. politiku jomās, kas var radīt nozīmīgu ietekmi uz ES rūpniecības konkurētspēju.</w:t>
      </w:r>
    </w:p>
    <w:p w:rsidR="005B2D33" w:rsidRPr="00264C71" w:rsidRDefault="005B2D33" w:rsidP="00E626F6">
      <w:pPr>
        <w:pStyle w:val="ListParagraph"/>
        <w:numPr>
          <w:ilvl w:val="0"/>
          <w:numId w:val="4"/>
        </w:numPr>
        <w:jc w:val="both"/>
        <w:rPr>
          <w:sz w:val="28"/>
        </w:rPr>
      </w:pPr>
      <w:r w:rsidRPr="00264C71">
        <w:rPr>
          <w:b/>
          <w:sz w:val="28"/>
        </w:rPr>
        <w:t>Vienotā tirgus tālāka integrācija, tostarp atlikušo šķēršļu novēršana patiesa ES enerģijas tirgus izveidei un atvēršanai.</w:t>
      </w:r>
      <w:r w:rsidRPr="00264C71">
        <w:rPr>
          <w:sz w:val="28"/>
        </w:rPr>
        <w:t xml:space="preserve"> Šajā nolūkā svarīgs </w:t>
      </w:r>
      <w:r w:rsidRPr="00264C71">
        <w:rPr>
          <w:sz w:val="28"/>
        </w:rPr>
        <w:lastRenderedPageBreak/>
        <w:t>straujāks progress ES Trešās enerģētikas paketes ieviešanā un integrācija ES iekšējos enerģijas tīklos.</w:t>
      </w:r>
    </w:p>
    <w:p w:rsidR="005B2D33" w:rsidRPr="00264C71" w:rsidRDefault="005B2D33" w:rsidP="00361012">
      <w:pPr>
        <w:pStyle w:val="ListParagraph"/>
        <w:numPr>
          <w:ilvl w:val="0"/>
          <w:numId w:val="4"/>
        </w:numPr>
        <w:jc w:val="both"/>
        <w:rPr>
          <w:sz w:val="28"/>
        </w:rPr>
      </w:pPr>
      <w:r w:rsidRPr="00264C71">
        <w:rPr>
          <w:b/>
          <w:sz w:val="28"/>
        </w:rPr>
        <w:t>ES ārējās tirdzniecības dimensija, lai sekmētu ES uzņēmumu starptautisko konkurētspēju un darbību ārējos tirgos.</w:t>
      </w:r>
      <w:r w:rsidRPr="00264C71">
        <w:rPr>
          <w:sz w:val="28"/>
        </w:rPr>
        <w:t xml:space="preserve"> Šajā jautājumā kā būtisku var minēt nepieciešamību sekmēt vispārēju tirdzniecības un investīciju ierobežojumu samazināšanu ES ekonomikai stratēģiski nozīmīgās trešajās valstīs gan daudzpusējo, gan arī preferenciālo tirdz</w:t>
      </w:r>
      <w:r w:rsidR="00361012">
        <w:rPr>
          <w:sz w:val="28"/>
        </w:rPr>
        <w:t xml:space="preserve">niecības līgumu sarunu ietvaros, </w:t>
      </w:r>
      <w:r w:rsidR="00361012" w:rsidRPr="00361012">
        <w:rPr>
          <w:sz w:val="28"/>
        </w:rPr>
        <w:t xml:space="preserve">kā </w:t>
      </w:r>
      <w:r w:rsidR="00361012">
        <w:rPr>
          <w:sz w:val="28"/>
        </w:rPr>
        <w:t>piemēram ar ASV, Japānu, Kanādu un</w:t>
      </w:r>
      <w:r w:rsidR="00361012" w:rsidRPr="00361012">
        <w:rPr>
          <w:sz w:val="28"/>
        </w:rPr>
        <w:t xml:space="preserve"> Indiju. </w:t>
      </w:r>
      <w:r w:rsidRPr="00264C71">
        <w:rPr>
          <w:sz w:val="28"/>
        </w:rPr>
        <w:t xml:space="preserve"> Cita starpā jākoncentrējas uz tirdzniecības nosacījumu atvieglošanu dinamiski augošos tirgos,</w:t>
      </w:r>
      <w:r w:rsidR="00361012">
        <w:rPr>
          <w:sz w:val="28"/>
        </w:rPr>
        <w:t xml:space="preserve"> </w:t>
      </w:r>
      <w:r w:rsidR="00361012" w:rsidRPr="00361012">
        <w:rPr>
          <w:sz w:val="28"/>
        </w:rPr>
        <w:t>kā Brazīlija, Argentīna, Ķīna, Indija un Krievija, ASEAN valstu tirgos,</w:t>
      </w:r>
      <w:r w:rsidRPr="00264C71">
        <w:rPr>
          <w:sz w:val="28"/>
        </w:rPr>
        <w:t xml:space="preserve"> jātiecas uzlabot ES eksportētāju piekļuve trešo valstu publisko iepirkumu tirgiem un izejvielām.</w:t>
      </w:r>
    </w:p>
    <w:p w:rsidR="005B2D33" w:rsidRPr="00264C71" w:rsidRDefault="00AC7E1F" w:rsidP="005B2D33">
      <w:pPr>
        <w:jc w:val="both"/>
        <w:rPr>
          <w:sz w:val="28"/>
        </w:rPr>
      </w:pPr>
      <w:r w:rsidRPr="00264C71">
        <w:rPr>
          <w:sz w:val="28"/>
        </w:rPr>
        <w:tab/>
        <w:t xml:space="preserve">Tāpat </w:t>
      </w:r>
      <w:r w:rsidRPr="00264C71">
        <w:rPr>
          <w:b/>
          <w:sz w:val="28"/>
        </w:rPr>
        <w:t>norādām</w:t>
      </w:r>
      <w:r w:rsidRPr="00264C71">
        <w:rPr>
          <w:sz w:val="28"/>
        </w:rPr>
        <w:t>, ka nemainīgas Latvijas prioritātes rūpniecības konkurētspējas stiprināšanai ir uzņēmumu (īpaši MVU) piekļuves finansējumam uzlabošana, atbalsts inovācijai, tālāka uzņēmējdarbības vides uzlabošana, kā arī savlaicīga nākotnes (vidus un ilgtermiņa) darba tirgus vajadzību apzināšana un reaģēšana uz tām.</w:t>
      </w:r>
    </w:p>
    <w:p w:rsidR="001A65F8" w:rsidRPr="00264C71" w:rsidRDefault="001A65F8" w:rsidP="001A65F8">
      <w:pPr>
        <w:jc w:val="both"/>
        <w:rPr>
          <w:sz w:val="28"/>
          <w:highlight w:val="yellow"/>
        </w:rPr>
      </w:pPr>
    </w:p>
    <w:p w:rsidR="001A65F8" w:rsidRPr="00264C71" w:rsidRDefault="001A65F8" w:rsidP="00E626F6">
      <w:pPr>
        <w:pStyle w:val="ListParagraph"/>
        <w:numPr>
          <w:ilvl w:val="0"/>
          <w:numId w:val="3"/>
        </w:numPr>
        <w:rPr>
          <w:b/>
          <w:i/>
          <w:sz w:val="28"/>
          <w:szCs w:val="28"/>
        </w:rPr>
      </w:pPr>
      <w:r w:rsidRPr="00264C71">
        <w:rPr>
          <w:b/>
          <w:i/>
          <w:sz w:val="28"/>
          <w:szCs w:val="28"/>
        </w:rPr>
        <w:t xml:space="preserve">Kā nepieciešamību palielināt Eiropas rūpniecības konkurētspēju varētu labāk atspoguļot Eiropas semestrī, </w:t>
      </w:r>
      <w:proofErr w:type="spellStart"/>
      <w:r w:rsidRPr="00264C71">
        <w:rPr>
          <w:b/>
          <w:i/>
          <w:sz w:val="28"/>
          <w:szCs w:val="28"/>
        </w:rPr>
        <w:t>t.sk</w:t>
      </w:r>
      <w:proofErr w:type="spellEnd"/>
      <w:r w:rsidRPr="00264C71">
        <w:rPr>
          <w:b/>
          <w:i/>
          <w:sz w:val="28"/>
          <w:szCs w:val="28"/>
        </w:rPr>
        <w:t xml:space="preserve">. valstu specifiskajās rekomendācijās un to ieviešanā dalībvalstīs? </w:t>
      </w:r>
    </w:p>
    <w:p w:rsidR="001A65F8" w:rsidRPr="00264C71" w:rsidRDefault="001A65F8" w:rsidP="001A65F8">
      <w:pPr>
        <w:spacing w:before="120" w:after="120"/>
        <w:jc w:val="both"/>
        <w:rPr>
          <w:rFonts w:eastAsia="Calibri"/>
          <w:b/>
          <w:sz w:val="28"/>
          <w:szCs w:val="28"/>
          <w:u w:val="single"/>
          <w:lang w:eastAsia="en-US"/>
        </w:rPr>
      </w:pPr>
      <w:r w:rsidRPr="00264C71">
        <w:rPr>
          <w:rFonts w:eastAsia="Calibri"/>
          <w:b/>
          <w:sz w:val="28"/>
          <w:szCs w:val="28"/>
          <w:u w:val="single"/>
          <w:lang w:eastAsia="en-US"/>
        </w:rPr>
        <w:t>Latvijas nostāja:</w:t>
      </w:r>
    </w:p>
    <w:p w:rsidR="00B608EA" w:rsidRPr="00264C71" w:rsidRDefault="001A65F8" w:rsidP="001A65F8">
      <w:pPr>
        <w:jc w:val="both"/>
        <w:rPr>
          <w:rStyle w:val="Strong"/>
          <w:b w:val="0"/>
          <w:bCs w:val="0"/>
          <w:sz w:val="28"/>
          <w:szCs w:val="26"/>
        </w:rPr>
      </w:pPr>
      <w:r w:rsidRPr="00264C71">
        <w:rPr>
          <w:rStyle w:val="Strong"/>
          <w:b w:val="0"/>
          <w:bCs w:val="0"/>
          <w:sz w:val="28"/>
          <w:szCs w:val="26"/>
        </w:rPr>
        <w:tab/>
      </w:r>
      <w:r w:rsidR="00B608EA" w:rsidRPr="00264C71">
        <w:rPr>
          <w:rStyle w:val="Strong"/>
          <w:bCs w:val="0"/>
          <w:sz w:val="28"/>
          <w:szCs w:val="26"/>
        </w:rPr>
        <w:t>Latvija uzskata</w:t>
      </w:r>
      <w:r w:rsidR="00B608EA" w:rsidRPr="00264C71">
        <w:rPr>
          <w:rStyle w:val="Strong"/>
          <w:b w:val="0"/>
          <w:bCs w:val="0"/>
          <w:sz w:val="28"/>
          <w:szCs w:val="26"/>
        </w:rPr>
        <w:t xml:space="preserve">, ka ir nepieciešams plašāks vērtējums vai Eiropas semestris ir piemērots formāts, lai uzraudzītu ES rūpniecības konkurētspēju, tostarp noteiktu specifiskās rekomendācijas dalībvalstīm rūpniecības konkurētspējas palielināšanai. </w:t>
      </w:r>
    </w:p>
    <w:p w:rsidR="001A65F8" w:rsidRPr="00264C71" w:rsidRDefault="00B608EA" w:rsidP="001A65F8">
      <w:pPr>
        <w:jc w:val="both"/>
        <w:rPr>
          <w:rStyle w:val="Strong"/>
          <w:b w:val="0"/>
          <w:bCs w:val="0"/>
          <w:sz w:val="28"/>
          <w:szCs w:val="26"/>
        </w:rPr>
      </w:pPr>
      <w:r w:rsidRPr="00264C71">
        <w:rPr>
          <w:rStyle w:val="Strong"/>
          <w:b w:val="0"/>
          <w:bCs w:val="0"/>
          <w:sz w:val="28"/>
          <w:szCs w:val="26"/>
        </w:rPr>
        <w:tab/>
      </w:r>
      <w:r w:rsidRPr="00264C71">
        <w:rPr>
          <w:rStyle w:val="Strong"/>
          <w:bCs w:val="0"/>
          <w:sz w:val="28"/>
          <w:szCs w:val="26"/>
        </w:rPr>
        <w:t>Uzskatām</w:t>
      </w:r>
      <w:r w:rsidRPr="00264C71">
        <w:rPr>
          <w:rStyle w:val="Strong"/>
          <w:b w:val="0"/>
          <w:bCs w:val="0"/>
          <w:sz w:val="28"/>
          <w:szCs w:val="26"/>
        </w:rPr>
        <w:t xml:space="preserve">, ka Eiropas semestrī varētu tikt iekļauti atsevišķi elementi saistībā ar ES rūpniecības konkurētspējas palielināšanu, tomēr dalībvalstīm jāsaglabā iespēja pašām izvēlēties piemērotākos rīcības virzienus un risinājums rūpniecības konkurētspējas kāpināšanai, atbilstoši esošajai situācijai un vajadzībām. Vienlaikus </w:t>
      </w:r>
      <w:r w:rsidRPr="00264C71">
        <w:rPr>
          <w:rStyle w:val="Strong"/>
          <w:bCs w:val="0"/>
          <w:sz w:val="28"/>
          <w:szCs w:val="26"/>
        </w:rPr>
        <w:t>piekrītam</w:t>
      </w:r>
      <w:r w:rsidRPr="00264C71">
        <w:rPr>
          <w:rStyle w:val="Strong"/>
          <w:b w:val="0"/>
          <w:bCs w:val="0"/>
          <w:sz w:val="28"/>
          <w:szCs w:val="26"/>
        </w:rPr>
        <w:t>, ka jāpastiprina dalībvalstu centieni kopīgi izvirzīto ES rūpniecības mērķu sasniegšanā.</w:t>
      </w:r>
    </w:p>
    <w:p w:rsidR="00B608EA" w:rsidRPr="00264C71" w:rsidRDefault="00B608EA" w:rsidP="001A65F8">
      <w:pPr>
        <w:jc w:val="both"/>
        <w:rPr>
          <w:rStyle w:val="Strong"/>
          <w:b w:val="0"/>
          <w:bCs w:val="0"/>
          <w:sz w:val="28"/>
          <w:szCs w:val="26"/>
        </w:rPr>
      </w:pPr>
      <w:r w:rsidRPr="00264C71">
        <w:rPr>
          <w:rStyle w:val="Strong"/>
          <w:b w:val="0"/>
          <w:bCs w:val="0"/>
          <w:sz w:val="28"/>
          <w:szCs w:val="26"/>
        </w:rPr>
        <w:tab/>
      </w:r>
      <w:r w:rsidRPr="00264C71">
        <w:rPr>
          <w:rStyle w:val="Strong"/>
          <w:bCs w:val="0"/>
          <w:sz w:val="28"/>
          <w:szCs w:val="26"/>
        </w:rPr>
        <w:t>Latvija norāda</w:t>
      </w:r>
      <w:r w:rsidRPr="00264C71">
        <w:rPr>
          <w:rStyle w:val="Strong"/>
          <w:b w:val="0"/>
          <w:bCs w:val="0"/>
          <w:sz w:val="28"/>
          <w:szCs w:val="26"/>
        </w:rPr>
        <w:t>, ka nozīmīga ir EK katru gadu veiktā dalībvalstu rūpniecības konkurētspējas un to ietekmējošo politiku uzraudzība un ikgadējo ziņojumu sagatavošana, kas, cita starpā, ietver arī rekomendācijas dalībvalstu snieguma uzlabošanai konkrētās jomās.</w:t>
      </w:r>
    </w:p>
    <w:p w:rsidR="001A65F8" w:rsidRPr="00264C71" w:rsidRDefault="001A65F8" w:rsidP="001A65F8">
      <w:pPr>
        <w:jc w:val="both"/>
        <w:rPr>
          <w:sz w:val="28"/>
          <w:highlight w:val="yellow"/>
        </w:rPr>
      </w:pPr>
    </w:p>
    <w:p w:rsidR="001A65F8" w:rsidRPr="00264C71" w:rsidRDefault="001A65F8" w:rsidP="00E626F6">
      <w:pPr>
        <w:pStyle w:val="ListParagraph"/>
        <w:numPr>
          <w:ilvl w:val="0"/>
          <w:numId w:val="3"/>
        </w:numPr>
        <w:rPr>
          <w:b/>
          <w:i/>
          <w:sz w:val="28"/>
          <w:szCs w:val="28"/>
        </w:rPr>
      </w:pPr>
      <w:r w:rsidRPr="00264C71">
        <w:rPr>
          <w:b/>
          <w:i/>
          <w:sz w:val="28"/>
          <w:szCs w:val="28"/>
        </w:rPr>
        <w:t xml:space="preserve">Kādi ir jūsu ieteikumi, lai pārliecinātos, ka rūpniecības konkurētspēja kā komponente tiek ņemta vērā ES politikās (piemēram, mērķi, politikas iespējas </w:t>
      </w:r>
      <w:proofErr w:type="spellStart"/>
      <w:r w:rsidRPr="00264C71">
        <w:rPr>
          <w:b/>
          <w:i/>
          <w:sz w:val="28"/>
          <w:szCs w:val="28"/>
        </w:rPr>
        <w:t>u.c</w:t>
      </w:r>
      <w:proofErr w:type="spellEnd"/>
      <w:r w:rsidRPr="00264C71">
        <w:rPr>
          <w:b/>
          <w:i/>
          <w:sz w:val="28"/>
          <w:szCs w:val="28"/>
        </w:rPr>
        <w:t xml:space="preserve">.) un mūsu nākotnes starptautiskajās sarunās par šiem jautājumiem? </w:t>
      </w:r>
    </w:p>
    <w:p w:rsidR="002045B3" w:rsidRPr="00264C71" w:rsidRDefault="002045B3" w:rsidP="001A65F8">
      <w:pPr>
        <w:spacing w:before="120" w:after="120"/>
        <w:jc w:val="both"/>
        <w:rPr>
          <w:rFonts w:eastAsia="Calibri"/>
          <w:b/>
          <w:sz w:val="28"/>
          <w:szCs w:val="28"/>
          <w:u w:val="single"/>
          <w:lang w:eastAsia="en-US"/>
        </w:rPr>
      </w:pPr>
    </w:p>
    <w:p w:rsidR="002045B3" w:rsidRPr="00264C71" w:rsidRDefault="002045B3" w:rsidP="001A65F8">
      <w:pPr>
        <w:spacing w:before="120" w:after="120"/>
        <w:jc w:val="both"/>
        <w:rPr>
          <w:rFonts w:eastAsia="Calibri"/>
          <w:b/>
          <w:sz w:val="28"/>
          <w:szCs w:val="28"/>
          <w:u w:val="single"/>
          <w:lang w:eastAsia="en-US"/>
        </w:rPr>
      </w:pPr>
    </w:p>
    <w:p w:rsidR="001A65F8" w:rsidRPr="00264C71" w:rsidRDefault="001A65F8" w:rsidP="001A65F8">
      <w:pPr>
        <w:spacing w:before="120" w:after="120"/>
        <w:jc w:val="both"/>
        <w:rPr>
          <w:rFonts w:eastAsia="Calibri"/>
          <w:b/>
          <w:sz w:val="28"/>
          <w:szCs w:val="28"/>
          <w:u w:val="single"/>
          <w:lang w:eastAsia="en-US"/>
        </w:rPr>
      </w:pPr>
      <w:r w:rsidRPr="00264C71">
        <w:rPr>
          <w:rFonts w:eastAsia="Calibri"/>
          <w:b/>
          <w:sz w:val="28"/>
          <w:szCs w:val="28"/>
          <w:u w:val="single"/>
          <w:lang w:eastAsia="en-US"/>
        </w:rPr>
        <w:t>Latvijas nostāja:</w:t>
      </w:r>
    </w:p>
    <w:p w:rsidR="00B608EA" w:rsidRPr="00264C71" w:rsidRDefault="001A65F8" w:rsidP="001A65F8">
      <w:pPr>
        <w:jc w:val="both"/>
        <w:rPr>
          <w:rStyle w:val="Strong"/>
          <w:b w:val="0"/>
          <w:bCs w:val="0"/>
          <w:sz w:val="28"/>
          <w:szCs w:val="26"/>
        </w:rPr>
      </w:pPr>
      <w:r w:rsidRPr="00264C71">
        <w:rPr>
          <w:rStyle w:val="Strong"/>
          <w:b w:val="0"/>
          <w:bCs w:val="0"/>
          <w:sz w:val="28"/>
          <w:szCs w:val="26"/>
        </w:rPr>
        <w:tab/>
      </w:r>
      <w:r w:rsidR="00B608EA" w:rsidRPr="00264C71">
        <w:rPr>
          <w:rStyle w:val="Strong"/>
          <w:bCs w:val="0"/>
          <w:sz w:val="28"/>
          <w:szCs w:val="26"/>
        </w:rPr>
        <w:t>Latvija uzskata</w:t>
      </w:r>
      <w:r w:rsidR="00B608EA" w:rsidRPr="00264C71">
        <w:rPr>
          <w:rStyle w:val="Strong"/>
          <w:b w:val="0"/>
          <w:bCs w:val="0"/>
          <w:sz w:val="28"/>
          <w:szCs w:val="26"/>
        </w:rPr>
        <w:t xml:space="preserve">, ka svarīga ciešāka Konkurētspējas padomes sadarbība ar citām Padomes formācijām, kā arī nepieciešams stiprināt Augsta līmeņa Konkurētspējas un izaugsmes darba grupas lomu Konkurētspējas padomes sagatavošanā, lai pārliecinātos, ka rūpniecības konkurētspēja kā komponente tiek ņemta vērā citās ES politikās un starptautiskajās sarunās. </w:t>
      </w:r>
    </w:p>
    <w:p w:rsidR="00B608EA" w:rsidRPr="00264C71" w:rsidRDefault="00B608EA" w:rsidP="001A65F8">
      <w:pPr>
        <w:jc w:val="both"/>
        <w:rPr>
          <w:sz w:val="28"/>
          <w:highlight w:val="yellow"/>
        </w:rPr>
      </w:pPr>
    </w:p>
    <w:p w:rsidR="00DE50F6" w:rsidRPr="00264C71" w:rsidRDefault="00DE50F6" w:rsidP="00DE50F6">
      <w:pPr>
        <w:tabs>
          <w:tab w:val="left" w:pos="284"/>
        </w:tabs>
        <w:jc w:val="both"/>
        <w:rPr>
          <w:b/>
          <w:i/>
          <w:sz w:val="28"/>
          <w:szCs w:val="28"/>
        </w:rPr>
      </w:pPr>
      <w:r w:rsidRPr="00264C71">
        <w:rPr>
          <w:b/>
          <w:i/>
          <w:sz w:val="28"/>
          <w:szCs w:val="28"/>
        </w:rPr>
        <w:t>b)</w:t>
      </w:r>
      <w:r w:rsidRPr="00264C71">
        <w:rPr>
          <w:b/>
          <w:i/>
          <w:sz w:val="28"/>
          <w:szCs w:val="28"/>
        </w:rPr>
        <w:tab/>
        <w:t xml:space="preserve">Komisijas paziņojums: "Ceļā uz konkurētspējīgāku un efektīvāku aizsardzības un drošības nozari" </w:t>
      </w:r>
      <w:r w:rsidRPr="00264C71">
        <w:rPr>
          <w:i/>
          <w:sz w:val="28"/>
          <w:szCs w:val="28"/>
        </w:rPr>
        <w:t>(AM kompetence – sagatavota pozīcija)</w:t>
      </w:r>
    </w:p>
    <w:p w:rsidR="00DE50F6" w:rsidRPr="00264C71" w:rsidRDefault="00DE50F6" w:rsidP="00DE50F6">
      <w:pPr>
        <w:jc w:val="both"/>
        <w:rPr>
          <w:bCs/>
          <w:i/>
          <w:sz w:val="28"/>
        </w:rPr>
      </w:pPr>
      <w:r w:rsidRPr="00264C71">
        <w:rPr>
          <w:bCs/>
          <w:i/>
          <w:sz w:val="28"/>
        </w:rPr>
        <w:t xml:space="preserve">–Komisijas sniegta informācija </w:t>
      </w:r>
    </w:p>
    <w:p w:rsidR="00DE50F6" w:rsidRPr="00264C71" w:rsidRDefault="00DE50F6" w:rsidP="00DE50F6">
      <w:pPr>
        <w:jc w:val="both"/>
        <w:rPr>
          <w:bCs/>
          <w:i/>
          <w:sz w:val="28"/>
        </w:rPr>
      </w:pPr>
      <w:r w:rsidRPr="00264C71">
        <w:rPr>
          <w:bCs/>
          <w:i/>
          <w:sz w:val="28"/>
        </w:rPr>
        <w:t>–viedokļu apmaiņa</w:t>
      </w:r>
    </w:p>
    <w:p w:rsidR="00DE07DD" w:rsidRPr="00264C71" w:rsidRDefault="00DE07DD" w:rsidP="00CC0AAE">
      <w:pPr>
        <w:jc w:val="both"/>
        <w:rPr>
          <w:sz w:val="28"/>
          <w:szCs w:val="28"/>
          <w:highlight w:val="yellow"/>
        </w:rPr>
      </w:pPr>
    </w:p>
    <w:p w:rsidR="00CA75DE" w:rsidRPr="00264C71" w:rsidRDefault="00CA75DE" w:rsidP="0075704F">
      <w:pPr>
        <w:autoSpaceDE w:val="0"/>
        <w:autoSpaceDN w:val="0"/>
        <w:adjustRightInd w:val="0"/>
        <w:ind w:firstLine="720"/>
        <w:jc w:val="both"/>
        <w:rPr>
          <w:sz w:val="28"/>
        </w:rPr>
      </w:pPr>
      <w:r w:rsidRPr="00264C71">
        <w:rPr>
          <w:sz w:val="28"/>
        </w:rPr>
        <w:t xml:space="preserve">2013.gada 24.jūlijā EK publicēja paziņojumu </w:t>
      </w:r>
      <w:r w:rsidRPr="00264C71">
        <w:rPr>
          <w:i/>
          <w:sz w:val="28"/>
        </w:rPr>
        <w:t>"</w:t>
      </w:r>
      <w:r w:rsidR="005628B2" w:rsidRPr="00264C71">
        <w:rPr>
          <w:i/>
          <w:sz w:val="28"/>
        </w:rPr>
        <w:t>Ceļā uz konkurētspējīgāku un efektīvāku aizsardzības un drošības nozari</w:t>
      </w:r>
      <w:r w:rsidRPr="00264C71">
        <w:rPr>
          <w:i/>
          <w:sz w:val="28"/>
        </w:rPr>
        <w:t>"</w:t>
      </w:r>
      <w:r w:rsidR="005628B2" w:rsidRPr="00264C71">
        <w:rPr>
          <w:sz w:val="28"/>
        </w:rPr>
        <w:t xml:space="preserve"> (turpmāk – ziņojums) ar mērķi stiprināt</w:t>
      </w:r>
      <w:r w:rsidRPr="00264C71">
        <w:rPr>
          <w:sz w:val="28"/>
        </w:rPr>
        <w:t xml:space="preserve"> fragmentāro Eiropas aizsardzības tirgu, ņemot vērā jaunākos drošības izaicinājumus un valstu aizsardzības budžetu samazinājumus pēc ekonomiskās krīzes.</w:t>
      </w:r>
    </w:p>
    <w:p w:rsidR="005628B2" w:rsidRPr="00264C71" w:rsidRDefault="005628B2" w:rsidP="005628B2">
      <w:pPr>
        <w:autoSpaceDE w:val="0"/>
        <w:autoSpaceDN w:val="0"/>
        <w:adjustRightInd w:val="0"/>
        <w:jc w:val="both"/>
        <w:rPr>
          <w:sz w:val="28"/>
        </w:rPr>
      </w:pPr>
      <w:r w:rsidRPr="00264C71">
        <w:rPr>
          <w:sz w:val="28"/>
        </w:rPr>
        <w:tab/>
        <w:t xml:space="preserve">Ziņojumā ietvertais EK rīcības plāns paredz dažādus rīcības virzienus aizsardzības industrijas konkurētspējas veicināšanai. EK veiks dalībvalstu aizsardzības tirgus monitoringu, noteiks limitus starpvaldību darījumiem un starptautiskajiem līgumiem, vērsīsies pret kompensācijas darījumiem </w:t>
      </w:r>
      <w:r w:rsidRPr="00264C71">
        <w:rPr>
          <w:i/>
          <w:sz w:val="28"/>
        </w:rPr>
        <w:t>(</w:t>
      </w:r>
      <w:proofErr w:type="spellStart"/>
      <w:r w:rsidRPr="00264C71">
        <w:rPr>
          <w:i/>
          <w:sz w:val="28"/>
        </w:rPr>
        <w:t>offset</w:t>
      </w:r>
      <w:proofErr w:type="spellEnd"/>
      <w:r w:rsidRPr="00264C71">
        <w:rPr>
          <w:i/>
          <w:sz w:val="28"/>
        </w:rPr>
        <w:t>)</w:t>
      </w:r>
      <w:r w:rsidRPr="00264C71">
        <w:rPr>
          <w:sz w:val="28"/>
        </w:rPr>
        <w:t xml:space="preserve"> un rūpēsies par piegāžu drošību ES ietvaros. Vienlaicīgi EK veicinās konkurētspēju ES aizsardzības industrijā, proti, izstrādās kopējus standartus produktiem ar militāru un/vai civilu pielietojumu, izvērtēs iespēju veidot Eiropas sertifikācijas sistēmu, veicinās MVU konkurētspēju globālajos tirgos un atbalstīs duāla jeb militāra un civila pielietojuma produktu izstrādi. EK sadarbībā ar dalībvalstīm izstrādās enerģētikas koncepciju bruņotajiem spēkiem, samazinot enerģētikas patēriņu (īpaši militārajai infrastruktūrai), veicinot atjaunojamās enerģētikas izmantošanu. EK stiprinās ES rūpniecības pozīcijas starptautiskajā dimensijā un veicinās dalībvalstu bruņojuma eksportu uz trešajām valstīm.</w:t>
      </w:r>
    </w:p>
    <w:p w:rsidR="0015651B" w:rsidRPr="00264C71" w:rsidRDefault="0015651B" w:rsidP="005628B2">
      <w:pPr>
        <w:autoSpaceDE w:val="0"/>
        <w:autoSpaceDN w:val="0"/>
        <w:adjustRightInd w:val="0"/>
        <w:jc w:val="both"/>
        <w:rPr>
          <w:sz w:val="28"/>
        </w:rPr>
      </w:pPr>
    </w:p>
    <w:p w:rsidR="0015651B" w:rsidRPr="00264C71" w:rsidRDefault="0015651B" w:rsidP="0015651B">
      <w:pPr>
        <w:autoSpaceDE w:val="0"/>
        <w:autoSpaceDN w:val="0"/>
        <w:adjustRightInd w:val="0"/>
        <w:spacing w:after="120"/>
        <w:jc w:val="both"/>
        <w:rPr>
          <w:b/>
          <w:sz w:val="28"/>
          <w:u w:val="single"/>
        </w:rPr>
      </w:pPr>
      <w:r w:rsidRPr="00264C71">
        <w:rPr>
          <w:b/>
          <w:sz w:val="28"/>
          <w:u w:val="single"/>
        </w:rPr>
        <w:t>Latvijas pozīcija:</w:t>
      </w:r>
    </w:p>
    <w:p w:rsidR="0015651B" w:rsidRPr="00264C71" w:rsidRDefault="0015651B" w:rsidP="005628B2">
      <w:pPr>
        <w:autoSpaceDE w:val="0"/>
        <w:autoSpaceDN w:val="0"/>
        <w:adjustRightInd w:val="0"/>
        <w:jc w:val="both"/>
        <w:rPr>
          <w:sz w:val="28"/>
        </w:rPr>
      </w:pPr>
      <w:r w:rsidRPr="00264C71">
        <w:rPr>
          <w:sz w:val="28"/>
        </w:rPr>
        <w:tab/>
      </w:r>
      <w:r w:rsidRPr="00264C71">
        <w:rPr>
          <w:b/>
          <w:sz w:val="28"/>
        </w:rPr>
        <w:t>Latvija kopumā atbalsta</w:t>
      </w:r>
      <w:r w:rsidRPr="00264C71">
        <w:rPr>
          <w:sz w:val="28"/>
        </w:rPr>
        <w:t xml:space="preserve"> paziņojumā minētās EK pozīcijas un rīcības plānu, lai stiprinātu fragmentāro ES aizsardzības tirgu, ņemot vērā jaunākos drošības izaicinājumus un valstu aizsardzības budžetu samazinājumus pēc ekonomiskās krīzes.</w:t>
      </w:r>
      <w:r w:rsidR="007D422C" w:rsidRPr="00264C71">
        <w:rPr>
          <w:sz w:val="28"/>
        </w:rPr>
        <w:t xml:space="preserve"> </w:t>
      </w:r>
      <w:r w:rsidR="008A3E73" w:rsidRPr="00264C71">
        <w:rPr>
          <w:sz w:val="28"/>
        </w:rPr>
        <w:t>Tomēr atsevišķās jomās ir nepieciešams pozicionēt un pastiprināt mazo un Austrum/Centrāleiropas valstu intereses, kuru militārās industrijas nav tik lielas un konkurētspējīgas, kā „vecajām” ES valstīm (piemēram, Vācijai, Zviedrijai vai Lielbritānijai).</w:t>
      </w:r>
    </w:p>
    <w:p w:rsidR="0015651B" w:rsidRPr="00264C71" w:rsidRDefault="0015651B" w:rsidP="005628B2">
      <w:pPr>
        <w:autoSpaceDE w:val="0"/>
        <w:autoSpaceDN w:val="0"/>
        <w:adjustRightInd w:val="0"/>
        <w:jc w:val="both"/>
        <w:rPr>
          <w:sz w:val="28"/>
        </w:rPr>
      </w:pPr>
    </w:p>
    <w:p w:rsidR="00F50CEC" w:rsidRPr="00264C71" w:rsidRDefault="005628B2" w:rsidP="00F50CEC">
      <w:pPr>
        <w:autoSpaceDE w:val="0"/>
        <w:autoSpaceDN w:val="0"/>
        <w:adjustRightInd w:val="0"/>
        <w:jc w:val="both"/>
        <w:rPr>
          <w:sz w:val="28"/>
        </w:rPr>
      </w:pPr>
      <w:r w:rsidRPr="00264C71">
        <w:rPr>
          <w:sz w:val="28"/>
        </w:rPr>
        <w:lastRenderedPageBreak/>
        <w:tab/>
      </w:r>
      <w:r w:rsidR="00F50CEC" w:rsidRPr="00264C71">
        <w:rPr>
          <w:sz w:val="28"/>
        </w:rPr>
        <w:t xml:space="preserve">Lai veicinātu ministru diskusiju par aizsardzības rūpniecības jautājumiem, kā arī, gatavojoties 2013.gada 19.-20.decembra Eiropadomes sanāksmei, Prezidentūra ir sagatavojusi šādus </w:t>
      </w:r>
      <w:r w:rsidR="00F50CEC" w:rsidRPr="00264C71">
        <w:rPr>
          <w:b/>
          <w:sz w:val="28"/>
          <w:u w:val="single"/>
        </w:rPr>
        <w:t>diskusiju jautājumus</w:t>
      </w:r>
      <w:r w:rsidR="00F50CEC" w:rsidRPr="00264C71">
        <w:rPr>
          <w:sz w:val="28"/>
        </w:rPr>
        <w:t>:</w:t>
      </w:r>
    </w:p>
    <w:p w:rsidR="008227B5" w:rsidRPr="00264C71" w:rsidRDefault="008227B5" w:rsidP="00CC0AAE">
      <w:pPr>
        <w:jc w:val="both"/>
        <w:rPr>
          <w:sz w:val="28"/>
          <w:szCs w:val="28"/>
          <w:highlight w:val="yellow"/>
        </w:rPr>
      </w:pPr>
    </w:p>
    <w:p w:rsidR="00A57BEB" w:rsidRPr="00264C71" w:rsidRDefault="003529E3" w:rsidP="00E626F6">
      <w:pPr>
        <w:pStyle w:val="ListParagraph"/>
        <w:numPr>
          <w:ilvl w:val="0"/>
          <w:numId w:val="5"/>
        </w:numPr>
        <w:jc w:val="both"/>
        <w:rPr>
          <w:b/>
          <w:i/>
          <w:sz w:val="28"/>
          <w:szCs w:val="28"/>
        </w:rPr>
      </w:pPr>
      <w:r w:rsidRPr="00264C71">
        <w:rPr>
          <w:b/>
          <w:i/>
          <w:sz w:val="28"/>
          <w:szCs w:val="28"/>
        </w:rPr>
        <w:t>Rīcības plāns izvirza plašu klāstu piedāvāto rīcības virzienu. Kuri rīcības virzieni būtu vissvarīgākie, lai stiprinātu Eiropas aizsardzības sektora konkurētspēju?</w:t>
      </w:r>
      <w:r w:rsidR="00A57BEB" w:rsidRPr="00264C71">
        <w:rPr>
          <w:b/>
          <w:i/>
          <w:sz w:val="28"/>
          <w:szCs w:val="28"/>
        </w:rPr>
        <w:t xml:space="preserve"> </w:t>
      </w:r>
    </w:p>
    <w:p w:rsidR="00395770" w:rsidRPr="00264C71" w:rsidRDefault="00395770" w:rsidP="005832F8">
      <w:pPr>
        <w:spacing w:before="120" w:after="120"/>
        <w:jc w:val="both"/>
        <w:rPr>
          <w:rFonts w:eastAsia="Calibri"/>
          <w:b/>
          <w:sz w:val="28"/>
          <w:szCs w:val="28"/>
          <w:u w:val="single"/>
          <w:lang w:eastAsia="en-US"/>
        </w:rPr>
      </w:pPr>
      <w:r w:rsidRPr="00264C71">
        <w:rPr>
          <w:rFonts w:eastAsia="Calibri"/>
          <w:b/>
          <w:sz w:val="28"/>
          <w:szCs w:val="28"/>
          <w:u w:val="single"/>
          <w:lang w:eastAsia="en-US"/>
        </w:rPr>
        <w:t xml:space="preserve">Latvijas </w:t>
      </w:r>
      <w:r w:rsidR="00751190" w:rsidRPr="00264C71">
        <w:rPr>
          <w:rFonts w:eastAsia="Calibri"/>
          <w:b/>
          <w:sz w:val="28"/>
          <w:szCs w:val="28"/>
          <w:u w:val="single"/>
          <w:lang w:eastAsia="en-US"/>
        </w:rPr>
        <w:t>nostāja</w:t>
      </w:r>
      <w:r w:rsidRPr="00264C71">
        <w:rPr>
          <w:rFonts w:eastAsia="Calibri"/>
          <w:b/>
          <w:sz w:val="28"/>
          <w:szCs w:val="28"/>
          <w:u w:val="single"/>
          <w:lang w:eastAsia="en-US"/>
        </w:rPr>
        <w:t>:</w:t>
      </w:r>
    </w:p>
    <w:p w:rsidR="00395770" w:rsidRPr="00264C71" w:rsidRDefault="00395770" w:rsidP="00395770">
      <w:pPr>
        <w:jc w:val="both"/>
        <w:rPr>
          <w:sz w:val="28"/>
        </w:rPr>
      </w:pPr>
      <w:r w:rsidRPr="00264C71">
        <w:rPr>
          <w:b/>
          <w:sz w:val="28"/>
        </w:rPr>
        <w:tab/>
      </w:r>
      <w:r w:rsidR="00751190" w:rsidRPr="00264C71">
        <w:rPr>
          <w:sz w:val="28"/>
        </w:rPr>
        <w:t xml:space="preserve">Ņemot vērā, ka aizsardzības rūpniecība ir ne tikai drošības, bet arī ekonomikas sektora sastāvdaļa, </w:t>
      </w:r>
      <w:r w:rsidR="00751190" w:rsidRPr="00264C71">
        <w:rPr>
          <w:b/>
          <w:sz w:val="28"/>
        </w:rPr>
        <w:t>Latvija uzskata</w:t>
      </w:r>
      <w:r w:rsidR="00751190" w:rsidRPr="00264C71">
        <w:rPr>
          <w:sz w:val="28"/>
        </w:rPr>
        <w:t xml:space="preserve">, ka atbalstam MVU spējai sadarboties pētniecībā un tehnoloģijās būs izšķirošā loma spējā radīt konkurētspējīgus produktus. Tādēļ resursu apvienošanas un atbildības dalīšanas iniciatīvas </w:t>
      </w:r>
      <w:r w:rsidR="00751190" w:rsidRPr="00264C71">
        <w:rPr>
          <w:i/>
          <w:sz w:val="28"/>
        </w:rPr>
        <w:t>(</w:t>
      </w:r>
      <w:proofErr w:type="spellStart"/>
      <w:r w:rsidR="00751190" w:rsidRPr="00264C71">
        <w:rPr>
          <w:i/>
          <w:sz w:val="28"/>
        </w:rPr>
        <w:t>pooling</w:t>
      </w:r>
      <w:proofErr w:type="spellEnd"/>
      <w:r w:rsidR="00751190" w:rsidRPr="00264C71">
        <w:rPr>
          <w:i/>
          <w:sz w:val="28"/>
        </w:rPr>
        <w:t xml:space="preserve"> </w:t>
      </w:r>
      <w:proofErr w:type="spellStart"/>
      <w:r w:rsidR="00751190" w:rsidRPr="00264C71">
        <w:rPr>
          <w:i/>
          <w:sz w:val="28"/>
        </w:rPr>
        <w:t>and</w:t>
      </w:r>
      <w:proofErr w:type="spellEnd"/>
      <w:r w:rsidR="00751190" w:rsidRPr="00264C71">
        <w:rPr>
          <w:i/>
          <w:sz w:val="28"/>
        </w:rPr>
        <w:t xml:space="preserve"> </w:t>
      </w:r>
      <w:proofErr w:type="spellStart"/>
      <w:r w:rsidR="00751190" w:rsidRPr="00264C71">
        <w:rPr>
          <w:i/>
          <w:sz w:val="28"/>
        </w:rPr>
        <w:t>sharing</w:t>
      </w:r>
      <w:proofErr w:type="spellEnd"/>
      <w:r w:rsidR="00751190" w:rsidRPr="00264C71">
        <w:rPr>
          <w:i/>
          <w:sz w:val="28"/>
        </w:rPr>
        <w:t xml:space="preserve">) </w:t>
      </w:r>
      <w:r w:rsidR="00751190" w:rsidRPr="00264C71">
        <w:rPr>
          <w:sz w:val="28"/>
        </w:rPr>
        <w:t>principu nepieciešams īstenot arī rūpniecības ietvaros – tas izlīdzinātu spēju un labklājības līmeni visā ES.</w:t>
      </w:r>
    </w:p>
    <w:p w:rsidR="00751190" w:rsidRPr="00264C71" w:rsidRDefault="00751190" w:rsidP="00395770">
      <w:pPr>
        <w:jc w:val="both"/>
        <w:rPr>
          <w:sz w:val="28"/>
        </w:rPr>
      </w:pPr>
    </w:p>
    <w:p w:rsidR="00751190" w:rsidRPr="00264C71" w:rsidRDefault="00751190" w:rsidP="00E626F6">
      <w:pPr>
        <w:pStyle w:val="ListParagraph"/>
        <w:numPr>
          <w:ilvl w:val="0"/>
          <w:numId w:val="5"/>
        </w:numPr>
        <w:jc w:val="both"/>
        <w:rPr>
          <w:b/>
          <w:i/>
          <w:sz w:val="28"/>
          <w:szCs w:val="28"/>
        </w:rPr>
      </w:pPr>
      <w:r w:rsidRPr="00264C71">
        <w:rPr>
          <w:b/>
          <w:i/>
          <w:sz w:val="28"/>
          <w:szCs w:val="28"/>
        </w:rPr>
        <w:t>Kādas darbības varētu veikt Komisija un dalībvalstis, lai vislabāk veicinātu aizsardzības rūpniecības sadarbību starp dalībvalstīm?</w:t>
      </w:r>
    </w:p>
    <w:p w:rsidR="00751190" w:rsidRPr="00264C71" w:rsidRDefault="00751190" w:rsidP="00751190">
      <w:pPr>
        <w:spacing w:before="120" w:after="120"/>
        <w:jc w:val="both"/>
        <w:rPr>
          <w:rFonts w:eastAsia="Calibri"/>
          <w:b/>
          <w:sz w:val="28"/>
          <w:szCs w:val="28"/>
          <w:u w:val="single"/>
          <w:lang w:eastAsia="en-US"/>
        </w:rPr>
      </w:pPr>
      <w:r w:rsidRPr="00264C71">
        <w:rPr>
          <w:rFonts w:eastAsia="Calibri"/>
          <w:b/>
          <w:sz w:val="28"/>
          <w:szCs w:val="28"/>
          <w:u w:val="single"/>
          <w:lang w:eastAsia="en-US"/>
        </w:rPr>
        <w:t>Latvijas nostāja:</w:t>
      </w:r>
    </w:p>
    <w:p w:rsidR="00751190" w:rsidRPr="00264C71" w:rsidRDefault="00751190" w:rsidP="00751190">
      <w:pPr>
        <w:jc w:val="both"/>
        <w:rPr>
          <w:sz w:val="28"/>
        </w:rPr>
      </w:pPr>
      <w:r w:rsidRPr="00264C71">
        <w:rPr>
          <w:sz w:val="28"/>
        </w:rPr>
        <w:tab/>
      </w:r>
      <w:r w:rsidR="00777E82" w:rsidRPr="00264C71">
        <w:rPr>
          <w:b/>
          <w:sz w:val="28"/>
        </w:rPr>
        <w:t>Latvija uzskata</w:t>
      </w:r>
      <w:r w:rsidR="00777E82" w:rsidRPr="00264C71">
        <w:rPr>
          <w:sz w:val="28"/>
        </w:rPr>
        <w:t xml:space="preserve">, ka sadarbību industrijas jomā veicinās atbalsta mehānismi starp dalībvalstīm zinātnes un pētniecības jomā, vienotu standartu izstrāde, kā arī kompensācijas darījumu pastāvēšana, kas ļautu attīstīt rūpniecību “jaunajās” Eiropas dalībvalstīs un veicinātu sadarbību ar citām Eiropas valstu </w:t>
      </w:r>
      <w:proofErr w:type="spellStart"/>
      <w:r w:rsidR="00777E82" w:rsidRPr="00264C71">
        <w:rPr>
          <w:sz w:val="28"/>
        </w:rPr>
        <w:t>industrijām</w:t>
      </w:r>
      <w:proofErr w:type="spellEnd"/>
      <w:r w:rsidR="00777E82" w:rsidRPr="00264C71">
        <w:rPr>
          <w:sz w:val="28"/>
        </w:rPr>
        <w:t xml:space="preserve"> nākotnē.</w:t>
      </w:r>
    </w:p>
    <w:p w:rsidR="005B2C5A" w:rsidRDefault="005B2C5A" w:rsidP="005B2C5A">
      <w:pPr>
        <w:jc w:val="both"/>
        <w:rPr>
          <w:bCs/>
          <w:iCs/>
          <w:sz w:val="28"/>
        </w:rPr>
      </w:pPr>
    </w:p>
    <w:p w:rsidR="00664033" w:rsidRPr="00264C71" w:rsidRDefault="00664033" w:rsidP="005B2C5A">
      <w:pPr>
        <w:jc w:val="both"/>
        <w:rPr>
          <w:bCs/>
          <w:iCs/>
          <w:sz w:val="28"/>
        </w:rPr>
      </w:pPr>
    </w:p>
    <w:p w:rsidR="00B03397" w:rsidRPr="00264C71" w:rsidRDefault="00B120E4" w:rsidP="009C3C35">
      <w:pPr>
        <w:pBdr>
          <w:bottom w:val="single" w:sz="4" w:space="1" w:color="auto"/>
        </w:pBdr>
        <w:tabs>
          <w:tab w:val="left" w:pos="9288"/>
        </w:tabs>
        <w:spacing w:after="120"/>
        <w:jc w:val="both"/>
        <w:rPr>
          <w:b/>
          <w:sz w:val="28"/>
          <w:szCs w:val="28"/>
        </w:rPr>
      </w:pPr>
      <w:r w:rsidRPr="00264C71">
        <w:rPr>
          <w:b/>
          <w:sz w:val="28"/>
          <w:szCs w:val="28"/>
        </w:rPr>
        <w:t>1.</w:t>
      </w:r>
      <w:r w:rsidR="00DE50F6" w:rsidRPr="00264C71">
        <w:rPr>
          <w:b/>
          <w:sz w:val="28"/>
          <w:szCs w:val="28"/>
        </w:rPr>
        <w:t>3</w:t>
      </w:r>
      <w:r w:rsidR="00B03397" w:rsidRPr="00264C71">
        <w:rPr>
          <w:b/>
          <w:sz w:val="28"/>
          <w:szCs w:val="28"/>
        </w:rPr>
        <w:t xml:space="preserve">. Citi jautājumi </w:t>
      </w:r>
    </w:p>
    <w:p w:rsidR="00B03397" w:rsidRPr="00264C71" w:rsidRDefault="00B03397" w:rsidP="004C1552">
      <w:pPr>
        <w:jc w:val="both"/>
        <w:rPr>
          <w:sz w:val="28"/>
          <w:szCs w:val="28"/>
          <w:highlight w:val="yellow"/>
        </w:rPr>
      </w:pPr>
    </w:p>
    <w:p w:rsidR="00B03397" w:rsidRPr="00264C71" w:rsidRDefault="00DE50F6" w:rsidP="00E626F6">
      <w:pPr>
        <w:pStyle w:val="ListParagraph"/>
        <w:numPr>
          <w:ilvl w:val="0"/>
          <w:numId w:val="1"/>
        </w:numPr>
        <w:tabs>
          <w:tab w:val="left" w:pos="284"/>
        </w:tabs>
        <w:jc w:val="both"/>
        <w:rPr>
          <w:b/>
          <w:sz w:val="28"/>
          <w:szCs w:val="28"/>
        </w:rPr>
      </w:pPr>
      <w:r w:rsidRPr="00264C71">
        <w:rPr>
          <w:b/>
          <w:sz w:val="28"/>
          <w:szCs w:val="28"/>
        </w:rPr>
        <w:t>Rīcības plāns tērauda rūpniecībai</w:t>
      </w:r>
      <w:r w:rsidR="00134B9F" w:rsidRPr="00264C71">
        <w:rPr>
          <w:b/>
          <w:sz w:val="28"/>
          <w:szCs w:val="28"/>
        </w:rPr>
        <w:t xml:space="preserve"> </w:t>
      </w:r>
      <w:r w:rsidR="00730AEA" w:rsidRPr="00264C71">
        <w:rPr>
          <w:i/>
          <w:sz w:val="28"/>
          <w:szCs w:val="28"/>
        </w:rPr>
        <w:t>(</w:t>
      </w:r>
      <w:r w:rsidRPr="00264C71">
        <w:rPr>
          <w:i/>
          <w:sz w:val="28"/>
          <w:szCs w:val="28"/>
        </w:rPr>
        <w:t>E</w:t>
      </w:r>
      <w:r w:rsidR="00134B9F" w:rsidRPr="00264C71">
        <w:rPr>
          <w:i/>
          <w:sz w:val="28"/>
          <w:szCs w:val="28"/>
        </w:rPr>
        <w:t>M</w:t>
      </w:r>
      <w:r w:rsidR="00730AEA" w:rsidRPr="00264C71">
        <w:rPr>
          <w:i/>
          <w:sz w:val="28"/>
          <w:szCs w:val="28"/>
        </w:rPr>
        <w:t xml:space="preserve"> kompetence</w:t>
      </w:r>
      <w:r w:rsidR="00013A67" w:rsidRPr="00264C71">
        <w:rPr>
          <w:i/>
          <w:sz w:val="28"/>
          <w:szCs w:val="28"/>
        </w:rPr>
        <w:t>)</w:t>
      </w:r>
    </w:p>
    <w:p w:rsidR="00B03397" w:rsidRPr="00264C71" w:rsidRDefault="00730AEA" w:rsidP="00730AEA">
      <w:pPr>
        <w:tabs>
          <w:tab w:val="left" w:pos="284"/>
        </w:tabs>
        <w:ind w:left="360"/>
        <w:jc w:val="both"/>
        <w:rPr>
          <w:i/>
          <w:sz w:val="28"/>
          <w:szCs w:val="28"/>
        </w:rPr>
      </w:pPr>
      <w:r w:rsidRPr="00264C71">
        <w:rPr>
          <w:i/>
          <w:sz w:val="28"/>
          <w:szCs w:val="28"/>
        </w:rPr>
        <w:t>-</w:t>
      </w:r>
      <w:r w:rsidR="00090630">
        <w:rPr>
          <w:i/>
          <w:sz w:val="28"/>
          <w:szCs w:val="28"/>
        </w:rPr>
        <w:t>Komisijas</w:t>
      </w:r>
      <w:r w:rsidR="00DE50F6" w:rsidRPr="00264C71">
        <w:rPr>
          <w:i/>
          <w:sz w:val="28"/>
          <w:szCs w:val="28"/>
        </w:rPr>
        <w:t xml:space="preserve"> sniegta informācija</w:t>
      </w:r>
    </w:p>
    <w:p w:rsidR="00F87D49" w:rsidRPr="00264C71" w:rsidRDefault="00F87D49" w:rsidP="00C90A02">
      <w:pPr>
        <w:jc w:val="both"/>
        <w:rPr>
          <w:sz w:val="28"/>
          <w:szCs w:val="28"/>
          <w:highlight w:val="yellow"/>
        </w:rPr>
      </w:pPr>
    </w:p>
    <w:p w:rsidR="006344FD" w:rsidRDefault="00CD417C" w:rsidP="00F05D6B">
      <w:pPr>
        <w:jc w:val="both"/>
        <w:rPr>
          <w:sz w:val="28"/>
          <w:szCs w:val="28"/>
        </w:rPr>
      </w:pPr>
      <w:r w:rsidRPr="00264C71">
        <w:rPr>
          <w:sz w:val="28"/>
          <w:szCs w:val="28"/>
        </w:rPr>
        <w:tab/>
      </w:r>
      <w:r w:rsidR="00F42B98" w:rsidRPr="00264C71">
        <w:rPr>
          <w:sz w:val="28"/>
          <w:szCs w:val="28"/>
        </w:rPr>
        <w:t>Sanāksmē EK sniegs informāciju par aktualitātēm tērauda rūpniecībā.</w:t>
      </w:r>
      <w:r w:rsidR="006344FD">
        <w:rPr>
          <w:sz w:val="28"/>
          <w:szCs w:val="28"/>
        </w:rPr>
        <w:t xml:space="preserve"> </w:t>
      </w:r>
      <w:r w:rsidR="00F42B98" w:rsidRPr="00264C71">
        <w:rPr>
          <w:sz w:val="28"/>
          <w:szCs w:val="28"/>
        </w:rPr>
        <w:t xml:space="preserve"> </w:t>
      </w:r>
    </w:p>
    <w:p w:rsidR="006344FD" w:rsidRPr="00264C71" w:rsidRDefault="006344FD" w:rsidP="006344FD">
      <w:pPr>
        <w:jc w:val="both"/>
        <w:rPr>
          <w:sz w:val="28"/>
          <w:szCs w:val="28"/>
        </w:rPr>
      </w:pPr>
      <w:r w:rsidRPr="006344FD">
        <w:rPr>
          <w:sz w:val="28"/>
          <w:szCs w:val="28"/>
        </w:rPr>
        <w:t xml:space="preserve">Pasaulē ir vērojams tērauda industrijas pieprasījuma kritums. </w:t>
      </w:r>
      <w:r w:rsidR="00F42B98" w:rsidRPr="00264C71">
        <w:rPr>
          <w:sz w:val="28"/>
          <w:szCs w:val="28"/>
        </w:rPr>
        <w:t>2</w:t>
      </w:r>
      <w:r w:rsidR="00AB3E2F" w:rsidRPr="00264C71">
        <w:rPr>
          <w:sz w:val="28"/>
          <w:szCs w:val="28"/>
        </w:rPr>
        <w:t>013.gada 11</w:t>
      </w:r>
      <w:r w:rsidR="00F42B98" w:rsidRPr="00264C71">
        <w:rPr>
          <w:sz w:val="28"/>
          <w:szCs w:val="28"/>
        </w:rPr>
        <w:t>.j</w:t>
      </w:r>
      <w:r w:rsidR="00AB3E2F" w:rsidRPr="00264C71">
        <w:rPr>
          <w:sz w:val="28"/>
          <w:szCs w:val="28"/>
        </w:rPr>
        <w:t>ūnijā</w:t>
      </w:r>
      <w:r w:rsidR="00F42B98" w:rsidRPr="00264C71">
        <w:rPr>
          <w:sz w:val="28"/>
          <w:szCs w:val="28"/>
        </w:rPr>
        <w:t xml:space="preserve"> publicētajā paziņojumā „Rīcības plāns konkurētspējīgai un ilgtspējīgai tērauda rūpniecībai Eiropā” EK piedāvā galvenos rīcības virzienus nozares aktuālo problēmu novēršanai un nozares konkurētspējas sagla</w:t>
      </w:r>
      <w:r w:rsidR="00AB3E2F" w:rsidRPr="00264C71">
        <w:rPr>
          <w:sz w:val="28"/>
          <w:szCs w:val="28"/>
        </w:rPr>
        <w:t xml:space="preserve">bāšanai un veicināšanai nākotnē. Rīcības plānā EK ierosina atbalstīt pieprasījumu pēc ES ražota tērauda gan Eiropas valstīs, gan ārvalstīs. </w:t>
      </w:r>
      <w:r>
        <w:rPr>
          <w:sz w:val="28"/>
          <w:szCs w:val="28"/>
        </w:rPr>
        <w:t xml:space="preserve"> </w:t>
      </w:r>
      <w:r w:rsidRPr="006344FD">
        <w:rPr>
          <w:sz w:val="28"/>
          <w:szCs w:val="28"/>
        </w:rPr>
        <w:t xml:space="preserve">Plānotās rīcības ietver arī pasākumus, lai nodrošinātu ES tērauda ražotāju piekļuvi trešo valstu tirgiem godīgas tirdzniecības prakses rezultātā. Vienlaikus EK ir apņēmusies samazināt nozares izmaksas, tostarp ES regulējuma radītās izmaksas. Inovācija, energoefektivitāte un ilgtspējīgi ražošanas procesi ir identificēti kā </w:t>
      </w:r>
      <w:r w:rsidRPr="006344FD">
        <w:rPr>
          <w:sz w:val="28"/>
          <w:szCs w:val="28"/>
        </w:rPr>
        <w:lastRenderedPageBreak/>
        <w:t>svarīgi elementi attiecībā uz nākamās paaudzes tērauda ražojumiem, kas nepieciešami citās nozīmīgās Eiropas rūpniecības nozarēs. Rīcības plānā paredzēti arī pasākumi nodarbinātības, prasmju un pārstrukturizācijas atbalstam nozarē.</w:t>
      </w:r>
      <w:r>
        <w:rPr>
          <w:sz w:val="28"/>
          <w:szCs w:val="28"/>
        </w:rPr>
        <w:t xml:space="preserve"> </w:t>
      </w:r>
      <w:r w:rsidRPr="00264C71">
        <w:rPr>
          <w:sz w:val="28"/>
          <w:szCs w:val="28"/>
        </w:rPr>
        <w:t>Latvijas nacionālā pozīcija par EK paziņojumu ir izstrādes procesā.</w:t>
      </w:r>
    </w:p>
    <w:p w:rsidR="00E56454" w:rsidRPr="00264C71" w:rsidRDefault="00E56454" w:rsidP="00E56454">
      <w:pPr>
        <w:jc w:val="both"/>
        <w:rPr>
          <w:sz w:val="28"/>
          <w:szCs w:val="28"/>
        </w:rPr>
      </w:pPr>
    </w:p>
    <w:p w:rsidR="0003473A" w:rsidRPr="00964FC6" w:rsidRDefault="0003473A" w:rsidP="00E626F6">
      <w:pPr>
        <w:pStyle w:val="ListParagraph"/>
        <w:numPr>
          <w:ilvl w:val="0"/>
          <w:numId w:val="1"/>
        </w:numPr>
        <w:tabs>
          <w:tab w:val="left" w:pos="284"/>
        </w:tabs>
        <w:jc w:val="both"/>
        <w:rPr>
          <w:b/>
          <w:sz w:val="28"/>
          <w:szCs w:val="28"/>
        </w:rPr>
      </w:pPr>
      <w:r w:rsidRPr="00964FC6">
        <w:rPr>
          <w:b/>
          <w:sz w:val="28"/>
          <w:szCs w:val="28"/>
        </w:rPr>
        <w:t xml:space="preserve">Vispārējā grupu atbrīvojuma regula </w:t>
      </w:r>
      <w:r w:rsidRPr="00964FC6">
        <w:rPr>
          <w:i/>
          <w:sz w:val="28"/>
          <w:szCs w:val="28"/>
        </w:rPr>
        <w:t>(FM kompetence)</w:t>
      </w:r>
    </w:p>
    <w:p w:rsidR="0003473A" w:rsidRPr="00264C71" w:rsidRDefault="0003473A" w:rsidP="0003473A">
      <w:pPr>
        <w:tabs>
          <w:tab w:val="left" w:pos="284"/>
        </w:tabs>
        <w:ind w:left="360"/>
        <w:jc w:val="both"/>
        <w:rPr>
          <w:i/>
          <w:sz w:val="28"/>
          <w:szCs w:val="28"/>
        </w:rPr>
      </w:pPr>
      <w:r w:rsidRPr="00964FC6">
        <w:rPr>
          <w:i/>
          <w:sz w:val="28"/>
          <w:szCs w:val="28"/>
        </w:rPr>
        <w:t>-</w:t>
      </w:r>
      <w:r w:rsidR="00090630" w:rsidRPr="00964FC6">
        <w:rPr>
          <w:i/>
          <w:sz w:val="28"/>
          <w:szCs w:val="28"/>
        </w:rPr>
        <w:t xml:space="preserve">Čehijas delegācijas </w:t>
      </w:r>
      <w:r w:rsidRPr="00964FC6">
        <w:rPr>
          <w:i/>
          <w:sz w:val="28"/>
          <w:szCs w:val="28"/>
        </w:rPr>
        <w:t>sniegta informācija</w:t>
      </w:r>
    </w:p>
    <w:p w:rsidR="006E0C4F" w:rsidRDefault="006E0C4F" w:rsidP="00603AFF">
      <w:pPr>
        <w:jc w:val="both"/>
        <w:rPr>
          <w:sz w:val="28"/>
          <w:szCs w:val="28"/>
        </w:rPr>
      </w:pPr>
    </w:p>
    <w:p w:rsidR="00272097" w:rsidRPr="00272097" w:rsidRDefault="00272097" w:rsidP="00272097">
      <w:pPr>
        <w:jc w:val="both"/>
        <w:rPr>
          <w:sz w:val="28"/>
          <w:szCs w:val="28"/>
        </w:rPr>
      </w:pPr>
      <w:r>
        <w:rPr>
          <w:sz w:val="28"/>
          <w:szCs w:val="28"/>
        </w:rPr>
        <w:tab/>
      </w:r>
      <w:r w:rsidRPr="00272097">
        <w:rPr>
          <w:sz w:val="28"/>
          <w:szCs w:val="28"/>
        </w:rPr>
        <w:t>Jautājumu sanāksmes dienaskārtībā aicinājusi iekļaut Čehija</w:t>
      </w:r>
      <w:r>
        <w:rPr>
          <w:sz w:val="28"/>
          <w:szCs w:val="28"/>
        </w:rPr>
        <w:t>s delegācija</w:t>
      </w:r>
      <w:r w:rsidRPr="00272097">
        <w:rPr>
          <w:sz w:val="28"/>
          <w:szCs w:val="28"/>
        </w:rPr>
        <w:t>, lai tādējādi aktualizētu valsts atbalsta modernizācijas jautājumu, tai skaitā, par Vispārējās grupu atbrīvojuma regulas pārskatīšanu, politiskā līmenī.</w:t>
      </w:r>
      <w:r>
        <w:rPr>
          <w:sz w:val="28"/>
          <w:szCs w:val="28"/>
        </w:rPr>
        <w:t xml:space="preserve"> </w:t>
      </w:r>
      <w:r w:rsidRPr="00272097">
        <w:rPr>
          <w:sz w:val="28"/>
          <w:szCs w:val="28"/>
        </w:rPr>
        <w:t xml:space="preserve">Šobrīd kategorijas, kas atbrīvotas no </w:t>
      </w:r>
      <w:r w:rsidR="00A0761F" w:rsidRPr="00A0761F">
        <w:rPr>
          <w:sz w:val="28"/>
          <w:szCs w:val="28"/>
        </w:rPr>
        <w:t xml:space="preserve">Līguma par Eiropas Savienības darbību 108.panta </w:t>
      </w:r>
      <w:r w:rsidR="004A0174">
        <w:rPr>
          <w:sz w:val="28"/>
          <w:szCs w:val="28"/>
        </w:rPr>
        <w:t>3.</w:t>
      </w:r>
      <w:r w:rsidRPr="00272097">
        <w:rPr>
          <w:sz w:val="28"/>
          <w:szCs w:val="28"/>
        </w:rPr>
        <w:t>punktā noteiktā paziņojuma, ir atbalsts</w:t>
      </w:r>
      <w:r w:rsidR="00964FC6">
        <w:rPr>
          <w:sz w:val="28"/>
          <w:szCs w:val="28"/>
        </w:rPr>
        <w:t xml:space="preserve"> MVU</w:t>
      </w:r>
      <w:r w:rsidRPr="00272097">
        <w:rPr>
          <w:sz w:val="28"/>
          <w:szCs w:val="28"/>
        </w:rPr>
        <w:t xml:space="preserve">, pētniecībai un attīstībai, vides aizsardzībai, nodarbinātībai un mācībām, kā arī atbalsts, kas atbilst kartei, ko </w:t>
      </w:r>
      <w:r w:rsidR="00964FC6">
        <w:rPr>
          <w:sz w:val="28"/>
          <w:szCs w:val="28"/>
        </w:rPr>
        <w:t>EK</w:t>
      </w:r>
      <w:r w:rsidRPr="00272097">
        <w:rPr>
          <w:sz w:val="28"/>
          <w:szCs w:val="28"/>
        </w:rPr>
        <w:t xml:space="preserve"> apstiprinājusi katrai dalībvalstij reģionālā atbalsta piešķiršanai. EK izstrādātais dokumenta projekts „Komisijas Regula (ES) </w:t>
      </w:r>
      <w:proofErr w:type="spellStart"/>
      <w:r w:rsidRPr="00272097">
        <w:rPr>
          <w:sz w:val="28"/>
          <w:szCs w:val="28"/>
        </w:rPr>
        <w:t>Nr</w:t>
      </w:r>
      <w:proofErr w:type="spellEnd"/>
      <w:r w:rsidRPr="00272097">
        <w:rPr>
          <w:sz w:val="28"/>
          <w:szCs w:val="28"/>
        </w:rPr>
        <w:t>. …/.. (XXX), ar ko noteiktas atbalsta kategorijas atzīst par saderīgām ar iekšējo tirgu, piemērojot Līguma 107. un 108.punktu” (turpmāk – Regulas projekts),  paredz vispārējo atbrīvojuma regulas papildināšanu ar šādām kategorijām: dabas katastrofu izraisīto zaudējumu atlīdzināšana, transporta pakalpojumu sniegšana attālāko reģionu iedzīvotājiem, ja atbalstam ir sociāls raksturs, konkrēta platjoslas infrastruktūra, inovācija, kultūra un kultūrvēsturiskā mantojuma saglabāšana, sports un daudzfunkcionāla infrastruktūra. Regulas projekts ticis izskatīts 2013.gada 5.septembra Eiropas Komisijas organizētajā Konsultatīvās darba grupas sanāksmē.</w:t>
      </w:r>
    </w:p>
    <w:p w:rsidR="00272097" w:rsidRPr="00272097" w:rsidRDefault="00E626F6" w:rsidP="00272097">
      <w:pPr>
        <w:jc w:val="both"/>
        <w:rPr>
          <w:sz w:val="28"/>
          <w:szCs w:val="28"/>
        </w:rPr>
      </w:pPr>
      <w:r>
        <w:rPr>
          <w:sz w:val="28"/>
          <w:szCs w:val="28"/>
        </w:rPr>
        <w:tab/>
      </w:r>
      <w:r w:rsidR="00272097" w:rsidRPr="00272097">
        <w:rPr>
          <w:sz w:val="28"/>
          <w:szCs w:val="28"/>
        </w:rPr>
        <w:t xml:space="preserve">Galvenie </w:t>
      </w:r>
      <w:r w:rsidR="00272097" w:rsidRPr="00E626F6">
        <w:rPr>
          <w:b/>
          <w:sz w:val="28"/>
          <w:szCs w:val="28"/>
        </w:rPr>
        <w:t>Latvijas iebildumi</w:t>
      </w:r>
      <w:r w:rsidR="00272097" w:rsidRPr="00272097">
        <w:rPr>
          <w:sz w:val="28"/>
          <w:szCs w:val="28"/>
        </w:rPr>
        <w:t xml:space="preserve">: </w:t>
      </w:r>
    </w:p>
    <w:p w:rsidR="00272097" w:rsidRPr="00E626F6" w:rsidRDefault="00272097" w:rsidP="00E626F6">
      <w:pPr>
        <w:pStyle w:val="ListParagraph"/>
        <w:numPr>
          <w:ilvl w:val="0"/>
          <w:numId w:val="6"/>
        </w:numPr>
        <w:jc w:val="both"/>
        <w:rPr>
          <w:sz w:val="28"/>
          <w:szCs w:val="28"/>
        </w:rPr>
      </w:pPr>
      <w:r w:rsidRPr="00E626F6">
        <w:rPr>
          <w:b/>
          <w:sz w:val="28"/>
          <w:szCs w:val="28"/>
        </w:rPr>
        <w:t>Latvija uzskata</w:t>
      </w:r>
      <w:r w:rsidRPr="00E626F6">
        <w:rPr>
          <w:sz w:val="28"/>
          <w:szCs w:val="28"/>
        </w:rPr>
        <w:t xml:space="preserve">, ka transporta pakalpojumu sniegšanas attālāko reģionu iedzīvotājiem atbalsta kategoriju ir nepieciešams pārskatīt. Esošā redakcija, kas paredz 50% kompensāciju pasažieru pārvadāšanai maršrutos, kas savieno attālo reģiona lidostu vai ostu, ar jebkuru citu lidostu vai ostu </w:t>
      </w:r>
      <w:r w:rsidR="00E626F6">
        <w:rPr>
          <w:sz w:val="28"/>
          <w:szCs w:val="28"/>
        </w:rPr>
        <w:t>Eiropas Ekonomiskajā zonā</w:t>
      </w:r>
      <w:r w:rsidRPr="00E626F6">
        <w:rPr>
          <w:sz w:val="28"/>
          <w:szCs w:val="28"/>
        </w:rPr>
        <w:t>, aviācijas jomā praksē nozīmē ekonomiskas priekšrocības attālāko reģionu nacionālām aviosabiedrībām. Netiešs atbalsts tādējādi tiek sniegts arī attālāko reģionu iedzīvotājiem.</w:t>
      </w:r>
    </w:p>
    <w:p w:rsidR="00272097" w:rsidRPr="00E626F6" w:rsidRDefault="00272097" w:rsidP="00E626F6">
      <w:pPr>
        <w:pStyle w:val="ListParagraph"/>
        <w:numPr>
          <w:ilvl w:val="0"/>
          <w:numId w:val="6"/>
        </w:numPr>
        <w:jc w:val="both"/>
        <w:rPr>
          <w:sz w:val="28"/>
          <w:szCs w:val="28"/>
        </w:rPr>
      </w:pPr>
      <w:r w:rsidRPr="00E626F6">
        <w:rPr>
          <w:sz w:val="28"/>
          <w:szCs w:val="28"/>
        </w:rPr>
        <w:t xml:space="preserve">Regulas projekts skaidri nedefinē, kuri pasākumi kultūras un sporta jomā tiktu kvalificēti kā valsts atbalsta pasākumi, kuriem būtu jāpiemēro šīs regulas normas. Attiecīgi, </w:t>
      </w:r>
      <w:r w:rsidRPr="00E626F6">
        <w:rPr>
          <w:b/>
          <w:sz w:val="28"/>
          <w:szCs w:val="28"/>
        </w:rPr>
        <w:t>Latvija norāda</w:t>
      </w:r>
      <w:r w:rsidRPr="00E626F6">
        <w:rPr>
          <w:sz w:val="28"/>
          <w:szCs w:val="28"/>
        </w:rPr>
        <w:t xml:space="preserve"> uz nepieciešamību precizēt regulas projekta redakcijas. Papildus </w:t>
      </w:r>
      <w:r w:rsidRPr="00E626F6">
        <w:rPr>
          <w:b/>
          <w:sz w:val="28"/>
          <w:szCs w:val="28"/>
        </w:rPr>
        <w:t>Latvija norādīja</w:t>
      </w:r>
      <w:r w:rsidRPr="00E626F6">
        <w:rPr>
          <w:sz w:val="28"/>
          <w:szCs w:val="28"/>
        </w:rPr>
        <w:t xml:space="preserve">, ka ļoti gaida dokumentu „Valsts atbalsta jēdziens” </w:t>
      </w:r>
      <w:r w:rsidRPr="00E626F6">
        <w:rPr>
          <w:i/>
          <w:sz w:val="28"/>
          <w:szCs w:val="28"/>
        </w:rPr>
        <w:t>(</w:t>
      </w:r>
      <w:proofErr w:type="spellStart"/>
      <w:r w:rsidRPr="00E626F6">
        <w:rPr>
          <w:i/>
          <w:sz w:val="28"/>
          <w:szCs w:val="28"/>
        </w:rPr>
        <w:t>Notion</w:t>
      </w:r>
      <w:proofErr w:type="spellEnd"/>
      <w:r w:rsidRPr="00E626F6">
        <w:rPr>
          <w:i/>
          <w:sz w:val="28"/>
          <w:szCs w:val="28"/>
        </w:rPr>
        <w:t xml:space="preserve"> </w:t>
      </w:r>
      <w:proofErr w:type="spellStart"/>
      <w:r w:rsidRPr="00E626F6">
        <w:rPr>
          <w:i/>
          <w:sz w:val="28"/>
          <w:szCs w:val="28"/>
        </w:rPr>
        <w:t>of</w:t>
      </w:r>
      <w:proofErr w:type="spellEnd"/>
      <w:r w:rsidRPr="00E626F6">
        <w:rPr>
          <w:i/>
          <w:sz w:val="28"/>
          <w:szCs w:val="28"/>
        </w:rPr>
        <w:t xml:space="preserve"> </w:t>
      </w:r>
      <w:proofErr w:type="spellStart"/>
      <w:r w:rsidRPr="00E626F6">
        <w:rPr>
          <w:i/>
          <w:sz w:val="28"/>
          <w:szCs w:val="28"/>
        </w:rPr>
        <w:t>state</w:t>
      </w:r>
      <w:proofErr w:type="spellEnd"/>
      <w:r w:rsidRPr="00E626F6">
        <w:rPr>
          <w:i/>
          <w:sz w:val="28"/>
          <w:szCs w:val="28"/>
        </w:rPr>
        <w:t xml:space="preserve"> </w:t>
      </w:r>
      <w:proofErr w:type="spellStart"/>
      <w:r w:rsidRPr="00E626F6">
        <w:rPr>
          <w:i/>
          <w:sz w:val="28"/>
          <w:szCs w:val="28"/>
        </w:rPr>
        <w:t>aid</w:t>
      </w:r>
      <w:proofErr w:type="spellEnd"/>
      <w:r w:rsidRPr="00E626F6">
        <w:rPr>
          <w:i/>
          <w:sz w:val="28"/>
          <w:szCs w:val="28"/>
        </w:rPr>
        <w:t>)</w:t>
      </w:r>
      <w:r w:rsidRPr="00E626F6">
        <w:rPr>
          <w:sz w:val="28"/>
          <w:szCs w:val="28"/>
        </w:rPr>
        <w:t>, kas sniegtu papildus skaidrību šajā jautājumā.</w:t>
      </w:r>
    </w:p>
    <w:p w:rsidR="0003473A" w:rsidRDefault="0003473A" w:rsidP="00603AFF">
      <w:pPr>
        <w:jc w:val="both"/>
        <w:rPr>
          <w:sz w:val="28"/>
          <w:szCs w:val="28"/>
        </w:rPr>
      </w:pPr>
    </w:p>
    <w:p w:rsidR="00E626F6" w:rsidRDefault="00E626F6" w:rsidP="00603AFF">
      <w:pPr>
        <w:jc w:val="both"/>
        <w:rPr>
          <w:sz w:val="28"/>
          <w:szCs w:val="28"/>
        </w:rPr>
      </w:pPr>
    </w:p>
    <w:p w:rsidR="00E626F6" w:rsidRPr="00264C71" w:rsidRDefault="00E626F6" w:rsidP="00603AFF">
      <w:pPr>
        <w:jc w:val="both"/>
        <w:rPr>
          <w:sz w:val="28"/>
          <w:szCs w:val="28"/>
        </w:rPr>
      </w:pPr>
    </w:p>
    <w:p w:rsidR="0003473A" w:rsidRPr="00264C71" w:rsidRDefault="0003473A" w:rsidP="00E626F6">
      <w:pPr>
        <w:pStyle w:val="ListParagraph"/>
        <w:numPr>
          <w:ilvl w:val="0"/>
          <w:numId w:val="1"/>
        </w:numPr>
        <w:tabs>
          <w:tab w:val="left" w:pos="284"/>
        </w:tabs>
        <w:jc w:val="both"/>
        <w:rPr>
          <w:b/>
          <w:sz w:val="28"/>
          <w:szCs w:val="28"/>
        </w:rPr>
      </w:pPr>
      <w:r w:rsidRPr="00264C71">
        <w:rPr>
          <w:b/>
          <w:sz w:val="28"/>
          <w:szCs w:val="28"/>
        </w:rPr>
        <w:lastRenderedPageBreak/>
        <w:t xml:space="preserve">Tabakas direktīva </w:t>
      </w:r>
      <w:r w:rsidRPr="00264C71">
        <w:rPr>
          <w:i/>
          <w:sz w:val="28"/>
          <w:szCs w:val="28"/>
        </w:rPr>
        <w:t>(VM kompetence)</w:t>
      </w:r>
    </w:p>
    <w:p w:rsidR="0003473A" w:rsidRPr="00264C71" w:rsidRDefault="0003473A" w:rsidP="0003473A">
      <w:pPr>
        <w:tabs>
          <w:tab w:val="left" w:pos="284"/>
        </w:tabs>
        <w:ind w:left="360"/>
        <w:jc w:val="both"/>
        <w:rPr>
          <w:i/>
          <w:sz w:val="28"/>
          <w:szCs w:val="28"/>
        </w:rPr>
      </w:pPr>
      <w:r w:rsidRPr="00264C71">
        <w:rPr>
          <w:i/>
          <w:sz w:val="28"/>
          <w:szCs w:val="28"/>
        </w:rPr>
        <w:t>-</w:t>
      </w:r>
      <w:r w:rsidR="00CB1FD8" w:rsidRPr="00264C71">
        <w:rPr>
          <w:i/>
          <w:sz w:val="28"/>
          <w:szCs w:val="28"/>
        </w:rPr>
        <w:t>Polijas delegācijas</w:t>
      </w:r>
      <w:r w:rsidRPr="00264C71">
        <w:rPr>
          <w:i/>
          <w:sz w:val="28"/>
          <w:szCs w:val="28"/>
        </w:rPr>
        <w:t xml:space="preserve"> sniegta informācija</w:t>
      </w:r>
    </w:p>
    <w:p w:rsidR="00CB1FD8" w:rsidRPr="00264C71" w:rsidRDefault="00CB1FD8" w:rsidP="00543611">
      <w:pPr>
        <w:spacing w:before="120"/>
        <w:jc w:val="both"/>
        <w:rPr>
          <w:sz w:val="28"/>
          <w:szCs w:val="28"/>
        </w:rPr>
      </w:pPr>
      <w:r w:rsidRPr="00264C71">
        <w:rPr>
          <w:sz w:val="28"/>
          <w:szCs w:val="28"/>
        </w:rPr>
        <w:tab/>
      </w:r>
      <w:r w:rsidRPr="00264C71">
        <w:rPr>
          <w:sz w:val="28"/>
          <w:szCs w:val="28"/>
        </w:rPr>
        <w:t>Eiropas Parlamenta un Padomes Direktīva 2001/37/EK par dalībvalstu normatīvo un administratīvo aktu tuvināšanu attiecībā uz tabakas izstrādājumu ražošanu, noformēšanu un pārdošanu (turpmāk -  Tabakas</w:t>
      </w:r>
      <w:r w:rsidR="002443C6">
        <w:rPr>
          <w:sz w:val="28"/>
          <w:szCs w:val="28"/>
        </w:rPr>
        <w:t xml:space="preserve"> direktīva) tika pieņemta 2001.</w:t>
      </w:r>
      <w:r w:rsidRPr="00264C71">
        <w:rPr>
          <w:sz w:val="28"/>
          <w:szCs w:val="28"/>
        </w:rPr>
        <w:t>gada 5.jūnijā. Ņemot vērā tirgus un zinātnes attīstību un starptautiskās norises, ir kļuvis nepieciešams atjaunināt un papildināt Tabakas direktīvu. Pārskatīšana ir skaidri paredzēta pašreizējās Tabakas direktīvas 11. pantā.</w:t>
      </w:r>
      <w:r w:rsidRPr="00264C71">
        <w:rPr>
          <w:sz w:val="28"/>
          <w:szCs w:val="28"/>
        </w:rPr>
        <w:t xml:space="preserve"> 2012.gada 19.decembrī Eiropas Komisija publicēja priekšlikumu grozījumiem Tabakas direktīvā. Priekšlikums paredz būtiski grozīt pašreiz spēkā esošo direktīvu vairākos aspektos, tostarp, marķējums un iepakojums, sastāvdaļas, bezdūmu tabaka, Direktīvas darbības jomas paplašināšana, pārrobežu </w:t>
      </w:r>
      <w:proofErr w:type="spellStart"/>
      <w:r w:rsidRPr="00264C71">
        <w:rPr>
          <w:sz w:val="28"/>
          <w:szCs w:val="28"/>
        </w:rPr>
        <w:t>tālpārdošana</w:t>
      </w:r>
      <w:proofErr w:type="spellEnd"/>
      <w:r w:rsidRPr="00264C71">
        <w:rPr>
          <w:sz w:val="28"/>
          <w:szCs w:val="28"/>
        </w:rPr>
        <w:t xml:space="preserve"> un nelegāla tirdzniecība. </w:t>
      </w:r>
      <w:r w:rsidR="004A0174">
        <w:rPr>
          <w:sz w:val="28"/>
          <w:szCs w:val="28"/>
        </w:rPr>
        <w:t>Šā gada 20.–</w:t>
      </w:r>
      <w:r w:rsidRPr="00264C71">
        <w:rPr>
          <w:sz w:val="28"/>
          <w:szCs w:val="28"/>
        </w:rPr>
        <w:t xml:space="preserve">21.jūnijā Luksemburgā  Eiropas Savienības Nodarbinātības, sociālās politikas, veselības un patērētāju lietu Ministru padomes (EPSCO) sanāksmē tika panākta vienošanās par Priekšlikumu. Šā gada 8.oktobrī paredzēts balsojums Eiropas Parlamentā. </w:t>
      </w:r>
      <w:r w:rsidRPr="00264C71">
        <w:rPr>
          <w:sz w:val="28"/>
          <w:szCs w:val="28"/>
        </w:rPr>
        <w:tab/>
      </w:r>
      <w:r w:rsidR="003761F1">
        <w:rPr>
          <w:sz w:val="28"/>
          <w:szCs w:val="28"/>
        </w:rPr>
        <w:t xml:space="preserve">Jautājumu sanāksmes dienaskārtībā aicinājusi iekļaut un uzrunāt </w:t>
      </w:r>
      <w:r w:rsidRPr="00264C71">
        <w:rPr>
          <w:sz w:val="28"/>
          <w:szCs w:val="28"/>
        </w:rPr>
        <w:t>Polijas delegācija.</w:t>
      </w:r>
    </w:p>
    <w:p w:rsidR="00B21D93" w:rsidRDefault="00B21D93">
      <w:pPr>
        <w:spacing w:after="200" w:line="276" w:lineRule="auto"/>
        <w:rPr>
          <w:sz w:val="28"/>
          <w:szCs w:val="28"/>
        </w:rPr>
      </w:pPr>
    </w:p>
    <w:p w:rsidR="00B21D93" w:rsidRPr="00264C71" w:rsidRDefault="00B21D93" w:rsidP="00B21D93">
      <w:pPr>
        <w:pBdr>
          <w:bottom w:val="single" w:sz="4" w:space="1" w:color="auto"/>
        </w:pBdr>
        <w:tabs>
          <w:tab w:val="left" w:pos="9288"/>
        </w:tabs>
        <w:spacing w:after="120"/>
        <w:jc w:val="both"/>
        <w:rPr>
          <w:b/>
          <w:sz w:val="28"/>
          <w:szCs w:val="28"/>
        </w:rPr>
      </w:pPr>
      <w:r w:rsidRPr="00264C71">
        <w:rPr>
          <w:b/>
          <w:sz w:val="28"/>
          <w:szCs w:val="28"/>
        </w:rPr>
        <w:t>1.</w:t>
      </w:r>
      <w:r>
        <w:rPr>
          <w:b/>
          <w:sz w:val="28"/>
          <w:szCs w:val="28"/>
        </w:rPr>
        <w:t>4</w:t>
      </w:r>
      <w:r w:rsidRPr="00264C71">
        <w:rPr>
          <w:b/>
          <w:sz w:val="28"/>
          <w:szCs w:val="28"/>
        </w:rPr>
        <w:t xml:space="preserve">. </w:t>
      </w:r>
      <w:r>
        <w:rPr>
          <w:b/>
          <w:sz w:val="28"/>
          <w:szCs w:val="28"/>
        </w:rPr>
        <w:t>Pusdienu diskusiju tēma - enerģijas un klimata politiku ietekme uz konkurētspēju</w:t>
      </w:r>
    </w:p>
    <w:p w:rsidR="00B21D93" w:rsidRDefault="00B21D93" w:rsidP="00B21D93">
      <w:pPr>
        <w:spacing w:before="240" w:line="276" w:lineRule="auto"/>
        <w:jc w:val="both"/>
        <w:rPr>
          <w:sz w:val="28"/>
          <w:szCs w:val="28"/>
        </w:rPr>
      </w:pPr>
      <w:r>
        <w:rPr>
          <w:sz w:val="28"/>
          <w:szCs w:val="28"/>
        </w:rPr>
        <w:tab/>
        <w:t>Sanāksmes pusdienu laikā plānotas</w:t>
      </w:r>
      <w:r w:rsidRPr="00B21D93">
        <w:rPr>
          <w:sz w:val="28"/>
          <w:szCs w:val="28"/>
        </w:rPr>
        <w:t xml:space="preserve"> atsevišķu ES institūciju prezentācijas par esošo ES enerģijas un klimata ietvaru un rekomendācijām, kam sekos ministru un komisāru diskusija. Diskusijas strukturēšanai Prezidentūra ir sagatavojusi </w:t>
      </w:r>
      <w:r>
        <w:rPr>
          <w:sz w:val="28"/>
          <w:szCs w:val="28"/>
        </w:rPr>
        <w:t>šādus</w:t>
      </w:r>
      <w:r w:rsidRPr="00B21D93">
        <w:rPr>
          <w:sz w:val="28"/>
          <w:szCs w:val="28"/>
        </w:rPr>
        <w:t xml:space="preserve"> </w:t>
      </w:r>
      <w:r w:rsidRPr="00B21D93">
        <w:rPr>
          <w:b/>
          <w:sz w:val="28"/>
          <w:szCs w:val="28"/>
          <w:u w:val="single"/>
        </w:rPr>
        <w:t>jautājumus</w:t>
      </w:r>
      <w:r w:rsidRPr="00B21D93">
        <w:rPr>
          <w:sz w:val="28"/>
          <w:szCs w:val="28"/>
        </w:rPr>
        <w:t>:</w:t>
      </w:r>
    </w:p>
    <w:p w:rsidR="00B21D93" w:rsidRPr="00B21D93" w:rsidRDefault="00B21D93" w:rsidP="00B21D93">
      <w:pPr>
        <w:pStyle w:val="ListParagraph"/>
        <w:numPr>
          <w:ilvl w:val="0"/>
          <w:numId w:val="7"/>
        </w:numPr>
        <w:spacing w:before="240" w:line="276" w:lineRule="auto"/>
        <w:jc w:val="both"/>
        <w:rPr>
          <w:b/>
          <w:i/>
          <w:sz w:val="28"/>
          <w:szCs w:val="28"/>
        </w:rPr>
      </w:pPr>
      <w:r w:rsidRPr="00B21D93">
        <w:rPr>
          <w:b/>
          <w:i/>
          <w:sz w:val="28"/>
          <w:szCs w:val="28"/>
        </w:rPr>
        <w:t>Vai Eiropai vajadzētu nodrošināt, ka  izmaksu konkurētspēja, enerģijas piegādes drošība un klimata pārmaiņu jautājumi ir vienlīdz svarīgi</w:t>
      </w:r>
      <w:r w:rsidRPr="00B21D93">
        <w:rPr>
          <w:b/>
          <w:i/>
          <w:sz w:val="28"/>
          <w:szCs w:val="28"/>
        </w:rPr>
        <w:t xml:space="preserve">? </w:t>
      </w:r>
    </w:p>
    <w:p w:rsidR="00B21D93" w:rsidRPr="00B21D93" w:rsidRDefault="00B21D93" w:rsidP="00B21D93">
      <w:pPr>
        <w:spacing w:before="240" w:line="276" w:lineRule="auto"/>
        <w:jc w:val="both"/>
        <w:rPr>
          <w:b/>
          <w:sz w:val="28"/>
          <w:szCs w:val="28"/>
          <w:u w:val="single"/>
        </w:rPr>
      </w:pPr>
      <w:r w:rsidRPr="00B21D93">
        <w:rPr>
          <w:b/>
          <w:sz w:val="28"/>
          <w:szCs w:val="28"/>
          <w:u w:val="single"/>
        </w:rPr>
        <w:t>Latvijas nostāja:</w:t>
      </w:r>
    </w:p>
    <w:p w:rsidR="00B21D93" w:rsidRPr="00B21D93" w:rsidRDefault="00B21D93" w:rsidP="009904D2">
      <w:pPr>
        <w:spacing w:before="120" w:line="276" w:lineRule="auto"/>
        <w:jc w:val="both"/>
        <w:rPr>
          <w:b/>
          <w:i/>
          <w:sz w:val="28"/>
          <w:szCs w:val="28"/>
        </w:rPr>
      </w:pPr>
      <w:r w:rsidRPr="00B21D93">
        <w:rPr>
          <w:sz w:val="28"/>
          <w:szCs w:val="28"/>
        </w:rPr>
        <w:tab/>
      </w:r>
      <w:r w:rsidRPr="00B21D93">
        <w:rPr>
          <w:b/>
          <w:sz w:val="28"/>
          <w:szCs w:val="28"/>
        </w:rPr>
        <w:t>Latvija piekrīt</w:t>
      </w:r>
      <w:r w:rsidRPr="00B21D93">
        <w:rPr>
          <w:sz w:val="28"/>
          <w:szCs w:val="28"/>
        </w:rPr>
        <w:t xml:space="preserve">, ka viens no ES rūpniecības konkurētspēju ietekmējošiem faktoriem ir enerģijas cenas, kā arī uzņemtās saistības ES klimata politikā.  </w:t>
      </w:r>
      <w:r>
        <w:rPr>
          <w:sz w:val="28"/>
          <w:szCs w:val="28"/>
        </w:rPr>
        <w:t>Tādēļ j</w:t>
      </w:r>
      <w:r w:rsidRPr="00B21D93">
        <w:rPr>
          <w:sz w:val="28"/>
          <w:szCs w:val="28"/>
        </w:rPr>
        <w:t>ācenšas panākt, ka enerģijas cenas un klimata politika nesamazina ES ražojošo uzņēmumu, īpaši energoietilpīgajās nozarēs strādājošo, konkurētspējas priekšrocības. Nepārdomātu vides nosacījumu piemērošana un augstās enerģijas izmaksas samazina ne tikai ES uzņēmumu konkurētspēju, salīdzinot ar tiešajiem konkurentiem ārpus ES vai, bet arī ietekmē ārvalstu investoru lēmumu pieņemšanu par investīciju veikšanu ES.</w:t>
      </w:r>
      <w:r>
        <w:rPr>
          <w:sz w:val="28"/>
          <w:szCs w:val="28"/>
        </w:rPr>
        <w:t xml:space="preserve"> </w:t>
      </w:r>
      <w:r w:rsidRPr="00B21D93">
        <w:rPr>
          <w:b/>
          <w:i/>
          <w:sz w:val="28"/>
          <w:szCs w:val="28"/>
        </w:rPr>
        <w:lastRenderedPageBreak/>
        <w:t>Kādi varētu būt rūpniecības sektora konkurētspēju veicinošie instrumenti saskaņā ar enerģijas un klimata politikām?</w:t>
      </w:r>
    </w:p>
    <w:p w:rsidR="00B21D93" w:rsidRPr="00B21D93" w:rsidRDefault="00B21D93" w:rsidP="00B21D93">
      <w:pPr>
        <w:spacing w:before="240" w:line="276" w:lineRule="auto"/>
        <w:jc w:val="both"/>
        <w:rPr>
          <w:b/>
          <w:sz w:val="28"/>
          <w:szCs w:val="28"/>
          <w:u w:val="single"/>
        </w:rPr>
      </w:pPr>
      <w:r w:rsidRPr="00B21D93">
        <w:rPr>
          <w:b/>
          <w:sz w:val="28"/>
          <w:szCs w:val="28"/>
          <w:u w:val="single"/>
        </w:rPr>
        <w:t>Latvijas nostāja:</w:t>
      </w:r>
    </w:p>
    <w:p w:rsidR="00BB0CC4" w:rsidRDefault="00B21D93" w:rsidP="00B21D93">
      <w:pPr>
        <w:spacing w:line="276" w:lineRule="auto"/>
        <w:jc w:val="both"/>
        <w:rPr>
          <w:sz w:val="28"/>
          <w:szCs w:val="28"/>
        </w:rPr>
      </w:pPr>
      <w:r w:rsidRPr="00B21D93">
        <w:rPr>
          <w:sz w:val="28"/>
          <w:szCs w:val="28"/>
        </w:rPr>
        <w:tab/>
      </w:r>
      <w:r w:rsidRPr="00B21D93">
        <w:rPr>
          <w:b/>
          <w:sz w:val="28"/>
          <w:szCs w:val="28"/>
        </w:rPr>
        <w:t xml:space="preserve">Latvija </w:t>
      </w:r>
      <w:r>
        <w:rPr>
          <w:b/>
          <w:sz w:val="28"/>
          <w:szCs w:val="28"/>
        </w:rPr>
        <w:t>uzskata</w:t>
      </w:r>
      <w:r w:rsidRPr="00B21D93">
        <w:rPr>
          <w:sz w:val="28"/>
          <w:szCs w:val="28"/>
        </w:rPr>
        <w:t xml:space="preserve">, ka </w:t>
      </w:r>
      <w:r w:rsidRPr="00B21D93">
        <w:rPr>
          <w:sz w:val="28"/>
          <w:szCs w:val="28"/>
        </w:rPr>
        <w:t xml:space="preserve">ES rūpniecības konkurētspēja būs atkarīga no prasmes izaicinājumus klimata un enerģijas jomā </w:t>
      </w:r>
      <w:r>
        <w:rPr>
          <w:sz w:val="28"/>
          <w:szCs w:val="28"/>
        </w:rPr>
        <w:t>pavērst</w:t>
      </w:r>
      <w:r w:rsidRPr="00B21D93">
        <w:rPr>
          <w:sz w:val="28"/>
          <w:szCs w:val="28"/>
        </w:rPr>
        <w:t xml:space="preserve"> par konkurētspējas priekšrocībām</w:t>
      </w:r>
      <w:r>
        <w:rPr>
          <w:sz w:val="28"/>
          <w:szCs w:val="28"/>
        </w:rPr>
        <w:t xml:space="preserve">. </w:t>
      </w:r>
      <w:r w:rsidRPr="00B21D93">
        <w:rPr>
          <w:sz w:val="28"/>
          <w:szCs w:val="28"/>
        </w:rPr>
        <w:t>Šim nolūkam vairāk</w:t>
      </w:r>
      <w:r>
        <w:rPr>
          <w:sz w:val="28"/>
          <w:szCs w:val="28"/>
        </w:rPr>
        <w:t xml:space="preserve"> būtu</w:t>
      </w:r>
      <w:r w:rsidRPr="00B21D93">
        <w:rPr>
          <w:sz w:val="28"/>
          <w:szCs w:val="28"/>
        </w:rPr>
        <w:t xml:space="preserve"> jādomā, kā atbalstīt ES rūpniecību, lai tā spētu pielāgoties vides prasībām, kā arī tendencēm, kas liecina, ka enerģijas cenas arī nākotnē turpinās pieaugt.</w:t>
      </w:r>
      <w:r w:rsidR="00A004FB">
        <w:rPr>
          <w:sz w:val="28"/>
          <w:szCs w:val="28"/>
        </w:rPr>
        <w:t xml:space="preserve"> Savukārt, l</w:t>
      </w:r>
      <w:r w:rsidR="00BB0CC4" w:rsidRPr="00BB0CC4">
        <w:rPr>
          <w:sz w:val="28"/>
          <w:szCs w:val="28"/>
        </w:rPr>
        <w:t>ai risinātu resursu ietilpīgo nozaru jautājumu, nepieciešams uzlabot ne tikai pieeju trešo valstu izejvielām, bet arī sekmēt pašas ES resursu plašāku un efektīvāku izmantošanu. Būtiski īstenot pasākumus, kas ne tikai popularizē, bet arī veicina produktu pilna dzīves cikla ievērošanu, uzsverot resursu otrreizējās pārstrādes un izmantošanas nozīmīgumu.</w:t>
      </w:r>
    </w:p>
    <w:p w:rsidR="00B21D93" w:rsidRDefault="00B21D93" w:rsidP="00B21D93">
      <w:pPr>
        <w:spacing w:line="276" w:lineRule="auto"/>
        <w:jc w:val="both"/>
        <w:rPr>
          <w:sz w:val="28"/>
          <w:szCs w:val="28"/>
        </w:rPr>
      </w:pPr>
      <w:r>
        <w:rPr>
          <w:sz w:val="28"/>
          <w:szCs w:val="28"/>
        </w:rPr>
        <w:tab/>
      </w:r>
      <w:r w:rsidRPr="00BB0CC4">
        <w:rPr>
          <w:b/>
          <w:sz w:val="28"/>
          <w:szCs w:val="28"/>
        </w:rPr>
        <w:t>Latvija norāda</w:t>
      </w:r>
      <w:r>
        <w:rPr>
          <w:sz w:val="28"/>
          <w:szCs w:val="28"/>
        </w:rPr>
        <w:t>, ka k</w:t>
      </w:r>
      <w:r w:rsidRPr="00B21D93">
        <w:rPr>
          <w:sz w:val="28"/>
          <w:szCs w:val="28"/>
        </w:rPr>
        <w:t>limata politikas ietvaros ir jāturpina darbs pie enerģijas resursu piegāžu diversifikācijas, kas ir svarīgs instruments rūpniecības sektora konkurētspējas stiprināšanai. Rezultātā rūpniecības sektoram tiek sniegta iespēja izvēlēties tirgū lētākos resursus, šādi samazinot ražošanas izmaksas.</w:t>
      </w:r>
    </w:p>
    <w:p w:rsidR="003F290F" w:rsidRDefault="003F290F" w:rsidP="00B21D93">
      <w:pPr>
        <w:spacing w:before="240" w:line="276" w:lineRule="auto"/>
        <w:jc w:val="both"/>
        <w:rPr>
          <w:sz w:val="28"/>
          <w:szCs w:val="28"/>
        </w:rPr>
      </w:pPr>
      <w:r>
        <w:rPr>
          <w:sz w:val="28"/>
          <w:szCs w:val="28"/>
        </w:rPr>
        <w:br w:type="page"/>
      </w:r>
    </w:p>
    <w:p w:rsidR="0049471A" w:rsidRPr="00264C71" w:rsidRDefault="0049471A" w:rsidP="000017A5">
      <w:pPr>
        <w:jc w:val="both"/>
        <w:rPr>
          <w:b/>
          <w:sz w:val="28"/>
          <w:szCs w:val="28"/>
        </w:rPr>
      </w:pPr>
      <w:r w:rsidRPr="00264C71">
        <w:rPr>
          <w:b/>
          <w:sz w:val="28"/>
          <w:szCs w:val="28"/>
        </w:rPr>
        <w:lastRenderedPageBreak/>
        <w:t>2.  Latvijas delegācija</w:t>
      </w:r>
    </w:p>
    <w:p w:rsidR="0066585F" w:rsidRPr="00264C71" w:rsidRDefault="0066585F" w:rsidP="0066585F">
      <w:pPr>
        <w:ind w:left="2977" w:hanging="2977"/>
        <w:jc w:val="both"/>
        <w:rPr>
          <w:sz w:val="28"/>
          <w:szCs w:val="28"/>
        </w:rPr>
      </w:pPr>
      <w:r w:rsidRPr="00264C71">
        <w:rPr>
          <w:sz w:val="28"/>
          <w:szCs w:val="28"/>
        </w:rPr>
        <w:t xml:space="preserve">Delegācijas vadītājs: </w:t>
      </w:r>
      <w:r w:rsidRPr="00264C71">
        <w:rPr>
          <w:sz w:val="28"/>
          <w:szCs w:val="28"/>
        </w:rPr>
        <w:tab/>
      </w:r>
      <w:r w:rsidR="00DE50F6" w:rsidRPr="00264C71">
        <w:rPr>
          <w:b/>
          <w:sz w:val="28"/>
          <w:szCs w:val="28"/>
        </w:rPr>
        <w:t xml:space="preserve">Juris </w:t>
      </w:r>
      <w:proofErr w:type="spellStart"/>
      <w:r w:rsidR="00DE50F6" w:rsidRPr="00264C71">
        <w:rPr>
          <w:b/>
          <w:sz w:val="28"/>
          <w:szCs w:val="28"/>
        </w:rPr>
        <w:t>Štālmeistars</w:t>
      </w:r>
      <w:proofErr w:type="spellEnd"/>
      <w:r w:rsidRPr="00264C71">
        <w:rPr>
          <w:sz w:val="28"/>
          <w:szCs w:val="28"/>
        </w:rPr>
        <w:t xml:space="preserve">, </w:t>
      </w:r>
      <w:r w:rsidR="00DE50F6" w:rsidRPr="00264C71">
        <w:rPr>
          <w:sz w:val="28"/>
          <w:szCs w:val="28"/>
        </w:rPr>
        <w:t>Latvijas Republikas pastāvīgā pārstāvja Eiropas Savienībā vietnieks</w:t>
      </w:r>
      <w:r w:rsidR="00E1217B">
        <w:rPr>
          <w:sz w:val="28"/>
          <w:szCs w:val="28"/>
        </w:rPr>
        <w:t>, vēstnieks</w:t>
      </w:r>
      <w:r w:rsidRPr="00264C71">
        <w:rPr>
          <w:sz w:val="28"/>
          <w:szCs w:val="28"/>
        </w:rPr>
        <w:t>.</w:t>
      </w:r>
    </w:p>
    <w:p w:rsidR="0066585F" w:rsidRPr="00264C71" w:rsidRDefault="0066585F" w:rsidP="0066585F">
      <w:pPr>
        <w:ind w:left="2977" w:hanging="2977"/>
        <w:jc w:val="both"/>
        <w:rPr>
          <w:sz w:val="28"/>
          <w:szCs w:val="28"/>
        </w:rPr>
      </w:pPr>
    </w:p>
    <w:p w:rsidR="00601F9C" w:rsidRPr="00264C71" w:rsidRDefault="0066585F" w:rsidP="00601F9C">
      <w:pPr>
        <w:ind w:left="2977" w:hanging="2977"/>
        <w:jc w:val="both"/>
        <w:rPr>
          <w:sz w:val="28"/>
          <w:szCs w:val="28"/>
        </w:rPr>
      </w:pPr>
      <w:r w:rsidRPr="00264C71">
        <w:rPr>
          <w:sz w:val="28"/>
          <w:szCs w:val="28"/>
        </w:rPr>
        <w:t xml:space="preserve">Delegācijas dalībnieki: </w:t>
      </w:r>
      <w:r w:rsidRPr="00264C71">
        <w:rPr>
          <w:sz w:val="28"/>
          <w:szCs w:val="28"/>
        </w:rPr>
        <w:tab/>
      </w:r>
      <w:r w:rsidR="009A3B70" w:rsidRPr="00264C71">
        <w:rPr>
          <w:b/>
          <w:sz w:val="28"/>
          <w:szCs w:val="28"/>
        </w:rPr>
        <w:t>Zaiga Liepiņa</w:t>
      </w:r>
      <w:r w:rsidR="00601F9C" w:rsidRPr="00264C71">
        <w:rPr>
          <w:sz w:val="28"/>
          <w:szCs w:val="28"/>
        </w:rPr>
        <w:t xml:space="preserve">, </w:t>
      </w:r>
      <w:r w:rsidR="009A3B70" w:rsidRPr="00264C71">
        <w:rPr>
          <w:sz w:val="28"/>
          <w:szCs w:val="28"/>
        </w:rPr>
        <w:t>Ekonomikas ministrijas valsts sekretāra vietniece</w:t>
      </w:r>
      <w:r w:rsidR="00601F9C" w:rsidRPr="00264C71">
        <w:rPr>
          <w:sz w:val="28"/>
          <w:szCs w:val="28"/>
        </w:rPr>
        <w:t>;</w:t>
      </w:r>
    </w:p>
    <w:p w:rsidR="00601F9C" w:rsidRPr="00264C71" w:rsidRDefault="009A3B70" w:rsidP="00601F9C">
      <w:pPr>
        <w:ind w:left="2977"/>
        <w:jc w:val="both"/>
        <w:rPr>
          <w:sz w:val="28"/>
          <w:szCs w:val="28"/>
        </w:rPr>
      </w:pPr>
      <w:r w:rsidRPr="00264C71">
        <w:rPr>
          <w:b/>
          <w:sz w:val="28"/>
          <w:szCs w:val="28"/>
        </w:rPr>
        <w:t>Inese Balode</w:t>
      </w:r>
      <w:r w:rsidR="0066585F" w:rsidRPr="00264C71">
        <w:rPr>
          <w:sz w:val="28"/>
          <w:szCs w:val="28"/>
        </w:rPr>
        <w:t xml:space="preserve">, Ekonomikas ministrijas </w:t>
      </w:r>
      <w:r w:rsidR="00766219" w:rsidRPr="00264C71">
        <w:rPr>
          <w:sz w:val="28"/>
          <w:szCs w:val="28"/>
        </w:rPr>
        <w:t>Ārējo ekonomisko attiecību departamenta</w:t>
      </w:r>
      <w:r w:rsidRPr="00264C71">
        <w:rPr>
          <w:sz w:val="28"/>
          <w:szCs w:val="28"/>
        </w:rPr>
        <w:t xml:space="preserve"> direktore</w:t>
      </w:r>
      <w:r w:rsidR="0066585F" w:rsidRPr="00264C71">
        <w:rPr>
          <w:sz w:val="28"/>
          <w:szCs w:val="28"/>
        </w:rPr>
        <w:t>;</w:t>
      </w:r>
    </w:p>
    <w:p w:rsidR="0066585F" w:rsidRPr="00264C71" w:rsidRDefault="004D1754" w:rsidP="0066585F">
      <w:pPr>
        <w:ind w:left="2977"/>
        <w:jc w:val="both"/>
        <w:rPr>
          <w:sz w:val="28"/>
          <w:szCs w:val="28"/>
        </w:rPr>
      </w:pPr>
      <w:r w:rsidRPr="00264C71">
        <w:rPr>
          <w:b/>
          <w:sz w:val="28"/>
          <w:szCs w:val="28"/>
        </w:rPr>
        <w:t xml:space="preserve">Aivars </w:t>
      </w:r>
      <w:r w:rsidR="0066585F" w:rsidRPr="00264C71">
        <w:rPr>
          <w:b/>
          <w:sz w:val="28"/>
          <w:szCs w:val="28"/>
        </w:rPr>
        <w:t>Neimanis</w:t>
      </w:r>
      <w:r w:rsidR="0066585F" w:rsidRPr="00264C71">
        <w:rPr>
          <w:sz w:val="28"/>
          <w:szCs w:val="28"/>
        </w:rPr>
        <w:t>, Ekonomikas ministrijas nozares padomnieks Latvijas Republikas Pastāvīgajā pārstāvniecībā Eiropas Savienībā;</w:t>
      </w:r>
    </w:p>
    <w:p w:rsidR="0066585F" w:rsidRPr="00264C71" w:rsidRDefault="0066585F" w:rsidP="0066585F">
      <w:pPr>
        <w:ind w:left="2977"/>
        <w:jc w:val="both"/>
        <w:rPr>
          <w:bCs/>
          <w:sz w:val="28"/>
          <w:szCs w:val="28"/>
        </w:rPr>
      </w:pPr>
      <w:r w:rsidRPr="00264C71">
        <w:rPr>
          <w:b/>
          <w:bCs/>
          <w:sz w:val="28"/>
          <w:szCs w:val="28"/>
        </w:rPr>
        <w:t>Anna Upena</w:t>
      </w:r>
      <w:r w:rsidRPr="00264C71">
        <w:rPr>
          <w:bCs/>
          <w:sz w:val="28"/>
          <w:szCs w:val="28"/>
        </w:rPr>
        <w:t>,</w:t>
      </w:r>
      <w:r w:rsidRPr="00264C71">
        <w:rPr>
          <w:b/>
          <w:bCs/>
          <w:sz w:val="28"/>
          <w:szCs w:val="28"/>
        </w:rPr>
        <w:t xml:space="preserve"> </w:t>
      </w:r>
      <w:r w:rsidRPr="00264C71">
        <w:rPr>
          <w:bCs/>
          <w:sz w:val="28"/>
          <w:szCs w:val="28"/>
        </w:rPr>
        <w:t xml:space="preserve">Ekonomikas ministrijas nozares padomniece Latvijas Republikas </w:t>
      </w:r>
      <w:r w:rsidRPr="00264C71">
        <w:rPr>
          <w:sz w:val="28"/>
          <w:szCs w:val="28"/>
        </w:rPr>
        <w:t xml:space="preserve">Pastāvīgajā pārstāvniecībā </w:t>
      </w:r>
      <w:r w:rsidR="0046554A" w:rsidRPr="00264C71">
        <w:rPr>
          <w:bCs/>
          <w:sz w:val="28"/>
          <w:szCs w:val="28"/>
        </w:rPr>
        <w:t>Eiropas Savienībā</w:t>
      </w:r>
      <w:r w:rsidR="009A3B70" w:rsidRPr="00264C71">
        <w:rPr>
          <w:bCs/>
          <w:sz w:val="28"/>
          <w:szCs w:val="28"/>
        </w:rPr>
        <w:t>;</w:t>
      </w:r>
    </w:p>
    <w:p w:rsidR="00356D6C" w:rsidRPr="00264C71" w:rsidRDefault="00356D6C" w:rsidP="0066585F">
      <w:pPr>
        <w:ind w:left="2977"/>
        <w:jc w:val="both"/>
        <w:rPr>
          <w:bCs/>
          <w:sz w:val="28"/>
          <w:szCs w:val="28"/>
        </w:rPr>
      </w:pPr>
      <w:r w:rsidRPr="00264C71">
        <w:rPr>
          <w:b/>
          <w:bCs/>
          <w:sz w:val="28"/>
          <w:szCs w:val="28"/>
        </w:rPr>
        <w:t>Rinalds</w:t>
      </w:r>
      <w:r w:rsidR="00AC75DB" w:rsidRPr="00264C71">
        <w:rPr>
          <w:b/>
          <w:bCs/>
          <w:sz w:val="28"/>
          <w:szCs w:val="28"/>
        </w:rPr>
        <w:t xml:space="preserve"> Celmiņš</w:t>
      </w:r>
      <w:r w:rsidR="00D94E99" w:rsidRPr="00264C71">
        <w:rPr>
          <w:bCs/>
          <w:sz w:val="28"/>
          <w:szCs w:val="28"/>
        </w:rPr>
        <w:t>, Ekonomikas ministrijas Uzņēmējdarbības konkurētspējas departamenta ārštata eksperts;</w:t>
      </w:r>
    </w:p>
    <w:p w:rsidR="009A3B70" w:rsidRPr="00264C71" w:rsidRDefault="00D94E99" w:rsidP="0066585F">
      <w:pPr>
        <w:ind w:left="2977"/>
        <w:jc w:val="both"/>
        <w:rPr>
          <w:bCs/>
          <w:sz w:val="28"/>
          <w:szCs w:val="28"/>
        </w:rPr>
      </w:pPr>
      <w:r w:rsidRPr="00264C71">
        <w:rPr>
          <w:b/>
          <w:bCs/>
          <w:sz w:val="28"/>
          <w:szCs w:val="28"/>
        </w:rPr>
        <w:t xml:space="preserve">Valdis Aleksandrs </w:t>
      </w:r>
      <w:proofErr w:type="spellStart"/>
      <w:r w:rsidRPr="00264C71">
        <w:rPr>
          <w:b/>
          <w:bCs/>
          <w:sz w:val="28"/>
          <w:szCs w:val="28"/>
        </w:rPr>
        <w:t>Būcēns</w:t>
      </w:r>
      <w:proofErr w:type="spellEnd"/>
      <w:r w:rsidRPr="00264C71">
        <w:rPr>
          <w:bCs/>
          <w:sz w:val="28"/>
          <w:szCs w:val="28"/>
        </w:rPr>
        <w:t>, Aizsardzības ministrijas pārstāvis starptautiskajā organizācijā (sadarbība ar Eiropas aizsardzības aģentūru)</w:t>
      </w:r>
      <w:r w:rsidR="009A3B70" w:rsidRPr="00264C71">
        <w:rPr>
          <w:bCs/>
          <w:sz w:val="28"/>
          <w:szCs w:val="28"/>
        </w:rPr>
        <w:t>.</w:t>
      </w:r>
    </w:p>
    <w:p w:rsidR="0049471A" w:rsidRPr="00264C71" w:rsidRDefault="0049471A" w:rsidP="00CA30F2">
      <w:pPr>
        <w:tabs>
          <w:tab w:val="right" w:pos="9071"/>
        </w:tabs>
        <w:spacing w:after="120"/>
        <w:jc w:val="both"/>
        <w:rPr>
          <w:sz w:val="28"/>
          <w:szCs w:val="28"/>
        </w:rPr>
      </w:pPr>
    </w:p>
    <w:p w:rsidR="00543611" w:rsidRPr="00264C71" w:rsidRDefault="00543611" w:rsidP="00025B33">
      <w:pPr>
        <w:tabs>
          <w:tab w:val="right" w:pos="8931"/>
        </w:tabs>
        <w:spacing w:after="120"/>
        <w:rPr>
          <w:sz w:val="28"/>
          <w:szCs w:val="28"/>
        </w:rPr>
      </w:pPr>
    </w:p>
    <w:p w:rsidR="00084744" w:rsidRPr="00264C71" w:rsidRDefault="003840A0" w:rsidP="00025B33">
      <w:pPr>
        <w:tabs>
          <w:tab w:val="right" w:pos="8931"/>
        </w:tabs>
        <w:spacing w:after="120"/>
        <w:rPr>
          <w:sz w:val="28"/>
          <w:szCs w:val="28"/>
        </w:rPr>
      </w:pPr>
      <w:r w:rsidRPr="00264C71">
        <w:rPr>
          <w:sz w:val="28"/>
          <w:szCs w:val="28"/>
        </w:rPr>
        <w:t xml:space="preserve">Iesniedzējs: </w:t>
      </w:r>
      <w:r w:rsidR="00025B33" w:rsidRPr="00264C71">
        <w:rPr>
          <w:sz w:val="28"/>
          <w:szCs w:val="28"/>
        </w:rPr>
        <w:tab/>
      </w:r>
    </w:p>
    <w:p w:rsidR="00484651" w:rsidRPr="00264C71" w:rsidRDefault="00D813CF" w:rsidP="00D813CF">
      <w:pPr>
        <w:tabs>
          <w:tab w:val="right" w:pos="8931"/>
        </w:tabs>
        <w:spacing w:after="120"/>
        <w:rPr>
          <w:sz w:val="28"/>
          <w:szCs w:val="28"/>
        </w:rPr>
      </w:pPr>
      <w:r w:rsidRPr="00264C71">
        <w:rPr>
          <w:sz w:val="28"/>
          <w:szCs w:val="28"/>
        </w:rPr>
        <w:t xml:space="preserve">Ekonomikas </w:t>
      </w:r>
      <w:r w:rsidR="00084744" w:rsidRPr="00264C71">
        <w:rPr>
          <w:sz w:val="28"/>
          <w:szCs w:val="28"/>
        </w:rPr>
        <w:t>ministrs</w:t>
      </w:r>
      <w:r w:rsidRPr="00264C71">
        <w:rPr>
          <w:sz w:val="28"/>
          <w:szCs w:val="28"/>
        </w:rPr>
        <w:tab/>
      </w:r>
      <w:proofErr w:type="spellStart"/>
      <w:r w:rsidRPr="00264C71">
        <w:rPr>
          <w:sz w:val="28"/>
          <w:szCs w:val="28"/>
        </w:rPr>
        <w:t>D</w:t>
      </w:r>
      <w:r w:rsidR="00084744" w:rsidRPr="00264C71">
        <w:rPr>
          <w:sz w:val="28"/>
          <w:szCs w:val="28"/>
        </w:rPr>
        <w:t>.</w:t>
      </w:r>
      <w:r w:rsidRPr="00264C71">
        <w:rPr>
          <w:sz w:val="28"/>
          <w:szCs w:val="28"/>
        </w:rPr>
        <w:t>Pavļuts</w:t>
      </w:r>
      <w:proofErr w:type="spellEnd"/>
    </w:p>
    <w:p w:rsidR="003840A0" w:rsidRPr="00264C71" w:rsidRDefault="003840A0" w:rsidP="00977FEC">
      <w:pPr>
        <w:spacing w:after="120"/>
        <w:jc w:val="both"/>
        <w:rPr>
          <w:sz w:val="28"/>
          <w:szCs w:val="28"/>
        </w:rPr>
      </w:pPr>
    </w:p>
    <w:p w:rsidR="00B77079" w:rsidRDefault="00B77079" w:rsidP="00977FEC">
      <w:pPr>
        <w:spacing w:after="120"/>
        <w:jc w:val="both"/>
        <w:rPr>
          <w:sz w:val="28"/>
          <w:szCs w:val="28"/>
        </w:rPr>
      </w:pPr>
    </w:p>
    <w:p w:rsidR="007D243D" w:rsidRPr="00264C71" w:rsidRDefault="007D243D" w:rsidP="00977FEC">
      <w:pPr>
        <w:spacing w:after="120"/>
        <w:jc w:val="both"/>
        <w:rPr>
          <w:sz w:val="28"/>
          <w:szCs w:val="28"/>
        </w:rPr>
      </w:pPr>
    </w:p>
    <w:p w:rsidR="0066585F" w:rsidRPr="00264C71" w:rsidRDefault="001B24AB" w:rsidP="00025B33">
      <w:pPr>
        <w:tabs>
          <w:tab w:val="right" w:pos="8931"/>
        </w:tabs>
        <w:spacing w:after="120"/>
        <w:rPr>
          <w:sz w:val="28"/>
          <w:szCs w:val="28"/>
        </w:rPr>
      </w:pPr>
      <w:r w:rsidRPr="00264C71">
        <w:rPr>
          <w:sz w:val="28"/>
          <w:szCs w:val="28"/>
        </w:rPr>
        <w:t>Vī</w:t>
      </w:r>
      <w:r w:rsidR="003840A0" w:rsidRPr="00264C71">
        <w:rPr>
          <w:sz w:val="28"/>
          <w:szCs w:val="28"/>
        </w:rPr>
        <w:t xml:space="preserve">zē: </w:t>
      </w:r>
      <w:r w:rsidR="00025B33" w:rsidRPr="00264C71">
        <w:rPr>
          <w:sz w:val="28"/>
          <w:szCs w:val="28"/>
        </w:rPr>
        <w:tab/>
      </w:r>
      <w:r w:rsidR="003840A0" w:rsidRPr="00264C71">
        <w:rPr>
          <w:sz w:val="28"/>
          <w:szCs w:val="28"/>
        </w:rPr>
        <w:t>Valsts sekretārs</w:t>
      </w:r>
    </w:p>
    <w:p w:rsidR="003840A0" w:rsidRPr="00264C71" w:rsidRDefault="003840A0" w:rsidP="00025B33">
      <w:pPr>
        <w:tabs>
          <w:tab w:val="right" w:pos="8931"/>
        </w:tabs>
        <w:spacing w:after="120"/>
        <w:rPr>
          <w:sz w:val="28"/>
          <w:szCs w:val="28"/>
        </w:rPr>
      </w:pPr>
      <w:r w:rsidRPr="00264C71">
        <w:rPr>
          <w:sz w:val="28"/>
          <w:szCs w:val="28"/>
        </w:rPr>
        <w:tab/>
        <w:t xml:space="preserve">   J. Pūce</w:t>
      </w:r>
    </w:p>
    <w:p w:rsidR="00422C05" w:rsidRPr="00264C71" w:rsidRDefault="00422C05" w:rsidP="00025B33">
      <w:pPr>
        <w:jc w:val="both"/>
        <w:rPr>
          <w:sz w:val="18"/>
          <w:szCs w:val="18"/>
          <w:u w:val="single"/>
        </w:rPr>
      </w:pPr>
    </w:p>
    <w:p w:rsidR="0079598D" w:rsidRPr="00264C71" w:rsidRDefault="0079598D" w:rsidP="00025B33">
      <w:pPr>
        <w:jc w:val="both"/>
        <w:rPr>
          <w:sz w:val="18"/>
          <w:szCs w:val="18"/>
          <w:u w:val="single"/>
        </w:rPr>
      </w:pPr>
    </w:p>
    <w:p w:rsidR="0079598D" w:rsidRPr="00264C71" w:rsidRDefault="0079598D" w:rsidP="00025B33">
      <w:pPr>
        <w:jc w:val="both"/>
        <w:rPr>
          <w:sz w:val="18"/>
          <w:szCs w:val="18"/>
          <w:u w:val="single"/>
        </w:rPr>
      </w:pPr>
    </w:p>
    <w:p w:rsidR="00271604" w:rsidRPr="00264C71" w:rsidRDefault="000C1FAA" w:rsidP="00025B33">
      <w:pPr>
        <w:jc w:val="both"/>
        <w:rPr>
          <w:sz w:val="20"/>
        </w:rPr>
      </w:pPr>
      <w:r w:rsidRPr="00264C71">
        <w:rPr>
          <w:sz w:val="20"/>
        </w:rPr>
        <w:t>2</w:t>
      </w:r>
      <w:r w:rsidR="0079598D" w:rsidRPr="00264C71">
        <w:rPr>
          <w:sz w:val="20"/>
        </w:rPr>
        <w:t>3</w:t>
      </w:r>
      <w:r w:rsidR="00767288" w:rsidRPr="00264C71">
        <w:rPr>
          <w:sz w:val="20"/>
        </w:rPr>
        <w:t>.0</w:t>
      </w:r>
      <w:r w:rsidR="0079598D" w:rsidRPr="00264C71">
        <w:rPr>
          <w:sz w:val="20"/>
        </w:rPr>
        <w:t>9</w:t>
      </w:r>
      <w:r w:rsidR="00271604" w:rsidRPr="00264C71">
        <w:rPr>
          <w:sz w:val="20"/>
        </w:rPr>
        <w:t>.201</w:t>
      </w:r>
      <w:r w:rsidR="00EF4F93">
        <w:rPr>
          <w:sz w:val="20"/>
        </w:rPr>
        <w:t>3. 13</w:t>
      </w:r>
      <w:r w:rsidR="00271604" w:rsidRPr="00264C71">
        <w:rPr>
          <w:sz w:val="20"/>
        </w:rPr>
        <w:t>:</w:t>
      </w:r>
      <w:r w:rsidR="0079598D" w:rsidRPr="00264C71">
        <w:rPr>
          <w:sz w:val="20"/>
        </w:rPr>
        <w:t>15</w:t>
      </w:r>
    </w:p>
    <w:p w:rsidR="00447246" w:rsidRPr="00264C71" w:rsidRDefault="004D1754" w:rsidP="00025B33">
      <w:pPr>
        <w:jc w:val="both"/>
        <w:rPr>
          <w:sz w:val="20"/>
          <w:szCs w:val="18"/>
        </w:rPr>
      </w:pPr>
      <w:r w:rsidRPr="00264C71">
        <w:rPr>
          <w:sz w:val="28"/>
        </w:rPr>
        <w:fldChar w:fldCharType="begin"/>
      </w:r>
      <w:r w:rsidRPr="00264C71">
        <w:rPr>
          <w:sz w:val="28"/>
        </w:rPr>
        <w:instrText xml:space="preserve"> NUMWORDS   \* MERGEFORMAT </w:instrText>
      </w:r>
      <w:r w:rsidRPr="00264C71">
        <w:rPr>
          <w:sz w:val="28"/>
        </w:rPr>
        <w:fldChar w:fldCharType="separate"/>
      </w:r>
      <w:r w:rsidR="00F76A94" w:rsidRPr="00F76A94">
        <w:rPr>
          <w:noProof/>
          <w:sz w:val="20"/>
          <w:szCs w:val="18"/>
        </w:rPr>
        <w:t>3070</w:t>
      </w:r>
      <w:r w:rsidRPr="00264C71">
        <w:rPr>
          <w:sz w:val="20"/>
          <w:szCs w:val="18"/>
        </w:rPr>
        <w:fldChar w:fldCharType="end"/>
      </w:r>
      <w:bookmarkStart w:id="2" w:name="_GoBack"/>
      <w:bookmarkEnd w:id="2"/>
    </w:p>
    <w:p w:rsidR="00447246" w:rsidRPr="00264C71" w:rsidRDefault="00DC4512" w:rsidP="00025B33">
      <w:pPr>
        <w:jc w:val="both"/>
        <w:rPr>
          <w:sz w:val="20"/>
          <w:szCs w:val="18"/>
        </w:rPr>
      </w:pPr>
      <w:r w:rsidRPr="00264C71">
        <w:rPr>
          <w:sz w:val="20"/>
          <w:szCs w:val="18"/>
        </w:rPr>
        <w:t>K</w:t>
      </w:r>
      <w:r w:rsidR="00447246" w:rsidRPr="00264C71">
        <w:rPr>
          <w:sz w:val="20"/>
          <w:szCs w:val="18"/>
        </w:rPr>
        <w:t>.</w:t>
      </w:r>
      <w:r w:rsidRPr="00264C71">
        <w:rPr>
          <w:sz w:val="20"/>
          <w:szCs w:val="18"/>
        </w:rPr>
        <w:t>Stabiņš</w:t>
      </w:r>
    </w:p>
    <w:p w:rsidR="00447246" w:rsidRPr="00264C71" w:rsidRDefault="00447246" w:rsidP="00025B33">
      <w:pPr>
        <w:jc w:val="both"/>
        <w:rPr>
          <w:sz w:val="20"/>
          <w:szCs w:val="18"/>
        </w:rPr>
      </w:pPr>
      <w:r w:rsidRPr="00264C71">
        <w:rPr>
          <w:sz w:val="20"/>
          <w:szCs w:val="18"/>
        </w:rPr>
        <w:t>Ekonomikas ministrijas</w:t>
      </w:r>
    </w:p>
    <w:p w:rsidR="00447246" w:rsidRPr="00264C71" w:rsidRDefault="00447246" w:rsidP="00025B33">
      <w:pPr>
        <w:jc w:val="both"/>
        <w:rPr>
          <w:sz w:val="20"/>
          <w:szCs w:val="18"/>
        </w:rPr>
      </w:pPr>
      <w:r w:rsidRPr="00264C71">
        <w:rPr>
          <w:sz w:val="20"/>
          <w:szCs w:val="18"/>
        </w:rPr>
        <w:t>Ārējo ekonomisko attiecību departaments</w:t>
      </w:r>
    </w:p>
    <w:p w:rsidR="00447246" w:rsidRPr="00264C71" w:rsidRDefault="00DC4512" w:rsidP="00025B33">
      <w:pPr>
        <w:jc w:val="both"/>
        <w:rPr>
          <w:sz w:val="32"/>
          <w:szCs w:val="28"/>
        </w:rPr>
      </w:pPr>
      <w:r w:rsidRPr="00264C71">
        <w:rPr>
          <w:sz w:val="20"/>
          <w:szCs w:val="18"/>
        </w:rPr>
        <w:t>67013046</w:t>
      </w:r>
      <w:r w:rsidR="00447246" w:rsidRPr="00264C71">
        <w:rPr>
          <w:sz w:val="20"/>
          <w:szCs w:val="18"/>
        </w:rPr>
        <w:t xml:space="preserve">, </w:t>
      </w:r>
      <w:r w:rsidRPr="00264C71">
        <w:rPr>
          <w:sz w:val="20"/>
          <w:szCs w:val="18"/>
        </w:rPr>
        <w:t>Kaspars</w:t>
      </w:r>
      <w:r w:rsidR="00447246" w:rsidRPr="00264C71">
        <w:rPr>
          <w:sz w:val="20"/>
          <w:szCs w:val="18"/>
        </w:rPr>
        <w:t>.</w:t>
      </w:r>
      <w:r w:rsidRPr="00264C71">
        <w:rPr>
          <w:sz w:val="20"/>
          <w:szCs w:val="18"/>
        </w:rPr>
        <w:t>Stabins</w:t>
      </w:r>
      <w:r w:rsidR="00447246" w:rsidRPr="00264C71">
        <w:rPr>
          <w:sz w:val="20"/>
          <w:szCs w:val="18"/>
        </w:rPr>
        <w:t xml:space="preserve">@em.gov.lv </w:t>
      </w:r>
    </w:p>
    <w:sectPr w:rsidR="00447246" w:rsidRPr="00264C71"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9A" w:rsidRDefault="0027559A" w:rsidP="0079342A">
      <w:r>
        <w:separator/>
      </w:r>
    </w:p>
  </w:endnote>
  <w:endnote w:type="continuationSeparator" w:id="0">
    <w:p w:rsidR="0027559A" w:rsidRDefault="0027559A"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69" w:rsidRPr="00A95769" w:rsidRDefault="0079598D">
    <w:pPr>
      <w:rPr>
        <w:szCs w:val="20"/>
      </w:rPr>
    </w:pPr>
    <w:r>
      <w:rPr>
        <w:sz w:val="20"/>
        <w:szCs w:val="20"/>
        <w:lang w:eastAsia="en-US"/>
      </w:rPr>
      <w:t>EMZino_24</w:t>
    </w:r>
    <w:r w:rsidR="00A95769" w:rsidRPr="00A95769">
      <w:rPr>
        <w:sz w:val="20"/>
        <w:szCs w:val="20"/>
        <w:lang w:eastAsia="en-US"/>
      </w:rPr>
      <w:t>0</w:t>
    </w:r>
    <w:r>
      <w:rPr>
        <w:sz w:val="20"/>
        <w:szCs w:val="20"/>
        <w:lang w:eastAsia="en-US"/>
      </w:rPr>
      <w:t>9</w:t>
    </w:r>
    <w:r w:rsidR="00A95769" w:rsidRPr="00A95769">
      <w:rPr>
        <w:sz w:val="20"/>
        <w:szCs w:val="20"/>
        <w:lang w:eastAsia="en-US"/>
      </w:rPr>
      <w:t>13_COMPET; Informatīvais zi</w:t>
    </w:r>
    <w:r w:rsidR="00A95769">
      <w:rPr>
        <w:sz w:val="20"/>
        <w:szCs w:val="20"/>
        <w:lang w:eastAsia="en-US"/>
      </w:rPr>
      <w:t>ņojums par</w:t>
    </w:r>
    <w:r w:rsidR="00A95769" w:rsidRPr="00A95769">
      <w:rPr>
        <w:sz w:val="20"/>
        <w:szCs w:val="20"/>
        <w:lang w:eastAsia="en-US"/>
      </w:rPr>
      <w:t xml:space="preserve"> Latvijas Republikas nostāju Eiropas Savienības Konkurētspē</w:t>
    </w:r>
    <w:r>
      <w:rPr>
        <w:sz w:val="20"/>
        <w:szCs w:val="20"/>
        <w:lang w:eastAsia="en-US"/>
      </w:rPr>
      <w:t>jas ministru padomes 2013.gada 26</w:t>
    </w:r>
    <w:r w:rsidR="00A95769" w:rsidRPr="00A95769">
      <w:rPr>
        <w:sz w:val="20"/>
        <w:szCs w:val="20"/>
        <w:lang w:eastAsia="en-US"/>
      </w:rPr>
      <w:t>.</w:t>
    </w:r>
    <w:r>
      <w:rPr>
        <w:sz w:val="20"/>
        <w:szCs w:val="20"/>
        <w:lang w:eastAsia="en-US"/>
      </w:rPr>
      <w:t>septembra</w:t>
    </w:r>
    <w:r w:rsidR="00A95769" w:rsidRPr="00A95769">
      <w:rPr>
        <w:sz w:val="20"/>
        <w:szCs w:val="20"/>
        <w:lang w:eastAsia="en-US"/>
      </w:rPr>
      <w:t xml:space="preserve"> sanāksmē izskatāmajos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79598D" w:rsidRDefault="0079598D" w:rsidP="0079598D">
    <w:pPr>
      <w:rPr>
        <w:szCs w:val="20"/>
      </w:rPr>
    </w:pPr>
    <w:r>
      <w:rPr>
        <w:sz w:val="20"/>
        <w:szCs w:val="20"/>
        <w:lang w:eastAsia="en-US"/>
      </w:rPr>
      <w:t>EMZino_24</w:t>
    </w:r>
    <w:r w:rsidRPr="00A95769">
      <w:rPr>
        <w:sz w:val="20"/>
        <w:szCs w:val="20"/>
        <w:lang w:eastAsia="en-US"/>
      </w:rPr>
      <w:t>0</w:t>
    </w:r>
    <w:r>
      <w:rPr>
        <w:sz w:val="20"/>
        <w:szCs w:val="20"/>
        <w:lang w:eastAsia="en-US"/>
      </w:rPr>
      <w:t>9</w:t>
    </w:r>
    <w:r w:rsidRPr="00A95769">
      <w:rPr>
        <w:sz w:val="20"/>
        <w:szCs w:val="20"/>
        <w:lang w:eastAsia="en-US"/>
      </w:rPr>
      <w:t>13_COMPET; Informatīvais zi</w:t>
    </w:r>
    <w:r>
      <w:rPr>
        <w:sz w:val="20"/>
        <w:szCs w:val="20"/>
        <w:lang w:eastAsia="en-US"/>
      </w:rPr>
      <w:t>ņojums par</w:t>
    </w:r>
    <w:r w:rsidRPr="00A95769">
      <w:rPr>
        <w:sz w:val="20"/>
        <w:szCs w:val="20"/>
        <w:lang w:eastAsia="en-US"/>
      </w:rPr>
      <w:t xml:space="preserve"> Latvijas Republikas nostāju Eiropas Savienības Konkurētspē</w:t>
    </w:r>
    <w:r>
      <w:rPr>
        <w:sz w:val="20"/>
        <w:szCs w:val="20"/>
        <w:lang w:eastAsia="en-US"/>
      </w:rPr>
      <w:t>jas ministru padomes 2013.gada 26</w:t>
    </w:r>
    <w:r w:rsidRPr="00A95769">
      <w:rPr>
        <w:sz w:val="20"/>
        <w:szCs w:val="20"/>
        <w:lang w:eastAsia="en-US"/>
      </w:rPr>
      <w:t>.</w:t>
    </w:r>
    <w:r>
      <w:rPr>
        <w:sz w:val="20"/>
        <w:szCs w:val="20"/>
        <w:lang w:eastAsia="en-US"/>
      </w:rPr>
      <w:t>septembra</w:t>
    </w:r>
    <w:r w:rsidRPr="00A95769">
      <w:rPr>
        <w:sz w:val="20"/>
        <w:szCs w:val="20"/>
        <w:lang w:eastAsia="en-US"/>
      </w:rPr>
      <w:t xml:space="preserve"> sanāksmē izskatāmajos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9A" w:rsidRDefault="0027559A" w:rsidP="0079342A">
      <w:r>
        <w:separator/>
      </w:r>
    </w:p>
  </w:footnote>
  <w:footnote w:type="continuationSeparator" w:id="0">
    <w:p w:rsidR="0027559A" w:rsidRDefault="0027559A" w:rsidP="0079342A">
      <w:r>
        <w:continuationSeparator/>
      </w:r>
    </w:p>
  </w:footnote>
  <w:footnote w:id="1">
    <w:p w:rsidR="008C4101" w:rsidRDefault="008C4101">
      <w:pPr>
        <w:pStyle w:val="FootnoteText"/>
      </w:pPr>
      <w:r>
        <w:rPr>
          <w:rStyle w:val="FootnoteReference"/>
        </w:rPr>
        <w:footnoteRef/>
      </w:r>
      <w:r>
        <w:t xml:space="preserve"> COM(2010)</w:t>
      </w:r>
      <w:r w:rsidRPr="008C4101">
        <w:t>614 „Integrēta rūpniecības politika globalizācijas laikmetam: prioritāte konkurētspējai un ilgtspējai”</w:t>
      </w:r>
    </w:p>
  </w:footnote>
  <w:footnote w:id="2">
    <w:p w:rsidR="008C4101" w:rsidRDefault="008C4101">
      <w:pPr>
        <w:pStyle w:val="FootnoteText"/>
      </w:pPr>
      <w:r>
        <w:rPr>
          <w:rStyle w:val="FootnoteReference"/>
        </w:rPr>
        <w:footnoteRef/>
      </w:r>
      <w:r>
        <w:t xml:space="preserve"> </w:t>
      </w:r>
      <w:r w:rsidRPr="00071F29">
        <w:t>COM(2012) 582 „Spēcīgāka Eiropas rūpniecība izaugsmei un ekonomikas atveseļošanai: Atjaunināts paziņojums par rūpniecības politiku”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pPr>
          <w:pStyle w:val="Header"/>
          <w:jc w:val="center"/>
        </w:pPr>
        <w:r>
          <w:fldChar w:fldCharType="begin"/>
        </w:r>
        <w:r>
          <w:instrText xml:space="preserve"> PAGE   \* MERGEFORMAT </w:instrText>
        </w:r>
        <w:r>
          <w:fldChar w:fldCharType="separate"/>
        </w:r>
        <w:r w:rsidR="00F76A94">
          <w:rPr>
            <w:noProof/>
          </w:rPr>
          <w:t>12</w:t>
        </w:r>
        <w:r>
          <w:rPr>
            <w:noProof/>
          </w:rPr>
          <w:fldChar w:fldCharType="end"/>
        </w:r>
      </w:p>
    </w:sdtContent>
  </w:sdt>
  <w:p w:rsidR="00713692" w:rsidRDefault="0071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B45"/>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306C4E45"/>
    <w:multiLevelType w:val="hybridMultilevel"/>
    <w:tmpl w:val="F59C1A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3C317450"/>
    <w:multiLevelType w:val="hybridMultilevel"/>
    <w:tmpl w:val="D4CAF7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3E767367"/>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78313D6"/>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77D90279"/>
    <w:multiLevelType w:val="hybridMultilevel"/>
    <w:tmpl w:val="D2E885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8"/>
    <w:rsid w:val="000017A5"/>
    <w:rsid w:val="0000312B"/>
    <w:rsid w:val="00010DE8"/>
    <w:rsid w:val="00013A67"/>
    <w:rsid w:val="00014E4E"/>
    <w:rsid w:val="000163A1"/>
    <w:rsid w:val="00017CA9"/>
    <w:rsid w:val="00022163"/>
    <w:rsid w:val="000230C6"/>
    <w:rsid w:val="00025575"/>
    <w:rsid w:val="00025B33"/>
    <w:rsid w:val="000304D8"/>
    <w:rsid w:val="00030F27"/>
    <w:rsid w:val="00033500"/>
    <w:rsid w:val="0003473A"/>
    <w:rsid w:val="00037E43"/>
    <w:rsid w:val="00041EC0"/>
    <w:rsid w:val="00045380"/>
    <w:rsid w:val="00053471"/>
    <w:rsid w:val="000538D0"/>
    <w:rsid w:val="00054145"/>
    <w:rsid w:val="00060563"/>
    <w:rsid w:val="00071F6B"/>
    <w:rsid w:val="00074A8E"/>
    <w:rsid w:val="00076994"/>
    <w:rsid w:val="00077875"/>
    <w:rsid w:val="0008031F"/>
    <w:rsid w:val="00084744"/>
    <w:rsid w:val="00090630"/>
    <w:rsid w:val="0009144F"/>
    <w:rsid w:val="0009145C"/>
    <w:rsid w:val="00091A36"/>
    <w:rsid w:val="00096172"/>
    <w:rsid w:val="000A4383"/>
    <w:rsid w:val="000A4384"/>
    <w:rsid w:val="000A5454"/>
    <w:rsid w:val="000A599E"/>
    <w:rsid w:val="000A61D6"/>
    <w:rsid w:val="000A7576"/>
    <w:rsid w:val="000A7F3E"/>
    <w:rsid w:val="000B028B"/>
    <w:rsid w:val="000B468F"/>
    <w:rsid w:val="000B5EF5"/>
    <w:rsid w:val="000B652B"/>
    <w:rsid w:val="000C1FAA"/>
    <w:rsid w:val="000C343D"/>
    <w:rsid w:val="000C5C3C"/>
    <w:rsid w:val="000C66EB"/>
    <w:rsid w:val="000C6C6B"/>
    <w:rsid w:val="000D0931"/>
    <w:rsid w:val="000D4D8D"/>
    <w:rsid w:val="000E0775"/>
    <w:rsid w:val="000E2988"/>
    <w:rsid w:val="000E727E"/>
    <w:rsid w:val="000F3D38"/>
    <w:rsid w:val="00101390"/>
    <w:rsid w:val="00102C66"/>
    <w:rsid w:val="001118E5"/>
    <w:rsid w:val="001129BD"/>
    <w:rsid w:val="00115604"/>
    <w:rsid w:val="00115BF7"/>
    <w:rsid w:val="001169E7"/>
    <w:rsid w:val="001172C0"/>
    <w:rsid w:val="00117654"/>
    <w:rsid w:val="00117904"/>
    <w:rsid w:val="00121DEA"/>
    <w:rsid w:val="00122F72"/>
    <w:rsid w:val="00126A02"/>
    <w:rsid w:val="00130680"/>
    <w:rsid w:val="0013164E"/>
    <w:rsid w:val="00134B9F"/>
    <w:rsid w:val="001350F0"/>
    <w:rsid w:val="001445E2"/>
    <w:rsid w:val="00150BB3"/>
    <w:rsid w:val="00151AE5"/>
    <w:rsid w:val="00155A62"/>
    <w:rsid w:val="0015651B"/>
    <w:rsid w:val="00156ECD"/>
    <w:rsid w:val="00157C4A"/>
    <w:rsid w:val="0016098B"/>
    <w:rsid w:val="001620EA"/>
    <w:rsid w:val="0016420F"/>
    <w:rsid w:val="00165624"/>
    <w:rsid w:val="0016779A"/>
    <w:rsid w:val="00170158"/>
    <w:rsid w:val="001734C8"/>
    <w:rsid w:val="001754CA"/>
    <w:rsid w:val="001829A7"/>
    <w:rsid w:val="00184B27"/>
    <w:rsid w:val="00185F79"/>
    <w:rsid w:val="00185F95"/>
    <w:rsid w:val="0018606F"/>
    <w:rsid w:val="001865A3"/>
    <w:rsid w:val="00190A30"/>
    <w:rsid w:val="001917E7"/>
    <w:rsid w:val="00191F45"/>
    <w:rsid w:val="00191FBE"/>
    <w:rsid w:val="001A59C1"/>
    <w:rsid w:val="001A65F8"/>
    <w:rsid w:val="001B0568"/>
    <w:rsid w:val="001B24AB"/>
    <w:rsid w:val="001B3F3D"/>
    <w:rsid w:val="001B697D"/>
    <w:rsid w:val="001C32B3"/>
    <w:rsid w:val="001C7C93"/>
    <w:rsid w:val="001D1B26"/>
    <w:rsid w:val="001D356E"/>
    <w:rsid w:val="001D37E5"/>
    <w:rsid w:val="001D3D90"/>
    <w:rsid w:val="001D4277"/>
    <w:rsid w:val="001E5AD7"/>
    <w:rsid w:val="001E6160"/>
    <w:rsid w:val="001E7413"/>
    <w:rsid w:val="001E7D11"/>
    <w:rsid w:val="001F4412"/>
    <w:rsid w:val="002025A8"/>
    <w:rsid w:val="00202CFB"/>
    <w:rsid w:val="002041E0"/>
    <w:rsid w:val="002045B3"/>
    <w:rsid w:val="002077AF"/>
    <w:rsid w:val="0021101E"/>
    <w:rsid w:val="002148A4"/>
    <w:rsid w:val="002173E3"/>
    <w:rsid w:val="00224DC4"/>
    <w:rsid w:val="00225EEF"/>
    <w:rsid w:val="00227FFB"/>
    <w:rsid w:val="00230201"/>
    <w:rsid w:val="0023457E"/>
    <w:rsid w:val="0023512B"/>
    <w:rsid w:val="002357E6"/>
    <w:rsid w:val="00242E0C"/>
    <w:rsid w:val="0024322A"/>
    <w:rsid w:val="002443C6"/>
    <w:rsid w:val="00246F3B"/>
    <w:rsid w:val="002508A5"/>
    <w:rsid w:val="002609E5"/>
    <w:rsid w:val="00264C71"/>
    <w:rsid w:val="00271604"/>
    <w:rsid w:val="00272097"/>
    <w:rsid w:val="00272170"/>
    <w:rsid w:val="0027559A"/>
    <w:rsid w:val="00276553"/>
    <w:rsid w:val="0028329A"/>
    <w:rsid w:val="002837CA"/>
    <w:rsid w:val="002855EB"/>
    <w:rsid w:val="002902E4"/>
    <w:rsid w:val="002948F4"/>
    <w:rsid w:val="002B0D2A"/>
    <w:rsid w:val="002B221A"/>
    <w:rsid w:val="002B7000"/>
    <w:rsid w:val="002B7AA4"/>
    <w:rsid w:val="002C06DC"/>
    <w:rsid w:val="002C657D"/>
    <w:rsid w:val="002D40CD"/>
    <w:rsid w:val="002D5915"/>
    <w:rsid w:val="002D63C1"/>
    <w:rsid w:val="002D6A46"/>
    <w:rsid w:val="002E3144"/>
    <w:rsid w:val="002F2F94"/>
    <w:rsid w:val="002F40AD"/>
    <w:rsid w:val="002F4A07"/>
    <w:rsid w:val="002F6F25"/>
    <w:rsid w:val="002F7E81"/>
    <w:rsid w:val="003148EC"/>
    <w:rsid w:val="003159AD"/>
    <w:rsid w:val="00316C2A"/>
    <w:rsid w:val="003221A2"/>
    <w:rsid w:val="00322629"/>
    <w:rsid w:val="00322A7A"/>
    <w:rsid w:val="00324917"/>
    <w:rsid w:val="00327E46"/>
    <w:rsid w:val="003313D6"/>
    <w:rsid w:val="00332C3B"/>
    <w:rsid w:val="00340539"/>
    <w:rsid w:val="00340656"/>
    <w:rsid w:val="00340D8E"/>
    <w:rsid w:val="0034189E"/>
    <w:rsid w:val="00342A27"/>
    <w:rsid w:val="00347129"/>
    <w:rsid w:val="003529E3"/>
    <w:rsid w:val="0035644F"/>
    <w:rsid w:val="00356D6C"/>
    <w:rsid w:val="00360015"/>
    <w:rsid w:val="00361012"/>
    <w:rsid w:val="00370A43"/>
    <w:rsid w:val="00373C0C"/>
    <w:rsid w:val="003761F1"/>
    <w:rsid w:val="003840A0"/>
    <w:rsid w:val="0039412A"/>
    <w:rsid w:val="00395770"/>
    <w:rsid w:val="00397317"/>
    <w:rsid w:val="003A2C6E"/>
    <w:rsid w:val="003A2FBC"/>
    <w:rsid w:val="003A3A6A"/>
    <w:rsid w:val="003A5335"/>
    <w:rsid w:val="003A66DB"/>
    <w:rsid w:val="003A7387"/>
    <w:rsid w:val="003B0E9A"/>
    <w:rsid w:val="003B32E1"/>
    <w:rsid w:val="003C0B95"/>
    <w:rsid w:val="003C7819"/>
    <w:rsid w:val="003D004F"/>
    <w:rsid w:val="003D478B"/>
    <w:rsid w:val="003D62AC"/>
    <w:rsid w:val="003E1378"/>
    <w:rsid w:val="003E1585"/>
    <w:rsid w:val="003E5D30"/>
    <w:rsid w:val="003E6BBB"/>
    <w:rsid w:val="003E7BA4"/>
    <w:rsid w:val="003F0D2C"/>
    <w:rsid w:val="003F290F"/>
    <w:rsid w:val="003F3BE3"/>
    <w:rsid w:val="003F5E8D"/>
    <w:rsid w:val="003F69B8"/>
    <w:rsid w:val="00400142"/>
    <w:rsid w:val="0040145B"/>
    <w:rsid w:val="00403309"/>
    <w:rsid w:val="0041089F"/>
    <w:rsid w:val="0041577A"/>
    <w:rsid w:val="00415CBE"/>
    <w:rsid w:val="00416C71"/>
    <w:rsid w:val="00422C05"/>
    <w:rsid w:val="00422C77"/>
    <w:rsid w:val="00425B59"/>
    <w:rsid w:val="00426FD3"/>
    <w:rsid w:val="00434636"/>
    <w:rsid w:val="00440F51"/>
    <w:rsid w:val="00441C49"/>
    <w:rsid w:val="004459DC"/>
    <w:rsid w:val="00447246"/>
    <w:rsid w:val="0046554A"/>
    <w:rsid w:val="004718E2"/>
    <w:rsid w:val="00473B73"/>
    <w:rsid w:val="004806CF"/>
    <w:rsid w:val="00484651"/>
    <w:rsid w:val="00485409"/>
    <w:rsid w:val="00485CF8"/>
    <w:rsid w:val="00487328"/>
    <w:rsid w:val="00487A4D"/>
    <w:rsid w:val="00492566"/>
    <w:rsid w:val="00492CE1"/>
    <w:rsid w:val="0049471A"/>
    <w:rsid w:val="004973D5"/>
    <w:rsid w:val="004A0174"/>
    <w:rsid w:val="004A20A2"/>
    <w:rsid w:val="004A242B"/>
    <w:rsid w:val="004A40D6"/>
    <w:rsid w:val="004A5B6D"/>
    <w:rsid w:val="004A5BAC"/>
    <w:rsid w:val="004A70CD"/>
    <w:rsid w:val="004B1495"/>
    <w:rsid w:val="004B1EFF"/>
    <w:rsid w:val="004B6217"/>
    <w:rsid w:val="004C1552"/>
    <w:rsid w:val="004C559D"/>
    <w:rsid w:val="004C79B5"/>
    <w:rsid w:val="004C79CA"/>
    <w:rsid w:val="004C7C91"/>
    <w:rsid w:val="004D1284"/>
    <w:rsid w:val="004D1754"/>
    <w:rsid w:val="004D3C1B"/>
    <w:rsid w:val="004E4F37"/>
    <w:rsid w:val="004E6111"/>
    <w:rsid w:val="004F0096"/>
    <w:rsid w:val="004F1BA9"/>
    <w:rsid w:val="004F6998"/>
    <w:rsid w:val="004F7D9E"/>
    <w:rsid w:val="00505AE3"/>
    <w:rsid w:val="005064B6"/>
    <w:rsid w:val="00510883"/>
    <w:rsid w:val="005125D9"/>
    <w:rsid w:val="00512B4C"/>
    <w:rsid w:val="00513109"/>
    <w:rsid w:val="00513117"/>
    <w:rsid w:val="00513E2C"/>
    <w:rsid w:val="005140D4"/>
    <w:rsid w:val="0051795D"/>
    <w:rsid w:val="00517B0E"/>
    <w:rsid w:val="00543611"/>
    <w:rsid w:val="00546424"/>
    <w:rsid w:val="00546D6E"/>
    <w:rsid w:val="005506F5"/>
    <w:rsid w:val="005530C8"/>
    <w:rsid w:val="00557BF9"/>
    <w:rsid w:val="005600F0"/>
    <w:rsid w:val="005605FC"/>
    <w:rsid w:val="00560716"/>
    <w:rsid w:val="0056075A"/>
    <w:rsid w:val="00562471"/>
    <w:rsid w:val="005628B2"/>
    <w:rsid w:val="00567871"/>
    <w:rsid w:val="005814EA"/>
    <w:rsid w:val="005832F8"/>
    <w:rsid w:val="005854CF"/>
    <w:rsid w:val="00590FA5"/>
    <w:rsid w:val="005A0176"/>
    <w:rsid w:val="005A080A"/>
    <w:rsid w:val="005A18ED"/>
    <w:rsid w:val="005A7F37"/>
    <w:rsid w:val="005B2C5A"/>
    <w:rsid w:val="005B2D33"/>
    <w:rsid w:val="005B3E55"/>
    <w:rsid w:val="005B51CA"/>
    <w:rsid w:val="005C2D2C"/>
    <w:rsid w:val="005C4CFD"/>
    <w:rsid w:val="005C626C"/>
    <w:rsid w:val="005C725A"/>
    <w:rsid w:val="005D0EFD"/>
    <w:rsid w:val="005E12D5"/>
    <w:rsid w:val="005E3C2B"/>
    <w:rsid w:val="005E404D"/>
    <w:rsid w:val="005E628E"/>
    <w:rsid w:val="005E7680"/>
    <w:rsid w:val="005F1DED"/>
    <w:rsid w:val="005F63AD"/>
    <w:rsid w:val="00601F9C"/>
    <w:rsid w:val="006031F7"/>
    <w:rsid w:val="00603AFF"/>
    <w:rsid w:val="00604D12"/>
    <w:rsid w:val="006165B4"/>
    <w:rsid w:val="00622251"/>
    <w:rsid w:val="0062313A"/>
    <w:rsid w:val="00624224"/>
    <w:rsid w:val="00624F83"/>
    <w:rsid w:val="006257E0"/>
    <w:rsid w:val="0062606F"/>
    <w:rsid w:val="00630538"/>
    <w:rsid w:val="00633000"/>
    <w:rsid w:val="00634469"/>
    <w:rsid w:val="006344FD"/>
    <w:rsid w:val="00644203"/>
    <w:rsid w:val="00645A81"/>
    <w:rsid w:val="00650183"/>
    <w:rsid w:val="0065425C"/>
    <w:rsid w:val="0066198E"/>
    <w:rsid w:val="00664033"/>
    <w:rsid w:val="0066585F"/>
    <w:rsid w:val="00667663"/>
    <w:rsid w:val="00675A3F"/>
    <w:rsid w:val="00680623"/>
    <w:rsid w:val="00681AEA"/>
    <w:rsid w:val="006839D7"/>
    <w:rsid w:val="00683E64"/>
    <w:rsid w:val="006864E7"/>
    <w:rsid w:val="00695AE0"/>
    <w:rsid w:val="006A351C"/>
    <w:rsid w:val="006A6785"/>
    <w:rsid w:val="006B1326"/>
    <w:rsid w:val="006B4243"/>
    <w:rsid w:val="006B7C72"/>
    <w:rsid w:val="006C1461"/>
    <w:rsid w:val="006C47A5"/>
    <w:rsid w:val="006C6B13"/>
    <w:rsid w:val="006D0D2A"/>
    <w:rsid w:val="006E0C4F"/>
    <w:rsid w:val="006E1708"/>
    <w:rsid w:val="006E6817"/>
    <w:rsid w:val="006F14FA"/>
    <w:rsid w:val="006F20B1"/>
    <w:rsid w:val="006F43E3"/>
    <w:rsid w:val="006F63B2"/>
    <w:rsid w:val="006F75AF"/>
    <w:rsid w:val="00701C77"/>
    <w:rsid w:val="00710606"/>
    <w:rsid w:val="00711538"/>
    <w:rsid w:val="00713692"/>
    <w:rsid w:val="00715746"/>
    <w:rsid w:val="00722983"/>
    <w:rsid w:val="00723271"/>
    <w:rsid w:val="00723387"/>
    <w:rsid w:val="0072363B"/>
    <w:rsid w:val="00730AEA"/>
    <w:rsid w:val="00734C81"/>
    <w:rsid w:val="0074076F"/>
    <w:rsid w:val="00746BF8"/>
    <w:rsid w:val="00751190"/>
    <w:rsid w:val="007549E1"/>
    <w:rsid w:val="0075704F"/>
    <w:rsid w:val="0076578F"/>
    <w:rsid w:val="00766219"/>
    <w:rsid w:val="007662DA"/>
    <w:rsid w:val="00767288"/>
    <w:rsid w:val="00767B38"/>
    <w:rsid w:val="00767D2C"/>
    <w:rsid w:val="007742B9"/>
    <w:rsid w:val="00775AA0"/>
    <w:rsid w:val="00777E82"/>
    <w:rsid w:val="00785D93"/>
    <w:rsid w:val="00786F42"/>
    <w:rsid w:val="00792331"/>
    <w:rsid w:val="0079342A"/>
    <w:rsid w:val="00793C52"/>
    <w:rsid w:val="00793F22"/>
    <w:rsid w:val="0079483C"/>
    <w:rsid w:val="0079598D"/>
    <w:rsid w:val="007967D1"/>
    <w:rsid w:val="00796BEA"/>
    <w:rsid w:val="007A1C1C"/>
    <w:rsid w:val="007A66B5"/>
    <w:rsid w:val="007B7E2A"/>
    <w:rsid w:val="007C28E9"/>
    <w:rsid w:val="007C418C"/>
    <w:rsid w:val="007C77E8"/>
    <w:rsid w:val="007D1D18"/>
    <w:rsid w:val="007D243D"/>
    <w:rsid w:val="007D422C"/>
    <w:rsid w:val="007E262E"/>
    <w:rsid w:val="007F00EE"/>
    <w:rsid w:val="007F4FBC"/>
    <w:rsid w:val="00802906"/>
    <w:rsid w:val="00806061"/>
    <w:rsid w:val="00813445"/>
    <w:rsid w:val="008172F3"/>
    <w:rsid w:val="008227B5"/>
    <w:rsid w:val="00835194"/>
    <w:rsid w:val="008441C1"/>
    <w:rsid w:val="00845033"/>
    <w:rsid w:val="00846BE1"/>
    <w:rsid w:val="00850787"/>
    <w:rsid w:val="00850B6B"/>
    <w:rsid w:val="0085787A"/>
    <w:rsid w:val="00861264"/>
    <w:rsid w:val="0086412A"/>
    <w:rsid w:val="008700B2"/>
    <w:rsid w:val="00870885"/>
    <w:rsid w:val="00870F11"/>
    <w:rsid w:val="008821AF"/>
    <w:rsid w:val="00887393"/>
    <w:rsid w:val="00887D0C"/>
    <w:rsid w:val="008944A8"/>
    <w:rsid w:val="00895A74"/>
    <w:rsid w:val="00897AEF"/>
    <w:rsid w:val="008A2C1F"/>
    <w:rsid w:val="008A3E73"/>
    <w:rsid w:val="008A7414"/>
    <w:rsid w:val="008B10DC"/>
    <w:rsid w:val="008B61E4"/>
    <w:rsid w:val="008B6386"/>
    <w:rsid w:val="008C25BB"/>
    <w:rsid w:val="008C37EF"/>
    <w:rsid w:val="008C4101"/>
    <w:rsid w:val="008D4FE7"/>
    <w:rsid w:val="008E3674"/>
    <w:rsid w:val="008E6DD3"/>
    <w:rsid w:val="008F0EB0"/>
    <w:rsid w:val="00903C50"/>
    <w:rsid w:val="00904C0B"/>
    <w:rsid w:val="00913690"/>
    <w:rsid w:val="00916B92"/>
    <w:rsid w:val="00920D5B"/>
    <w:rsid w:val="00923F93"/>
    <w:rsid w:val="00924B70"/>
    <w:rsid w:val="00924C1F"/>
    <w:rsid w:val="00934B08"/>
    <w:rsid w:val="00937056"/>
    <w:rsid w:val="00943764"/>
    <w:rsid w:val="00951B2F"/>
    <w:rsid w:val="00951C74"/>
    <w:rsid w:val="009571CF"/>
    <w:rsid w:val="00963DAB"/>
    <w:rsid w:val="0096439C"/>
    <w:rsid w:val="00964FC6"/>
    <w:rsid w:val="00966CAE"/>
    <w:rsid w:val="009673C3"/>
    <w:rsid w:val="00972DB8"/>
    <w:rsid w:val="0097688B"/>
    <w:rsid w:val="00977A26"/>
    <w:rsid w:val="00977FEC"/>
    <w:rsid w:val="00980300"/>
    <w:rsid w:val="009831FF"/>
    <w:rsid w:val="0098644A"/>
    <w:rsid w:val="009904D2"/>
    <w:rsid w:val="009908C1"/>
    <w:rsid w:val="009A2C41"/>
    <w:rsid w:val="009A3B70"/>
    <w:rsid w:val="009B1561"/>
    <w:rsid w:val="009B22CA"/>
    <w:rsid w:val="009C3BAD"/>
    <w:rsid w:val="009C3C35"/>
    <w:rsid w:val="009D085B"/>
    <w:rsid w:val="009D2DE7"/>
    <w:rsid w:val="009D3FB4"/>
    <w:rsid w:val="009E0216"/>
    <w:rsid w:val="009E5CC0"/>
    <w:rsid w:val="009F0BE2"/>
    <w:rsid w:val="009F5B9C"/>
    <w:rsid w:val="00A004FB"/>
    <w:rsid w:val="00A00574"/>
    <w:rsid w:val="00A005C0"/>
    <w:rsid w:val="00A02671"/>
    <w:rsid w:val="00A03833"/>
    <w:rsid w:val="00A0668A"/>
    <w:rsid w:val="00A0761F"/>
    <w:rsid w:val="00A07FC8"/>
    <w:rsid w:val="00A1088E"/>
    <w:rsid w:val="00A10DC8"/>
    <w:rsid w:val="00A12727"/>
    <w:rsid w:val="00A1553F"/>
    <w:rsid w:val="00A16DF9"/>
    <w:rsid w:val="00A17A32"/>
    <w:rsid w:val="00A210CC"/>
    <w:rsid w:val="00A2191E"/>
    <w:rsid w:val="00A27AF2"/>
    <w:rsid w:val="00A30479"/>
    <w:rsid w:val="00A30D3A"/>
    <w:rsid w:val="00A30FB4"/>
    <w:rsid w:val="00A33C17"/>
    <w:rsid w:val="00A37CB5"/>
    <w:rsid w:val="00A50C8B"/>
    <w:rsid w:val="00A50CE7"/>
    <w:rsid w:val="00A55C2C"/>
    <w:rsid w:val="00A57BEB"/>
    <w:rsid w:val="00A62015"/>
    <w:rsid w:val="00A80535"/>
    <w:rsid w:val="00A86514"/>
    <w:rsid w:val="00A87A3A"/>
    <w:rsid w:val="00A95769"/>
    <w:rsid w:val="00AA384A"/>
    <w:rsid w:val="00AA3CE0"/>
    <w:rsid w:val="00AA4E1F"/>
    <w:rsid w:val="00AA5E1C"/>
    <w:rsid w:val="00AB3E2F"/>
    <w:rsid w:val="00AB472F"/>
    <w:rsid w:val="00AC4C9E"/>
    <w:rsid w:val="00AC618A"/>
    <w:rsid w:val="00AC75DB"/>
    <w:rsid w:val="00AC7D60"/>
    <w:rsid w:val="00AC7E1F"/>
    <w:rsid w:val="00AD06FC"/>
    <w:rsid w:val="00AD16CF"/>
    <w:rsid w:val="00AD3DE8"/>
    <w:rsid w:val="00AE0A6E"/>
    <w:rsid w:val="00AE6BB9"/>
    <w:rsid w:val="00AF0F88"/>
    <w:rsid w:val="00AF1DE3"/>
    <w:rsid w:val="00AF5DCC"/>
    <w:rsid w:val="00AF61D5"/>
    <w:rsid w:val="00B0050E"/>
    <w:rsid w:val="00B006D2"/>
    <w:rsid w:val="00B011C1"/>
    <w:rsid w:val="00B03397"/>
    <w:rsid w:val="00B04358"/>
    <w:rsid w:val="00B05021"/>
    <w:rsid w:val="00B05824"/>
    <w:rsid w:val="00B120E4"/>
    <w:rsid w:val="00B13B5D"/>
    <w:rsid w:val="00B17F0A"/>
    <w:rsid w:val="00B213AE"/>
    <w:rsid w:val="00B21D93"/>
    <w:rsid w:val="00B222DB"/>
    <w:rsid w:val="00B30030"/>
    <w:rsid w:val="00B3370D"/>
    <w:rsid w:val="00B347A6"/>
    <w:rsid w:val="00B35468"/>
    <w:rsid w:val="00B4215A"/>
    <w:rsid w:val="00B5276D"/>
    <w:rsid w:val="00B54D3B"/>
    <w:rsid w:val="00B56BD0"/>
    <w:rsid w:val="00B608EA"/>
    <w:rsid w:val="00B65751"/>
    <w:rsid w:val="00B67FB5"/>
    <w:rsid w:val="00B7324C"/>
    <w:rsid w:val="00B76071"/>
    <w:rsid w:val="00B768EB"/>
    <w:rsid w:val="00B77079"/>
    <w:rsid w:val="00B80E99"/>
    <w:rsid w:val="00B81671"/>
    <w:rsid w:val="00B92A91"/>
    <w:rsid w:val="00B93D2C"/>
    <w:rsid w:val="00B97E85"/>
    <w:rsid w:val="00BA4D1F"/>
    <w:rsid w:val="00BB0CC4"/>
    <w:rsid w:val="00BC2BEF"/>
    <w:rsid w:val="00BC5C11"/>
    <w:rsid w:val="00BC6383"/>
    <w:rsid w:val="00BC63CF"/>
    <w:rsid w:val="00BC652F"/>
    <w:rsid w:val="00BD3934"/>
    <w:rsid w:val="00BD6689"/>
    <w:rsid w:val="00BF1FF9"/>
    <w:rsid w:val="00C02122"/>
    <w:rsid w:val="00C03FB0"/>
    <w:rsid w:val="00C04CB6"/>
    <w:rsid w:val="00C05062"/>
    <w:rsid w:val="00C053B2"/>
    <w:rsid w:val="00C1024F"/>
    <w:rsid w:val="00C177D7"/>
    <w:rsid w:val="00C23657"/>
    <w:rsid w:val="00C25DFD"/>
    <w:rsid w:val="00C333F6"/>
    <w:rsid w:val="00C34C3A"/>
    <w:rsid w:val="00C36131"/>
    <w:rsid w:val="00C41C4F"/>
    <w:rsid w:val="00C4225A"/>
    <w:rsid w:val="00C5515B"/>
    <w:rsid w:val="00C56D9B"/>
    <w:rsid w:val="00C608C5"/>
    <w:rsid w:val="00C6391A"/>
    <w:rsid w:val="00C70903"/>
    <w:rsid w:val="00C71669"/>
    <w:rsid w:val="00C71685"/>
    <w:rsid w:val="00C718DB"/>
    <w:rsid w:val="00C7312E"/>
    <w:rsid w:val="00C749ED"/>
    <w:rsid w:val="00C87A7A"/>
    <w:rsid w:val="00C90A02"/>
    <w:rsid w:val="00C93E8A"/>
    <w:rsid w:val="00C94ACC"/>
    <w:rsid w:val="00C96037"/>
    <w:rsid w:val="00CA2A1A"/>
    <w:rsid w:val="00CA30F2"/>
    <w:rsid w:val="00CA35A0"/>
    <w:rsid w:val="00CA4B5F"/>
    <w:rsid w:val="00CA75DE"/>
    <w:rsid w:val="00CB1FD8"/>
    <w:rsid w:val="00CB6938"/>
    <w:rsid w:val="00CB7ADD"/>
    <w:rsid w:val="00CC0AAE"/>
    <w:rsid w:val="00CD0C6C"/>
    <w:rsid w:val="00CD417C"/>
    <w:rsid w:val="00CD6990"/>
    <w:rsid w:val="00CD7727"/>
    <w:rsid w:val="00CF2763"/>
    <w:rsid w:val="00D00F9B"/>
    <w:rsid w:val="00D0626A"/>
    <w:rsid w:val="00D114E1"/>
    <w:rsid w:val="00D209C6"/>
    <w:rsid w:val="00D24C05"/>
    <w:rsid w:val="00D2629B"/>
    <w:rsid w:val="00D34A1A"/>
    <w:rsid w:val="00D354CF"/>
    <w:rsid w:val="00D35CDE"/>
    <w:rsid w:val="00D40A79"/>
    <w:rsid w:val="00D40C4A"/>
    <w:rsid w:val="00D41260"/>
    <w:rsid w:val="00D469F2"/>
    <w:rsid w:val="00D51484"/>
    <w:rsid w:val="00D5482D"/>
    <w:rsid w:val="00D563DD"/>
    <w:rsid w:val="00D603C1"/>
    <w:rsid w:val="00D6075A"/>
    <w:rsid w:val="00D67C1F"/>
    <w:rsid w:val="00D704EC"/>
    <w:rsid w:val="00D739DF"/>
    <w:rsid w:val="00D75B14"/>
    <w:rsid w:val="00D773D0"/>
    <w:rsid w:val="00D813CF"/>
    <w:rsid w:val="00D86467"/>
    <w:rsid w:val="00D86711"/>
    <w:rsid w:val="00D91B93"/>
    <w:rsid w:val="00D94E99"/>
    <w:rsid w:val="00D96C7D"/>
    <w:rsid w:val="00DA05BD"/>
    <w:rsid w:val="00DB28C9"/>
    <w:rsid w:val="00DC0DC2"/>
    <w:rsid w:val="00DC4512"/>
    <w:rsid w:val="00DC522E"/>
    <w:rsid w:val="00DC570D"/>
    <w:rsid w:val="00DC7C9D"/>
    <w:rsid w:val="00DD2747"/>
    <w:rsid w:val="00DD3197"/>
    <w:rsid w:val="00DD59D6"/>
    <w:rsid w:val="00DD5D86"/>
    <w:rsid w:val="00DE07DD"/>
    <w:rsid w:val="00DE50F6"/>
    <w:rsid w:val="00DE740D"/>
    <w:rsid w:val="00DF2B1E"/>
    <w:rsid w:val="00E01CA3"/>
    <w:rsid w:val="00E0563D"/>
    <w:rsid w:val="00E07C92"/>
    <w:rsid w:val="00E110BE"/>
    <w:rsid w:val="00E1217B"/>
    <w:rsid w:val="00E14379"/>
    <w:rsid w:val="00E145F1"/>
    <w:rsid w:val="00E14B01"/>
    <w:rsid w:val="00E204B9"/>
    <w:rsid w:val="00E21948"/>
    <w:rsid w:val="00E24AB6"/>
    <w:rsid w:val="00E32C1F"/>
    <w:rsid w:val="00E32F93"/>
    <w:rsid w:val="00E34604"/>
    <w:rsid w:val="00E369AA"/>
    <w:rsid w:val="00E44D2E"/>
    <w:rsid w:val="00E56454"/>
    <w:rsid w:val="00E618DC"/>
    <w:rsid w:val="00E626F6"/>
    <w:rsid w:val="00E63036"/>
    <w:rsid w:val="00E64D23"/>
    <w:rsid w:val="00E668E7"/>
    <w:rsid w:val="00E730E6"/>
    <w:rsid w:val="00E73BA7"/>
    <w:rsid w:val="00E752DA"/>
    <w:rsid w:val="00E75342"/>
    <w:rsid w:val="00E80E96"/>
    <w:rsid w:val="00E85613"/>
    <w:rsid w:val="00E85892"/>
    <w:rsid w:val="00E91A3C"/>
    <w:rsid w:val="00EA0064"/>
    <w:rsid w:val="00EA2D67"/>
    <w:rsid w:val="00EA682D"/>
    <w:rsid w:val="00EB53B9"/>
    <w:rsid w:val="00EC7A4B"/>
    <w:rsid w:val="00ED2A26"/>
    <w:rsid w:val="00ED4F7F"/>
    <w:rsid w:val="00ED6E57"/>
    <w:rsid w:val="00EE285B"/>
    <w:rsid w:val="00EE47E2"/>
    <w:rsid w:val="00EE66F8"/>
    <w:rsid w:val="00EF384A"/>
    <w:rsid w:val="00EF4F93"/>
    <w:rsid w:val="00F0485B"/>
    <w:rsid w:val="00F048D2"/>
    <w:rsid w:val="00F05D6B"/>
    <w:rsid w:val="00F06F52"/>
    <w:rsid w:val="00F11439"/>
    <w:rsid w:val="00F13033"/>
    <w:rsid w:val="00F24451"/>
    <w:rsid w:val="00F24D17"/>
    <w:rsid w:val="00F25B38"/>
    <w:rsid w:val="00F354C7"/>
    <w:rsid w:val="00F35C72"/>
    <w:rsid w:val="00F363BE"/>
    <w:rsid w:val="00F36847"/>
    <w:rsid w:val="00F40DA5"/>
    <w:rsid w:val="00F42B98"/>
    <w:rsid w:val="00F44044"/>
    <w:rsid w:val="00F46112"/>
    <w:rsid w:val="00F476CA"/>
    <w:rsid w:val="00F50CEC"/>
    <w:rsid w:val="00F56B55"/>
    <w:rsid w:val="00F56DFF"/>
    <w:rsid w:val="00F618D1"/>
    <w:rsid w:val="00F62D75"/>
    <w:rsid w:val="00F66029"/>
    <w:rsid w:val="00F71F1B"/>
    <w:rsid w:val="00F74CC4"/>
    <w:rsid w:val="00F76A94"/>
    <w:rsid w:val="00F772B8"/>
    <w:rsid w:val="00F80F85"/>
    <w:rsid w:val="00F87D49"/>
    <w:rsid w:val="00F930E0"/>
    <w:rsid w:val="00F93FFB"/>
    <w:rsid w:val="00FB168B"/>
    <w:rsid w:val="00FB544A"/>
    <w:rsid w:val="00FC09B8"/>
    <w:rsid w:val="00FC1C37"/>
    <w:rsid w:val="00FC2F31"/>
    <w:rsid w:val="00FC3D6C"/>
    <w:rsid w:val="00FD1332"/>
    <w:rsid w:val="00FD2BBE"/>
    <w:rsid w:val="00FD335D"/>
    <w:rsid w:val="00FD5BAA"/>
    <w:rsid w:val="00FD7764"/>
    <w:rsid w:val="00FE28C5"/>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006515892">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CC20-DE87-4A02-95CA-5BD116C4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12</Pages>
  <Words>3086</Words>
  <Characters>22717</Characters>
  <Application>Microsoft Office Word</Application>
  <DocSecurity>0</DocSecurity>
  <Lines>463</Lines>
  <Paragraphs>121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207</cp:revision>
  <cp:lastPrinted>2013-09-23T11:03:00Z</cp:lastPrinted>
  <dcterms:created xsi:type="dcterms:W3CDTF">2013-02-08T09:35:00Z</dcterms:created>
  <dcterms:modified xsi:type="dcterms:W3CDTF">2013-09-23T11:04:00Z</dcterms:modified>
</cp:coreProperties>
</file>